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C13ED" w14:textId="77777777" w:rsidR="00754C9A" w:rsidRDefault="00754C9A" w:rsidP="00441B6F">
      <w:pPr>
        <w:pStyle w:val="Title"/>
        <w:spacing w:after="0"/>
        <w:jc w:val="both"/>
        <w:rPr>
          <w:rFonts w:ascii="Arial" w:hAnsi="Arial" w:cs="Arial"/>
        </w:rPr>
      </w:pPr>
    </w:p>
    <w:p w14:paraId="3777613D" w14:textId="7DC25395" w:rsidR="00F302EC" w:rsidRDefault="00AD3390" w:rsidP="00F64EE1">
      <w:pPr>
        <w:pStyle w:val="Author"/>
        <w:spacing w:line="240" w:lineRule="auto"/>
        <w:rPr>
          <w:rFonts w:ascii="Arial" w:hAnsi="Arial" w:cs="Arial"/>
          <w:bCs/>
          <w:iCs/>
          <w:kern w:val="28"/>
          <w:sz w:val="36"/>
        </w:rPr>
      </w:pPr>
      <w:r>
        <w:rPr>
          <w:rFonts w:ascii="Arial" w:hAnsi="Arial" w:cs="Arial"/>
          <w:bCs/>
          <w:iCs/>
          <w:kern w:val="28"/>
          <w:sz w:val="36"/>
        </w:rPr>
        <w:t>Brewed and Renewed</w:t>
      </w:r>
      <w:r w:rsidR="00B82065">
        <w:rPr>
          <w:rFonts w:ascii="Arial" w:hAnsi="Arial" w:cs="Arial"/>
          <w:bCs/>
          <w:iCs/>
          <w:kern w:val="28"/>
          <w:sz w:val="36"/>
        </w:rPr>
        <w:t>:</w:t>
      </w:r>
      <w:r w:rsidR="00F302EC">
        <w:rPr>
          <w:rFonts w:ascii="Arial" w:hAnsi="Arial" w:cs="Arial"/>
          <w:bCs/>
          <w:iCs/>
          <w:kern w:val="28"/>
          <w:sz w:val="36"/>
        </w:rPr>
        <w:t xml:space="preserve"> Preliminary Characterization and Antibiotic Potential of Chitosan Nanogels Loaded with Arabica (</w:t>
      </w:r>
      <w:r w:rsidR="00F302EC">
        <w:rPr>
          <w:rFonts w:ascii="Arial" w:hAnsi="Arial" w:cs="Arial"/>
          <w:bCs/>
          <w:i/>
          <w:kern w:val="28"/>
          <w:sz w:val="36"/>
        </w:rPr>
        <w:t>Coffea arabica</w:t>
      </w:r>
      <w:r w:rsidR="00F302EC">
        <w:rPr>
          <w:rFonts w:ascii="Arial" w:hAnsi="Arial" w:cs="Arial"/>
          <w:bCs/>
          <w:iCs/>
          <w:kern w:val="28"/>
          <w:sz w:val="36"/>
        </w:rPr>
        <w:t>) Spent Coffee Grounds</w:t>
      </w:r>
      <w:r w:rsidR="00B82065">
        <w:rPr>
          <w:rFonts w:ascii="Arial" w:hAnsi="Arial" w:cs="Arial"/>
          <w:bCs/>
          <w:iCs/>
          <w:kern w:val="28"/>
          <w:sz w:val="36"/>
        </w:rPr>
        <w:t xml:space="preserve"> </w:t>
      </w:r>
    </w:p>
    <w:p w14:paraId="02B2B3C1" w14:textId="77777777" w:rsidR="00AC5152" w:rsidRDefault="00AC5152" w:rsidP="00441B6F">
      <w:pPr>
        <w:pStyle w:val="Author"/>
        <w:spacing w:line="240" w:lineRule="auto"/>
        <w:rPr>
          <w:rFonts w:ascii="Arial" w:hAnsi="Arial" w:cs="Arial"/>
        </w:rPr>
      </w:pPr>
    </w:p>
    <w:p w14:paraId="3C4AEA3F" w14:textId="331B5609" w:rsidR="00B01FCD" w:rsidRPr="00FB3A86" w:rsidRDefault="00B01FCD" w:rsidP="00441B6F">
      <w:pPr>
        <w:pStyle w:val="Copyright"/>
        <w:spacing w:after="0" w:line="240" w:lineRule="auto"/>
        <w:jc w:val="both"/>
        <w:rPr>
          <w:rFonts w:ascii="Arial" w:hAnsi="Arial" w:cs="Arial"/>
        </w:rPr>
        <w:sectPr w:rsidR="00B01FCD" w:rsidRPr="00FB3A86" w:rsidSect="00880E5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21093B58"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A366B3E" w14:textId="77777777" w:rsidR="00E3155B" w:rsidRPr="00FB3A86" w:rsidRDefault="00E3155B"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480F736" w14:textId="77777777" w:rsidTr="001E44FE">
        <w:tc>
          <w:tcPr>
            <w:tcW w:w="9576" w:type="dxa"/>
            <w:shd w:val="clear" w:color="auto" w:fill="F2F2F2"/>
          </w:tcPr>
          <w:p w14:paraId="14BD2648" w14:textId="0C342967" w:rsidR="00BA1B01" w:rsidRPr="004B5BE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0F3ED4">
              <w:rPr>
                <w:rFonts w:ascii="Arial" w:eastAsia="Calibri" w:hAnsi="Arial" w:cs="Arial"/>
                <w:szCs w:val="22"/>
              </w:rPr>
              <w:t xml:space="preserve">The study aimed to determine the </w:t>
            </w:r>
            <w:r w:rsidR="00F77DFD">
              <w:rPr>
                <w:rFonts w:ascii="Arial" w:eastAsia="Calibri" w:hAnsi="Arial" w:cs="Arial"/>
                <w:szCs w:val="22"/>
              </w:rPr>
              <w:t xml:space="preserve">physicochemical characteristics of the </w:t>
            </w:r>
            <w:r w:rsidR="00F77DFD">
              <w:rPr>
                <w:rFonts w:ascii="Arial" w:eastAsia="Calibri" w:hAnsi="Arial" w:cs="Arial"/>
                <w:i/>
                <w:iCs/>
                <w:szCs w:val="22"/>
              </w:rPr>
              <w:t>C.</w:t>
            </w:r>
            <w:r w:rsidR="00933879">
              <w:rPr>
                <w:rFonts w:ascii="Arial" w:eastAsia="Calibri" w:hAnsi="Arial" w:cs="Arial"/>
                <w:i/>
                <w:iCs/>
                <w:szCs w:val="22"/>
              </w:rPr>
              <w:t xml:space="preserve"> </w:t>
            </w:r>
            <w:r w:rsidR="00F77DFD">
              <w:rPr>
                <w:rFonts w:ascii="Arial" w:eastAsia="Calibri" w:hAnsi="Arial" w:cs="Arial"/>
                <w:i/>
                <w:iCs/>
                <w:szCs w:val="22"/>
              </w:rPr>
              <w:t>arabica</w:t>
            </w:r>
            <w:r w:rsidR="001D5391">
              <w:rPr>
                <w:rFonts w:ascii="Arial" w:eastAsia="Calibri" w:hAnsi="Arial" w:cs="Arial"/>
                <w:i/>
                <w:iCs/>
                <w:szCs w:val="22"/>
              </w:rPr>
              <w:t xml:space="preserve"> </w:t>
            </w:r>
            <w:r w:rsidR="001D5391" w:rsidRPr="001D5391">
              <w:rPr>
                <w:rFonts w:ascii="Arial" w:eastAsia="Calibri" w:hAnsi="Arial" w:cs="Arial"/>
                <w:szCs w:val="22"/>
              </w:rPr>
              <w:t>SCG</w:t>
            </w:r>
            <w:r w:rsidR="00F77DFD">
              <w:rPr>
                <w:rFonts w:ascii="Arial" w:eastAsia="Calibri" w:hAnsi="Arial" w:cs="Arial"/>
                <w:i/>
                <w:iCs/>
                <w:szCs w:val="22"/>
              </w:rPr>
              <w:t>-</w:t>
            </w:r>
            <w:r w:rsidR="00F77DFD">
              <w:rPr>
                <w:rFonts w:ascii="Arial" w:eastAsia="Calibri" w:hAnsi="Arial" w:cs="Arial"/>
                <w:szCs w:val="22"/>
              </w:rPr>
              <w:t xml:space="preserve">loaded </w:t>
            </w:r>
            <w:r w:rsidR="004B5BE1">
              <w:rPr>
                <w:rFonts w:ascii="Arial" w:eastAsia="Calibri" w:hAnsi="Arial" w:cs="Arial"/>
                <w:szCs w:val="22"/>
              </w:rPr>
              <w:t>nanogel, its</w:t>
            </w:r>
            <w:r w:rsidR="00F302EC">
              <w:rPr>
                <w:rFonts w:ascii="Arial" w:eastAsia="Calibri" w:hAnsi="Arial" w:cs="Arial"/>
                <w:szCs w:val="22"/>
              </w:rPr>
              <w:t xml:space="preserve"> wound healing potential through</w:t>
            </w:r>
            <w:r w:rsidR="004B5BE1">
              <w:rPr>
                <w:rFonts w:ascii="Arial" w:eastAsia="Calibri" w:hAnsi="Arial" w:cs="Arial"/>
                <w:szCs w:val="22"/>
              </w:rPr>
              <w:t xml:space="preserve"> antibiotic activity </w:t>
            </w:r>
            <w:r w:rsidR="004B5BE1">
              <w:rPr>
                <w:rFonts w:ascii="Arial" w:eastAsia="Calibri" w:hAnsi="Arial" w:cs="Arial"/>
                <w:i/>
                <w:iCs/>
                <w:szCs w:val="22"/>
              </w:rPr>
              <w:t>in vitro</w:t>
            </w:r>
            <w:r w:rsidR="00F302EC">
              <w:rPr>
                <w:rFonts w:ascii="Arial" w:eastAsia="Calibri" w:hAnsi="Arial" w:cs="Arial"/>
                <w:i/>
                <w:iCs/>
                <w:szCs w:val="22"/>
              </w:rPr>
              <w:t>,</w:t>
            </w:r>
            <w:r w:rsidR="004B5BE1">
              <w:rPr>
                <w:rFonts w:ascii="Arial" w:eastAsia="Calibri" w:hAnsi="Arial" w:cs="Arial"/>
                <w:i/>
                <w:iCs/>
                <w:szCs w:val="22"/>
              </w:rPr>
              <w:t xml:space="preserve"> </w:t>
            </w:r>
            <w:r w:rsidR="004B5BE1">
              <w:rPr>
                <w:rFonts w:ascii="Arial" w:eastAsia="Calibri" w:hAnsi="Arial" w:cs="Arial"/>
                <w:szCs w:val="22"/>
              </w:rPr>
              <w:t xml:space="preserve">and </w:t>
            </w:r>
            <w:r w:rsidR="00F302EC">
              <w:rPr>
                <w:rFonts w:ascii="Arial" w:eastAsia="Calibri" w:hAnsi="Arial" w:cs="Arial"/>
                <w:szCs w:val="22"/>
              </w:rPr>
              <w:t>its</w:t>
            </w:r>
            <w:r w:rsidR="004B5BE1">
              <w:rPr>
                <w:rFonts w:ascii="Arial" w:eastAsia="Calibri" w:hAnsi="Arial" w:cs="Arial"/>
                <w:szCs w:val="22"/>
              </w:rPr>
              <w:t xml:space="preserve"> safety and stability through cytotoxicity and pH tests, respectively.</w:t>
            </w:r>
          </w:p>
          <w:p w14:paraId="50C76AB2" w14:textId="35C16273" w:rsidR="00933879"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525D2C">
              <w:rPr>
                <w:rFonts w:ascii="Arial" w:eastAsia="Calibri" w:hAnsi="Arial" w:cs="Arial"/>
                <w:szCs w:val="22"/>
              </w:rPr>
              <w:t xml:space="preserve">The study </w:t>
            </w:r>
            <w:r w:rsidR="00933879">
              <w:rPr>
                <w:rFonts w:ascii="Arial" w:eastAsia="Calibri" w:hAnsi="Arial" w:cs="Arial"/>
                <w:szCs w:val="22"/>
              </w:rPr>
              <w:t xml:space="preserve">is experimental in nature and </w:t>
            </w:r>
            <w:r w:rsidR="00525D2C">
              <w:rPr>
                <w:rFonts w:ascii="Arial" w:eastAsia="Calibri" w:hAnsi="Arial" w:cs="Arial"/>
                <w:szCs w:val="22"/>
              </w:rPr>
              <w:t>employed a R</w:t>
            </w:r>
            <w:r w:rsidR="007C29B2">
              <w:rPr>
                <w:rFonts w:ascii="Arial" w:eastAsia="Calibri" w:hAnsi="Arial" w:cs="Arial"/>
                <w:szCs w:val="22"/>
              </w:rPr>
              <w:t>esearch and Development (R&amp;D)</w:t>
            </w:r>
            <w:r w:rsidR="00525D2C">
              <w:rPr>
                <w:rFonts w:ascii="Arial" w:eastAsia="Calibri" w:hAnsi="Arial" w:cs="Arial"/>
                <w:szCs w:val="22"/>
              </w:rPr>
              <w:t xml:space="preserve"> </w:t>
            </w:r>
            <w:r w:rsidR="00933879">
              <w:rPr>
                <w:rFonts w:ascii="Arial" w:eastAsia="Calibri" w:hAnsi="Arial" w:cs="Arial"/>
                <w:szCs w:val="22"/>
              </w:rPr>
              <w:t>research design.</w:t>
            </w:r>
          </w:p>
          <w:p w14:paraId="394A7AD0" w14:textId="0181B715"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DD3BF6">
              <w:rPr>
                <w:rFonts w:ascii="Arial" w:eastAsia="Calibri" w:hAnsi="Arial" w:cs="Arial"/>
                <w:szCs w:val="22"/>
              </w:rPr>
              <w:t>San Isidro College</w:t>
            </w:r>
            <w:r w:rsidR="005B3BD0">
              <w:rPr>
                <w:rFonts w:ascii="Arial" w:eastAsia="Calibri" w:hAnsi="Arial" w:cs="Arial"/>
                <w:szCs w:val="22"/>
              </w:rPr>
              <w:t xml:space="preserve"> Wet Laboratory, Coffee Wagon, Central Mindanao University</w:t>
            </w:r>
            <w:r w:rsidR="00D65ABE">
              <w:rPr>
                <w:rFonts w:ascii="Arial" w:eastAsia="Calibri" w:hAnsi="Arial" w:cs="Arial"/>
                <w:szCs w:val="22"/>
              </w:rPr>
              <w:t xml:space="preserve">, </w:t>
            </w:r>
            <w:r w:rsidR="00A03A43">
              <w:rPr>
                <w:rFonts w:ascii="Arial" w:eastAsia="Calibri" w:hAnsi="Arial" w:cs="Arial"/>
                <w:szCs w:val="22"/>
              </w:rPr>
              <w:t xml:space="preserve">and </w:t>
            </w:r>
            <w:r w:rsidR="00A6760F">
              <w:rPr>
                <w:rFonts w:ascii="Arial" w:eastAsia="Calibri" w:hAnsi="Arial" w:cs="Arial"/>
                <w:szCs w:val="22"/>
              </w:rPr>
              <w:t>Mindanao State University, between February and March of 2025.</w:t>
            </w:r>
          </w:p>
          <w:p w14:paraId="79565CCB" w14:textId="605CD76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E2C8D">
              <w:rPr>
                <w:rFonts w:ascii="Arial" w:eastAsia="Calibri" w:hAnsi="Arial" w:cs="Arial"/>
                <w:szCs w:val="22"/>
              </w:rPr>
              <w:t>SCG extract was</w:t>
            </w:r>
            <w:r w:rsidR="00A03A43">
              <w:rPr>
                <w:rFonts w:ascii="Arial" w:eastAsia="Calibri" w:hAnsi="Arial" w:cs="Arial"/>
                <w:szCs w:val="22"/>
              </w:rPr>
              <w:t xml:space="preserve"> obtained </w:t>
            </w:r>
            <w:r w:rsidR="00D663FE">
              <w:rPr>
                <w:rFonts w:ascii="Arial" w:eastAsia="Calibri" w:hAnsi="Arial" w:cs="Arial"/>
                <w:szCs w:val="22"/>
              </w:rPr>
              <w:t>through the solvent extraction method and prepared for use. Chitosan-based nanogels were</w:t>
            </w:r>
            <w:r w:rsidR="00582873">
              <w:rPr>
                <w:rFonts w:ascii="Arial" w:eastAsia="Calibri" w:hAnsi="Arial" w:cs="Arial"/>
                <w:szCs w:val="22"/>
              </w:rPr>
              <w:t xml:space="preserve"> then formulated, utilizing the ionic gelation method. Subsequently, </w:t>
            </w:r>
            <w:r w:rsidR="002F38CB">
              <w:rPr>
                <w:rFonts w:ascii="Arial" w:eastAsia="Calibri" w:hAnsi="Arial" w:cs="Arial"/>
                <w:szCs w:val="22"/>
              </w:rPr>
              <w:t>the nanogels were characterized using Dynamic Light Scattering</w:t>
            </w:r>
            <w:r w:rsidR="007F3A3D">
              <w:rPr>
                <w:rFonts w:ascii="Arial" w:eastAsia="Calibri" w:hAnsi="Arial" w:cs="Arial"/>
                <w:szCs w:val="22"/>
              </w:rPr>
              <w:t xml:space="preserve"> for particle size</w:t>
            </w:r>
            <w:r w:rsidR="002F38CB">
              <w:rPr>
                <w:rFonts w:ascii="Arial" w:eastAsia="Calibri" w:hAnsi="Arial" w:cs="Arial"/>
                <w:szCs w:val="22"/>
              </w:rPr>
              <w:t xml:space="preserve"> and UV-Vis spectrophotometer for </w:t>
            </w:r>
            <w:r w:rsidR="007F3A3D">
              <w:rPr>
                <w:rFonts w:ascii="Arial" w:eastAsia="Calibri" w:hAnsi="Arial" w:cs="Arial"/>
                <w:szCs w:val="22"/>
              </w:rPr>
              <w:t xml:space="preserve">drug loading capacity and encapsulation efficiency. </w:t>
            </w:r>
            <w:r w:rsidR="00D769A4">
              <w:rPr>
                <w:rFonts w:ascii="Arial" w:eastAsia="Calibri" w:hAnsi="Arial" w:cs="Arial"/>
                <w:szCs w:val="22"/>
              </w:rPr>
              <w:t xml:space="preserve">Antibiotic activity was then measured </w:t>
            </w:r>
            <w:r w:rsidR="00105E16">
              <w:rPr>
                <w:rFonts w:ascii="Arial" w:eastAsia="Calibri" w:hAnsi="Arial" w:cs="Arial"/>
                <w:i/>
                <w:iCs/>
                <w:szCs w:val="22"/>
              </w:rPr>
              <w:t xml:space="preserve">in vitro </w:t>
            </w:r>
            <w:r w:rsidR="00D769A4">
              <w:rPr>
                <w:rFonts w:ascii="Arial" w:eastAsia="Calibri" w:hAnsi="Arial" w:cs="Arial"/>
                <w:szCs w:val="22"/>
              </w:rPr>
              <w:t>through the Kirby-Bauer Disk Diffusion Assay</w:t>
            </w:r>
            <w:r w:rsidR="005B3BD0">
              <w:rPr>
                <w:rFonts w:ascii="Arial" w:eastAsia="Calibri" w:hAnsi="Arial" w:cs="Arial"/>
                <w:szCs w:val="22"/>
              </w:rPr>
              <w:t xml:space="preserve"> for measurement of zone of inhibition</w:t>
            </w:r>
            <w:r w:rsidR="00105E16">
              <w:rPr>
                <w:rFonts w:ascii="Arial" w:eastAsia="Calibri" w:hAnsi="Arial" w:cs="Arial"/>
                <w:szCs w:val="22"/>
              </w:rPr>
              <w:t xml:space="preserve"> while cytotoxicity was measured using the Brine Shrimp Lethality Assay across</w:t>
            </w:r>
            <w:r w:rsidR="00FD5F56">
              <w:rPr>
                <w:rFonts w:ascii="Arial" w:eastAsia="Calibri" w:hAnsi="Arial" w:cs="Arial"/>
                <w:szCs w:val="22"/>
              </w:rPr>
              <w:t xml:space="preserve"> five (5) concentrations</w:t>
            </w:r>
            <w:r w:rsidR="005B3BD0">
              <w:rPr>
                <w:rFonts w:ascii="Arial" w:eastAsia="Calibri" w:hAnsi="Arial" w:cs="Arial"/>
                <w:szCs w:val="22"/>
              </w:rPr>
              <w:t xml:space="preserve"> for preliminary cytotoxicity effects</w:t>
            </w:r>
            <w:r w:rsidR="00FD5F56">
              <w:rPr>
                <w:rFonts w:ascii="Arial" w:eastAsia="Calibri" w:hAnsi="Arial" w:cs="Arial"/>
                <w:szCs w:val="22"/>
              </w:rPr>
              <w:t>, and pH testing was replicated four (4) times.</w:t>
            </w:r>
          </w:p>
          <w:p w14:paraId="0132D2C8" w14:textId="64ED8E5F" w:rsidR="00BA1B01" w:rsidRPr="00FD5F56"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FD5F56">
              <w:rPr>
                <w:rFonts w:ascii="Arial" w:eastAsia="Calibri" w:hAnsi="Arial" w:cs="Arial"/>
                <w:szCs w:val="22"/>
              </w:rPr>
              <w:t xml:space="preserve">The </w:t>
            </w:r>
            <w:r w:rsidR="00933879">
              <w:rPr>
                <w:rFonts w:ascii="Arial" w:eastAsia="Calibri" w:hAnsi="Arial" w:cs="Arial"/>
                <w:i/>
                <w:iCs/>
                <w:szCs w:val="22"/>
              </w:rPr>
              <w:t>C. arabica</w:t>
            </w:r>
            <w:r w:rsidR="00FD5F56">
              <w:rPr>
                <w:rFonts w:ascii="Arial" w:eastAsia="Calibri" w:hAnsi="Arial" w:cs="Arial"/>
                <w:i/>
                <w:iCs/>
                <w:szCs w:val="22"/>
              </w:rPr>
              <w:t xml:space="preserve"> </w:t>
            </w:r>
            <w:r w:rsidR="00FD5F56">
              <w:rPr>
                <w:rFonts w:ascii="Arial" w:eastAsia="Calibri" w:hAnsi="Arial" w:cs="Arial"/>
                <w:szCs w:val="22"/>
              </w:rPr>
              <w:t>SCG</w:t>
            </w:r>
            <w:r w:rsidR="00F302EC">
              <w:rPr>
                <w:rFonts w:ascii="Arial" w:eastAsia="Calibri" w:hAnsi="Arial" w:cs="Arial"/>
                <w:szCs w:val="22"/>
              </w:rPr>
              <w:t>-loaded nano</w:t>
            </w:r>
            <w:r w:rsidR="00FD5F56">
              <w:rPr>
                <w:rFonts w:ascii="Arial" w:eastAsia="Calibri" w:hAnsi="Arial" w:cs="Arial"/>
                <w:szCs w:val="22"/>
              </w:rPr>
              <w:t xml:space="preserve">gels </w:t>
            </w:r>
            <w:r w:rsidR="00E06BD0">
              <w:rPr>
                <w:rFonts w:ascii="Arial" w:eastAsia="Calibri" w:hAnsi="Arial" w:cs="Arial"/>
                <w:szCs w:val="22"/>
              </w:rPr>
              <w:t xml:space="preserve">obtained a particle size </w:t>
            </w:r>
            <w:r w:rsidR="00100952">
              <w:rPr>
                <w:rFonts w:ascii="Arial" w:eastAsia="Calibri" w:hAnsi="Arial" w:cs="Arial"/>
                <w:szCs w:val="22"/>
              </w:rPr>
              <w:t xml:space="preserve">ranging from 4470 nm to </w:t>
            </w:r>
            <w:r w:rsidR="000B37D9">
              <w:rPr>
                <w:rFonts w:ascii="Arial" w:eastAsia="Calibri" w:hAnsi="Arial" w:cs="Arial"/>
                <w:szCs w:val="22"/>
              </w:rPr>
              <w:t>62</w:t>
            </w:r>
            <w:r w:rsidR="005B3BD0">
              <w:rPr>
                <w:rFonts w:ascii="Arial" w:eastAsia="Calibri" w:hAnsi="Arial" w:cs="Arial"/>
                <w:szCs w:val="22"/>
              </w:rPr>
              <w:t>80 nm,</w:t>
            </w:r>
            <w:r w:rsidR="00C06B2F">
              <w:rPr>
                <w:rFonts w:ascii="Arial" w:eastAsia="Calibri" w:hAnsi="Arial" w:cs="Arial"/>
                <w:szCs w:val="22"/>
              </w:rPr>
              <w:t xml:space="preserve"> indic</w:t>
            </w:r>
            <w:r w:rsidR="005B3BD0">
              <w:rPr>
                <w:rFonts w:ascii="Arial" w:eastAsia="Calibri" w:hAnsi="Arial" w:cs="Arial"/>
                <w:szCs w:val="22"/>
              </w:rPr>
              <w:t>ating potential aggregation, and the particle PDI was reported at 0.01, suggesting uniformity of particles.</w:t>
            </w:r>
            <w:r w:rsidR="00C06B2F">
              <w:rPr>
                <w:rFonts w:ascii="Arial" w:eastAsia="Calibri" w:hAnsi="Arial" w:cs="Arial"/>
                <w:szCs w:val="22"/>
              </w:rPr>
              <w:t xml:space="preserve"> </w:t>
            </w:r>
            <w:r w:rsidR="0066602F">
              <w:rPr>
                <w:rFonts w:ascii="Arial" w:eastAsia="Calibri" w:hAnsi="Arial" w:cs="Arial"/>
                <w:szCs w:val="22"/>
              </w:rPr>
              <w:t xml:space="preserve">Meanwhile, the </w:t>
            </w:r>
            <w:proofErr w:type="spellStart"/>
            <w:r w:rsidR="0066602F">
              <w:rPr>
                <w:rFonts w:ascii="Arial" w:eastAsia="Calibri" w:hAnsi="Arial" w:cs="Arial"/>
                <w:szCs w:val="22"/>
              </w:rPr>
              <w:t>nanogel</w:t>
            </w:r>
            <w:proofErr w:type="spellEnd"/>
            <w:r w:rsidR="0066602F">
              <w:rPr>
                <w:rFonts w:ascii="Arial" w:eastAsia="Calibri" w:hAnsi="Arial" w:cs="Arial"/>
                <w:szCs w:val="22"/>
              </w:rPr>
              <w:t xml:space="preserve"> </w:t>
            </w:r>
            <w:r w:rsidR="00706D78">
              <w:rPr>
                <w:rFonts w:ascii="Arial" w:eastAsia="Calibri" w:hAnsi="Arial" w:cs="Arial"/>
                <w:szCs w:val="22"/>
              </w:rPr>
              <w:t xml:space="preserve">exhibited </w:t>
            </w:r>
            <w:r w:rsidR="00933879">
              <w:rPr>
                <w:rFonts w:ascii="Arial" w:eastAsia="Calibri" w:hAnsi="Arial" w:cs="Arial"/>
                <w:szCs w:val="22"/>
              </w:rPr>
              <w:t xml:space="preserve">a drug loading capacity of 4.76% and an </w:t>
            </w:r>
            <w:r w:rsidR="00706D78">
              <w:rPr>
                <w:rFonts w:ascii="Arial" w:eastAsia="Calibri" w:hAnsi="Arial" w:cs="Arial"/>
                <w:szCs w:val="22"/>
              </w:rPr>
              <w:t>encapsulation efficiency of 99.77%</w:t>
            </w:r>
            <w:r w:rsidR="00E01D9B">
              <w:rPr>
                <w:rFonts w:ascii="Arial" w:eastAsia="Calibri" w:hAnsi="Arial" w:cs="Arial"/>
                <w:szCs w:val="22"/>
              </w:rPr>
              <w:t xml:space="preserve">, </w:t>
            </w:r>
            <w:r w:rsidR="001057A8">
              <w:rPr>
                <w:rFonts w:ascii="Arial" w:eastAsia="Calibri" w:hAnsi="Arial" w:cs="Arial"/>
                <w:szCs w:val="22"/>
              </w:rPr>
              <w:t>attributed to having</w:t>
            </w:r>
            <w:r w:rsidR="00E01D9B">
              <w:rPr>
                <w:rFonts w:ascii="Arial" w:eastAsia="Calibri" w:hAnsi="Arial" w:cs="Arial"/>
                <w:szCs w:val="22"/>
              </w:rPr>
              <w:t xml:space="preserve"> lower mass ratios</w:t>
            </w:r>
            <w:r w:rsidR="001057A8">
              <w:rPr>
                <w:rFonts w:ascii="Arial" w:eastAsia="Calibri" w:hAnsi="Arial" w:cs="Arial"/>
                <w:szCs w:val="22"/>
              </w:rPr>
              <w:t>.</w:t>
            </w:r>
            <w:r w:rsidR="00706D78">
              <w:rPr>
                <w:rFonts w:ascii="Arial" w:eastAsia="Calibri" w:hAnsi="Arial" w:cs="Arial"/>
                <w:szCs w:val="22"/>
              </w:rPr>
              <w:t xml:space="preserve"> For the antibiotic testing, no zones of inhibition were forme</w:t>
            </w:r>
            <w:r w:rsidR="00FC7EFC">
              <w:rPr>
                <w:rFonts w:ascii="Arial" w:eastAsia="Calibri" w:hAnsi="Arial" w:cs="Arial"/>
                <w:szCs w:val="22"/>
              </w:rPr>
              <w:t>d. Furthermore, the nanogel was generally no</w:t>
            </w:r>
            <w:r w:rsidR="00197259">
              <w:rPr>
                <w:rFonts w:ascii="Arial" w:eastAsia="Calibri" w:hAnsi="Arial" w:cs="Arial"/>
                <w:szCs w:val="22"/>
              </w:rPr>
              <w:t>n-toxic and stable, with lethality of 11 out of 50 brine shrimp and a pH of 4.5, respectively.</w:t>
            </w:r>
          </w:p>
          <w:p w14:paraId="15CCFFE0" w14:textId="0ED63905" w:rsidR="00505F06" w:rsidRPr="00BA1B01" w:rsidRDefault="00BA1B01" w:rsidP="00EC56C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C56C4">
              <w:rPr>
                <w:rFonts w:ascii="Arial" w:eastAsia="Calibri" w:hAnsi="Arial" w:cs="Arial"/>
                <w:szCs w:val="22"/>
              </w:rPr>
              <w:t xml:space="preserve">The findings suggest that the antibiotic activity of the </w:t>
            </w:r>
            <w:proofErr w:type="spellStart"/>
            <w:r w:rsidR="00EC56C4">
              <w:rPr>
                <w:rFonts w:ascii="Arial" w:eastAsia="Calibri" w:hAnsi="Arial" w:cs="Arial"/>
                <w:szCs w:val="22"/>
              </w:rPr>
              <w:t>nanogel</w:t>
            </w:r>
            <w:proofErr w:type="spellEnd"/>
            <w:r w:rsidR="00EC56C4">
              <w:rPr>
                <w:rFonts w:ascii="Arial" w:eastAsia="Calibri" w:hAnsi="Arial" w:cs="Arial"/>
                <w:szCs w:val="22"/>
              </w:rPr>
              <w:t xml:space="preserve"> may be limited due to prolonged release kinetics in which the </w:t>
            </w:r>
            <w:r w:rsidR="00EC56C4">
              <w:rPr>
                <w:rFonts w:ascii="Arial" w:eastAsia="Calibri" w:hAnsi="Arial" w:cs="Arial"/>
                <w:i/>
                <w:szCs w:val="22"/>
              </w:rPr>
              <w:t xml:space="preserve">in vitro </w:t>
            </w:r>
            <w:r w:rsidR="00EC56C4">
              <w:rPr>
                <w:rFonts w:ascii="Arial" w:eastAsia="Calibri" w:hAnsi="Arial" w:cs="Arial"/>
                <w:szCs w:val="22"/>
              </w:rPr>
              <w:t xml:space="preserve">study could not contain. Future studies may explore improvement of formulation process as well as utilizing other activity testing such as </w:t>
            </w:r>
            <w:r w:rsidR="00EC56C4">
              <w:rPr>
                <w:rFonts w:ascii="Arial" w:eastAsia="Calibri" w:hAnsi="Arial" w:cs="Arial"/>
                <w:i/>
                <w:szCs w:val="22"/>
              </w:rPr>
              <w:t>in vivo</w:t>
            </w:r>
            <w:r w:rsidR="00EC56C4">
              <w:rPr>
                <w:rFonts w:ascii="Arial" w:eastAsia="Calibri" w:hAnsi="Arial" w:cs="Arial"/>
                <w:szCs w:val="22"/>
              </w:rPr>
              <w:t xml:space="preserve"> assays for a more definitive result. </w:t>
            </w:r>
          </w:p>
        </w:tc>
      </w:tr>
    </w:tbl>
    <w:p w14:paraId="1298B8DC" w14:textId="77777777" w:rsidR="00636EB2" w:rsidRDefault="00636EB2" w:rsidP="00441B6F">
      <w:pPr>
        <w:pStyle w:val="Body"/>
        <w:spacing w:after="0"/>
        <w:rPr>
          <w:rFonts w:ascii="Arial" w:hAnsi="Arial" w:cs="Arial"/>
          <w:i/>
        </w:rPr>
      </w:pPr>
    </w:p>
    <w:p w14:paraId="07F890BD" w14:textId="467AFC1C" w:rsidR="00A24E7E" w:rsidRPr="001D5391" w:rsidRDefault="00A24E7E" w:rsidP="00441B6F">
      <w:pPr>
        <w:pStyle w:val="Body"/>
        <w:spacing w:after="0"/>
        <w:rPr>
          <w:rFonts w:ascii="Arial" w:hAnsi="Arial" w:cs="Arial"/>
          <w:i/>
        </w:rPr>
      </w:pPr>
      <w:r>
        <w:rPr>
          <w:rFonts w:ascii="Arial" w:hAnsi="Arial" w:cs="Arial"/>
          <w:i/>
        </w:rPr>
        <w:t xml:space="preserve">Keywords: </w:t>
      </w:r>
      <w:r w:rsidR="003B59AF">
        <w:rPr>
          <w:rFonts w:ascii="Arial" w:hAnsi="Arial" w:cs="Arial"/>
          <w:i/>
        </w:rPr>
        <w:t xml:space="preserve">C. </w:t>
      </w:r>
      <w:proofErr w:type="spellStart"/>
      <w:r w:rsidR="003B59AF">
        <w:rPr>
          <w:rFonts w:ascii="Arial" w:hAnsi="Arial" w:cs="Arial"/>
          <w:i/>
        </w:rPr>
        <w:t>ar</w:t>
      </w:r>
      <w:r w:rsidR="001D5391">
        <w:rPr>
          <w:rFonts w:ascii="Arial" w:hAnsi="Arial" w:cs="Arial"/>
          <w:i/>
        </w:rPr>
        <w:t>abica</w:t>
      </w:r>
      <w:proofErr w:type="spellEnd"/>
      <w:r w:rsidR="001D5391">
        <w:rPr>
          <w:rFonts w:ascii="Arial" w:hAnsi="Arial" w:cs="Arial"/>
          <w:i/>
        </w:rPr>
        <w:t xml:space="preserve">, </w:t>
      </w:r>
      <w:r w:rsidR="00EC56C4">
        <w:rPr>
          <w:rFonts w:ascii="Arial" w:hAnsi="Arial" w:cs="Arial"/>
          <w:i/>
        </w:rPr>
        <w:t>chitosan</w:t>
      </w:r>
      <w:r w:rsidR="00BE6DA7">
        <w:rPr>
          <w:rFonts w:ascii="Arial" w:hAnsi="Arial" w:cs="Arial"/>
          <w:i/>
        </w:rPr>
        <w:t xml:space="preserve"> </w:t>
      </w:r>
      <w:proofErr w:type="spellStart"/>
      <w:r w:rsidR="001D5391">
        <w:rPr>
          <w:rFonts w:ascii="Arial" w:hAnsi="Arial" w:cs="Arial"/>
          <w:i/>
        </w:rPr>
        <w:t>nanogel</w:t>
      </w:r>
      <w:proofErr w:type="spellEnd"/>
      <w:r w:rsidR="001D5391">
        <w:rPr>
          <w:rFonts w:ascii="Arial" w:hAnsi="Arial" w:cs="Arial"/>
          <w:i/>
        </w:rPr>
        <w:t>, spent coffee grounds</w:t>
      </w:r>
      <w:r w:rsidR="00EC56C4">
        <w:rPr>
          <w:rFonts w:ascii="Arial" w:hAnsi="Arial" w:cs="Arial"/>
          <w:i/>
        </w:rPr>
        <w:t>, drug delivery system</w:t>
      </w:r>
    </w:p>
    <w:p w14:paraId="4505A67F" w14:textId="60836279" w:rsidR="0024282C" w:rsidRDefault="00B52896" w:rsidP="00441B6F">
      <w:pPr>
        <w:pStyle w:val="Body"/>
        <w:spacing w:after="0"/>
        <w:rPr>
          <w:rFonts w:ascii="Arial" w:hAnsi="Arial" w:cs="Arial"/>
          <w:i/>
          <w:sz w:val="18"/>
        </w:rPr>
      </w:pPr>
      <w:r w:rsidRPr="004539DB">
        <w:rPr>
          <w:rFonts w:ascii="Arial" w:hAnsi="Arial" w:cs="Arial"/>
          <w:i/>
          <w:sz w:val="18"/>
        </w:rPr>
        <w:t xml:space="preserve"> </w:t>
      </w:r>
    </w:p>
    <w:p w14:paraId="04D140B0" w14:textId="77777777" w:rsidR="00505F06" w:rsidRPr="00A24E7E" w:rsidRDefault="00505F06" w:rsidP="00441B6F">
      <w:pPr>
        <w:pStyle w:val="Body"/>
        <w:spacing w:after="0"/>
        <w:rPr>
          <w:rFonts w:ascii="Arial" w:hAnsi="Arial" w:cs="Arial"/>
          <w:i/>
        </w:rPr>
      </w:pPr>
    </w:p>
    <w:p w14:paraId="6AAB5EA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B5B07C8" w14:textId="77777777" w:rsidR="00790ADA" w:rsidRPr="00FB3A86" w:rsidRDefault="00790ADA" w:rsidP="00441B6F">
      <w:pPr>
        <w:pStyle w:val="AbstHead"/>
        <w:spacing w:after="0"/>
        <w:jc w:val="both"/>
        <w:rPr>
          <w:rFonts w:ascii="Arial" w:hAnsi="Arial" w:cs="Arial"/>
        </w:rPr>
      </w:pPr>
    </w:p>
    <w:p w14:paraId="7E4658B2" w14:textId="1A8B7CA2" w:rsidR="00E62D97" w:rsidRPr="00E62D97" w:rsidRDefault="00E62D97" w:rsidP="00525D2C">
      <w:pPr>
        <w:pStyle w:val="Body"/>
        <w:spacing w:after="0"/>
        <w:rPr>
          <w:rFonts w:ascii="Arial" w:hAnsi="Arial" w:cs="Arial"/>
        </w:rPr>
      </w:pPr>
      <w:r w:rsidRPr="00E62D97">
        <w:rPr>
          <w:rFonts w:ascii="Arial" w:hAnsi="Arial" w:cs="Arial"/>
        </w:rPr>
        <w:t xml:space="preserve">Nanotechnology has recently become relevant in the field of biochemistry and the field of medicine. In particular, the creation of nanogels, a type of hydrogel with molecules sized in the nanoscale, continues to be an emerging subject for research due to its efficient performance as a drug delivery system </w:t>
      </w:r>
      <w:r w:rsidR="00E56FD5">
        <w:rPr>
          <w:rFonts w:ascii="Arial" w:hAnsi="Arial" w:cs="Arial"/>
        </w:rPr>
        <w:t>(Neamtu et. al., 2017)</w:t>
      </w:r>
      <w:r w:rsidRPr="00E62D97">
        <w:rPr>
          <w:rFonts w:ascii="Arial" w:hAnsi="Arial" w:cs="Arial"/>
        </w:rPr>
        <w:t xml:space="preserve">. Subsequently, these cross-linked polymer networks hold promise in the field as it is highly versatile and can withstand physical stability conditions than the standard drugs and medications </w:t>
      </w:r>
      <w:r w:rsidR="00E56FD5">
        <w:rPr>
          <w:rFonts w:ascii="Arial" w:hAnsi="Arial" w:cs="Arial"/>
        </w:rPr>
        <w:t>(Sivaram et. al., 2015)</w:t>
      </w:r>
      <w:r w:rsidRPr="00E62D97">
        <w:rPr>
          <w:rFonts w:ascii="Arial" w:hAnsi="Arial" w:cs="Arial"/>
        </w:rPr>
        <w:t xml:space="preserve">. </w:t>
      </w:r>
    </w:p>
    <w:p w14:paraId="25F640D5" w14:textId="77777777" w:rsidR="00525D2C" w:rsidRDefault="00525D2C" w:rsidP="00525D2C">
      <w:pPr>
        <w:pStyle w:val="Body"/>
        <w:spacing w:after="0"/>
        <w:rPr>
          <w:rFonts w:ascii="Arial" w:hAnsi="Arial" w:cs="Arial"/>
        </w:rPr>
      </w:pPr>
    </w:p>
    <w:p w14:paraId="6BC5AB15" w14:textId="3B0AA37E" w:rsidR="00E62D97" w:rsidRDefault="00E62D97" w:rsidP="00525D2C">
      <w:pPr>
        <w:pStyle w:val="Body"/>
        <w:spacing w:after="0"/>
        <w:rPr>
          <w:rFonts w:ascii="Arial" w:hAnsi="Arial" w:cs="Arial"/>
        </w:rPr>
      </w:pPr>
      <w:r w:rsidRPr="00E62D97">
        <w:rPr>
          <w:rFonts w:ascii="Arial" w:hAnsi="Arial" w:cs="Arial"/>
        </w:rPr>
        <w:lastRenderedPageBreak/>
        <w:t xml:space="preserve">In addition, the Philippines is a high producer of coffee and coffee products and is a contributor to the agricultural sector </w:t>
      </w:r>
      <w:r w:rsidR="00E56FD5">
        <w:rPr>
          <w:rFonts w:ascii="Arial" w:hAnsi="Arial" w:cs="Arial"/>
        </w:rPr>
        <w:t>(Luat e. al., 2021)</w:t>
      </w:r>
      <w:r w:rsidRPr="00E62D97">
        <w:rPr>
          <w:rFonts w:ascii="Arial" w:hAnsi="Arial" w:cs="Arial"/>
        </w:rPr>
        <w:t xml:space="preserve">. Due to this, the byproduct derived from brewing and roasting coffee, or the spent coffee grounds (SCGs), becomes unutilized and eventually would become an environmental nuisance, untreated in landfills </w:t>
      </w:r>
      <w:r w:rsidR="00E56FD5">
        <w:rPr>
          <w:rFonts w:ascii="Arial" w:hAnsi="Arial" w:cs="Arial"/>
        </w:rPr>
        <w:t>(McNutt and He, 2019; Stylianou et. al., 2018)</w:t>
      </w:r>
      <w:r w:rsidRPr="00E62D97">
        <w:rPr>
          <w:rFonts w:ascii="Arial" w:hAnsi="Arial" w:cs="Arial"/>
        </w:rPr>
        <w:t xml:space="preserve">. Fortunately, SCGs provide a vast array of uses especially in the medical field, rich in bioactive compounds and is a hotspot for byproduct valorization </w:t>
      </w:r>
      <w:r w:rsidR="00E56FD5">
        <w:rPr>
          <w:rFonts w:ascii="Arial" w:hAnsi="Arial" w:cs="Arial"/>
        </w:rPr>
        <w:t>(</w:t>
      </w:r>
      <w:proofErr w:type="spellStart"/>
      <w:r w:rsidR="00E56FD5">
        <w:rPr>
          <w:rFonts w:ascii="Arial" w:hAnsi="Arial" w:cs="Arial"/>
        </w:rPr>
        <w:t>Kourmentza</w:t>
      </w:r>
      <w:proofErr w:type="spellEnd"/>
      <w:r w:rsidR="00E56FD5">
        <w:rPr>
          <w:rFonts w:ascii="Arial" w:hAnsi="Arial" w:cs="Arial"/>
        </w:rPr>
        <w:t xml:space="preserve"> et. al., 2018).</w:t>
      </w:r>
      <w:r w:rsidRPr="00E62D97">
        <w:rPr>
          <w:rFonts w:ascii="Arial" w:hAnsi="Arial" w:cs="Arial"/>
        </w:rPr>
        <w:t xml:space="preserve"> Meanwhile, chitosan, though an antimicrobial and is a cost-effective and biocompatible polymer, is poorly utilized in the context of wound healing nanogels due to its low solubility </w:t>
      </w:r>
      <w:r w:rsidR="00E56FD5">
        <w:rPr>
          <w:rFonts w:ascii="Arial" w:hAnsi="Arial" w:cs="Arial"/>
        </w:rPr>
        <w:t>(Basak et. al., 2024)</w:t>
      </w:r>
      <w:r w:rsidRPr="00E62D97">
        <w:rPr>
          <w:rFonts w:ascii="Arial" w:hAnsi="Arial" w:cs="Arial"/>
        </w:rPr>
        <w:t>. In connection, with its versatility, its efficiency as an antibiotic nanogel is subject to exploration, contributing to the emerging research on the utilization of byproducts and naturally-derived resources in the realm of nanotechnology and the significance it would hold in medicine.</w:t>
      </w:r>
    </w:p>
    <w:p w14:paraId="44099F47" w14:textId="77777777" w:rsidR="00525D2C" w:rsidRPr="00E62D97" w:rsidRDefault="00525D2C" w:rsidP="00525D2C">
      <w:pPr>
        <w:pStyle w:val="Body"/>
        <w:spacing w:after="0"/>
        <w:rPr>
          <w:rFonts w:ascii="Arial" w:hAnsi="Arial" w:cs="Arial"/>
        </w:rPr>
      </w:pPr>
    </w:p>
    <w:p w14:paraId="19413F97" w14:textId="23CCF1F1" w:rsidR="00E62D97" w:rsidRPr="00E62D97" w:rsidRDefault="00E62D97" w:rsidP="00525D2C">
      <w:pPr>
        <w:pStyle w:val="Body"/>
        <w:spacing w:after="0"/>
        <w:rPr>
          <w:rFonts w:ascii="Arial" w:hAnsi="Arial" w:cs="Arial"/>
        </w:rPr>
      </w:pPr>
      <w:r w:rsidRPr="00E62D97">
        <w:rPr>
          <w:rFonts w:ascii="Arial" w:hAnsi="Arial" w:cs="Arial"/>
        </w:rPr>
        <w:t xml:space="preserve">The importance of nanotechnology and nanogels in particular is that they are finely tuned and provide minimal side effects brought by the usual drugs and medication through serving as a vehicle and eliminating their accompanying adversities </w:t>
      </w:r>
      <w:r w:rsidR="00E56FD5">
        <w:rPr>
          <w:rFonts w:ascii="Arial" w:hAnsi="Arial" w:cs="Arial"/>
        </w:rPr>
        <w:t>(</w:t>
      </w:r>
      <w:proofErr w:type="spellStart"/>
      <w:r w:rsidR="00E56FD5">
        <w:rPr>
          <w:rFonts w:ascii="Arial" w:hAnsi="Arial" w:cs="Arial"/>
        </w:rPr>
        <w:t>Attama</w:t>
      </w:r>
      <w:proofErr w:type="spellEnd"/>
      <w:r w:rsidR="00E56FD5">
        <w:rPr>
          <w:rFonts w:ascii="Arial" w:hAnsi="Arial" w:cs="Arial"/>
        </w:rPr>
        <w:t xml:space="preserve"> et. al., 2022)</w:t>
      </w:r>
      <w:r w:rsidRPr="00E62D97">
        <w:rPr>
          <w:rFonts w:ascii="Arial" w:hAnsi="Arial" w:cs="Arial"/>
        </w:rPr>
        <w:t xml:space="preserve">. It has a trait of being able to adapt to its desired application, holding characteristics that make its molecule carrier system and its drug delivery highly efficient </w:t>
      </w:r>
      <w:r w:rsidR="00E56FD5">
        <w:rPr>
          <w:rFonts w:ascii="Arial" w:hAnsi="Arial" w:cs="Arial"/>
        </w:rPr>
        <w:t>(Soni et. al. 2016)</w:t>
      </w:r>
      <w:r w:rsidRPr="00E62D97">
        <w:rPr>
          <w:rFonts w:ascii="Arial" w:hAnsi="Arial" w:cs="Arial"/>
        </w:rPr>
        <w:t xml:space="preserve">. Additionally, it amplifies the therapeutic potential of phytopharmaceuticals and bioactive compounds such as plant extracts and other natural medicine resources through delivery enhancement, which is also an emerging study </w:t>
      </w:r>
      <w:r w:rsidR="00E56FD5">
        <w:rPr>
          <w:rFonts w:ascii="Arial" w:hAnsi="Arial" w:cs="Arial"/>
        </w:rPr>
        <w:t>(Taha et. al., 2022)</w:t>
      </w:r>
      <w:r w:rsidRPr="00E62D97">
        <w:rPr>
          <w:rFonts w:ascii="Arial" w:hAnsi="Arial" w:cs="Arial"/>
        </w:rPr>
        <w:t xml:space="preserve">. Therefore, it is a promising candidate for effective treatments such as eliminating microbial drug resistance much effectively than free antibiotics </w:t>
      </w:r>
      <w:r w:rsidR="00E56FD5">
        <w:rPr>
          <w:rFonts w:ascii="Arial" w:hAnsi="Arial" w:cs="Arial"/>
        </w:rPr>
        <w:t>(Mohammed et. al., 2018).</w:t>
      </w:r>
    </w:p>
    <w:p w14:paraId="59CC6DEC" w14:textId="77777777" w:rsidR="00525D2C" w:rsidRDefault="00525D2C" w:rsidP="00525D2C">
      <w:pPr>
        <w:pStyle w:val="Body"/>
        <w:spacing w:after="0"/>
        <w:rPr>
          <w:rFonts w:ascii="Arial" w:hAnsi="Arial" w:cs="Arial"/>
        </w:rPr>
      </w:pPr>
    </w:p>
    <w:p w14:paraId="77313A2D" w14:textId="0D15380A" w:rsidR="00E62D97" w:rsidRPr="00E62D97" w:rsidRDefault="00E62D97" w:rsidP="00525D2C">
      <w:pPr>
        <w:pStyle w:val="Body"/>
        <w:spacing w:after="0"/>
        <w:rPr>
          <w:rFonts w:ascii="Arial" w:hAnsi="Arial" w:cs="Arial"/>
        </w:rPr>
      </w:pPr>
      <w:r w:rsidRPr="00E62D97">
        <w:rPr>
          <w:rFonts w:ascii="Arial" w:hAnsi="Arial" w:cs="Arial"/>
        </w:rPr>
        <w:t xml:space="preserve">Being highly regarded as an efficient drug delivery system and molecular carrier, nanogels as an antibiotic treatment have been in practice as well. A study stated that antibiotic nanogels were able to address the issues of antibiotic resistance through enhancing the delivery of such antibiotics and antimicrobials, therefore bringing significant impact to how the prospects are in the medical field in general </w:t>
      </w:r>
      <w:r w:rsidR="00E56FD5">
        <w:rPr>
          <w:rFonts w:ascii="Arial" w:hAnsi="Arial" w:cs="Arial"/>
        </w:rPr>
        <w:t>(</w:t>
      </w:r>
      <w:proofErr w:type="spellStart"/>
      <w:r w:rsidR="00E56FD5">
        <w:rPr>
          <w:rFonts w:ascii="Arial" w:hAnsi="Arial" w:cs="Arial"/>
        </w:rPr>
        <w:t>Weldrick</w:t>
      </w:r>
      <w:proofErr w:type="spellEnd"/>
      <w:r w:rsidR="00E56FD5">
        <w:rPr>
          <w:rFonts w:ascii="Arial" w:hAnsi="Arial" w:cs="Arial"/>
        </w:rPr>
        <w:t xml:space="preserve"> et. al. 2019; Keskin et. al., 2021)</w:t>
      </w:r>
      <w:r w:rsidRPr="00E62D97">
        <w:rPr>
          <w:rFonts w:ascii="Arial" w:hAnsi="Arial" w:cs="Arial"/>
        </w:rPr>
        <w:t xml:space="preserve">. Antibiotic nanogels also wield anti-cytotoxicity and exhibits as an alternative to the common antimicrobial formulations as a response to these medications become lesser effective due to resistance and offering a potentially novel approach </w:t>
      </w:r>
      <w:r w:rsidR="00E56FD5">
        <w:rPr>
          <w:rFonts w:ascii="Arial" w:hAnsi="Arial" w:cs="Arial"/>
        </w:rPr>
        <w:t>(</w:t>
      </w:r>
      <w:proofErr w:type="spellStart"/>
      <w:r w:rsidR="00E56FD5">
        <w:rPr>
          <w:rFonts w:ascii="Arial" w:hAnsi="Arial" w:cs="Arial"/>
        </w:rPr>
        <w:t>Amasya</w:t>
      </w:r>
      <w:proofErr w:type="spellEnd"/>
      <w:r w:rsidR="00E56FD5">
        <w:rPr>
          <w:rFonts w:ascii="Arial" w:hAnsi="Arial" w:cs="Arial"/>
        </w:rPr>
        <w:t xml:space="preserve"> et. al. 2024; Chung et. al., 2023)</w:t>
      </w:r>
      <w:r w:rsidRPr="00E62D97">
        <w:rPr>
          <w:rFonts w:ascii="Arial" w:hAnsi="Arial" w:cs="Arial"/>
        </w:rPr>
        <w:t xml:space="preserve">. On a more specific prospect, the study of Tripathi et. al. (2024) stated that nanogels are efficient in wound care and wound healing, leaning on a more sustainable and patient-centric method. Furthermore, favorable reception and the developed composition of nanogels can be subject to a wide examination against pathogenic </w:t>
      </w:r>
      <w:r w:rsidR="00E56FD5">
        <w:rPr>
          <w:rFonts w:ascii="Arial" w:hAnsi="Arial" w:cs="Arial"/>
        </w:rPr>
        <w:t>(Abdollahi et. al., 2024)</w:t>
      </w:r>
      <w:r w:rsidRPr="00E62D97">
        <w:rPr>
          <w:rFonts w:ascii="Arial" w:hAnsi="Arial" w:cs="Arial"/>
        </w:rPr>
        <w:t>.</w:t>
      </w:r>
    </w:p>
    <w:p w14:paraId="5D900660" w14:textId="77777777" w:rsidR="00525D2C" w:rsidRDefault="00525D2C" w:rsidP="00525D2C">
      <w:pPr>
        <w:pStyle w:val="Body"/>
        <w:spacing w:after="0"/>
        <w:rPr>
          <w:rFonts w:ascii="Arial" w:hAnsi="Arial" w:cs="Arial"/>
        </w:rPr>
      </w:pPr>
    </w:p>
    <w:p w14:paraId="3691C4A3" w14:textId="4855D88B" w:rsidR="00790ADA" w:rsidRDefault="00525D2C" w:rsidP="00525D2C">
      <w:pPr>
        <w:pStyle w:val="Body"/>
        <w:spacing w:after="0"/>
        <w:rPr>
          <w:rFonts w:ascii="Arial" w:hAnsi="Arial" w:cs="Arial"/>
        </w:rPr>
      </w:pPr>
      <w:r>
        <w:rPr>
          <w:rFonts w:ascii="Arial" w:hAnsi="Arial" w:cs="Arial"/>
        </w:rPr>
        <w:t>T</w:t>
      </w:r>
      <w:r w:rsidR="00E62D97" w:rsidRPr="00E62D97">
        <w:rPr>
          <w:rFonts w:ascii="Arial" w:hAnsi="Arial" w:cs="Arial"/>
        </w:rPr>
        <w:t>his study aim</w:t>
      </w:r>
      <w:r w:rsidR="00DE4FB4">
        <w:rPr>
          <w:rFonts w:ascii="Arial" w:hAnsi="Arial" w:cs="Arial"/>
        </w:rPr>
        <w:t>ed</w:t>
      </w:r>
      <w:r w:rsidR="00E62D97" w:rsidRPr="00E62D97">
        <w:rPr>
          <w:rFonts w:ascii="Arial" w:hAnsi="Arial" w:cs="Arial"/>
        </w:rPr>
        <w:t xml:space="preserve"> to create a nanosized drug delivery system for naturally-derived antibiotics in the form of a chitosan-based nanogel, loaded with spent coffee grounds (SCGs) as the primary active ingredient, as well as a preliminary </w:t>
      </w:r>
      <w:r>
        <w:rPr>
          <w:rFonts w:ascii="Arial" w:hAnsi="Arial" w:cs="Arial"/>
        </w:rPr>
        <w:t>physicochemical assessment</w:t>
      </w:r>
      <w:r w:rsidR="00E62D97" w:rsidRPr="00E62D97">
        <w:rPr>
          <w:rFonts w:ascii="Arial" w:hAnsi="Arial" w:cs="Arial"/>
        </w:rPr>
        <w:t xml:space="preserve"> of the nanogels</w:t>
      </w:r>
      <w:r w:rsidR="00DE4FB4">
        <w:rPr>
          <w:rFonts w:ascii="Arial" w:hAnsi="Arial" w:cs="Arial"/>
        </w:rPr>
        <w:t xml:space="preserve"> and focused</w:t>
      </w:r>
      <w:r w:rsidR="00E62D97" w:rsidRPr="00E62D97">
        <w:rPr>
          <w:rFonts w:ascii="Arial" w:hAnsi="Arial" w:cs="Arial"/>
        </w:rPr>
        <w:t xml:space="preserve"> on its particle size and size distribution, drug loading capacity, and encapsulation efficiency (EE). To examine its antibiotic potential, SCG extract w</w:t>
      </w:r>
      <w:r w:rsidR="00DE4FB4">
        <w:rPr>
          <w:rFonts w:ascii="Arial" w:hAnsi="Arial" w:cs="Arial"/>
        </w:rPr>
        <w:t>as</w:t>
      </w:r>
      <w:r w:rsidR="00E62D97" w:rsidRPr="00E62D97">
        <w:rPr>
          <w:rFonts w:ascii="Arial" w:hAnsi="Arial" w:cs="Arial"/>
        </w:rPr>
        <w:t xml:space="preserve"> subject to </w:t>
      </w:r>
      <w:r w:rsidR="00E62D97" w:rsidRPr="00DE4FB4">
        <w:rPr>
          <w:rFonts w:ascii="Arial" w:hAnsi="Arial" w:cs="Arial"/>
          <w:i/>
          <w:iCs/>
        </w:rPr>
        <w:t>in vitro</w:t>
      </w:r>
      <w:r w:rsidR="00E62D97" w:rsidRPr="00E62D97">
        <w:rPr>
          <w:rFonts w:ascii="Arial" w:hAnsi="Arial" w:cs="Arial"/>
        </w:rPr>
        <w:t xml:space="preserve"> antimicrobial activity against the common bacteria strains </w:t>
      </w:r>
      <w:r w:rsidR="00E62D97" w:rsidRPr="00DE4FB4">
        <w:rPr>
          <w:rFonts w:ascii="Arial" w:hAnsi="Arial" w:cs="Arial"/>
          <w:i/>
          <w:iCs/>
        </w:rPr>
        <w:t>Staphylococcus aureus</w:t>
      </w:r>
      <w:r w:rsidR="00E62D97" w:rsidRPr="00E62D97">
        <w:rPr>
          <w:rFonts w:ascii="Arial" w:hAnsi="Arial" w:cs="Arial"/>
        </w:rPr>
        <w:t xml:space="preserve"> and </w:t>
      </w:r>
      <w:r w:rsidR="00E62D97" w:rsidRPr="00DE4FB4">
        <w:rPr>
          <w:rFonts w:ascii="Arial" w:hAnsi="Arial" w:cs="Arial"/>
          <w:i/>
          <w:iCs/>
        </w:rPr>
        <w:t>Escherichia coli</w:t>
      </w:r>
      <w:r w:rsidR="00E62D97" w:rsidRPr="00E62D97">
        <w:rPr>
          <w:rFonts w:ascii="Arial" w:hAnsi="Arial" w:cs="Arial"/>
        </w:rPr>
        <w:t xml:space="preserve"> in comparison to </w:t>
      </w:r>
      <w:r w:rsidR="00DE4FB4">
        <w:rPr>
          <w:rFonts w:ascii="Arial" w:hAnsi="Arial" w:cs="Arial"/>
        </w:rPr>
        <w:t>the positive controls.</w:t>
      </w:r>
      <w:r w:rsidR="00E62D97" w:rsidRPr="00E62D97">
        <w:rPr>
          <w:rFonts w:ascii="Arial" w:hAnsi="Arial" w:cs="Arial"/>
        </w:rPr>
        <w:t xml:space="preserve"> The </w:t>
      </w:r>
      <w:r w:rsidR="00E62D97" w:rsidRPr="00DE4FB4">
        <w:rPr>
          <w:rFonts w:ascii="Arial" w:hAnsi="Arial" w:cs="Arial"/>
          <w:i/>
          <w:iCs/>
        </w:rPr>
        <w:t>in vitro</w:t>
      </w:r>
      <w:r w:rsidR="00E62D97" w:rsidRPr="00E62D97">
        <w:rPr>
          <w:rFonts w:ascii="Arial" w:hAnsi="Arial" w:cs="Arial"/>
        </w:rPr>
        <w:t xml:space="preserve"> evaluation will </w:t>
      </w:r>
      <w:r w:rsidR="00DE4FB4">
        <w:rPr>
          <w:rFonts w:ascii="Arial" w:hAnsi="Arial" w:cs="Arial"/>
        </w:rPr>
        <w:t>utiliz</w:t>
      </w:r>
      <w:r w:rsidR="00E62D97" w:rsidRPr="00E62D97">
        <w:rPr>
          <w:rFonts w:ascii="Arial" w:hAnsi="Arial" w:cs="Arial"/>
        </w:rPr>
        <w:t>e the Kirby-Bauer disk diffusion assay. Furthermore, the</w:t>
      </w:r>
      <w:r w:rsidR="00DE4FB4">
        <w:rPr>
          <w:rFonts w:ascii="Arial" w:hAnsi="Arial" w:cs="Arial"/>
        </w:rPr>
        <w:t>ir</w:t>
      </w:r>
      <w:r w:rsidR="00E62D97" w:rsidRPr="00E62D97">
        <w:rPr>
          <w:rFonts w:ascii="Arial" w:hAnsi="Arial" w:cs="Arial"/>
        </w:rPr>
        <w:t xml:space="preserve"> zone of inhibition </w:t>
      </w:r>
      <w:r w:rsidR="00DE4FB4">
        <w:rPr>
          <w:rFonts w:ascii="Arial" w:hAnsi="Arial" w:cs="Arial"/>
        </w:rPr>
        <w:t>was compared</w:t>
      </w:r>
      <w:r w:rsidR="00E62D97" w:rsidRPr="00E62D97">
        <w:rPr>
          <w:rFonts w:ascii="Arial" w:hAnsi="Arial" w:cs="Arial"/>
        </w:rPr>
        <w:t xml:space="preserve"> to determine if the formulated nanogels performed more efficiently. Additionally, </w:t>
      </w:r>
      <w:r w:rsidR="00C816EE">
        <w:rPr>
          <w:rFonts w:ascii="Arial" w:hAnsi="Arial" w:cs="Arial"/>
        </w:rPr>
        <w:t>a safety and stability test was conducted to ensure the nanogels' suitability</w:t>
      </w:r>
      <w:r w:rsidR="00E62D97" w:rsidRPr="00E62D97">
        <w:rPr>
          <w:rFonts w:ascii="Arial" w:hAnsi="Arial" w:cs="Arial"/>
        </w:rPr>
        <w:t xml:space="preserve"> for potential commercialization.</w:t>
      </w:r>
    </w:p>
    <w:p w14:paraId="11317776" w14:textId="77777777" w:rsidR="000F2057" w:rsidRPr="00FB3A86" w:rsidRDefault="000F2057" w:rsidP="00E62D97">
      <w:pPr>
        <w:pStyle w:val="Body"/>
        <w:spacing w:after="0"/>
        <w:ind w:firstLine="720"/>
        <w:rPr>
          <w:rFonts w:ascii="Arial" w:hAnsi="Arial" w:cs="Arial"/>
        </w:rPr>
      </w:pPr>
    </w:p>
    <w:p w14:paraId="31C09FF7" w14:textId="77777777" w:rsidR="007F7B32" w:rsidRDefault="00902823" w:rsidP="00441B6F">
      <w:pPr>
        <w:pStyle w:val="AbstHead"/>
        <w:spacing w:after="0"/>
        <w:jc w:val="both"/>
        <w:rPr>
          <w:rFonts w:ascii="Arial" w:hAnsi="Arial" w:cs="Arial"/>
        </w:rPr>
      </w:pPr>
      <w:r>
        <w:rPr>
          <w:rFonts w:ascii="Arial" w:hAnsi="Arial" w:cs="Arial"/>
        </w:rPr>
        <w:t xml:space="preserve">2. </w:t>
      </w:r>
      <w:r w:rsidR="00781389">
        <w:rPr>
          <w:rFonts w:ascii="Arial" w:hAnsi="Arial" w:cs="Arial"/>
        </w:rPr>
        <w:t>METHODOLOGY</w:t>
      </w:r>
    </w:p>
    <w:p w14:paraId="45C5A61D" w14:textId="77777777" w:rsidR="00790ADA" w:rsidRPr="00FB3A86" w:rsidRDefault="00790ADA" w:rsidP="00441B6F">
      <w:pPr>
        <w:pStyle w:val="Body"/>
        <w:spacing w:after="0"/>
        <w:rPr>
          <w:rFonts w:ascii="Arial" w:hAnsi="Arial" w:cs="Arial"/>
        </w:rPr>
      </w:pPr>
    </w:p>
    <w:p w14:paraId="4A828924" w14:textId="77777777" w:rsidR="00AA74E0" w:rsidRDefault="00AA74E0" w:rsidP="00441B6F">
      <w:pPr>
        <w:pStyle w:val="Body"/>
        <w:spacing w:after="0"/>
        <w:rPr>
          <w:rFonts w:ascii="Arial" w:hAnsi="Arial" w:cs="Arial"/>
          <w:b/>
          <w:sz w:val="22"/>
        </w:rPr>
      </w:pPr>
      <w:r w:rsidRPr="00C30A0F">
        <w:rPr>
          <w:rFonts w:ascii="Arial" w:hAnsi="Arial" w:cs="Arial"/>
          <w:b/>
          <w:caps/>
          <w:sz w:val="22"/>
        </w:rPr>
        <w:t xml:space="preserve">2.1 </w:t>
      </w:r>
      <w:r w:rsidR="00E80FE5">
        <w:rPr>
          <w:rFonts w:ascii="Arial" w:hAnsi="Arial" w:cs="Arial"/>
          <w:b/>
          <w:sz w:val="22"/>
        </w:rPr>
        <w:t>Research Design</w:t>
      </w:r>
    </w:p>
    <w:p w14:paraId="2720C714" w14:textId="77777777" w:rsidR="00F302EC" w:rsidRDefault="00F302EC" w:rsidP="00441B6F">
      <w:pPr>
        <w:pStyle w:val="Body"/>
        <w:spacing w:after="0"/>
        <w:rPr>
          <w:rFonts w:ascii="Arial" w:hAnsi="Arial" w:cs="Arial"/>
          <w:b/>
          <w:sz w:val="22"/>
        </w:rPr>
      </w:pPr>
    </w:p>
    <w:p w14:paraId="3CE09D75" w14:textId="0EB8C25C" w:rsidR="00341165" w:rsidRDefault="005B6539" w:rsidP="00F302EC">
      <w:pPr>
        <w:pStyle w:val="Body"/>
        <w:spacing w:after="0"/>
        <w:rPr>
          <w:rFonts w:ascii="Arial" w:hAnsi="Arial" w:cs="Arial"/>
        </w:rPr>
      </w:pPr>
      <w:r w:rsidRPr="005B6539">
        <w:rPr>
          <w:rFonts w:ascii="Arial" w:hAnsi="Arial" w:cs="Arial"/>
        </w:rPr>
        <w:lastRenderedPageBreak/>
        <w:t xml:space="preserve">This study utilized a </w:t>
      </w:r>
      <w:r w:rsidR="00C816EE">
        <w:rPr>
          <w:rFonts w:ascii="Arial" w:hAnsi="Arial" w:cs="Arial"/>
        </w:rPr>
        <w:t xml:space="preserve">research and development (R&amp;D) research design, which involved the creation of products for innovation and was </w:t>
      </w:r>
      <w:r w:rsidRPr="005B6539">
        <w:rPr>
          <w:rFonts w:ascii="Arial" w:hAnsi="Arial" w:cs="Arial"/>
        </w:rPr>
        <w:t>subject to trials and numerous developments</w:t>
      </w:r>
      <w:r w:rsidR="00E56FD5">
        <w:rPr>
          <w:rFonts w:ascii="Arial" w:hAnsi="Arial" w:cs="Arial"/>
        </w:rPr>
        <w:t>,</w:t>
      </w:r>
      <w:r w:rsidRPr="005B6539">
        <w:rPr>
          <w:rFonts w:ascii="Arial" w:hAnsi="Arial" w:cs="Arial"/>
        </w:rPr>
        <w:t xml:space="preserve"> followed by an experimental approach</w:t>
      </w:r>
      <w:r w:rsidR="00E56FD5">
        <w:rPr>
          <w:rFonts w:ascii="Arial" w:hAnsi="Arial" w:cs="Arial"/>
        </w:rPr>
        <w:t>.</w:t>
      </w:r>
      <w:r w:rsidRPr="005B6539">
        <w:rPr>
          <w:rFonts w:ascii="Arial" w:hAnsi="Arial" w:cs="Arial"/>
        </w:rPr>
        <w:t xml:space="preserve"> </w:t>
      </w:r>
      <w:r w:rsidR="00E56FD5">
        <w:rPr>
          <w:rFonts w:ascii="Arial" w:hAnsi="Arial" w:cs="Arial"/>
        </w:rPr>
        <w:t>The study involved</w:t>
      </w:r>
      <w:r w:rsidRPr="005B6539">
        <w:rPr>
          <w:rFonts w:ascii="Arial" w:hAnsi="Arial" w:cs="Arial"/>
        </w:rPr>
        <w:t xml:space="preserve"> a series of analytical testing through determining the presence of bioactive compounds in the SCG extract; quantification of nanogel particle size and size distribution, drug loading capacity, and encapsulation efficiency; and the antibiotic capability of the formulated SCG-loaded nanogels in comparison to </w:t>
      </w:r>
      <w:r w:rsidR="00E56FD5">
        <w:rPr>
          <w:rFonts w:ascii="Arial" w:hAnsi="Arial" w:cs="Arial"/>
        </w:rPr>
        <w:t>the positive controls</w:t>
      </w:r>
      <w:r w:rsidRPr="005B6539">
        <w:rPr>
          <w:rFonts w:ascii="Arial" w:hAnsi="Arial" w:cs="Arial"/>
        </w:rPr>
        <w:t>.</w:t>
      </w:r>
    </w:p>
    <w:p w14:paraId="10056534" w14:textId="77777777" w:rsidR="00505F06" w:rsidRDefault="00505F06" w:rsidP="00441B6F">
      <w:pPr>
        <w:pStyle w:val="Body"/>
        <w:spacing w:after="0"/>
        <w:rPr>
          <w:rFonts w:ascii="Arial" w:hAnsi="Arial" w:cs="Arial"/>
        </w:rPr>
      </w:pPr>
    </w:p>
    <w:p w14:paraId="3A082B3F" w14:textId="77777777" w:rsidR="000125A5" w:rsidRDefault="00DD1C8C" w:rsidP="00441B6F">
      <w:pPr>
        <w:pStyle w:val="Body"/>
        <w:spacing w:after="0"/>
        <w:rPr>
          <w:rFonts w:ascii="Arial" w:hAnsi="Arial" w:cs="Arial"/>
          <w:b/>
          <w:bCs/>
          <w:sz w:val="22"/>
          <w:szCs w:val="22"/>
        </w:rPr>
      </w:pPr>
      <w:r>
        <w:rPr>
          <w:rFonts w:ascii="Arial" w:hAnsi="Arial" w:cs="Arial"/>
          <w:b/>
          <w:bCs/>
          <w:sz w:val="22"/>
          <w:szCs w:val="22"/>
        </w:rPr>
        <w:t xml:space="preserve">2.2 </w:t>
      </w:r>
      <w:r w:rsidR="009A566A">
        <w:rPr>
          <w:rFonts w:ascii="Arial" w:hAnsi="Arial" w:cs="Arial"/>
          <w:b/>
          <w:bCs/>
          <w:sz w:val="22"/>
          <w:szCs w:val="22"/>
        </w:rPr>
        <w:t>Entry Protocol</w:t>
      </w:r>
    </w:p>
    <w:p w14:paraId="0A649D01" w14:textId="77777777" w:rsidR="00F302EC" w:rsidRDefault="00F302EC" w:rsidP="00441B6F">
      <w:pPr>
        <w:pStyle w:val="Body"/>
        <w:spacing w:after="0"/>
        <w:rPr>
          <w:rFonts w:ascii="Arial" w:hAnsi="Arial" w:cs="Arial"/>
          <w:b/>
          <w:bCs/>
          <w:sz w:val="22"/>
          <w:szCs w:val="22"/>
        </w:rPr>
      </w:pPr>
    </w:p>
    <w:p w14:paraId="1BA7570C" w14:textId="32D0A567" w:rsidR="009A566A" w:rsidRDefault="002B7ADE" w:rsidP="00525D2C">
      <w:pPr>
        <w:jc w:val="both"/>
        <w:rPr>
          <w:rFonts w:ascii="Arial" w:hAnsi="Arial" w:cs="Arial"/>
        </w:rPr>
      </w:pPr>
      <w:r w:rsidRPr="0092030F">
        <w:rPr>
          <w:rFonts w:ascii="Arial" w:hAnsi="Arial" w:cs="Arial"/>
        </w:rPr>
        <w:t xml:space="preserve">The researchers implemented multiple measures </w:t>
      </w:r>
      <w:r w:rsidR="00525D2C">
        <w:rPr>
          <w:rFonts w:ascii="Arial" w:hAnsi="Arial" w:cs="Arial"/>
        </w:rPr>
        <w:t>and obtained the necessary permits to ensure the ethicality and professional</w:t>
      </w:r>
      <w:r w:rsidR="00E56FD5">
        <w:rPr>
          <w:rFonts w:ascii="Arial" w:hAnsi="Arial" w:cs="Arial"/>
        </w:rPr>
        <w:t xml:space="preserve"> aspect of the study.</w:t>
      </w:r>
    </w:p>
    <w:p w14:paraId="7DC329D1" w14:textId="77777777" w:rsidR="005069BD" w:rsidRDefault="005069BD" w:rsidP="005069BD">
      <w:pPr>
        <w:pStyle w:val="Body"/>
        <w:spacing w:after="0"/>
        <w:rPr>
          <w:rFonts w:ascii="Arial" w:hAnsi="Arial" w:cs="Arial"/>
        </w:rPr>
      </w:pPr>
    </w:p>
    <w:p w14:paraId="43283B8D" w14:textId="77777777" w:rsidR="008B201C" w:rsidRDefault="005069BD" w:rsidP="005069BD">
      <w:pPr>
        <w:pStyle w:val="Body"/>
        <w:spacing w:after="0"/>
        <w:rPr>
          <w:rFonts w:ascii="Arial" w:hAnsi="Arial" w:cs="Arial"/>
          <w:b/>
          <w:bCs/>
          <w:sz w:val="22"/>
          <w:szCs w:val="22"/>
        </w:rPr>
      </w:pPr>
      <w:r w:rsidRPr="005069BD">
        <w:rPr>
          <w:rFonts w:ascii="Arial" w:hAnsi="Arial" w:cs="Arial"/>
          <w:b/>
          <w:bCs/>
          <w:sz w:val="22"/>
          <w:szCs w:val="22"/>
        </w:rPr>
        <w:t>2.3</w:t>
      </w:r>
      <w:r>
        <w:rPr>
          <w:rFonts w:ascii="Arial" w:hAnsi="Arial" w:cs="Arial"/>
          <w:b/>
          <w:bCs/>
          <w:sz w:val="22"/>
          <w:szCs w:val="22"/>
        </w:rPr>
        <w:t xml:space="preserve"> </w:t>
      </w:r>
      <w:r w:rsidR="005542E2">
        <w:rPr>
          <w:rFonts w:ascii="Arial" w:hAnsi="Arial" w:cs="Arial"/>
          <w:b/>
          <w:bCs/>
          <w:sz w:val="22"/>
          <w:szCs w:val="22"/>
        </w:rPr>
        <w:t>Locale of the Study</w:t>
      </w:r>
    </w:p>
    <w:p w14:paraId="1D4E9F49" w14:textId="77777777" w:rsidR="00F302EC" w:rsidRDefault="00F302EC" w:rsidP="005069BD">
      <w:pPr>
        <w:pStyle w:val="Body"/>
        <w:spacing w:after="0"/>
        <w:rPr>
          <w:rFonts w:ascii="Arial" w:hAnsi="Arial" w:cs="Arial"/>
          <w:b/>
          <w:bCs/>
          <w:sz w:val="22"/>
          <w:szCs w:val="22"/>
        </w:rPr>
      </w:pPr>
    </w:p>
    <w:p w14:paraId="79815707" w14:textId="7F8B744E" w:rsidR="006F57AF" w:rsidRDefault="00EC56C4" w:rsidP="00F302EC">
      <w:pPr>
        <w:pStyle w:val="Body"/>
        <w:spacing w:after="0"/>
        <w:rPr>
          <w:rFonts w:ascii="Arial" w:hAnsi="Arial" w:cs="Arial"/>
          <w:lang w:val="en-PH"/>
        </w:rPr>
      </w:pPr>
      <w:r>
        <w:rPr>
          <w:rFonts w:ascii="Arial" w:hAnsi="Arial" w:cs="Arial"/>
          <w:noProof/>
          <w:lang w:val="en-SG" w:eastAsia="en-SG"/>
        </w:rPr>
        <w:drawing>
          <wp:anchor distT="0" distB="0" distL="114300" distR="114300" simplePos="0" relativeHeight="251658240" behindDoc="0" locked="0" layoutInCell="1" allowOverlap="1" wp14:anchorId="60908E3E" wp14:editId="23F9D1D8">
            <wp:simplePos x="0" y="0"/>
            <wp:positionH relativeFrom="margin">
              <wp:align>left</wp:align>
            </wp:positionH>
            <wp:positionV relativeFrom="paragraph">
              <wp:posOffset>1436370</wp:posOffset>
            </wp:positionV>
            <wp:extent cx="5212080" cy="3576320"/>
            <wp:effectExtent l="0" t="0" r="7620" b="5080"/>
            <wp:wrapTopAndBottom/>
            <wp:docPr id="14120530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53072" name="Picture 141205307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2080" cy="3576320"/>
                    </a:xfrm>
                    <a:prstGeom prst="rect">
                      <a:avLst/>
                    </a:prstGeom>
                  </pic:spPr>
                </pic:pic>
              </a:graphicData>
            </a:graphic>
          </wp:anchor>
        </w:drawing>
      </w:r>
      <w:r w:rsidR="006F57AF" w:rsidRPr="006F57AF">
        <w:rPr>
          <w:rFonts w:ascii="Arial" w:hAnsi="Arial" w:cs="Arial"/>
          <w:lang w:val="en-PH"/>
        </w:rPr>
        <w:t>Throughout the study, numerous study areas and analytical laboratories were involved. The collection of samples initially took place at Coffee Wagon in Malaybalay City, Bukidnon. Meanwhile, the extraction process and formulation of nanogels were conducted at the San Isidro College Wet Laboratory and sonicated at the Natural Products Research and Development Center. Lastly, the characterization of the formulated nanogels was determined in the laboratories of Mindanao State University – Iligan Institute of Technology, particularly in the Center for Sustainable Polymers (CSP) and PRISM, while antibacterial testing was performed at the Microbiology Research Laboratory of the College of Veterinary Medicine in Central Mindanao University.</w:t>
      </w:r>
    </w:p>
    <w:p w14:paraId="71F49A55" w14:textId="2AF120FE" w:rsidR="00ED278B" w:rsidRDefault="00ED278B" w:rsidP="00ED278B">
      <w:pPr>
        <w:pStyle w:val="Body"/>
        <w:spacing w:after="0"/>
        <w:rPr>
          <w:rFonts w:ascii="Arial" w:hAnsi="Arial" w:cs="Arial"/>
          <w:lang w:val="en-PH"/>
        </w:rPr>
      </w:pPr>
    </w:p>
    <w:p w14:paraId="4FD19335" w14:textId="0F4E7D4A" w:rsidR="00424EF4" w:rsidRPr="004340B2" w:rsidRDefault="00F302EC" w:rsidP="00F302EC">
      <w:pPr>
        <w:pStyle w:val="Body"/>
        <w:spacing w:after="0"/>
        <w:jc w:val="left"/>
        <w:rPr>
          <w:rFonts w:ascii="Arial" w:hAnsi="Arial" w:cs="Arial"/>
          <w:b/>
          <w:bCs/>
          <w:sz w:val="22"/>
          <w:szCs w:val="22"/>
          <w:lang w:val="en-PH"/>
        </w:rPr>
      </w:pPr>
      <w:r w:rsidRPr="004340B2">
        <w:rPr>
          <w:rFonts w:ascii="Arial" w:hAnsi="Arial" w:cs="Arial"/>
          <w:b/>
          <w:bCs/>
          <w:sz w:val="22"/>
          <w:szCs w:val="22"/>
          <w:lang w:val="en-PH"/>
        </w:rPr>
        <w:t>Fig. 1. Map of Research Locale</w:t>
      </w:r>
    </w:p>
    <w:p w14:paraId="36093A7C" w14:textId="77777777" w:rsidR="006F57AF" w:rsidRDefault="006F57AF" w:rsidP="005069BD">
      <w:pPr>
        <w:pStyle w:val="Body"/>
        <w:spacing w:after="0"/>
        <w:rPr>
          <w:rFonts w:ascii="Arial" w:hAnsi="Arial" w:cs="Arial"/>
        </w:rPr>
      </w:pPr>
    </w:p>
    <w:p w14:paraId="1B1585E9" w14:textId="77777777" w:rsidR="006F57AF" w:rsidRDefault="001E1031" w:rsidP="005069BD">
      <w:pPr>
        <w:pStyle w:val="Body"/>
        <w:spacing w:after="0"/>
        <w:rPr>
          <w:rFonts w:ascii="Arial" w:hAnsi="Arial" w:cs="Arial"/>
          <w:b/>
          <w:bCs/>
          <w:sz w:val="22"/>
          <w:szCs w:val="22"/>
        </w:rPr>
      </w:pPr>
      <w:r w:rsidRPr="001E1031">
        <w:rPr>
          <w:rFonts w:ascii="Arial" w:hAnsi="Arial" w:cs="Arial"/>
          <w:b/>
          <w:bCs/>
          <w:sz w:val="22"/>
          <w:szCs w:val="22"/>
        </w:rPr>
        <w:lastRenderedPageBreak/>
        <w:t>2.4</w:t>
      </w:r>
      <w:r w:rsidR="005318F3">
        <w:rPr>
          <w:rFonts w:ascii="Arial" w:hAnsi="Arial" w:cs="Arial"/>
          <w:b/>
          <w:bCs/>
          <w:sz w:val="22"/>
          <w:szCs w:val="22"/>
        </w:rPr>
        <w:t xml:space="preserve"> Collection and Preparation of </w:t>
      </w:r>
      <w:r w:rsidR="00AA58CF">
        <w:rPr>
          <w:rFonts w:ascii="Arial" w:hAnsi="Arial" w:cs="Arial"/>
          <w:b/>
          <w:bCs/>
          <w:sz w:val="22"/>
          <w:szCs w:val="22"/>
        </w:rPr>
        <w:t>Samples</w:t>
      </w:r>
    </w:p>
    <w:p w14:paraId="3B17F4BE" w14:textId="77777777" w:rsidR="004340B2" w:rsidRDefault="004340B2" w:rsidP="004340B2">
      <w:pPr>
        <w:jc w:val="both"/>
        <w:rPr>
          <w:rFonts w:ascii="Arial" w:hAnsi="Arial" w:cs="Arial"/>
        </w:rPr>
      </w:pPr>
    </w:p>
    <w:p w14:paraId="23BEED79" w14:textId="5977A975" w:rsidR="00BA708E" w:rsidRPr="00BA708E" w:rsidRDefault="00BA708E" w:rsidP="004340B2">
      <w:pPr>
        <w:jc w:val="both"/>
        <w:rPr>
          <w:rFonts w:ascii="Arial" w:hAnsi="Arial" w:cs="Arial"/>
        </w:rPr>
      </w:pPr>
      <w:r w:rsidRPr="00BA708E">
        <w:rPr>
          <w:rFonts w:ascii="Arial" w:hAnsi="Arial" w:cs="Arial"/>
        </w:rPr>
        <w:t xml:space="preserve">Spent coffee grounds (SCGs) from </w:t>
      </w:r>
      <w:r w:rsidRPr="00BA708E">
        <w:rPr>
          <w:rFonts w:ascii="Arial" w:hAnsi="Arial" w:cs="Arial"/>
          <w:i/>
          <w:iCs/>
        </w:rPr>
        <w:t>C. arabica</w:t>
      </w:r>
      <w:r w:rsidRPr="00BA708E">
        <w:rPr>
          <w:rFonts w:ascii="Arial" w:hAnsi="Arial" w:cs="Arial"/>
        </w:rPr>
        <w:t xml:space="preserve"> specimens were obtained through the pour-over brewing method explained by </w:t>
      </w:r>
      <w:r w:rsidR="009F7375">
        <w:rPr>
          <w:rFonts w:ascii="Arial" w:hAnsi="Arial" w:cs="Arial"/>
        </w:rPr>
        <w:t>Chung (2019)</w:t>
      </w:r>
      <w:r w:rsidRPr="00BA708E">
        <w:rPr>
          <w:rFonts w:ascii="Arial" w:hAnsi="Arial" w:cs="Arial"/>
        </w:rPr>
        <w:t>. Coffee beans were ground into coarse particles using a mortar and pestle and placed in a sieve with a coffee filter. Once the grounds were laid out, briskly boiling water was poured over them slowly, while the resultant coffee was stored in a beaker. After all the grounds had been used up, they were laid out to dry in an oven at a maximum temperature of 60° C for 5 hours. The spent coffee grounds were then subjected to extraction.</w:t>
      </w:r>
    </w:p>
    <w:p w14:paraId="665C159E" w14:textId="77777777" w:rsidR="00341165" w:rsidRDefault="00341165" w:rsidP="005069BD">
      <w:pPr>
        <w:pStyle w:val="Body"/>
        <w:spacing w:after="0"/>
        <w:rPr>
          <w:rFonts w:ascii="Arial" w:hAnsi="Arial" w:cs="Arial"/>
        </w:rPr>
      </w:pPr>
    </w:p>
    <w:p w14:paraId="75B63AD1" w14:textId="77777777" w:rsidR="00BD2AB8" w:rsidRDefault="00BD2AB8" w:rsidP="005069BD">
      <w:pPr>
        <w:pStyle w:val="Body"/>
        <w:spacing w:after="0"/>
        <w:rPr>
          <w:rFonts w:ascii="Arial" w:hAnsi="Arial" w:cs="Arial"/>
          <w:b/>
          <w:bCs/>
          <w:sz w:val="22"/>
          <w:szCs w:val="22"/>
        </w:rPr>
      </w:pPr>
      <w:r>
        <w:rPr>
          <w:rFonts w:ascii="Arial" w:hAnsi="Arial" w:cs="Arial"/>
          <w:b/>
          <w:bCs/>
          <w:sz w:val="22"/>
          <w:szCs w:val="22"/>
        </w:rPr>
        <w:t xml:space="preserve">2.5 </w:t>
      </w:r>
      <w:r w:rsidR="007D32C5">
        <w:rPr>
          <w:rFonts w:ascii="Arial" w:hAnsi="Arial" w:cs="Arial"/>
          <w:b/>
          <w:bCs/>
          <w:sz w:val="22"/>
          <w:szCs w:val="22"/>
        </w:rPr>
        <w:t>Extraction Process</w:t>
      </w:r>
    </w:p>
    <w:p w14:paraId="1F85DDE3" w14:textId="77777777" w:rsidR="004340B2" w:rsidRDefault="004340B2" w:rsidP="004340B2">
      <w:pPr>
        <w:pStyle w:val="Body"/>
        <w:spacing w:after="0"/>
        <w:rPr>
          <w:rFonts w:ascii="Arial" w:hAnsi="Arial" w:cs="Arial"/>
        </w:rPr>
      </w:pPr>
    </w:p>
    <w:p w14:paraId="6A0055EB" w14:textId="44877BFD" w:rsidR="004340B2" w:rsidRDefault="00C816EE" w:rsidP="00291954">
      <w:pPr>
        <w:pStyle w:val="Body"/>
        <w:spacing w:after="0"/>
        <w:rPr>
          <w:rFonts w:ascii="Arial" w:hAnsi="Arial" w:cs="Arial"/>
        </w:rPr>
      </w:pPr>
      <w:r>
        <w:rPr>
          <w:rFonts w:ascii="Arial" w:hAnsi="Arial" w:cs="Arial"/>
        </w:rPr>
        <w:t>Das et. al. (2014) utilized the solvent extraction method</w:t>
      </w:r>
      <w:r w:rsidR="006C33DF" w:rsidRPr="006C33DF">
        <w:rPr>
          <w:rFonts w:ascii="Arial" w:hAnsi="Arial" w:cs="Arial"/>
        </w:rPr>
        <w:t xml:space="preserve"> for the extraction of bioactive compounds from </w:t>
      </w:r>
      <w:r w:rsidR="006C33DF" w:rsidRPr="00933879">
        <w:rPr>
          <w:rFonts w:ascii="Arial" w:hAnsi="Arial" w:cs="Arial"/>
          <w:i/>
          <w:iCs/>
        </w:rPr>
        <w:t>C. arabica</w:t>
      </w:r>
      <w:r w:rsidR="006C33DF" w:rsidRPr="006C33DF">
        <w:rPr>
          <w:rFonts w:ascii="Arial" w:hAnsi="Arial" w:cs="Arial"/>
        </w:rPr>
        <w:t xml:space="preserve"> SCG extract with modifications. Specimens of </w:t>
      </w:r>
      <w:r w:rsidR="006C33DF" w:rsidRPr="00933879">
        <w:rPr>
          <w:rFonts w:ascii="Arial" w:hAnsi="Arial" w:cs="Arial"/>
          <w:i/>
          <w:iCs/>
        </w:rPr>
        <w:t>C. arabica</w:t>
      </w:r>
      <w:r w:rsidR="006C33DF" w:rsidRPr="006C33DF">
        <w:rPr>
          <w:rFonts w:ascii="Arial" w:hAnsi="Arial" w:cs="Arial"/>
        </w:rPr>
        <w:t xml:space="preserve"> SCG were further refined using a blender to increase the surface area for extraction and were run through a sieve to collect the more refined parts. Following refinement, the powdered coffee grounds were soaked in 95% ethanol. The ethanol was added to completely submerge the plant material, ensuring all parts of the powdered specimens were saturated. The mixture then underwent maceration for 72 hours. It was filtered using standard filter paper to separate the liquid extract from the coarse plant residues and was repeated until the filtrates were fully separated. Lastly, the extract was run through a water bath at 45–55 degrees Celsius for the evaporation of the solvent and was kept in a dark area for further use.</w:t>
      </w:r>
    </w:p>
    <w:p w14:paraId="07D35E12" w14:textId="77777777" w:rsidR="004340B2" w:rsidRDefault="004340B2" w:rsidP="00291954">
      <w:pPr>
        <w:pStyle w:val="Body"/>
        <w:spacing w:after="0"/>
        <w:rPr>
          <w:rFonts w:ascii="Arial" w:hAnsi="Arial" w:cs="Arial"/>
        </w:rPr>
      </w:pPr>
    </w:p>
    <w:p w14:paraId="4E2F36E1" w14:textId="77777777" w:rsidR="00291954" w:rsidRDefault="00291954" w:rsidP="00291954">
      <w:pPr>
        <w:pStyle w:val="Body"/>
        <w:spacing w:after="0"/>
        <w:rPr>
          <w:rFonts w:ascii="Arial" w:hAnsi="Arial" w:cs="Arial"/>
          <w:b/>
          <w:bCs/>
          <w:sz w:val="22"/>
          <w:szCs w:val="22"/>
        </w:rPr>
      </w:pPr>
      <w:r>
        <w:rPr>
          <w:rFonts w:ascii="Arial" w:hAnsi="Arial" w:cs="Arial"/>
          <w:b/>
          <w:bCs/>
          <w:sz w:val="22"/>
          <w:szCs w:val="22"/>
        </w:rPr>
        <w:t xml:space="preserve">2.6 </w:t>
      </w:r>
      <w:r w:rsidR="00C11D98">
        <w:rPr>
          <w:rFonts w:ascii="Arial" w:hAnsi="Arial" w:cs="Arial"/>
          <w:b/>
          <w:bCs/>
          <w:sz w:val="22"/>
          <w:szCs w:val="22"/>
        </w:rPr>
        <w:t>Formulation of Nanogels</w:t>
      </w:r>
    </w:p>
    <w:p w14:paraId="5A18A73E" w14:textId="77777777" w:rsidR="004340B2" w:rsidRDefault="004340B2" w:rsidP="004340B2">
      <w:pPr>
        <w:pStyle w:val="Body"/>
        <w:spacing w:after="0"/>
        <w:rPr>
          <w:rFonts w:ascii="Arial" w:hAnsi="Arial" w:cs="Arial"/>
        </w:rPr>
      </w:pPr>
    </w:p>
    <w:p w14:paraId="6E65FCB5" w14:textId="0ECCE0F6" w:rsidR="00EF7019" w:rsidRDefault="00C11D98" w:rsidP="00EF7019">
      <w:pPr>
        <w:pStyle w:val="Body"/>
        <w:spacing w:after="0"/>
        <w:rPr>
          <w:rFonts w:ascii="Arial" w:hAnsi="Arial" w:cs="Arial"/>
        </w:rPr>
      </w:pPr>
      <w:r w:rsidRPr="00C11D98">
        <w:rPr>
          <w:rFonts w:ascii="Arial" w:hAnsi="Arial" w:cs="Arial"/>
        </w:rPr>
        <w:t>The formulation of nanogels utilized the ionic gelation process, wherein the constituents and procedures of</w:t>
      </w:r>
      <w:r w:rsidR="009F7375">
        <w:rPr>
          <w:rFonts w:ascii="Arial" w:hAnsi="Arial" w:cs="Arial"/>
        </w:rPr>
        <w:t xml:space="preserve"> Ansari et. al. (2019)</w:t>
      </w:r>
      <w:r w:rsidRPr="00C11D98">
        <w:rPr>
          <w:rFonts w:ascii="Arial" w:hAnsi="Arial" w:cs="Arial"/>
        </w:rPr>
        <w:t xml:space="preserve"> were followed with modifications. A 1 mL solution of sodium triphosphate (TPP) (0.5% w/v) was gradually added to a 7 mL chitosan solution, which consisted of chitosan diluted with 0.06% w/v acetic acid, in a </w:t>
      </w:r>
      <w:proofErr w:type="spellStart"/>
      <w:r w:rsidRPr="00C11D98">
        <w:rPr>
          <w:rFonts w:ascii="Arial" w:hAnsi="Arial" w:cs="Arial"/>
        </w:rPr>
        <w:t>sonicator</w:t>
      </w:r>
      <w:proofErr w:type="spellEnd"/>
      <w:r w:rsidRPr="00C11D98">
        <w:rPr>
          <w:rFonts w:ascii="Arial" w:hAnsi="Arial" w:cs="Arial"/>
        </w:rPr>
        <w:t xml:space="preserve"> set to pulse mode to create nanosized molecules. This was followed by the centrifugation of the solution at 15,000 rpm to separate the supernatant. The formulated nanogels were suspended in water and stored in a freezer for further use and characterization.</w:t>
      </w:r>
    </w:p>
    <w:p w14:paraId="599CA9B5" w14:textId="77777777" w:rsidR="007D4A72" w:rsidRDefault="007D4A72" w:rsidP="00EF7019">
      <w:pPr>
        <w:pStyle w:val="Body"/>
        <w:spacing w:after="0"/>
        <w:rPr>
          <w:rFonts w:ascii="Arial" w:hAnsi="Arial" w:cs="Arial"/>
        </w:rPr>
      </w:pPr>
    </w:p>
    <w:p w14:paraId="6A276BA1" w14:textId="77777777" w:rsidR="00EF7019" w:rsidRDefault="00461E21" w:rsidP="00EF7019">
      <w:pPr>
        <w:pStyle w:val="Body"/>
        <w:spacing w:after="0"/>
        <w:rPr>
          <w:rFonts w:ascii="Arial" w:hAnsi="Arial" w:cs="Arial"/>
          <w:b/>
          <w:bCs/>
          <w:sz w:val="22"/>
          <w:szCs w:val="22"/>
        </w:rPr>
      </w:pPr>
      <w:r>
        <w:rPr>
          <w:rFonts w:ascii="Arial" w:hAnsi="Arial" w:cs="Arial"/>
          <w:b/>
          <w:bCs/>
          <w:sz w:val="22"/>
          <w:szCs w:val="22"/>
        </w:rPr>
        <w:t xml:space="preserve">2.7 </w:t>
      </w:r>
      <w:r w:rsidR="00090C8B">
        <w:rPr>
          <w:rFonts w:ascii="Arial" w:hAnsi="Arial" w:cs="Arial"/>
          <w:b/>
          <w:bCs/>
          <w:sz w:val="22"/>
          <w:szCs w:val="22"/>
        </w:rPr>
        <w:t>Nanogel Characterization</w:t>
      </w:r>
    </w:p>
    <w:p w14:paraId="5FCD2BD0" w14:textId="77777777" w:rsidR="004340B2" w:rsidRDefault="004340B2" w:rsidP="004340B2">
      <w:pPr>
        <w:jc w:val="both"/>
        <w:rPr>
          <w:rFonts w:ascii="Arial" w:hAnsi="Arial" w:cs="Arial"/>
        </w:rPr>
      </w:pPr>
    </w:p>
    <w:p w14:paraId="0558E864" w14:textId="582FD70D" w:rsidR="004A2306" w:rsidRPr="004A2306" w:rsidRDefault="004A2306" w:rsidP="004340B2">
      <w:pPr>
        <w:jc w:val="both"/>
        <w:rPr>
          <w:rFonts w:ascii="Arial" w:hAnsi="Arial" w:cs="Arial"/>
        </w:rPr>
      </w:pPr>
      <w:r w:rsidRPr="004A2306">
        <w:rPr>
          <w:rFonts w:ascii="Arial" w:hAnsi="Arial" w:cs="Arial"/>
        </w:rPr>
        <w:t xml:space="preserve">The formulated nanogels were preliminarily characterized based on particle size and size distribution, drug loading capacity, and encapsulation efficiency, utilizing the process of a study </w:t>
      </w:r>
      <w:r w:rsidR="009F7375">
        <w:rPr>
          <w:rFonts w:ascii="Arial" w:hAnsi="Arial" w:cs="Arial"/>
        </w:rPr>
        <w:t>(</w:t>
      </w:r>
      <w:proofErr w:type="spellStart"/>
      <w:r w:rsidR="009F7375">
        <w:rPr>
          <w:rFonts w:ascii="Arial" w:hAnsi="Arial" w:cs="Arial"/>
        </w:rPr>
        <w:t>Mahdiani</w:t>
      </w:r>
      <w:proofErr w:type="spellEnd"/>
      <w:r w:rsidR="009F7375">
        <w:rPr>
          <w:rFonts w:ascii="Arial" w:hAnsi="Arial" w:cs="Arial"/>
        </w:rPr>
        <w:t xml:space="preserve"> et. al., 2024)</w:t>
      </w:r>
      <w:r w:rsidRPr="004A2306">
        <w:rPr>
          <w:rFonts w:ascii="Arial" w:hAnsi="Arial" w:cs="Arial"/>
        </w:rPr>
        <w:t>.</w:t>
      </w:r>
    </w:p>
    <w:p w14:paraId="3ED80332" w14:textId="77777777" w:rsidR="006F57AF" w:rsidRPr="005069BD" w:rsidRDefault="006F57AF" w:rsidP="005069BD">
      <w:pPr>
        <w:pStyle w:val="Body"/>
        <w:spacing w:after="0"/>
        <w:rPr>
          <w:rFonts w:ascii="Arial" w:hAnsi="Arial" w:cs="Arial"/>
          <w:b/>
          <w:bCs/>
          <w:sz w:val="22"/>
          <w:szCs w:val="22"/>
        </w:rPr>
      </w:pPr>
    </w:p>
    <w:p w14:paraId="7FFF57D9" w14:textId="77777777" w:rsidR="00AA74E0" w:rsidRDefault="00AA74E0" w:rsidP="00441B6F">
      <w:pPr>
        <w:pStyle w:val="Body"/>
        <w:spacing w:after="0"/>
        <w:rPr>
          <w:rFonts w:ascii="Arial" w:hAnsi="Arial" w:cs="Arial"/>
        </w:rPr>
      </w:pPr>
      <w:r w:rsidRPr="00862C03">
        <w:rPr>
          <w:rFonts w:ascii="Arial" w:hAnsi="Arial" w:cs="Arial"/>
          <w:b/>
          <w:u w:val="single"/>
        </w:rPr>
        <w:t>2.</w:t>
      </w:r>
      <w:r w:rsidR="004A2306" w:rsidRPr="00862C03">
        <w:rPr>
          <w:rFonts w:ascii="Arial" w:hAnsi="Arial" w:cs="Arial"/>
          <w:b/>
          <w:u w:val="single"/>
        </w:rPr>
        <w:t>7</w:t>
      </w:r>
      <w:r w:rsidRPr="00862C03">
        <w:rPr>
          <w:rFonts w:ascii="Arial" w:hAnsi="Arial" w:cs="Arial"/>
          <w:b/>
          <w:u w:val="single"/>
        </w:rPr>
        <w:t>.1 S</w:t>
      </w:r>
      <w:r w:rsidR="002110B8" w:rsidRPr="00862C03">
        <w:rPr>
          <w:rFonts w:ascii="Arial" w:hAnsi="Arial" w:cs="Arial"/>
          <w:b/>
          <w:u w:val="single"/>
        </w:rPr>
        <w:t>ize and Si</w:t>
      </w:r>
      <w:r w:rsidR="00862C03" w:rsidRPr="00862C03">
        <w:rPr>
          <w:rFonts w:ascii="Arial" w:hAnsi="Arial" w:cs="Arial"/>
          <w:b/>
          <w:u w:val="single"/>
        </w:rPr>
        <w:t>ze Distribution</w:t>
      </w:r>
      <w:r w:rsidRPr="00FB3A86">
        <w:rPr>
          <w:rFonts w:ascii="Arial" w:hAnsi="Arial" w:cs="Arial"/>
        </w:rPr>
        <w:t xml:space="preserve"> </w:t>
      </w:r>
    </w:p>
    <w:p w14:paraId="34D0FFB9" w14:textId="77777777" w:rsidR="004340B2" w:rsidRDefault="004340B2" w:rsidP="004340B2">
      <w:pPr>
        <w:pStyle w:val="Body"/>
        <w:spacing w:after="0"/>
        <w:rPr>
          <w:rFonts w:ascii="Arial" w:hAnsi="Arial" w:cs="Arial"/>
        </w:rPr>
      </w:pPr>
    </w:p>
    <w:p w14:paraId="01DA1300" w14:textId="59B94D22" w:rsidR="00B44E5F" w:rsidRDefault="00A14F3D" w:rsidP="004340B2">
      <w:pPr>
        <w:pStyle w:val="Body"/>
        <w:spacing w:after="0"/>
        <w:rPr>
          <w:rFonts w:ascii="Arial" w:hAnsi="Arial" w:cs="Arial"/>
        </w:rPr>
      </w:pPr>
      <w:r w:rsidRPr="00A14F3D">
        <w:rPr>
          <w:rFonts w:ascii="Arial" w:hAnsi="Arial" w:cs="Arial"/>
        </w:rPr>
        <w:t>The SCG-loaded nanogels underwent size and size distribution analysis through Dynamic Light Scattering (DLS). Molecular distribution followed the polydispersity index (PDI), where values close to 0.1 and 1.0 indicated broad and narrow distribution, respectively.</w:t>
      </w:r>
    </w:p>
    <w:p w14:paraId="2617A185" w14:textId="77777777" w:rsidR="009D277F" w:rsidRDefault="009D277F" w:rsidP="009D277F">
      <w:pPr>
        <w:pStyle w:val="Body"/>
        <w:spacing w:after="0"/>
        <w:rPr>
          <w:rFonts w:ascii="Arial" w:hAnsi="Arial" w:cs="Arial"/>
        </w:rPr>
      </w:pPr>
    </w:p>
    <w:p w14:paraId="739C3FD6" w14:textId="77777777" w:rsidR="009D277F" w:rsidRDefault="009D277F" w:rsidP="009D277F">
      <w:pPr>
        <w:pStyle w:val="Body"/>
        <w:spacing w:after="0"/>
        <w:rPr>
          <w:rFonts w:ascii="Arial" w:hAnsi="Arial" w:cs="Arial"/>
          <w:b/>
          <w:u w:val="single"/>
        </w:rPr>
      </w:pPr>
      <w:r w:rsidRPr="00862C03">
        <w:rPr>
          <w:rFonts w:ascii="Arial" w:hAnsi="Arial" w:cs="Arial"/>
          <w:b/>
          <w:u w:val="single"/>
        </w:rPr>
        <w:t>2.7.</w:t>
      </w:r>
      <w:r w:rsidR="00D80D14">
        <w:rPr>
          <w:rFonts w:ascii="Arial" w:hAnsi="Arial" w:cs="Arial"/>
          <w:b/>
          <w:u w:val="single"/>
        </w:rPr>
        <w:t>2</w:t>
      </w:r>
      <w:r w:rsidRPr="00862C03">
        <w:rPr>
          <w:rFonts w:ascii="Arial" w:hAnsi="Arial" w:cs="Arial"/>
          <w:b/>
          <w:u w:val="single"/>
        </w:rPr>
        <w:t xml:space="preserve"> </w:t>
      </w:r>
      <w:r>
        <w:rPr>
          <w:rFonts w:ascii="Arial" w:hAnsi="Arial" w:cs="Arial"/>
          <w:b/>
          <w:u w:val="single"/>
        </w:rPr>
        <w:t>Drug Load</w:t>
      </w:r>
      <w:r w:rsidR="00EE2C25">
        <w:rPr>
          <w:rFonts w:ascii="Arial" w:hAnsi="Arial" w:cs="Arial"/>
          <w:b/>
          <w:u w:val="single"/>
        </w:rPr>
        <w:t>ing Capacity</w:t>
      </w:r>
    </w:p>
    <w:p w14:paraId="47BB3734" w14:textId="77777777" w:rsidR="004340B2" w:rsidRDefault="004340B2" w:rsidP="004340B2">
      <w:pPr>
        <w:pStyle w:val="Body"/>
        <w:spacing w:after="0"/>
        <w:rPr>
          <w:rFonts w:ascii="Arial" w:hAnsi="Arial" w:cs="Arial"/>
        </w:rPr>
      </w:pPr>
    </w:p>
    <w:p w14:paraId="4C49E163" w14:textId="0EC21C0F" w:rsidR="00EE2C25" w:rsidRDefault="00A43ACF" w:rsidP="004340B2">
      <w:pPr>
        <w:pStyle w:val="Body"/>
        <w:spacing w:after="0"/>
        <w:rPr>
          <w:rFonts w:ascii="Arial" w:hAnsi="Arial" w:cs="Arial"/>
        </w:rPr>
      </w:pPr>
      <w:r w:rsidRPr="00A43ACF">
        <w:rPr>
          <w:rFonts w:ascii="Arial" w:hAnsi="Arial" w:cs="Arial"/>
        </w:rPr>
        <w:t>Capacity was quantified using a UV-Vis spectrophotometer after the centrifugation of the nanogel and the SCG extract. Quantification followed the formula:</w:t>
      </w:r>
    </w:p>
    <w:p w14:paraId="49587B57" w14:textId="77777777" w:rsidR="00D9380D" w:rsidRDefault="00D9380D" w:rsidP="00A43ACF">
      <w:pPr>
        <w:pStyle w:val="Body"/>
        <w:spacing w:after="0"/>
        <w:ind w:firstLine="720"/>
        <w:rPr>
          <w:rFonts w:ascii="Arial" w:hAnsi="Arial" w:cs="Arial"/>
        </w:rPr>
      </w:pPr>
    </w:p>
    <w:p w14:paraId="6280936B" w14:textId="77777777" w:rsidR="00D9380D" w:rsidRDefault="00D9380D" w:rsidP="00D9380D">
      <w:pPr>
        <w:jc w:val="center"/>
        <w:rPr>
          <w:rFonts w:ascii="Cambria Math" w:eastAsia="Cambria Math" w:hAnsi="Cambria Math" w:cs="Cambria Math"/>
          <w:color w:val="000000"/>
        </w:rPr>
      </w:pPr>
      <m:oMathPara>
        <m:oMath>
          <m:r>
            <w:rPr>
              <w:rFonts w:ascii="Cambria Math" w:eastAsia="Cambria Math" w:hAnsi="Cambria Math" w:cs="Cambria Math"/>
              <w:color w:val="000000"/>
            </w:rPr>
            <m:t>DLC%=</m:t>
          </m:r>
          <m:d>
            <m:dPr>
              <m:ctrlPr>
                <w:rPr>
                  <w:rFonts w:ascii="Cambria Math" w:eastAsia="Cambria Math" w:hAnsi="Cambria Math" w:cs="Cambria Math"/>
                  <w:color w:val="000000"/>
                </w:rPr>
              </m:ctrlPr>
            </m:dPr>
            <m:e>
              <m:r>
                <w:rPr>
                  <w:rFonts w:ascii="Cambria Math" w:eastAsia="Cambria Math" w:hAnsi="Cambria Math" w:cs="Cambria Math"/>
                  <w:color w:val="000000"/>
                </w:rPr>
                <m:t xml:space="preserve"> </m:t>
              </m:r>
              <m:f>
                <m:fPr>
                  <m:ctrlPr>
                    <w:rPr>
                      <w:rFonts w:ascii="Cambria Math" w:eastAsia="Cambria Math" w:hAnsi="Cambria Math" w:cs="Cambria Math"/>
                      <w:color w:val="000000"/>
                    </w:rPr>
                  </m:ctrlPr>
                </m:fPr>
                <m:num>
                  <m:r>
                    <w:rPr>
                      <w:rFonts w:ascii="Cambria Math" w:eastAsia="Cambria Math" w:hAnsi="Cambria Math" w:cs="Cambria Math"/>
                      <w:color w:val="000000"/>
                    </w:rPr>
                    <m:t>Amount of loaded drug</m:t>
                  </m:r>
                </m:num>
                <m:den>
                  <m:r>
                    <w:rPr>
                      <w:rFonts w:ascii="Cambria Math" w:eastAsia="Cambria Math" w:hAnsi="Cambria Math" w:cs="Cambria Math"/>
                      <w:color w:val="000000"/>
                    </w:rPr>
                    <m:t>Total amount of used drug</m:t>
                  </m:r>
                </m:den>
              </m:f>
            </m:e>
          </m:d>
          <m:r>
            <w:rPr>
              <w:rFonts w:ascii="Cambria Math" w:eastAsia="Cambria Math" w:hAnsi="Cambria Math" w:cs="Cambria Math"/>
              <w:color w:val="000000"/>
            </w:rPr>
            <m:t>x 100</m:t>
          </m:r>
        </m:oMath>
      </m:oMathPara>
    </w:p>
    <w:p w14:paraId="20FFA74D" w14:textId="77777777" w:rsidR="00EC56C4" w:rsidRDefault="00EC56C4" w:rsidP="009D277F">
      <w:pPr>
        <w:pStyle w:val="Body"/>
        <w:spacing w:after="0"/>
        <w:rPr>
          <w:rFonts w:ascii="Arial" w:hAnsi="Arial" w:cs="Arial"/>
          <w:b/>
          <w:bCs/>
          <w:u w:val="single"/>
        </w:rPr>
      </w:pPr>
    </w:p>
    <w:p w14:paraId="79A44F67" w14:textId="1CAC81E3" w:rsidR="00A43ACF" w:rsidRDefault="00FE2FC1" w:rsidP="009D277F">
      <w:pPr>
        <w:pStyle w:val="Body"/>
        <w:spacing w:after="0"/>
        <w:rPr>
          <w:rFonts w:ascii="Arial" w:hAnsi="Arial" w:cs="Arial"/>
          <w:b/>
          <w:bCs/>
          <w:u w:val="single"/>
        </w:rPr>
      </w:pPr>
      <w:r w:rsidRPr="00D80D14">
        <w:rPr>
          <w:rFonts w:ascii="Arial" w:hAnsi="Arial" w:cs="Arial"/>
          <w:b/>
          <w:bCs/>
          <w:u w:val="single"/>
        </w:rPr>
        <w:lastRenderedPageBreak/>
        <w:t>2.</w:t>
      </w:r>
      <w:r w:rsidR="00D80D14" w:rsidRPr="00D80D14">
        <w:rPr>
          <w:rFonts w:ascii="Arial" w:hAnsi="Arial" w:cs="Arial"/>
          <w:b/>
          <w:bCs/>
          <w:u w:val="single"/>
        </w:rPr>
        <w:t>7.2</w:t>
      </w:r>
      <w:r w:rsidR="00D80D14">
        <w:rPr>
          <w:rFonts w:ascii="Arial" w:hAnsi="Arial" w:cs="Arial"/>
          <w:b/>
          <w:bCs/>
          <w:u w:val="single"/>
        </w:rPr>
        <w:t xml:space="preserve"> Encapsulation Efficiency</w:t>
      </w:r>
    </w:p>
    <w:p w14:paraId="532AD0BC" w14:textId="77777777" w:rsidR="004340B2" w:rsidRDefault="004340B2" w:rsidP="009D277F">
      <w:pPr>
        <w:pStyle w:val="Body"/>
        <w:spacing w:after="0"/>
        <w:rPr>
          <w:rFonts w:ascii="Arial" w:hAnsi="Arial" w:cs="Arial"/>
        </w:rPr>
      </w:pPr>
    </w:p>
    <w:p w14:paraId="2F8712F6" w14:textId="3D49CC2E" w:rsidR="00D80D14" w:rsidRDefault="004340B2" w:rsidP="009D277F">
      <w:pPr>
        <w:pStyle w:val="Body"/>
        <w:spacing w:after="0"/>
        <w:rPr>
          <w:rFonts w:ascii="Arial" w:hAnsi="Arial" w:cs="Arial"/>
        </w:rPr>
      </w:pPr>
      <w:r>
        <w:rPr>
          <w:rFonts w:ascii="Arial" w:hAnsi="Arial" w:cs="Arial"/>
        </w:rPr>
        <w:t>Was quantified</w:t>
      </w:r>
      <w:r w:rsidR="0044506A" w:rsidRPr="0044506A">
        <w:rPr>
          <w:rFonts w:ascii="Arial" w:hAnsi="Arial" w:cs="Arial"/>
        </w:rPr>
        <w:t xml:space="preserve"> through the use of a UV-Vis Spectrophotometer. The calculation will use the following formula:</w:t>
      </w:r>
    </w:p>
    <w:p w14:paraId="6BEF3A76" w14:textId="77777777" w:rsidR="00972614" w:rsidRDefault="00972614" w:rsidP="009D277F">
      <w:pPr>
        <w:pStyle w:val="Body"/>
        <w:spacing w:after="0"/>
        <w:rPr>
          <w:rFonts w:ascii="Arial" w:hAnsi="Arial" w:cs="Arial"/>
        </w:rPr>
      </w:pPr>
    </w:p>
    <w:p w14:paraId="53A2AB90" w14:textId="77777777" w:rsidR="00972614" w:rsidRPr="00341165" w:rsidRDefault="00972614" w:rsidP="00972614">
      <w:pPr>
        <w:jc w:val="center"/>
        <w:rPr>
          <w:rFonts w:ascii="Cambria Math" w:eastAsia="Cambria Math" w:hAnsi="Cambria Math" w:cs="Cambria Math"/>
        </w:rPr>
      </w:pPr>
      <m:oMathPara>
        <m:oMath>
          <m:r>
            <w:rPr>
              <w:rFonts w:ascii="Cambria Math" w:eastAsia="Cambria Math" w:hAnsi="Cambria Math" w:cs="Cambria Math"/>
            </w:rPr>
            <m:t>EE%=</m:t>
          </m:r>
          <m:d>
            <m:dPr>
              <m:ctrlPr>
                <w:rPr>
                  <w:rFonts w:ascii="Cambria Math" w:eastAsia="Cambria Math" w:hAnsi="Cambria Math" w:cs="Cambria Math"/>
                </w:rPr>
              </m:ctrlPr>
            </m:dPr>
            <m:e>
              <m:f>
                <m:fPr>
                  <m:ctrlPr>
                    <w:rPr>
                      <w:rFonts w:ascii="Cambria Math" w:eastAsia="Cambria Math" w:hAnsi="Cambria Math" w:cs="Cambria Math"/>
                    </w:rPr>
                  </m:ctrlPr>
                </m:fPr>
                <m:num>
                  <m:r>
                    <w:rPr>
                      <w:rFonts w:ascii="Cambria Math" w:eastAsia="Cambria Math" w:hAnsi="Cambria Math" w:cs="Cambria Math"/>
                    </w:rPr>
                    <m:t>Amount of drug in nanogel</m:t>
                  </m:r>
                </m:num>
                <m:den>
                  <m:r>
                    <w:rPr>
                      <w:rFonts w:ascii="Cambria Math" w:eastAsia="Cambria Math" w:hAnsi="Cambria Math" w:cs="Cambria Math"/>
                    </w:rPr>
                    <m:t>Amount of loaded drug</m:t>
                  </m:r>
                </m:den>
              </m:f>
            </m:e>
          </m:d>
          <m:r>
            <w:rPr>
              <w:rFonts w:ascii="Cambria Math" w:eastAsia="Cambria Math" w:hAnsi="Cambria Math" w:cs="Cambria Math"/>
            </w:rPr>
            <m:t>x 100</m:t>
          </m:r>
        </m:oMath>
      </m:oMathPara>
    </w:p>
    <w:p w14:paraId="229CA654" w14:textId="77777777" w:rsidR="00341165" w:rsidRDefault="00341165" w:rsidP="00972614">
      <w:pPr>
        <w:jc w:val="center"/>
        <w:rPr>
          <w:rFonts w:ascii="Cambria Math" w:eastAsia="Cambria Math" w:hAnsi="Cambria Math" w:cs="Cambria Math"/>
        </w:rPr>
      </w:pPr>
    </w:p>
    <w:p w14:paraId="6EA5B762" w14:textId="77777777" w:rsidR="0044506A" w:rsidRPr="00D80D14" w:rsidRDefault="0044506A" w:rsidP="009D277F">
      <w:pPr>
        <w:pStyle w:val="Body"/>
        <w:spacing w:after="0"/>
        <w:rPr>
          <w:rFonts w:ascii="Arial" w:hAnsi="Arial" w:cs="Arial"/>
        </w:rPr>
      </w:pPr>
    </w:p>
    <w:p w14:paraId="667926C1" w14:textId="77777777" w:rsidR="00505F06" w:rsidRDefault="00D9463F" w:rsidP="00441B6F">
      <w:pPr>
        <w:pStyle w:val="Body"/>
        <w:spacing w:after="0"/>
        <w:rPr>
          <w:rFonts w:ascii="Arial" w:hAnsi="Arial" w:cs="Arial"/>
          <w:b/>
          <w:bCs/>
          <w:sz w:val="22"/>
          <w:szCs w:val="22"/>
        </w:rPr>
      </w:pPr>
      <w:r>
        <w:rPr>
          <w:rFonts w:ascii="Arial" w:hAnsi="Arial" w:cs="Arial"/>
          <w:b/>
          <w:bCs/>
          <w:sz w:val="22"/>
          <w:szCs w:val="22"/>
        </w:rPr>
        <w:t>2.8 Antibiotic Activity Analysis</w:t>
      </w:r>
    </w:p>
    <w:p w14:paraId="3C8814B4" w14:textId="77777777" w:rsidR="004340B2" w:rsidRDefault="004340B2" w:rsidP="004340B2">
      <w:pPr>
        <w:jc w:val="both"/>
        <w:rPr>
          <w:rFonts w:ascii="Arial" w:hAnsi="Arial" w:cs="Arial"/>
        </w:rPr>
      </w:pPr>
    </w:p>
    <w:p w14:paraId="30F48D0B" w14:textId="27C9EBD4" w:rsidR="004340B2" w:rsidRDefault="00827730" w:rsidP="004340B2">
      <w:pPr>
        <w:jc w:val="both"/>
        <w:rPr>
          <w:rFonts w:ascii="Arial" w:hAnsi="Arial" w:cs="Arial"/>
        </w:rPr>
      </w:pPr>
      <w:r w:rsidRPr="00827730">
        <w:rPr>
          <w:rFonts w:ascii="Arial" w:hAnsi="Arial" w:cs="Arial"/>
        </w:rPr>
        <w:t xml:space="preserve">The antibiotic potential of the nanogels was evaluated using the process </w:t>
      </w:r>
      <w:r w:rsidR="004340B2">
        <w:rPr>
          <w:rFonts w:ascii="Arial" w:hAnsi="Arial" w:cs="Arial"/>
        </w:rPr>
        <w:t>of</w:t>
      </w:r>
      <w:r w:rsidRPr="00827730">
        <w:rPr>
          <w:rFonts w:ascii="Arial" w:hAnsi="Arial" w:cs="Arial"/>
        </w:rPr>
        <w:t xml:space="preserve"> </w:t>
      </w:r>
      <w:r w:rsidR="009F7375">
        <w:rPr>
          <w:rFonts w:ascii="Arial" w:hAnsi="Arial" w:cs="Arial"/>
        </w:rPr>
        <w:t>(Hudzicki, 2009; Abdon et. al., 2024)</w:t>
      </w:r>
      <w:r w:rsidRPr="00827730">
        <w:rPr>
          <w:rFonts w:ascii="Arial" w:hAnsi="Arial" w:cs="Arial"/>
        </w:rPr>
        <w:t xml:space="preserve">. It involved soaking filter paper discs in the extract for 24 hours and preparing a bacterial suspension of the bacteria subject to testing. The strains were added to 9 mL of sterile distilled water to adjust </w:t>
      </w:r>
      <w:r w:rsidR="00C816EE">
        <w:rPr>
          <w:rFonts w:ascii="Arial" w:hAnsi="Arial" w:cs="Arial"/>
        </w:rPr>
        <w:t xml:space="preserve">the </w:t>
      </w:r>
      <w:r w:rsidRPr="00827730">
        <w:rPr>
          <w:rFonts w:ascii="Arial" w:hAnsi="Arial" w:cs="Arial"/>
        </w:rPr>
        <w:t xml:space="preserve">turbidity. The bacterial suspension was immersed in Mueller-Hinton agar using the Kirby-Bauer technique, ensuring that the agar fully coated the suspension. This was followed by the immersion of the filter paper discs into the agar, along with the free drug and the paper disc containing the SCG extract alone. The plates were then inverted to record the </w:t>
      </w:r>
      <w:r w:rsidR="00C816EE">
        <w:rPr>
          <w:rFonts w:ascii="Arial" w:hAnsi="Arial" w:cs="Arial"/>
        </w:rPr>
        <w:t>test specimens' inhibition zones</w:t>
      </w:r>
      <w:r w:rsidRPr="00827730">
        <w:rPr>
          <w:rFonts w:ascii="Arial" w:hAnsi="Arial" w:cs="Arial"/>
        </w:rPr>
        <w:t>.</w:t>
      </w:r>
    </w:p>
    <w:p w14:paraId="248ACD0E" w14:textId="77777777" w:rsidR="004340B2" w:rsidRPr="007D4A72" w:rsidRDefault="004340B2" w:rsidP="004340B2">
      <w:pPr>
        <w:jc w:val="both"/>
        <w:rPr>
          <w:rFonts w:ascii="Arial" w:hAnsi="Arial" w:cs="Arial"/>
        </w:rPr>
      </w:pPr>
    </w:p>
    <w:p w14:paraId="726BC863" w14:textId="77777777" w:rsidR="00371C75" w:rsidRDefault="00371C75" w:rsidP="00441B6F">
      <w:pPr>
        <w:pStyle w:val="Body"/>
        <w:spacing w:after="0"/>
        <w:rPr>
          <w:rFonts w:ascii="Arial" w:hAnsi="Arial" w:cs="Arial"/>
          <w:b/>
          <w:bCs/>
          <w:sz w:val="22"/>
          <w:szCs w:val="22"/>
        </w:rPr>
      </w:pPr>
      <w:r>
        <w:rPr>
          <w:rFonts w:ascii="Arial" w:hAnsi="Arial" w:cs="Arial"/>
          <w:b/>
          <w:bCs/>
          <w:sz w:val="22"/>
          <w:szCs w:val="22"/>
        </w:rPr>
        <w:t>2.9</w:t>
      </w:r>
      <w:r w:rsidR="0080200E">
        <w:rPr>
          <w:rFonts w:ascii="Arial" w:hAnsi="Arial" w:cs="Arial"/>
          <w:b/>
          <w:bCs/>
          <w:sz w:val="22"/>
          <w:szCs w:val="22"/>
        </w:rPr>
        <w:t xml:space="preserve"> </w:t>
      </w:r>
      <w:r w:rsidR="00022C5A">
        <w:rPr>
          <w:rFonts w:ascii="Arial" w:hAnsi="Arial" w:cs="Arial"/>
          <w:b/>
          <w:bCs/>
          <w:sz w:val="22"/>
          <w:szCs w:val="22"/>
        </w:rPr>
        <w:t>pH Testing</w:t>
      </w:r>
    </w:p>
    <w:p w14:paraId="27204750" w14:textId="77777777" w:rsidR="004340B2" w:rsidRDefault="004340B2" w:rsidP="004340B2">
      <w:pPr>
        <w:pStyle w:val="Body"/>
        <w:spacing w:after="0"/>
        <w:rPr>
          <w:rFonts w:ascii="Arial" w:hAnsi="Arial" w:cs="Arial"/>
          <w:i/>
          <w:iCs/>
        </w:rPr>
      </w:pPr>
    </w:p>
    <w:p w14:paraId="2BF38091" w14:textId="31A8786A" w:rsidR="00022C5A" w:rsidRPr="006A4F8E" w:rsidRDefault="006A4F8E" w:rsidP="004340B2">
      <w:pPr>
        <w:pStyle w:val="Body"/>
        <w:spacing w:after="0"/>
        <w:rPr>
          <w:rFonts w:ascii="Arial" w:hAnsi="Arial" w:cs="Arial"/>
        </w:rPr>
      </w:pPr>
      <w:r w:rsidRPr="006A4F8E">
        <w:rPr>
          <w:rFonts w:ascii="Arial" w:hAnsi="Arial" w:cs="Arial"/>
          <w:i/>
          <w:iCs/>
        </w:rPr>
        <w:t>C. arabica</w:t>
      </w:r>
      <w:r w:rsidRPr="006A4F8E">
        <w:rPr>
          <w:rFonts w:ascii="Arial" w:hAnsi="Arial" w:cs="Arial"/>
        </w:rPr>
        <w:t xml:space="preserve"> SCG-loaded nanogels underwent pH testing to measure their acidity and alkalinity levels to prevent the precipitation of chitosan, which becomes insoluble at a pH above 6.5 (Qin et al., 2006). This was quantified using a pH meter, where a pH level below 7 was considered acidic and above 7 was considered basic.</w:t>
      </w:r>
    </w:p>
    <w:p w14:paraId="5E0D7802" w14:textId="0868E894" w:rsidR="007D4A72" w:rsidRDefault="007D4A72" w:rsidP="00441B6F">
      <w:pPr>
        <w:pStyle w:val="Body"/>
        <w:spacing w:after="0"/>
        <w:rPr>
          <w:rFonts w:ascii="Arial" w:hAnsi="Arial" w:cs="Arial"/>
        </w:rPr>
      </w:pPr>
    </w:p>
    <w:p w14:paraId="45C1BAD2" w14:textId="77777777" w:rsidR="009772C9" w:rsidRDefault="009772C9" w:rsidP="00441B6F">
      <w:pPr>
        <w:pStyle w:val="Body"/>
        <w:spacing w:after="0"/>
        <w:rPr>
          <w:rFonts w:ascii="Arial" w:hAnsi="Arial" w:cs="Arial"/>
          <w:b/>
        </w:rPr>
      </w:pPr>
      <w:r w:rsidRPr="003C069B">
        <w:rPr>
          <w:rFonts w:ascii="Arial" w:hAnsi="Arial" w:cs="Arial"/>
          <w:b/>
          <w:bCs/>
          <w:sz w:val="22"/>
          <w:szCs w:val="22"/>
        </w:rPr>
        <w:t>2.10</w:t>
      </w:r>
      <w:r w:rsidR="003C069B" w:rsidRPr="00356D4F">
        <w:rPr>
          <w:rFonts w:ascii="Arial" w:hAnsi="Arial" w:cs="Arial"/>
          <w:b/>
          <w:bCs/>
          <w:sz w:val="24"/>
          <w:szCs w:val="24"/>
        </w:rPr>
        <w:t xml:space="preserve"> </w:t>
      </w:r>
      <w:r w:rsidR="003C069B" w:rsidRPr="00356D4F">
        <w:rPr>
          <w:rFonts w:ascii="Arial" w:hAnsi="Arial" w:cs="Arial"/>
          <w:b/>
          <w:sz w:val="22"/>
          <w:szCs w:val="22"/>
        </w:rPr>
        <w:t>Cytotoxicity Testing</w:t>
      </w:r>
    </w:p>
    <w:p w14:paraId="260798AF" w14:textId="77777777" w:rsidR="004340B2" w:rsidRDefault="004340B2" w:rsidP="004340B2">
      <w:pPr>
        <w:pStyle w:val="Body"/>
        <w:spacing w:after="0"/>
        <w:rPr>
          <w:rFonts w:ascii="Arial" w:hAnsi="Arial" w:cs="Arial"/>
        </w:rPr>
      </w:pPr>
    </w:p>
    <w:p w14:paraId="3428D8D1" w14:textId="4F8EBEC9" w:rsidR="003C069B" w:rsidRDefault="006D4E40" w:rsidP="004340B2">
      <w:pPr>
        <w:pStyle w:val="Body"/>
        <w:spacing w:after="0"/>
        <w:rPr>
          <w:rFonts w:ascii="Arial" w:hAnsi="Arial" w:cs="Arial"/>
        </w:rPr>
      </w:pPr>
      <w:r w:rsidRPr="006D4E40">
        <w:rPr>
          <w:rFonts w:ascii="Arial" w:hAnsi="Arial" w:cs="Arial"/>
        </w:rPr>
        <w:t xml:space="preserve">The formulated and loaded </w:t>
      </w:r>
      <w:r w:rsidR="00C816EE">
        <w:rPr>
          <w:rFonts w:ascii="Arial" w:hAnsi="Arial" w:cs="Arial"/>
        </w:rPr>
        <w:t>nano gel was subjected to cytotoxicity testing, utilizing the procedure of Sarah et al. (2017) or the Brine Shrimp Lethality Assay with recalibrations. Ten milligrams of SCG-loaded nano gels</w:t>
      </w:r>
      <w:r w:rsidRPr="006D4E40">
        <w:rPr>
          <w:rFonts w:ascii="Arial" w:hAnsi="Arial" w:cs="Arial"/>
        </w:rPr>
        <w:t xml:space="preserve"> were diluted in 1 mL of water to form a stock solution. Once formed, it underwent serial dilution for various concentrations (1000 ppm, 100 ppm, 10 ppm, 1 ppm), which were segregated into five labeled test tubes containing 10 brine shrimp larvae each. Dead larvae were counted 24 hours after exposure to the mixture.</w:t>
      </w:r>
    </w:p>
    <w:p w14:paraId="4872924B" w14:textId="1C00D92D" w:rsidR="007D4A72" w:rsidRDefault="007D4A72" w:rsidP="006271BB">
      <w:pPr>
        <w:pStyle w:val="Body"/>
        <w:spacing w:after="0"/>
        <w:rPr>
          <w:rFonts w:ascii="Arial" w:hAnsi="Arial" w:cs="Arial"/>
        </w:rPr>
      </w:pPr>
    </w:p>
    <w:p w14:paraId="6E6329A0" w14:textId="77777777" w:rsidR="006271BB" w:rsidRDefault="006271BB" w:rsidP="006271BB">
      <w:pPr>
        <w:pStyle w:val="Body"/>
        <w:spacing w:after="0"/>
        <w:rPr>
          <w:rFonts w:ascii="Arial" w:hAnsi="Arial" w:cs="Arial"/>
          <w:b/>
          <w:bCs/>
          <w:sz w:val="22"/>
          <w:szCs w:val="22"/>
        </w:rPr>
      </w:pPr>
      <w:r>
        <w:rPr>
          <w:rFonts w:ascii="Arial" w:hAnsi="Arial" w:cs="Arial"/>
          <w:b/>
          <w:bCs/>
          <w:sz w:val="22"/>
          <w:szCs w:val="22"/>
        </w:rPr>
        <w:t>2.11</w:t>
      </w:r>
      <w:r w:rsidR="002E2CD2">
        <w:rPr>
          <w:rFonts w:ascii="Arial" w:hAnsi="Arial" w:cs="Arial"/>
          <w:b/>
          <w:bCs/>
          <w:sz w:val="22"/>
          <w:szCs w:val="22"/>
        </w:rPr>
        <w:t xml:space="preserve"> </w:t>
      </w:r>
      <w:r w:rsidR="00172A72">
        <w:rPr>
          <w:rFonts w:ascii="Arial" w:hAnsi="Arial" w:cs="Arial"/>
          <w:b/>
          <w:bCs/>
          <w:sz w:val="22"/>
          <w:szCs w:val="22"/>
        </w:rPr>
        <w:t>Statistical Treatment of Data</w:t>
      </w:r>
    </w:p>
    <w:p w14:paraId="0C321D3A" w14:textId="77777777" w:rsidR="004340B2" w:rsidRDefault="004340B2" w:rsidP="004340B2">
      <w:pPr>
        <w:pStyle w:val="Body"/>
        <w:spacing w:after="0"/>
        <w:rPr>
          <w:rFonts w:ascii="Arial" w:hAnsi="Arial" w:cs="Arial"/>
        </w:rPr>
      </w:pPr>
    </w:p>
    <w:p w14:paraId="69DBECAE" w14:textId="05F6948F" w:rsidR="009B6563" w:rsidRDefault="00890E94" w:rsidP="006271BB">
      <w:pPr>
        <w:pStyle w:val="Body"/>
        <w:spacing w:after="0"/>
        <w:rPr>
          <w:rFonts w:ascii="Arial" w:hAnsi="Arial" w:cs="Arial"/>
          <w:b/>
          <w:bCs/>
        </w:rPr>
      </w:pPr>
      <w:r w:rsidRPr="00890E94">
        <w:rPr>
          <w:rFonts w:ascii="Arial" w:hAnsi="Arial" w:cs="Arial"/>
        </w:rPr>
        <w:t xml:space="preserve">Following expert review, the collected data underwent data analysis. The researchers utilized descriptors for the color reactions of the extracts during phytochemical analysis and applied descriptive statistics, such as percentage, mean, and standard deviation, for the presentation of the quantified data (nanogel characterization, antibiotic activity). </w:t>
      </w:r>
    </w:p>
    <w:p w14:paraId="3513C839" w14:textId="77777777" w:rsidR="007D4A72" w:rsidRDefault="007D4A72" w:rsidP="006271BB">
      <w:pPr>
        <w:pStyle w:val="Body"/>
        <w:spacing w:after="0"/>
        <w:rPr>
          <w:rFonts w:ascii="Arial" w:hAnsi="Arial" w:cs="Arial"/>
          <w:b/>
          <w:bCs/>
        </w:rPr>
      </w:pPr>
    </w:p>
    <w:p w14:paraId="4AB7BB1E" w14:textId="77777777" w:rsidR="00697E1C" w:rsidRDefault="00697E1C" w:rsidP="006271BB">
      <w:pPr>
        <w:pStyle w:val="Body"/>
        <w:spacing w:after="0"/>
        <w:rPr>
          <w:rFonts w:ascii="Arial" w:hAnsi="Arial" w:cs="Arial"/>
          <w:b/>
          <w:bCs/>
          <w:sz w:val="22"/>
          <w:szCs w:val="22"/>
        </w:rPr>
      </w:pPr>
      <w:r w:rsidRPr="00697E1C">
        <w:rPr>
          <w:rFonts w:ascii="Arial" w:hAnsi="Arial" w:cs="Arial"/>
          <w:b/>
          <w:bCs/>
          <w:sz w:val="22"/>
          <w:szCs w:val="22"/>
        </w:rPr>
        <w:t>2.13</w:t>
      </w:r>
      <w:r>
        <w:rPr>
          <w:rFonts w:ascii="Arial" w:hAnsi="Arial" w:cs="Arial"/>
          <w:b/>
          <w:bCs/>
          <w:sz w:val="22"/>
          <w:szCs w:val="22"/>
        </w:rPr>
        <w:t xml:space="preserve"> Ethical Considerations</w:t>
      </w:r>
    </w:p>
    <w:p w14:paraId="27DE6BF0" w14:textId="77777777" w:rsidR="004340B2" w:rsidRDefault="004340B2" w:rsidP="004340B2">
      <w:pPr>
        <w:pStyle w:val="Body"/>
        <w:spacing w:after="0"/>
        <w:rPr>
          <w:rFonts w:ascii="Arial" w:hAnsi="Arial" w:cs="Arial"/>
        </w:rPr>
      </w:pPr>
    </w:p>
    <w:p w14:paraId="05925AC6" w14:textId="2E69B200" w:rsidR="004C6041" w:rsidRDefault="004C6041" w:rsidP="004340B2">
      <w:pPr>
        <w:pStyle w:val="Body"/>
        <w:spacing w:after="0"/>
        <w:rPr>
          <w:rFonts w:ascii="Arial" w:hAnsi="Arial" w:cs="Arial"/>
        </w:rPr>
      </w:pPr>
      <w:r w:rsidRPr="004C6041">
        <w:rPr>
          <w:rFonts w:ascii="Arial" w:hAnsi="Arial" w:cs="Arial"/>
        </w:rPr>
        <w:t>The researchers followed the Data Privacy Act in accordance with the General Data Protection Regulation (GDPR). This study protected the confidentiality of the data collected through robust encryption, secure storage, restricted access, and a clearly defined data retention policy. The researchers ensured that the data remained transparent and controlled, avoiding any potential biases once the data was collected.</w:t>
      </w:r>
    </w:p>
    <w:p w14:paraId="5AB10E7B" w14:textId="77777777" w:rsidR="00524B70" w:rsidRPr="004C6041" w:rsidRDefault="00524B70" w:rsidP="004C6041">
      <w:pPr>
        <w:pStyle w:val="Body"/>
        <w:spacing w:after="0"/>
        <w:ind w:firstLine="720"/>
        <w:rPr>
          <w:rFonts w:ascii="Arial" w:hAnsi="Arial" w:cs="Arial"/>
        </w:rPr>
      </w:pPr>
    </w:p>
    <w:p w14:paraId="5585797F" w14:textId="77777777" w:rsidR="006D4E40" w:rsidRPr="004745B8" w:rsidRDefault="006D4E40" w:rsidP="006D4E40">
      <w:pPr>
        <w:pStyle w:val="Body"/>
        <w:spacing w:after="0"/>
        <w:ind w:firstLine="720"/>
        <w:rPr>
          <w:rFonts w:ascii="Arial" w:hAnsi="Arial" w:cs="Arial"/>
        </w:rPr>
      </w:pPr>
    </w:p>
    <w:p w14:paraId="7C92DDCA"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29539ABA" w14:textId="77777777" w:rsidR="00980444" w:rsidRDefault="00980444" w:rsidP="00441B6F">
      <w:pPr>
        <w:pStyle w:val="Head1"/>
        <w:spacing w:after="0"/>
        <w:jc w:val="both"/>
        <w:rPr>
          <w:rFonts w:ascii="Arial" w:hAnsi="Arial" w:cs="Arial"/>
        </w:rPr>
      </w:pPr>
    </w:p>
    <w:p w14:paraId="07638D4B" w14:textId="77777777" w:rsidR="00980444" w:rsidRDefault="00980444" w:rsidP="00980444">
      <w:pPr>
        <w:pStyle w:val="Body"/>
        <w:spacing w:after="0"/>
        <w:rPr>
          <w:rFonts w:ascii="Arial" w:hAnsi="Arial" w:cs="Arial"/>
          <w:b/>
          <w:bCs/>
          <w:sz w:val="22"/>
          <w:szCs w:val="22"/>
        </w:rPr>
      </w:pPr>
      <w:r>
        <w:rPr>
          <w:rFonts w:ascii="Arial" w:hAnsi="Arial" w:cs="Arial"/>
          <w:b/>
          <w:bCs/>
          <w:sz w:val="22"/>
          <w:szCs w:val="22"/>
        </w:rPr>
        <w:t>3</w:t>
      </w:r>
      <w:r w:rsidRPr="00697E1C">
        <w:rPr>
          <w:rFonts w:ascii="Arial" w:hAnsi="Arial" w:cs="Arial"/>
          <w:b/>
          <w:bCs/>
          <w:sz w:val="22"/>
          <w:szCs w:val="22"/>
        </w:rPr>
        <w:t>.1</w:t>
      </w:r>
      <w:r>
        <w:rPr>
          <w:rFonts w:ascii="Arial" w:hAnsi="Arial" w:cs="Arial"/>
          <w:b/>
          <w:bCs/>
          <w:sz w:val="22"/>
          <w:szCs w:val="22"/>
        </w:rPr>
        <w:t xml:space="preserve"> </w:t>
      </w:r>
      <w:r w:rsidR="00E530EF">
        <w:rPr>
          <w:rFonts w:ascii="Arial" w:hAnsi="Arial" w:cs="Arial"/>
          <w:b/>
          <w:bCs/>
          <w:sz w:val="22"/>
          <w:szCs w:val="22"/>
        </w:rPr>
        <w:t>Nanogel Characterization</w:t>
      </w:r>
    </w:p>
    <w:p w14:paraId="113020CF" w14:textId="77777777" w:rsidR="00980444" w:rsidRPr="00FB3A86" w:rsidRDefault="00980444" w:rsidP="00441B6F">
      <w:pPr>
        <w:pStyle w:val="Head1"/>
        <w:spacing w:after="0"/>
        <w:jc w:val="both"/>
        <w:rPr>
          <w:rFonts w:ascii="Arial" w:hAnsi="Arial" w:cs="Arial"/>
        </w:rPr>
      </w:pPr>
    </w:p>
    <w:p w14:paraId="53B84C15" w14:textId="55855859" w:rsidR="00F03BCF" w:rsidRDefault="00C645C4" w:rsidP="00F03BCF">
      <w:pPr>
        <w:pStyle w:val="Body"/>
        <w:spacing w:after="0"/>
        <w:rPr>
          <w:rFonts w:ascii="Arial" w:hAnsi="Arial" w:cs="Arial"/>
        </w:rPr>
      </w:pPr>
      <w:r w:rsidRPr="00C645C4">
        <w:rPr>
          <w:rFonts w:ascii="Arial" w:hAnsi="Arial" w:cs="Arial"/>
        </w:rPr>
        <w:t>One way to describe nanogels</w:t>
      </w:r>
      <w:r w:rsidR="00C816EE">
        <w:rPr>
          <w:rFonts w:ascii="Arial" w:hAnsi="Arial" w:cs="Arial"/>
        </w:rPr>
        <w:t xml:space="preserve"> is their versatility. They are synthesized based on their tunable architecture and properties that depend on how they are applied. Additionally, their drug delivery system is operated by tuning their physicochemical characteristics as targeting approaches (Anwar et al., 2022). In connection, the preliminary physicochemical characteristics of the nanogels</w:t>
      </w:r>
      <w:r w:rsidRPr="00C645C4">
        <w:rPr>
          <w:rFonts w:ascii="Arial" w:hAnsi="Arial" w:cs="Arial"/>
        </w:rPr>
        <w:t xml:space="preserve"> are presented in the tables below.</w:t>
      </w:r>
    </w:p>
    <w:p w14:paraId="604BB0D2" w14:textId="77777777" w:rsidR="00F03BCF" w:rsidRDefault="00F03BCF" w:rsidP="00F03BCF">
      <w:pPr>
        <w:pStyle w:val="Body"/>
        <w:spacing w:after="0"/>
        <w:rPr>
          <w:rFonts w:ascii="Arial" w:hAnsi="Arial" w:cs="Arial"/>
        </w:rPr>
      </w:pPr>
    </w:p>
    <w:p w14:paraId="52CB5768" w14:textId="4C61A4C4" w:rsidR="00F03BCF" w:rsidRDefault="00F03BCF" w:rsidP="00F03BCF">
      <w:pPr>
        <w:ind w:right="-333"/>
        <w:jc w:val="both"/>
        <w:rPr>
          <w:rFonts w:ascii="Arial" w:hAnsi="Arial" w:cs="Arial"/>
          <w:b/>
          <w:bCs/>
        </w:rPr>
      </w:pPr>
      <w:r w:rsidRPr="004340B2">
        <w:rPr>
          <w:rFonts w:ascii="Arial" w:hAnsi="Arial" w:cs="Arial"/>
          <w:b/>
          <w:bCs/>
        </w:rPr>
        <w:t>Table 1. Particle Size and Size Distribution of SCG Extract Nanogels</w:t>
      </w:r>
    </w:p>
    <w:p w14:paraId="171E2D54" w14:textId="77777777" w:rsidR="004340B2" w:rsidRPr="004340B2" w:rsidRDefault="004340B2" w:rsidP="00F03BCF">
      <w:pPr>
        <w:ind w:right="-333"/>
        <w:jc w:val="both"/>
        <w:rPr>
          <w:rFonts w:ascii="Arial" w:hAnsi="Arial" w:cs="Arial"/>
          <w:b/>
          <w:bCs/>
        </w:rPr>
      </w:pPr>
    </w:p>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58"/>
        <w:gridCol w:w="1362"/>
        <w:gridCol w:w="1363"/>
        <w:gridCol w:w="1363"/>
        <w:gridCol w:w="1584"/>
      </w:tblGrid>
      <w:tr w:rsidR="00F03BCF" w:rsidRPr="00F03BCF" w14:paraId="1B2AFB54" w14:textId="77777777" w:rsidTr="004340B2">
        <w:trPr>
          <w:trHeight w:val="705"/>
        </w:trPr>
        <w:tc>
          <w:tcPr>
            <w:tcW w:w="1418" w:type="dxa"/>
            <w:tcBorders>
              <w:top w:val="single" w:sz="12" w:space="0" w:color="auto"/>
              <w:bottom w:val="single" w:sz="12" w:space="0" w:color="auto"/>
            </w:tcBorders>
          </w:tcPr>
          <w:p w14:paraId="5DE518EE"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Mean Volume</w:t>
            </w:r>
          </w:p>
          <w:p w14:paraId="38FA4EBC"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Diameter</w:t>
            </w:r>
          </w:p>
        </w:tc>
        <w:tc>
          <w:tcPr>
            <w:tcW w:w="1258" w:type="dxa"/>
            <w:tcBorders>
              <w:top w:val="single" w:sz="12" w:space="0" w:color="auto"/>
              <w:bottom w:val="single" w:sz="12" w:space="0" w:color="auto"/>
            </w:tcBorders>
          </w:tcPr>
          <w:p w14:paraId="75AB47D4"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Mean Area</w:t>
            </w:r>
          </w:p>
          <w:p w14:paraId="46EF7F6F"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Diameter</w:t>
            </w:r>
          </w:p>
        </w:tc>
        <w:tc>
          <w:tcPr>
            <w:tcW w:w="1362" w:type="dxa"/>
            <w:tcBorders>
              <w:top w:val="single" w:sz="12" w:space="0" w:color="auto"/>
              <w:bottom w:val="single" w:sz="12" w:space="0" w:color="auto"/>
            </w:tcBorders>
          </w:tcPr>
          <w:p w14:paraId="6CF8A30F"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10</w:t>
            </w:r>
            <w:r w:rsidRPr="00F03BCF">
              <w:rPr>
                <w:rFonts w:ascii="Arial" w:hAnsi="Arial" w:cs="Arial"/>
                <w:b/>
                <w:bCs/>
                <w:sz w:val="20"/>
                <w:szCs w:val="20"/>
                <w:vertAlign w:val="superscript"/>
              </w:rPr>
              <w:t>th</w:t>
            </w:r>
          </w:p>
          <w:p w14:paraId="19945935"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Percentile</w:t>
            </w:r>
          </w:p>
        </w:tc>
        <w:tc>
          <w:tcPr>
            <w:tcW w:w="1363" w:type="dxa"/>
            <w:tcBorders>
              <w:top w:val="single" w:sz="12" w:space="0" w:color="auto"/>
              <w:bottom w:val="single" w:sz="12" w:space="0" w:color="auto"/>
            </w:tcBorders>
          </w:tcPr>
          <w:p w14:paraId="6B2F092A"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50</w:t>
            </w:r>
            <w:r w:rsidRPr="00F03BCF">
              <w:rPr>
                <w:rFonts w:ascii="Arial" w:hAnsi="Arial" w:cs="Arial"/>
                <w:b/>
                <w:bCs/>
                <w:sz w:val="20"/>
                <w:szCs w:val="20"/>
                <w:vertAlign w:val="superscript"/>
              </w:rPr>
              <w:t>th</w:t>
            </w:r>
          </w:p>
          <w:p w14:paraId="067F71F8"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Percentile</w:t>
            </w:r>
          </w:p>
        </w:tc>
        <w:tc>
          <w:tcPr>
            <w:tcW w:w="1363" w:type="dxa"/>
            <w:tcBorders>
              <w:top w:val="single" w:sz="12" w:space="0" w:color="auto"/>
              <w:bottom w:val="single" w:sz="12" w:space="0" w:color="auto"/>
            </w:tcBorders>
          </w:tcPr>
          <w:p w14:paraId="6243E52C"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90</w:t>
            </w:r>
            <w:r w:rsidRPr="00F03BCF">
              <w:rPr>
                <w:rFonts w:ascii="Arial" w:hAnsi="Arial" w:cs="Arial"/>
                <w:b/>
                <w:bCs/>
                <w:sz w:val="20"/>
                <w:szCs w:val="20"/>
                <w:vertAlign w:val="superscript"/>
              </w:rPr>
              <w:t>th</w:t>
            </w:r>
          </w:p>
          <w:p w14:paraId="61BBBE05"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Percentile</w:t>
            </w:r>
          </w:p>
        </w:tc>
        <w:tc>
          <w:tcPr>
            <w:tcW w:w="1584" w:type="dxa"/>
            <w:tcBorders>
              <w:top w:val="single" w:sz="12" w:space="0" w:color="auto"/>
              <w:bottom w:val="single" w:sz="12" w:space="0" w:color="auto"/>
            </w:tcBorders>
          </w:tcPr>
          <w:p w14:paraId="7A75BB60"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Polydispersity</w:t>
            </w:r>
          </w:p>
          <w:p w14:paraId="11A251DB"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Index</w:t>
            </w:r>
          </w:p>
        </w:tc>
      </w:tr>
      <w:tr w:rsidR="00F03BCF" w:rsidRPr="00F03BCF" w14:paraId="1484FB81" w14:textId="77777777" w:rsidTr="004340B2">
        <w:trPr>
          <w:trHeight w:val="352"/>
        </w:trPr>
        <w:tc>
          <w:tcPr>
            <w:tcW w:w="1418" w:type="dxa"/>
            <w:tcBorders>
              <w:top w:val="single" w:sz="12" w:space="0" w:color="auto"/>
              <w:bottom w:val="single" w:sz="12" w:space="0" w:color="auto"/>
            </w:tcBorders>
          </w:tcPr>
          <w:p w14:paraId="5AF884E7" w14:textId="77777777" w:rsidR="00F03BCF" w:rsidRPr="00F03BCF" w:rsidRDefault="00F03BCF" w:rsidP="001177CD">
            <w:pPr>
              <w:ind w:right="-333"/>
              <w:jc w:val="both"/>
              <w:rPr>
                <w:rFonts w:ascii="Arial" w:hAnsi="Arial" w:cs="Arial"/>
                <w:sz w:val="20"/>
                <w:szCs w:val="20"/>
              </w:rPr>
            </w:pPr>
            <w:r w:rsidRPr="00F03BCF">
              <w:rPr>
                <w:rFonts w:ascii="Arial" w:hAnsi="Arial" w:cs="Arial"/>
                <w:sz w:val="20"/>
                <w:szCs w:val="20"/>
              </w:rPr>
              <w:t>5490 nm</w:t>
            </w:r>
          </w:p>
        </w:tc>
        <w:tc>
          <w:tcPr>
            <w:tcW w:w="1258" w:type="dxa"/>
            <w:tcBorders>
              <w:top w:val="single" w:sz="12" w:space="0" w:color="auto"/>
              <w:bottom w:val="single" w:sz="12" w:space="0" w:color="auto"/>
            </w:tcBorders>
          </w:tcPr>
          <w:p w14:paraId="0B0F8563" w14:textId="77777777" w:rsidR="00F03BCF" w:rsidRPr="00F03BCF" w:rsidRDefault="00F03BCF" w:rsidP="001177CD">
            <w:pPr>
              <w:ind w:right="-333"/>
              <w:jc w:val="both"/>
              <w:rPr>
                <w:rFonts w:ascii="Arial" w:hAnsi="Arial" w:cs="Arial"/>
                <w:sz w:val="20"/>
                <w:szCs w:val="20"/>
              </w:rPr>
            </w:pPr>
            <w:r w:rsidRPr="00F03BCF">
              <w:rPr>
                <w:rFonts w:ascii="Arial" w:hAnsi="Arial" w:cs="Arial"/>
                <w:sz w:val="20"/>
                <w:szCs w:val="20"/>
              </w:rPr>
              <w:t>5390 nm</w:t>
            </w:r>
          </w:p>
        </w:tc>
        <w:tc>
          <w:tcPr>
            <w:tcW w:w="1362" w:type="dxa"/>
            <w:tcBorders>
              <w:top w:val="single" w:sz="12" w:space="0" w:color="auto"/>
              <w:bottom w:val="single" w:sz="12" w:space="0" w:color="auto"/>
            </w:tcBorders>
          </w:tcPr>
          <w:p w14:paraId="6D7CD6EB" w14:textId="77777777" w:rsidR="00F03BCF" w:rsidRPr="00F03BCF" w:rsidRDefault="00F03BCF" w:rsidP="001177CD">
            <w:pPr>
              <w:ind w:right="-333"/>
              <w:jc w:val="both"/>
              <w:rPr>
                <w:rFonts w:ascii="Arial" w:hAnsi="Arial" w:cs="Arial"/>
                <w:sz w:val="20"/>
                <w:szCs w:val="20"/>
              </w:rPr>
            </w:pPr>
            <w:r w:rsidRPr="00F03BCF">
              <w:rPr>
                <w:rFonts w:ascii="Arial" w:hAnsi="Arial" w:cs="Arial"/>
                <w:sz w:val="20"/>
                <w:szCs w:val="20"/>
              </w:rPr>
              <w:t>4470 nm</w:t>
            </w:r>
          </w:p>
        </w:tc>
        <w:tc>
          <w:tcPr>
            <w:tcW w:w="1363" w:type="dxa"/>
            <w:tcBorders>
              <w:top w:val="single" w:sz="12" w:space="0" w:color="auto"/>
              <w:bottom w:val="single" w:sz="12" w:space="0" w:color="auto"/>
            </w:tcBorders>
          </w:tcPr>
          <w:p w14:paraId="694DD8CC" w14:textId="77777777" w:rsidR="00F03BCF" w:rsidRPr="00F03BCF" w:rsidRDefault="00F03BCF" w:rsidP="001177CD">
            <w:pPr>
              <w:ind w:right="-333"/>
              <w:jc w:val="both"/>
              <w:rPr>
                <w:rFonts w:ascii="Arial" w:hAnsi="Arial" w:cs="Arial"/>
                <w:sz w:val="20"/>
                <w:szCs w:val="20"/>
              </w:rPr>
            </w:pPr>
            <w:r w:rsidRPr="00F03BCF">
              <w:rPr>
                <w:rFonts w:ascii="Arial" w:hAnsi="Arial" w:cs="Arial"/>
                <w:sz w:val="20"/>
                <w:szCs w:val="20"/>
              </w:rPr>
              <w:t>5640 nm</w:t>
            </w:r>
          </w:p>
        </w:tc>
        <w:tc>
          <w:tcPr>
            <w:tcW w:w="1363" w:type="dxa"/>
            <w:tcBorders>
              <w:top w:val="single" w:sz="12" w:space="0" w:color="auto"/>
              <w:bottom w:val="single" w:sz="12" w:space="0" w:color="auto"/>
            </w:tcBorders>
          </w:tcPr>
          <w:p w14:paraId="6A830BCF" w14:textId="77777777" w:rsidR="00F03BCF" w:rsidRPr="00F03BCF" w:rsidRDefault="00F03BCF" w:rsidP="001177CD">
            <w:pPr>
              <w:ind w:right="-333"/>
              <w:jc w:val="both"/>
              <w:rPr>
                <w:rFonts w:ascii="Arial" w:hAnsi="Arial" w:cs="Arial"/>
                <w:sz w:val="20"/>
                <w:szCs w:val="20"/>
              </w:rPr>
            </w:pPr>
            <w:r w:rsidRPr="00F03BCF">
              <w:rPr>
                <w:rFonts w:ascii="Arial" w:hAnsi="Arial" w:cs="Arial"/>
                <w:sz w:val="20"/>
                <w:szCs w:val="20"/>
              </w:rPr>
              <w:t>6280 nm</w:t>
            </w:r>
          </w:p>
        </w:tc>
        <w:tc>
          <w:tcPr>
            <w:tcW w:w="1584" w:type="dxa"/>
            <w:tcBorders>
              <w:top w:val="single" w:sz="12" w:space="0" w:color="auto"/>
              <w:bottom w:val="single" w:sz="12" w:space="0" w:color="auto"/>
            </w:tcBorders>
          </w:tcPr>
          <w:p w14:paraId="4068EE26" w14:textId="77777777" w:rsidR="00F03BCF" w:rsidRPr="00F03BCF" w:rsidRDefault="00F03BCF" w:rsidP="001177CD">
            <w:pPr>
              <w:ind w:right="-333"/>
              <w:jc w:val="both"/>
              <w:rPr>
                <w:rFonts w:ascii="Arial" w:hAnsi="Arial" w:cs="Arial"/>
                <w:sz w:val="20"/>
                <w:szCs w:val="20"/>
              </w:rPr>
            </w:pPr>
            <w:r w:rsidRPr="00F03BCF">
              <w:rPr>
                <w:rFonts w:ascii="Arial" w:hAnsi="Arial" w:cs="Arial"/>
                <w:sz w:val="20"/>
                <w:szCs w:val="20"/>
              </w:rPr>
              <w:t>0.01</w:t>
            </w:r>
          </w:p>
        </w:tc>
      </w:tr>
    </w:tbl>
    <w:p w14:paraId="6B1D0D31" w14:textId="1BD6287D" w:rsidR="004340B2" w:rsidRPr="00F03BCF" w:rsidRDefault="004340B2" w:rsidP="00F03BCF">
      <w:pPr>
        <w:ind w:right="-333"/>
        <w:jc w:val="both"/>
        <w:rPr>
          <w:rFonts w:ascii="Arial" w:hAnsi="Arial" w:cs="Arial"/>
          <w:b/>
          <w:bCs/>
        </w:rPr>
      </w:pPr>
    </w:p>
    <w:p w14:paraId="4506BD64" w14:textId="068AB8EB" w:rsidR="00F03BCF" w:rsidRPr="004340B2" w:rsidRDefault="00F03BCF" w:rsidP="00F03BCF">
      <w:pPr>
        <w:ind w:right="-333"/>
        <w:jc w:val="both"/>
        <w:rPr>
          <w:rFonts w:ascii="Arial" w:hAnsi="Arial" w:cs="Arial"/>
          <w:b/>
          <w:bCs/>
        </w:rPr>
      </w:pPr>
      <w:r w:rsidRPr="004340B2">
        <w:rPr>
          <w:rFonts w:ascii="Arial" w:hAnsi="Arial" w:cs="Arial"/>
          <w:b/>
          <w:bCs/>
        </w:rPr>
        <w:t xml:space="preserve">Table </w:t>
      </w:r>
      <w:r w:rsidR="004340B2">
        <w:rPr>
          <w:rFonts w:ascii="Arial" w:hAnsi="Arial" w:cs="Arial"/>
          <w:b/>
          <w:bCs/>
        </w:rPr>
        <w:t>2</w:t>
      </w:r>
      <w:r w:rsidRPr="004340B2">
        <w:rPr>
          <w:rFonts w:ascii="Arial" w:hAnsi="Arial" w:cs="Arial"/>
          <w:b/>
          <w:bCs/>
        </w:rPr>
        <w:t xml:space="preserve">. Characterization of SCG-loaded Nanogel (Drug Loading Capacity </w:t>
      </w:r>
    </w:p>
    <w:p w14:paraId="2E9C7B33" w14:textId="77777777" w:rsidR="00F03BCF" w:rsidRDefault="00F03BCF" w:rsidP="00F03BCF">
      <w:pPr>
        <w:ind w:right="-333"/>
        <w:jc w:val="both"/>
        <w:rPr>
          <w:rFonts w:ascii="Arial" w:hAnsi="Arial" w:cs="Arial"/>
          <w:b/>
          <w:bCs/>
        </w:rPr>
      </w:pPr>
      <w:r w:rsidRPr="004340B2">
        <w:rPr>
          <w:rFonts w:ascii="Arial" w:hAnsi="Arial" w:cs="Arial"/>
          <w:b/>
          <w:bCs/>
        </w:rPr>
        <w:t xml:space="preserve">and Encapsulation Efficiency) </w:t>
      </w:r>
    </w:p>
    <w:p w14:paraId="1DB578FE" w14:textId="77777777" w:rsidR="004340B2" w:rsidRPr="004340B2" w:rsidRDefault="004340B2" w:rsidP="00F03BCF">
      <w:pPr>
        <w:ind w:right="-333"/>
        <w:jc w:val="both"/>
        <w:rPr>
          <w:rFonts w:ascii="Arial" w:hAnsi="Arial" w:cs="Arial"/>
          <w:b/>
          <w:bCs/>
        </w:rPr>
      </w:pPr>
    </w:p>
    <w:tbl>
      <w:tblPr>
        <w:tblStyle w:val="TableGrid"/>
        <w:tblW w:w="8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8"/>
        <w:gridCol w:w="2204"/>
        <w:gridCol w:w="2041"/>
        <w:gridCol w:w="2776"/>
      </w:tblGrid>
      <w:tr w:rsidR="00F03BCF" w:rsidRPr="00F03BCF" w14:paraId="286FD726" w14:textId="77777777" w:rsidTr="008A45F3">
        <w:trPr>
          <w:trHeight w:val="323"/>
        </w:trPr>
        <w:tc>
          <w:tcPr>
            <w:tcW w:w="1288" w:type="dxa"/>
            <w:tcBorders>
              <w:top w:val="single" w:sz="12" w:space="0" w:color="auto"/>
              <w:bottom w:val="single" w:sz="12" w:space="0" w:color="auto"/>
            </w:tcBorders>
          </w:tcPr>
          <w:p w14:paraId="442F0D26"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Trial</w:t>
            </w:r>
          </w:p>
        </w:tc>
        <w:tc>
          <w:tcPr>
            <w:tcW w:w="2222" w:type="dxa"/>
            <w:gridSpan w:val="2"/>
            <w:tcBorders>
              <w:top w:val="single" w:sz="12" w:space="0" w:color="auto"/>
              <w:bottom w:val="single" w:sz="12" w:space="0" w:color="auto"/>
            </w:tcBorders>
          </w:tcPr>
          <w:p w14:paraId="5C18386E"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Absorbance</w:t>
            </w:r>
          </w:p>
        </w:tc>
        <w:tc>
          <w:tcPr>
            <w:tcW w:w="2041" w:type="dxa"/>
            <w:tcBorders>
              <w:top w:val="single" w:sz="12" w:space="0" w:color="auto"/>
              <w:bottom w:val="single" w:sz="12" w:space="0" w:color="auto"/>
            </w:tcBorders>
          </w:tcPr>
          <w:p w14:paraId="2839B4B2"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Drug</w:t>
            </w:r>
          </w:p>
          <w:p w14:paraId="48D5D73F"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Loading</w:t>
            </w:r>
          </w:p>
          <w:p w14:paraId="4EAF69C5"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Capacity</w:t>
            </w:r>
          </w:p>
          <w:p w14:paraId="3A799B42"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w:t>
            </w:r>
          </w:p>
        </w:tc>
        <w:tc>
          <w:tcPr>
            <w:tcW w:w="2776" w:type="dxa"/>
            <w:tcBorders>
              <w:top w:val="single" w:sz="12" w:space="0" w:color="auto"/>
              <w:bottom w:val="single" w:sz="12" w:space="0" w:color="auto"/>
            </w:tcBorders>
          </w:tcPr>
          <w:p w14:paraId="66461402"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Encapsulation</w:t>
            </w:r>
          </w:p>
          <w:p w14:paraId="297A732F"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Efficiency</w:t>
            </w:r>
          </w:p>
          <w:p w14:paraId="59A19F79"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w:t>
            </w:r>
          </w:p>
        </w:tc>
      </w:tr>
      <w:tr w:rsidR="00F03BCF" w:rsidRPr="00F03BCF" w14:paraId="44309CF1" w14:textId="77777777" w:rsidTr="008A45F3">
        <w:trPr>
          <w:trHeight w:val="392"/>
        </w:trPr>
        <w:tc>
          <w:tcPr>
            <w:tcW w:w="1288" w:type="dxa"/>
            <w:tcBorders>
              <w:top w:val="single" w:sz="12" w:space="0" w:color="auto"/>
              <w:bottom w:val="single" w:sz="12" w:space="0" w:color="auto"/>
            </w:tcBorders>
          </w:tcPr>
          <w:p w14:paraId="659D9FC0"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1</w:t>
            </w:r>
          </w:p>
          <w:p w14:paraId="6B066582"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2</w:t>
            </w:r>
          </w:p>
          <w:p w14:paraId="6F71277B"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3</w:t>
            </w:r>
          </w:p>
          <w:p w14:paraId="6304923E"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4</w:t>
            </w:r>
          </w:p>
          <w:p w14:paraId="416B3867"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5</w:t>
            </w:r>
          </w:p>
        </w:tc>
        <w:tc>
          <w:tcPr>
            <w:tcW w:w="2222" w:type="dxa"/>
            <w:gridSpan w:val="2"/>
            <w:tcBorders>
              <w:top w:val="single" w:sz="12" w:space="0" w:color="auto"/>
              <w:bottom w:val="single" w:sz="12" w:space="0" w:color="auto"/>
            </w:tcBorders>
          </w:tcPr>
          <w:p w14:paraId="495FA621"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0.883</w:t>
            </w:r>
          </w:p>
          <w:p w14:paraId="75750A3D"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0.883</w:t>
            </w:r>
          </w:p>
          <w:p w14:paraId="2616C697"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0.883</w:t>
            </w:r>
          </w:p>
          <w:p w14:paraId="52CD4F11"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0.883</w:t>
            </w:r>
          </w:p>
          <w:p w14:paraId="295F3291"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0.883</w:t>
            </w:r>
          </w:p>
        </w:tc>
        <w:tc>
          <w:tcPr>
            <w:tcW w:w="2041" w:type="dxa"/>
            <w:tcBorders>
              <w:top w:val="single" w:sz="12" w:space="0" w:color="auto"/>
              <w:bottom w:val="single" w:sz="12" w:space="0" w:color="auto"/>
            </w:tcBorders>
          </w:tcPr>
          <w:p w14:paraId="4423B406"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4.76%</w:t>
            </w:r>
          </w:p>
          <w:p w14:paraId="28BE31BB"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4.76%</w:t>
            </w:r>
          </w:p>
          <w:p w14:paraId="2386ADD3"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4.76%</w:t>
            </w:r>
          </w:p>
          <w:p w14:paraId="00C737CC"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4.76%</w:t>
            </w:r>
          </w:p>
          <w:p w14:paraId="75B42CCD"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4.76%</w:t>
            </w:r>
          </w:p>
        </w:tc>
        <w:tc>
          <w:tcPr>
            <w:tcW w:w="2776" w:type="dxa"/>
            <w:tcBorders>
              <w:top w:val="single" w:sz="12" w:space="0" w:color="auto"/>
              <w:bottom w:val="single" w:sz="12" w:space="0" w:color="auto"/>
            </w:tcBorders>
          </w:tcPr>
          <w:p w14:paraId="1C27AE4F"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99.77%</w:t>
            </w:r>
          </w:p>
          <w:p w14:paraId="3956D90D"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99.77%</w:t>
            </w:r>
          </w:p>
          <w:p w14:paraId="53D1A515"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99.77%</w:t>
            </w:r>
          </w:p>
          <w:p w14:paraId="2CB6FCE8"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99.77%</w:t>
            </w:r>
          </w:p>
          <w:p w14:paraId="031127CD"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99.77%</w:t>
            </w:r>
          </w:p>
        </w:tc>
      </w:tr>
      <w:tr w:rsidR="00F03BCF" w:rsidRPr="00F03BCF" w14:paraId="48D4889D" w14:textId="77777777" w:rsidTr="008A45F3">
        <w:trPr>
          <w:trHeight w:val="392"/>
        </w:trPr>
        <w:tc>
          <w:tcPr>
            <w:tcW w:w="1306" w:type="dxa"/>
            <w:gridSpan w:val="2"/>
            <w:tcBorders>
              <w:top w:val="single" w:sz="12" w:space="0" w:color="auto"/>
              <w:bottom w:val="single" w:sz="12" w:space="0" w:color="auto"/>
            </w:tcBorders>
          </w:tcPr>
          <w:p w14:paraId="1801AF9C"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 xml:space="preserve">Total </w:t>
            </w:r>
          </w:p>
          <w:p w14:paraId="13BAA6ED"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Mean</w:t>
            </w:r>
          </w:p>
        </w:tc>
        <w:tc>
          <w:tcPr>
            <w:tcW w:w="2204" w:type="dxa"/>
            <w:tcBorders>
              <w:top w:val="single" w:sz="12" w:space="0" w:color="auto"/>
              <w:bottom w:val="single" w:sz="12" w:space="0" w:color="auto"/>
            </w:tcBorders>
          </w:tcPr>
          <w:p w14:paraId="7AA28EDC"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0.883</w:t>
            </w:r>
          </w:p>
        </w:tc>
        <w:tc>
          <w:tcPr>
            <w:tcW w:w="2041" w:type="dxa"/>
            <w:tcBorders>
              <w:top w:val="single" w:sz="12" w:space="0" w:color="auto"/>
              <w:bottom w:val="single" w:sz="12" w:space="0" w:color="auto"/>
            </w:tcBorders>
          </w:tcPr>
          <w:p w14:paraId="494F9A0A"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4.76%</w:t>
            </w:r>
          </w:p>
        </w:tc>
        <w:tc>
          <w:tcPr>
            <w:tcW w:w="2776" w:type="dxa"/>
            <w:tcBorders>
              <w:top w:val="single" w:sz="12" w:space="0" w:color="auto"/>
              <w:bottom w:val="single" w:sz="12" w:space="0" w:color="auto"/>
            </w:tcBorders>
          </w:tcPr>
          <w:p w14:paraId="0DD53EBD"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99.77%</w:t>
            </w:r>
          </w:p>
        </w:tc>
      </w:tr>
    </w:tbl>
    <w:p w14:paraId="0C9B6212" w14:textId="77777777" w:rsidR="004340B2" w:rsidRDefault="004340B2" w:rsidP="004340B2">
      <w:pPr>
        <w:pStyle w:val="Body"/>
        <w:spacing w:after="0"/>
        <w:rPr>
          <w:rFonts w:ascii="Arial" w:hAnsi="Arial" w:cs="Arial"/>
          <w:lang w:eastAsia="en-GB"/>
        </w:rPr>
      </w:pPr>
    </w:p>
    <w:p w14:paraId="6E5BFA7E" w14:textId="2892120C" w:rsidR="00DE4A59" w:rsidRDefault="003E0E14" w:rsidP="004340B2">
      <w:pPr>
        <w:pStyle w:val="Body"/>
        <w:spacing w:after="0"/>
        <w:rPr>
          <w:rFonts w:ascii="Arial" w:hAnsi="Arial" w:cs="Arial"/>
          <w:lang w:eastAsia="en-GB"/>
        </w:rPr>
      </w:pPr>
      <w:r w:rsidRPr="003E0E14">
        <w:rPr>
          <w:rFonts w:ascii="Arial" w:hAnsi="Arial" w:cs="Arial"/>
          <w:lang w:eastAsia="en-GB"/>
        </w:rPr>
        <w:t xml:space="preserve">Table 1 presents the particle size, size distribution, drug loading capacity, and encapsulation efficiency of the nanogel loaded with </w:t>
      </w:r>
      <w:r w:rsidRPr="00933879">
        <w:rPr>
          <w:rFonts w:ascii="Arial" w:hAnsi="Arial" w:cs="Arial"/>
          <w:i/>
          <w:iCs/>
          <w:lang w:eastAsia="en-GB"/>
        </w:rPr>
        <w:t>C. arabica</w:t>
      </w:r>
      <w:r w:rsidRPr="003E0E14">
        <w:rPr>
          <w:rFonts w:ascii="Arial" w:hAnsi="Arial" w:cs="Arial"/>
          <w:lang w:eastAsia="en-GB"/>
        </w:rPr>
        <w:t xml:space="preserve"> SCG extract. The particle </w:t>
      </w:r>
      <w:r w:rsidR="00C816EE">
        <w:rPr>
          <w:rFonts w:ascii="Arial" w:hAnsi="Arial" w:cs="Arial"/>
          <w:lang w:eastAsia="en-GB"/>
        </w:rPr>
        <w:t>sizes across all percentile ranks were listed at 4470 nm, 5640 nm, and 6280 nm, respectively, which were</w:t>
      </w:r>
      <w:r w:rsidRPr="003E0E14">
        <w:rPr>
          <w:rFonts w:ascii="Arial" w:hAnsi="Arial" w:cs="Arial"/>
          <w:lang w:eastAsia="en-GB"/>
        </w:rPr>
        <w:t xml:space="preserve"> higher </w:t>
      </w:r>
      <w:r w:rsidR="004340B2">
        <w:rPr>
          <w:rFonts w:ascii="Arial" w:hAnsi="Arial" w:cs="Arial"/>
          <w:lang w:eastAsia="en-GB"/>
        </w:rPr>
        <w:t>than</w:t>
      </w:r>
      <w:r w:rsidRPr="003E0E14">
        <w:rPr>
          <w:rFonts w:ascii="Arial" w:hAnsi="Arial" w:cs="Arial"/>
          <w:lang w:eastAsia="en-GB"/>
        </w:rPr>
        <w:t xml:space="preserve"> </w:t>
      </w:r>
      <w:r w:rsidR="004340B2">
        <w:rPr>
          <w:rFonts w:ascii="Arial" w:hAnsi="Arial" w:cs="Arial"/>
          <w:lang w:eastAsia="en-GB"/>
        </w:rPr>
        <w:t xml:space="preserve">the </w:t>
      </w:r>
      <w:r w:rsidRPr="003E0E14">
        <w:rPr>
          <w:rFonts w:ascii="Arial" w:hAnsi="Arial" w:cs="Arial"/>
          <w:lang w:eastAsia="en-GB"/>
        </w:rPr>
        <w:t>range</w:t>
      </w:r>
      <w:r w:rsidR="004340B2">
        <w:rPr>
          <w:rFonts w:ascii="Arial" w:hAnsi="Arial" w:cs="Arial"/>
          <w:lang w:eastAsia="en-GB"/>
        </w:rPr>
        <w:t>. The</w:t>
      </w:r>
      <w:r w:rsidRPr="003E0E14">
        <w:rPr>
          <w:rFonts w:ascii="Arial" w:hAnsi="Arial" w:cs="Arial"/>
          <w:lang w:eastAsia="en-GB"/>
        </w:rPr>
        <w:t xml:space="preserve"> polydispersity index is at 0.01, indicating that the particle size is relatively uniform. This could be attributed to factors such as potential aggregation in storage or molecular swelling</w:t>
      </w:r>
      <w:r w:rsidR="00C816EE">
        <w:rPr>
          <w:rFonts w:ascii="Arial" w:hAnsi="Arial" w:cs="Arial"/>
          <w:lang w:eastAsia="en-GB"/>
        </w:rPr>
        <w:t>,</w:t>
      </w:r>
      <w:r w:rsidRPr="003E0E14">
        <w:rPr>
          <w:rFonts w:ascii="Arial" w:hAnsi="Arial" w:cs="Arial"/>
          <w:lang w:eastAsia="en-GB"/>
        </w:rPr>
        <w:t xml:space="preserve"> as well as unavailability of equipment in the formulation process (Huang et. al., 2017). Meanwhile, Table </w:t>
      </w:r>
      <w:r w:rsidR="004340B2">
        <w:rPr>
          <w:rFonts w:ascii="Arial" w:hAnsi="Arial" w:cs="Arial"/>
          <w:lang w:eastAsia="en-GB"/>
        </w:rPr>
        <w:t>2</w:t>
      </w:r>
      <w:r w:rsidRPr="003E0E14">
        <w:rPr>
          <w:rFonts w:ascii="Arial" w:hAnsi="Arial" w:cs="Arial"/>
          <w:lang w:eastAsia="en-GB"/>
        </w:rPr>
        <w:t xml:space="preserve"> presents that the nanogels demonstrated an absorbance of 0.883, therefore exhibiting drug loading capacity across all 5 trials at 4.76%, while encapsulation efficiency is at 99.77%.</w:t>
      </w:r>
    </w:p>
    <w:p w14:paraId="306F8B34" w14:textId="77777777" w:rsidR="004340B2" w:rsidRDefault="004340B2" w:rsidP="004340B2">
      <w:pPr>
        <w:pStyle w:val="Body"/>
        <w:spacing w:after="0"/>
        <w:rPr>
          <w:rFonts w:ascii="Arial" w:hAnsi="Arial" w:cs="Arial"/>
          <w:lang w:eastAsia="en-GB"/>
        </w:rPr>
      </w:pPr>
    </w:p>
    <w:p w14:paraId="40954201" w14:textId="2FAD37E3" w:rsidR="00DE4A59" w:rsidRPr="000A5EF8" w:rsidRDefault="00755BF1" w:rsidP="004340B2">
      <w:pPr>
        <w:pStyle w:val="Body"/>
        <w:spacing w:after="0"/>
        <w:rPr>
          <w:rFonts w:ascii="Arial" w:hAnsi="Arial" w:cs="Arial"/>
          <w:lang w:eastAsia="en-GB"/>
        </w:rPr>
      </w:pPr>
      <w:r w:rsidRPr="000A5EF8">
        <w:rPr>
          <w:rFonts w:ascii="Arial" w:hAnsi="Arial" w:cs="Arial"/>
          <w:lang w:eastAsia="en-GB"/>
        </w:rPr>
        <w:t>Though nanogels</w:t>
      </w:r>
      <w:r w:rsidR="004340B2">
        <w:rPr>
          <w:rFonts w:ascii="Arial" w:hAnsi="Arial" w:cs="Arial"/>
          <w:lang w:eastAsia="en-GB"/>
        </w:rPr>
        <w:t xml:space="preserve"> </w:t>
      </w:r>
      <w:r w:rsidRPr="000A5EF8">
        <w:rPr>
          <w:rFonts w:ascii="Arial" w:hAnsi="Arial" w:cs="Arial"/>
          <w:lang w:eastAsia="en-GB"/>
        </w:rPr>
        <w:t xml:space="preserve">carry out the </w:t>
      </w:r>
      <w:r w:rsidR="00C816EE">
        <w:rPr>
          <w:rFonts w:ascii="Arial" w:hAnsi="Arial" w:cs="Arial"/>
          <w:lang w:eastAsia="en-GB"/>
        </w:rPr>
        <w:t xml:space="preserve">advantages of the conventional drug delivery systems, there is still </w:t>
      </w:r>
      <w:r w:rsidRPr="000A5EF8">
        <w:rPr>
          <w:rFonts w:ascii="Arial" w:hAnsi="Arial" w:cs="Arial"/>
          <w:lang w:eastAsia="en-GB"/>
        </w:rPr>
        <w:t>room for addressing certain limitations, including the scalability of the product as well as the traditional reproduction and manufacturing</w:t>
      </w:r>
      <w:r w:rsidR="009E783F">
        <w:rPr>
          <w:rFonts w:ascii="Arial" w:hAnsi="Arial" w:cs="Arial"/>
          <w:lang w:eastAsia="en-GB"/>
        </w:rPr>
        <w:t xml:space="preserve"> </w:t>
      </w:r>
      <w:r w:rsidR="00E9798C">
        <w:rPr>
          <w:rFonts w:ascii="Arial" w:hAnsi="Arial" w:cs="Arial"/>
          <w:lang w:eastAsia="en-GB"/>
        </w:rPr>
        <w:t>(Gupta and Sharma, 2025)</w:t>
      </w:r>
      <w:r w:rsidRPr="000A5EF8">
        <w:rPr>
          <w:rFonts w:ascii="Arial" w:hAnsi="Arial" w:cs="Arial"/>
          <w:lang w:eastAsia="en-GB"/>
        </w:rPr>
        <w:t>. These factors are then brought about by the availability and</w:t>
      </w:r>
      <w:r w:rsidR="00DE228D">
        <w:rPr>
          <w:rFonts w:ascii="Arial" w:hAnsi="Arial" w:cs="Arial"/>
          <w:lang w:eastAsia="en-GB"/>
        </w:rPr>
        <w:t xml:space="preserve"> quality of materials and the formulation process (Taha et. al., 2022)</w:t>
      </w:r>
      <w:r w:rsidRPr="000A5EF8">
        <w:rPr>
          <w:rFonts w:ascii="Arial" w:hAnsi="Arial" w:cs="Arial"/>
          <w:lang w:eastAsia="en-GB"/>
        </w:rPr>
        <w:t xml:space="preserve">. Moreover, the optimization of nanogel particle size </w:t>
      </w:r>
      <w:r w:rsidR="00586E67">
        <w:rPr>
          <w:rFonts w:ascii="Arial" w:hAnsi="Arial" w:cs="Arial"/>
          <w:lang w:eastAsia="en-GB"/>
        </w:rPr>
        <w:t xml:space="preserve">depends on the power and time of the ultrasonic </w:t>
      </w:r>
      <w:proofErr w:type="gramStart"/>
      <w:r w:rsidR="00586E67">
        <w:rPr>
          <w:rFonts w:ascii="Arial" w:hAnsi="Arial" w:cs="Arial"/>
          <w:lang w:eastAsia="en-GB"/>
        </w:rPr>
        <w:t>waves</w:t>
      </w:r>
      <w:proofErr w:type="gramEnd"/>
      <w:r w:rsidR="00586E67">
        <w:rPr>
          <w:rFonts w:ascii="Arial" w:hAnsi="Arial" w:cs="Arial"/>
          <w:lang w:eastAsia="en-GB"/>
        </w:rPr>
        <w:t xml:space="preserve"> transmission</w:t>
      </w:r>
      <w:r w:rsidR="00E9798C">
        <w:rPr>
          <w:rFonts w:ascii="Arial" w:hAnsi="Arial" w:cs="Arial"/>
          <w:lang w:eastAsia="en-GB"/>
        </w:rPr>
        <w:t xml:space="preserve"> (</w:t>
      </w:r>
      <w:r w:rsidR="00586E67">
        <w:rPr>
          <w:rFonts w:ascii="Arial" w:hAnsi="Arial" w:cs="Arial"/>
          <w:lang w:eastAsia="en-GB"/>
        </w:rPr>
        <w:t>Ruiz</w:t>
      </w:r>
      <w:r w:rsidR="00E9798C">
        <w:rPr>
          <w:rFonts w:ascii="Arial" w:hAnsi="Arial" w:cs="Arial"/>
          <w:lang w:eastAsia="en-GB"/>
        </w:rPr>
        <w:t xml:space="preserve"> et. al., 2022)</w:t>
      </w:r>
      <w:r w:rsidRPr="000A5EF8">
        <w:rPr>
          <w:rFonts w:ascii="Arial" w:hAnsi="Arial" w:cs="Arial"/>
          <w:lang w:eastAsia="en-GB"/>
        </w:rPr>
        <w:t xml:space="preserve">. </w:t>
      </w:r>
    </w:p>
    <w:p w14:paraId="3911FCAD" w14:textId="77777777" w:rsidR="00DE4A59" w:rsidRPr="000A5EF8" w:rsidRDefault="00DE4A59" w:rsidP="00DE4A59">
      <w:pPr>
        <w:pStyle w:val="Body"/>
        <w:spacing w:after="0"/>
        <w:ind w:firstLine="720"/>
        <w:rPr>
          <w:rFonts w:ascii="Arial" w:hAnsi="Arial" w:cs="Arial"/>
          <w:lang w:eastAsia="en-GB"/>
        </w:rPr>
      </w:pPr>
    </w:p>
    <w:p w14:paraId="1B66A9AB" w14:textId="589AC501" w:rsidR="00E9798C" w:rsidRDefault="00755BF1" w:rsidP="004340B2">
      <w:pPr>
        <w:pStyle w:val="Body"/>
        <w:spacing w:after="0"/>
        <w:rPr>
          <w:rFonts w:ascii="Arial" w:hAnsi="Arial" w:cs="Arial"/>
          <w:lang w:eastAsia="en-GB"/>
        </w:rPr>
      </w:pPr>
      <w:r w:rsidRPr="000A5EF8">
        <w:rPr>
          <w:rFonts w:ascii="Arial" w:hAnsi="Arial" w:cs="Arial"/>
          <w:lang w:eastAsia="en-GB"/>
        </w:rPr>
        <w:t xml:space="preserve">Moreover, the average drug loading capacity and the high encapsulation efficiency indicate acceptable incorporation of the SCG extract into the nanogels, Similarly, </w:t>
      </w:r>
      <w:r w:rsidR="00F95604">
        <w:rPr>
          <w:rFonts w:ascii="Arial" w:hAnsi="Arial" w:cs="Arial"/>
          <w:lang w:eastAsia="en-GB"/>
        </w:rPr>
        <w:t xml:space="preserve">also </w:t>
      </w:r>
      <w:r w:rsidRPr="000A5EF8">
        <w:rPr>
          <w:rFonts w:ascii="Arial" w:hAnsi="Arial" w:cs="Arial"/>
          <w:lang w:eastAsia="en-GB"/>
        </w:rPr>
        <w:t xml:space="preserve">in the study of </w:t>
      </w:r>
      <w:r w:rsidR="00F95604">
        <w:rPr>
          <w:rFonts w:ascii="Arial" w:hAnsi="Arial" w:cs="Arial"/>
          <w:lang w:eastAsia="en-GB"/>
        </w:rPr>
        <w:lastRenderedPageBreak/>
        <w:t>Anwar</w:t>
      </w:r>
      <w:r w:rsidR="00E9798C">
        <w:rPr>
          <w:rFonts w:ascii="Arial" w:hAnsi="Arial" w:cs="Arial"/>
          <w:lang w:eastAsia="en-GB"/>
        </w:rPr>
        <w:t xml:space="preserve"> et. </w:t>
      </w:r>
      <w:proofErr w:type="gramStart"/>
      <w:r w:rsidR="00E9798C">
        <w:rPr>
          <w:rFonts w:ascii="Arial" w:hAnsi="Arial" w:cs="Arial"/>
          <w:lang w:eastAsia="en-GB"/>
        </w:rPr>
        <w:t>al</w:t>
      </w:r>
      <w:proofErr w:type="gramEnd"/>
      <w:r w:rsidR="00E9798C">
        <w:rPr>
          <w:rFonts w:ascii="Arial" w:hAnsi="Arial" w:cs="Arial"/>
          <w:lang w:eastAsia="en-GB"/>
        </w:rPr>
        <w:t xml:space="preserve"> (202</w:t>
      </w:r>
      <w:r w:rsidR="00F95604">
        <w:rPr>
          <w:rFonts w:ascii="Arial" w:hAnsi="Arial" w:cs="Arial"/>
          <w:lang w:eastAsia="en-GB"/>
        </w:rPr>
        <w:t>2</w:t>
      </w:r>
      <w:r w:rsidR="00E9798C">
        <w:rPr>
          <w:rFonts w:ascii="Arial" w:hAnsi="Arial" w:cs="Arial"/>
          <w:lang w:eastAsia="en-GB"/>
        </w:rPr>
        <w:t>)</w:t>
      </w:r>
      <w:r w:rsidRPr="000A5EF8">
        <w:rPr>
          <w:rFonts w:ascii="Arial" w:hAnsi="Arial" w:cs="Arial"/>
          <w:lang w:eastAsia="en-GB"/>
        </w:rPr>
        <w:t xml:space="preserve">, the increase in encapsulation efficiency of the </w:t>
      </w:r>
      <w:proofErr w:type="spellStart"/>
      <w:r w:rsidRPr="000A5EF8">
        <w:rPr>
          <w:rFonts w:ascii="Arial" w:hAnsi="Arial" w:cs="Arial"/>
          <w:lang w:eastAsia="en-GB"/>
        </w:rPr>
        <w:t>nan</w:t>
      </w:r>
      <w:r w:rsidR="00D06FCD">
        <w:rPr>
          <w:rFonts w:ascii="Arial" w:hAnsi="Arial" w:cs="Arial"/>
          <w:lang w:eastAsia="en-GB"/>
        </w:rPr>
        <w:t>o</w:t>
      </w:r>
      <w:r w:rsidR="00147571">
        <w:rPr>
          <w:rFonts w:ascii="Arial" w:hAnsi="Arial" w:cs="Arial"/>
          <w:lang w:eastAsia="en-GB"/>
        </w:rPr>
        <w:t>gels</w:t>
      </w:r>
      <w:proofErr w:type="spellEnd"/>
      <w:r w:rsidRPr="000A5EF8">
        <w:rPr>
          <w:rFonts w:ascii="Arial" w:hAnsi="Arial" w:cs="Arial"/>
          <w:lang w:eastAsia="en-GB"/>
        </w:rPr>
        <w:t xml:space="preserve"> were observed due to their hydrophilic state as well as of the loaded drug. In addition, the water solubility of nanogels and the drug </w:t>
      </w:r>
      <w:r w:rsidR="00C816EE">
        <w:rPr>
          <w:rFonts w:ascii="Arial" w:hAnsi="Arial" w:cs="Arial"/>
          <w:lang w:eastAsia="en-GB"/>
        </w:rPr>
        <w:t>was also attributed to the high crosslinking and</w:t>
      </w:r>
      <w:r w:rsidRPr="000A5EF8">
        <w:rPr>
          <w:rFonts w:ascii="Arial" w:hAnsi="Arial" w:cs="Arial"/>
          <w:lang w:eastAsia="en-GB"/>
        </w:rPr>
        <w:t xml:space="preserve"> density of the nanogel network.</w:t>
      </w:r>
      <w:r w:rsidR="00976B90">
        <w:rPr>
          <w:rFonts w:ascii="Arial" w:hAnsi="Arial" w:cs="Arial"/>
          <w:lang w:eastAsia="en-GB"/>
        </w:rPr>
        <w:t xml:space="preserve"> Meanwhile, the low drug loading capacity can be attributed to factors such as the total mass of the extract loaded into the nanogel, which </w:t>
      </w:r>
      <w:r w:rsidR="00C816EE">
        <w:rPr>
          <w:rFonts w:ascii="Arial" w:hAnsi="Arial" w:cs="Arial"/>
          <w:lang w:eastAsia="en-GB"/>
        </w:rPr>
        <w:t>is</w:t>
      </w:r>
      <w:r w:rsidR="00976B90">
        <w:rPr>
          <w:rFonts w:ascii="Arial" w:hAnsi="Arial" w:cs="Arial"/>
          <w:lang w:eastAsia="en-GB"/>
        </w:rPr>
        <w:t xml:space="preserve"> directly proportional to each other (Shen et. al., 2017).</w:t>
      </w:r>
    </w:p>
    <w:p w14:paraId="037E526C" w14:textId="77777777" w:rsidR="00E9798C" w:rsidRDefault="00E9798C" w:rsidP="004340B2">
      <w:pPr>
        <w:pStyle w:val="Body"/>
        <w:spacing w:after="0"/>
        <w:rPr>
          <w:rFonts w:ascii="Arial" w:hAnsi="Arial" w:cs="Arial"/>
          <w:lang w:eastAsia="en-GB"/>
        </w:rPr>
      </w:pPr>
    </w:p>
    <w:p w14:paraId="14B21550" w14:textId="06B98D5A" w:rsidR="008B1E90" w:rsidRDefault="00755BF1" w:rsidP="004340B2">
      <w:pPr>
        <w:pStyle w:val="Body"/>
        <w:spacing w:after="0"/>
        <w:rPr>
          <w:rFonts w:ascii="Arial" w:hAnsi="Arial" w:cs="Arial"/>
          <w:lang w:eastAsia="en-GB"/>
        </w:rPr>
      </w:pPr>
      <w:r w:rsidRPr="000A5EF8">
        <w:rPr>
          <w:rFonts w:ascii="Arial" w:hAnsi="Arial" w:cs="Arial"/>
          <w:lang w:eastAsia="en-GB"/>
        </w:rPr>
        <w:t xml:space="preserve">In the study of </w:t>
      </w:r>
      <w:r w:rsidR="00976B90">
        <w:rPr>
          <w:rFonts w:ascii="Arial" w:hAnsi="Arial" w:cs="Arial"/>
          <w:lang w:eastAsia="en-GB"/>
        </w:rPr>
        <w:t xml:space="preserve">Fernandez-Solis </w:t>
      </w:r>
      <w:r w:rsidR="00C816EE">
        <w:rPr>
          <w:rFonts w:ascii="Arial" w:hAnsi="Arial" w:cs="Arial"/>
          <w:lang w:eastAsia="en-GB"/>
        </w:rPr>
        <w:t xml:space="preserve">et al. (2024), the use of chitosan and other naturally sourced polymers in the synthesis of the nanogels provided an efficient drug delivery system, utilized in the transport of free drugs such as methotrexate, doxorubicin, fluorouracil, and pravastatin. More notably, the delivery of amoxicillin was also explored in the study of </w:t>
      </w:r>
      <w:proofErr w:type="spellStart"/>
      <w:r w:rsidR="00C816EE">
        <w:rPr>
          <w:rFonts w:ascii="Arial" w:hAnsi="Arial" w:cs="Arial"/>
          <w:lang w:eastAsia="en-GB"/>
        </w:rPr>
        <w:t>Mardikasari</w:t>
      </w:r>
      <w:proofErr w:type="spellEnd"/>
      <w:r w:rsidR="00C816EE">
        <w:rPr>
          <w:rFonts w:ascii="Arial" w:hAnsi="Arial" w:cs="Arial"/>
          <w:lang w:eastAsia="en-GB"/>
        </w:rPr>
        <w:t xml:space="preserve"> et</w:t>
      </w:r>
      <w:r w:rsidR="00976B90">
        <w:rPr>
          <w:rFonts w:ascii="Arial" w:hAnsi="Arial" w:cs="Arial"/>
          <w:lang w:eastAsia="en-GB"/>
        </w:rPr>
        <w:t xml:space="preserve"> al. (20</w:t>
      </w:r>
      <w:r w:rsidR="00544E38">
        <w:rPr>
          <w:rFonts w:ascii="Arial" w:hAnsi="Arial" w:cs="Arial"/>
          <w:lang w:eastAsia="en-GB"/>
        </w:rPr>
        <w:t>22</w:t>
      </w:r>
      <w:r w:rsidR="00976B90">
        <w:rPr>
          <w:rFonts w:ascii="Arial" w:hAnsi="Arial" w:cs="Arial"/>
          <w:lang w:eastAsia="en-GB"/>
        </w:rPr>
        <w:t>)</w:t>
      </w:r>
      <w:r w:rsidR="003C69A3">
        <w:rPr>
          <w:rFonts w:ascii="Arial" w:hAnsi="Arial" w:cs="Arial"/>
          <w:lang w:eastAsia="en-GB"/>
        </w:rPr>
        <w:t xml:space="preserve"> to regulate a slow and sustained drug release</w:t>
      </w:r>
      <w:r w:rsidR="00976B90">
        <w:rPr>
          <w:rFonts w:ascii="Arial" w:hAnsi="Arial" w:cs="Arial"/>
          <w:lang w:eastAsia="en-GB"/>
        </w:rPr>
        <w:t>.</w:t>
      </w:r>
    </w:p>
    <w:p w14:paraId="24293863" w14:textId="58D3CF3F" w:rsidR="00BC0DD3" w:rsidRDefault="00BC0DD3" w:rsidP="00BC0DD3">
      <w:pPr>
        <w:pStyle w:val="Body"/>
        <w:spacing w:after="0"/>
        <w:rPr>
          <w:rFonts w:ascii="Arial" w:hAnsi="Arial" w:cs="Arial"/>
          <w:lang w:eastAsia="en-GB"/>
        </w:rPr>
      </w:pPr>
    </w:p>
    <w:p w14:paraId="5C64FBBD" w14:textId="77F0EE5A" w:rsidR="000C5364" w:rsidRDefault="00330E2C" w:rsidP="000C5364">
      <w:pPr>
        <w:pStyle w:val="Body"/>
        <w:spacing w:after="0"/>
        <w:rPr>
          <w:rFonts w:ascii="Arial" w:hAnsi="Arial" w:cs="Arial"/>
          <w:b/>
          <w:bCs/>
          <w:sz w:val="22"/>
          <w:szCs w:val="22"/>
        </w:rPr>
      </w:pPr>
      <w:r w:rsidRPr="00B00D80">
        <w:rPr>
          <w:rFonts w:ascii="Arial" w:hAnsi="Arial" w:cs="Arial"/>
          <w:b/>
          <w:bCs/>
          <w:sz w:val="22"/>
          <w:szCs w:val="22"/>
        </w:rPr>
        <w:t xml:space="preserve">3.2 </w:t>
      </w:r>
      <w:r w:rsidR="00B00D80" w:rsidRPr="00B00D80">
        <w:rPr>
          <w:rFonts w:ascii="Arial" w:hAnsi="Arial" w:cs="Arial"/>
          <w:b/>
          <w:bCs/>
          <w:sz w:val="22"/>
          <w:szCs w:val="22"/>
        </w:rPr>
        <w:t xml:space="preserve">Antibiotic Activity of </w:t>
      </w:r>
      <w:r w:rsidR="00C816EE">
        <w:rPr>
          <w:rFonts w:ascii="Arial" w:hAnsi="Arial" w:cs="Arial"/>
          <w:b/>
          <w:bCs/>
          <w:sz w:val="22"/>
          <w:szCs w:val="22"/>
        </w:rPr>
        <w:t>SCG-Loaded</w:t>
      </w:r>
      <w:r w:rsidR="00B00D80" w:rsidRPr="00B00D80">
        <w:rPr>
          <w:rFonts w:ascii="Arial" w:hAnsi="Arial" w:cs="Arial"/>
          <w:b/>
          <w:bCs/>
          <w:sz w:val="22"/>
          <w:szCs w:val="22"/>
        </w:rPr>
        <w:t xml:space="preserve"> Nanogels</w:t>
      </w:r>
    </w:p>
    <w:p w14:paraId="12BE8ABC" w14:textId="77777777" w:rsidR="004340B2" w:rsidRDefault="004340B2" w:rsidP="004340B2">
      <w:pPr>
        <w:pStyle w:val="Body"/>
        <w:spacing w:after="0"/>
        <w:rPr>
          <w:rFonts w:ascii="Arial" w:hAnsi="Arial" w:cs="Arial"/>
        </w:rPr>
      </w:pPr>
    </w:p>
    <w:p w14:paraId="043964BD" w14:textId="5255F849" w:rsidR="00976B90" w:rsidRPr="00976B90" w:rsidRDefault="00BA082A" w:rsidP="00976B90">
      <w:pPr>
        <w:pStyle w:val="Body"/>
        <w:spacing w:after="0"/>
        <w:rPr>
          <w:rFonts w:ascii="Arial" w:hAnsi="Arial" w:cs="Arial"/>
        </w:rPr>
      </w:pPr>
      <w:r w:rsidRPr="00BA082A">
        <w:rPr>
          <w:rFonts w:ascii="Arial" w:hAnsi="Arial" w:cs="Arial"/>
        </w:rPr>
        <w:t xml:space="preserve">Nanogels have been linked to a more efficient delivery of antibiotics, substantial in the aspects of wound healing, cell proliferation, and tissue regeneration. Moreover, it has been studied through the loading of the drug in the nanogel structure </w:t>
      </w:r>
      <w:r w:rsidR="00976B90">
        <w:rPr>
          <w:rFonts w:ascii="Arial" w:hAnsi="Arial" w:cs="Arial"/>
        </w:rPr>
        <w:t>(</w:t>
      </w:r>
      <w:r w:rsidR="00661E1D">
        <w:rPr>
          <w:rFonts w:ascii="Arial" w:hAnsi="Arial" w:cs="Arial"/>
        </w:rPr>
        <w:t>Rusu</w:t>
      </w:r>
      <w:r w:rsidR="00976B90">
        <w:rPr>
          <w:rFonts w:ascii="Arial" w:hAnsi="Arial" w:cs="Arial"/>
        </w:rPr>
        <w:t xml:space="preserve"> et. al., 2022)</w:t>
      </w:r>
      <w:r w:rsidRPr="00BA082A">
        <w:rPr>
          <w:rFonts w:ascii="Arial" w:hAnsi="Arial" w:cs="Arial"/>
        </w:rPr>
        <w:t>.</w:t>
      </w:r>
      <w:r w:rsidR="00147571">
        <w:rPr>
          <w:rFonts w:ascii="Arial" w:hAnsi="Arial" w:cs="Arial"/>
        </w:rPr>
        <w:t xml:space="preserve"> Additionally, </w:t>
      </w:r>
      <w:proofErr w:type="spellStart"/>
      <w:r w:rsidR="00147571">
        <w:rPr>
          <w:rFonts w:ascii="Arial" w:hAnsi="Arial" w:cs="Arial"/>
        </w:rPr>
        <w:t>nanoantibiotics</w:t>
      </w:r>
      <w:proofErr w:type="spellEnd"/>
      <w:r w:rsidR="00147571">
        <w:rPr>
          <w:rFonts w:ascii="Arial" w:hAnsi="Arial" w:cs="Arial"/>
        </w:rPr>
        <w:t xml:space="preserve"> in general aim to combat the problems of antimicrobial resistance and promote a much targeted delivery to the infected area (Al-</w:t>
      </w:r>
      <w:proofErr w:type="spellStart"/>
      <w:r w:rsidR="00147571">
        <w:rPr>
          <w:rFonts w:ascii="Arial" w:hAnsi="Arial" w:cs="Arial"/>
        </w:rPr>
        <w:t>Awsi</w:t>
      </w:r>
      <w:proofErr w:type="spellEnd"/>
      <w:r w:rsidR="00147571">
        <w:rPr>
          <w:rFonts w:ascii="Arial" w:hAnsi="Arial" w:cs="Arial"/>
        </w:rPr>
        <w:t xml:space="preserve"> et. al., 2024).</w:t>
      </w:r>
      <w:r w:rsidRPr="00BA082A">
        <w:rPr>
          <w:rFonts w:ascii="Arial" w:hAnsi="Arial" w:cs="Arial"/>
        </w:rPr>
        <w:t xml:space="preserve"> The results of the </w:t>
      </w:r>
      <w:r w:rsidRPr="00976B90">
        <w:rPr>
          <w:rFonts w:ascii="Arial" w:hAnsi="Arial" w:cs="Arial"/>
          <w:i/>
          <w:iCs/>
        </w:rPr>
        <w:t xml:space="preserve">in vitro </w:t>
      </w:r>
      <w:r w:rsidRPr="00BA082A">
        <w:rPr>
          <w:rFonts w:ascii="Arial" w:hAnsi="Arial" w:cs="Arial"/>
        </w:rPr>
        <w:t>antibiotic activity of the nanogels in comparison to the control drugs have been quantified below</w:t>
      </w:r>
      <w:r w:rsidR="00976B90">
        <w:rPr>
          <w:rFonts w:ascii="Arial" w:hAnsi="Arial" w:cs="Arial"/>
        </w:rPr>
        <w:t>.</w:t>
      </w:r>
    </w:p>
    <w:p w14:paraId="41D51915" w14:textId="77777777" w:rsidR="004340B2" w:rsidRPr="000C5364" w:rsidRDefault="004340B2" w:rsidP="000C5364">
      <w:pPr>
        <w:pStyle w:val="Body"/>
        <w:spacing w:after="0"/>
        <w:ind w:firstLine="720"/>
        <w:rPr>
          <w:rFonts w:ascii="Arial" w:hAnsi="Arial" w:cs="Arial"/>
          <w:b/>
          <w:bCs/>
          <w:sz w:val="22"/>
          <w:szCs w:val="22"/>
        </w:rPr>
      </w:pPr>
    </w:p>
    <w:p w14:paraId="160AE1FB" w14:textId="3BA4C095" w:rsidR="00DF3799" w:rsidRDefault="00DF3799" w:rsidP="00DF3799">
      <w:pPr>
        <w:ind w:right="-333"/>
        <w:jc w:val="both"/>
        <w:rPr>
          <w:rFonts w:ascii="Arial" w:hAnsi="Arial" w:cs="Arial"/>
          <w:b/>
          <w:bCs/>
        </w:rPr>
      </w:pPr>
      <w:r w:rsidRPr="004340B2">
        <w:rPr>
          <w:rFonts w:ascii="Arial" w:hAnsi="Arial" w:cs="Arial"/>
          <w:b/>
          <w:bCs/>
        </w:rPr>
        <w:t xml:space="preserve">Table </w:t>
      </w:r>
      <w:r w:rsidR="008F689C">
        <w:rPr>
          <w:rFonts w:ascii="Arial" w:hAnsi="Arial" w:cs="Arial"/>
          <w:b/>
          <w:bCs/>
        </w:rPr>
        <w:t>3</w:t>
      </w:r>
      <w:r w:rsidRPr="004340B2">
        <w:rPr>
          <w:rFonts w:ascii="Arial" w:hAnsi="Arial" w:cs="Arial"/>
          <w:b/>
          <w:bCs/>
        </w:rPr>
        <w:t xml:space="preserve">. Mean </w:t>
      </w:r>
      <w:r w:rsidR="00976B90">
        <w:rPr>
          <w:rFonts w:ascii="Arial" w:hAnsi="Arial" w:cs="Arial"/>
          <w:b/>
          <w:bCs/>
        </w:rPr>
        <w:t>z</w:t>
      </w:r>
      <w:r w:rsidRPr="004340B2">
        <w:rPr>
          <w:rFonts w:ascii="Arial" w:hAnsi="Arial" w:cs="Arial"/>
          <w:b/>
          <w:bCs/>
        </w:rPr>
        <w:t xml:space="preserve">one of </w:t>
      </w:r>
      <w:r w:rsidR="00976B90">
        <w:rPr>
          <w:rFonts w:ascii="Arial" w:hAnsi="Arial" w:cs="Arial"/>
          <w:b/>
          <w:bCs/>
        </w:rPr>
        <w:t>i</w:t>
      </w:r>
      <w:r w:rsidRPr="004340B2">
        <w:rPr>
          <w:rFonts w:ascii="Arial" w:hAnsi="Arial" w:cs="Arial"/>
          <w:b/>
          <w:bCs/>
        </w:rPr>
        <w:t xml:space="preserve">nhibition of SCG-loaded </w:t>
      </w:r>
      <w:r w:rsidR="00976B90">
        <w:rPr>
          <w:rFonts w:ascii="Arial" w:hAnsi="Arial" w:cs="Arial"/>
          <w:b/>
          <w:bCs/>
        </w:rPr>
        <w:t>n</w:t>
      </w:r>
      <w:r w:rsidRPr="004340B2">
        <w:rPr>
          <w:rFonts w:ascii="Arial" w:hAnsi="Arial" w:cs="Arial"/>
          <w:b/>
          <w:bCs/>
        </w:rPr>
        <w:t xml:space="preserve">anogels and the </w:t>
      </w:r>
      <w:r w:rsidR="00976B90">
        <w:rPr>
          <w:rFonts w:ascii="Arial" w:hAnsi="Arial" w:cs="Arial"/>
          <w:b/>
          <w:bCs/>
        </w:rPr>
        <w:t>p</w:t>
      </w:r>
      <w:r w:rsidRPr="004340B2">
        <w:rPr>
          <w:rFonts w:ascii="Arial" w:hAnsi="Arial" w:cs="Arial"/>
          <w:b/>
          <w:bCs/>
        </w:rPr>
        <w:t xml:space="preserve">ositive </w:t>
      </w:r>
      <w:r w:rsidR="00976B90">
        <w:rPr>
          <w:rFonts w:ascii="Arial" w:hAnsi="Arial" w:cs="Arial"/>
          <w:b/>
          <w:bCs/>
        </w:rPr>
        <w:t>c</w:t>
      </w:r>
      <w:r w:rsidRPr="004340B2">
        <w:rPr>
          <w:rFonts w:ascii="Arial" w:hAnsi="Arial" w:cs="Arial"/>
          <w:b/>
          <w:bCs/>
        </w:rPr>
        <w:t>ontrols</w:t>
      </w:r>
    </w:p>
    <w:p w14:paraId="75D66612" w14:textId="77777777" w:rsidR="004340B2" w:rsidRPr="004340B2" w:rsidRDefault="004340B2" w:rsidP="00DF3799">
      <w:pPr>
        <w:ind w:right="-333"/>
        <w:jc w:val="both"/>
        <w:rPr>
          <w:rFonts w:ascii="Arial" w:hAnsi="Arial" w:cs="Arial"/>
          <w:b/>
          <w:bCs/>
        </w:rPr>
      </w:pPr>
    </w:p>
    <w:tbl>
      <w:tblPr>
        <w:tblStyle w:val="TableGrid"/>
        <w:tblW w:w="8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2778"/>
        <w:gridCol w:w="2908"/>
      </w:tblGrid>
      <w:tr w:rsidR="00DF3799" w:rsidRPr="00633A6B" w14:paraId="0447BC64" w14:textId="77777777" w:rsidTr="008A45F3">
        <w:trPr>
          <w:trHeight w:val="432"/>
        </w:trPr>
        <w:tc>
          <w:tcPr>
            <w:tcW w:w="2633" w:type="dxa"/>
            <w:vMerge w:val="restart"/>
            <w:tcBorders>
              <w:top w:val="single" w:sz="12" w:space="0" w:color="auto"/>
              <w:bottom w:val="single" w:sz="12" w:space="0" w:color="auto"/>
            </w:tcBorders>
            <w:vAlign w:val="center"/>
          </w:tcPr>
          <w:p w14:paraId="3A8C1D8B" w14:textId="77777777" w:rsidR="00DF3799" w:rsidRPr="00633A6B" w:rsidRDefault="00DF3799" w:rsidP="001177CD">
            <w:pPr>
              <w:ind w:right="-333"/>
              <w:jc w:val="center"/>
              <w:rPr>
                <w:rFonts w:ascii="Arial" w:hAnsi="Arial" w:cs="Arial"/>
                <w:b/>
                <w:bCs/>
                <w:sz w:val="20"/>
                <w:szCs w:val="20"/>
              </w:rPr>
            </w:pPr>
            <w:r w:rsidRPr="00633A6B">
              <w:rPr>
                <w:rFonts w:ascii="Arial" w:hAnsi="Arial" w:cs="Arial"/>
                <w:b/>
                <w:bCs/>
                <w:sz w:val="20"/>
                <w:szCs w:val="20"/>
              </w:rPr>
              <w:t>Bacteria</w:t>
            </w:r>
          </w:p>
        </w:tc>
        <w:tc>
          <w:tcPr>
            <w:tcW w:w="5686" w:type="dxa"/>
            <w:gridSpan w:val="2"/>
            <w:tcBorders>
              <w:top w:val="single" w:sz="12" w:space="0" w:color="auto"/>
              <w:bottom w:val="single" w:sz="12" w:space="0" w:color="auto"/>
            </w:tcBorders>
          </w:tcPr>
          <w:p w14:paraId="2C5642A7" w14:textId="77777777" w:rsidR="00DF3799" w:rsidRPr="00633A6B" w:rsidRDefault="00DF3799" w:rsidP="001177CD">
            <w:pPr>
              <w:ind w:right="-333"/>
              <w:jc w:val="center"/>
              <w:rPr>
                <w:rFonts w:ascii="Arial" w:hAnsi="Arial" w:cs="Arial"/>
                <w:b/>
                <w:bCs/>
                <w:sz w:val="20"/>
                <w:szCs w:val="20"/>
              </w:rPr>
            </w:pPr>
            <w:r w:rsidRPr="00633A6B">
              <w:rPr>
                <w:rFonts w:ascii="Arial" w:hAnsi="Arial" w:cs="Arial"/>
                <w:b/>
                <w:bCs/>
                <w:sz w:val="20"/>
                <w:szCs w:val="20"/>
              </w:rPr>
              <w:t>Zone of Inhibition (mm)</w:t>
            </w:r>
          </w:p>
        </w:tc>
      </w:tr>
      <w:tr w:rsidR="00DF3799" w:rsidRPr="00633A6B" w14:paraId="6095CE7E" w14:textId="77777777" w:rsidTr="008A45F3">
        <w:trPr>
          <w:trHeight w:val="432"/>
        </w:trPr>
        <w:tc>
          <w:tcPr>
            <w:tcW w:w="2633" w:type="dxa"/>
            <w:vMerge/>
            <w:tcBorders>
              <w:bottom w:val="single" w:sz="12" w:space="0" w:color="auto"/>
            </w:tcBorders>
          </w:tcPr>
          <w:p w14:paraId="4F12F2E3" w14:textId="77777777" w:rsidR="00DF3799" w:rsidRPr="00633A6B" w:rsidRDefault="00DF3799" w:rsidP="001177CD">
            <w:pPr>
              <w:ind w:right="-333"/>
              <w:jc w:val="center"/>
              <w:rPr>
                <w:rFonts w:ascii="Arial" w:hAnsi="Arial" w:cs="Arial"/>
                <w:b/>
                <w:bCs/>
                <w:sz w:val="20"/>
                <w:szCs w:val="20"/>
              </w:rPr>
            </w:pPr>
          </w:p>
        </w:tc>
        <w:tc>
          <w:tcPr>
            <w:tcW w:w="2778" w:type="dxa"/>
            <w:tcBorders>
              <w:top w:val="single" w:sz="12" w:space="0" w:color="auto"/>
              <w:bottom w:val="single" w:sz="12" w:space="0" w:color="auto"/>
            </w:tcBorders>
          </w:tcPr>
          <w:p w14:paraId="24FCCEE6" w14:textId="77777777" w:rsidR="00DF3799" w:rsidRPr="00633A6B" w:rsidRDefault="00DF3799" w:rsidP="001177CD">
            <w:pPr>
              <w:ind w:right="-333"/>
              <w:jc w:val="center"/>
              <w:rPr>
                <w:rFonts w:ascii="Arial" w:hAnsi="Arial" w:cs="Arial"/>
                <w:b/>
                <w:bCs/>
                <w:i/>
                <w:iCs/>
                <w:sz w:val="20"/>
                <w:szCs w:val="20"/>
              </w:rPr>
            </w:pPr>
            <w:r w:rsidRPr="00633A6B">
              <w:rPr>
                <w:rFonts w:ascii="Arial" w:hAnsi="Arial" w:cs="Arial"/>
                <w:b/>
                <w:bCs/>
                <w:sz w:val="20"/>
                <w:szCs w:val="20"/>
              </w:rPr>
              <w:t>SCG</w:t>
            </w:r>
            <w:r w:rsidRPr="00633A6B">
              <w:rPr>
                <w:rFonts w:ascii="Arial" w:hAnsi="Arial" w:cs="Arial"/>
                <w:b/>
                <w:bCs/>
                <w:i/>
                <w:iCs/>
                <w:sz w:val="20"/>
                <w:szCs w:val="20"/>
              </w:rPr>
              <w:t xml:space="preserve"> </w:t>
            </w:r>
            <w:r w:rsidRPr="00633A6B">
              <w:rPr>
                <w:rFonts w:ascii="Arial" w:hAnsi="Arial" w:cs="Arial"/>
                <w:b/>
                <w:bCs/>
                <w:sz w:val="20"/>
                <w:szCs w:val="20"/>
              </w:rPr>
              <w:t>Nanogel</w:t>
            </w:r>
          </w:p>
        </w:tc>
        <w:tc>
          <w:tcPr>
            <w:tcW w:w="2908" w:type="dxa"/>
            <w:tcBorders>
              <w:top w:val="single" w:sz="12" w:space="0" w:color="auto"/>
              <w:bottom w:val="single" w:sz="12" w:space="0" w:color="auto"/>
            </w:tcBorders>
          </w:tcPr>
          <w:p w14:paraId="119A1EA1" w14:textId="77777777" w:rsidR="00DF3799" w:rsidRPr="00633A6B" w:rsidRDefault="00DF3799" w:rsidP="001177CD">
            <w:pPr>
              <w:ind w:right="-333"/>
              <w:jc w:val="center"/>
              <w:rPr>
                <w:rFonts w:ascii="Arial" w:hAnsi="Arial" w:cs="Arial"/>
                <w:b/>
                <w:bCs/>
                <w:sz w:val="20"/>
                <w:szCs w:val="20"/>
              </w:rPr>
            </w:pPr>
            <w:r w:rsidRPr="00633A6B">
              <w:rPr>
                <w:rFonts w:ascii="Arial" w:hAnsi="Arial" w:cs="Arial"/>
                <w:b/>
                <w:bCs/>
                <w:sz w:val="20"/>
                <w:szCs w:val="20"/>
              </w:rPr>
              <w:t>Control</w:t>
            </w:r>
          </w:p>
        </w:tc>
      </w:tr>
      <w:tr w:rsidR="00DF3799" w:rsidRPr="00633A6B" w14:paraId="628393F7" w14:textId="77777777" w:rsidTr="008A45F3">
        <w:trPr>
          <w:trHeight w:val="524"/>
        </w:trPr>
        <w:tc>
          <w:tcPr>
            <w:tcW w:w="2633" w:type="dxa"/>
            <w:tcBorders>
              <w:top w:val="single" w:sz="12" w:space="0" w:color="auto"/>
              <w:bottom w:val="single" w:sz="12" w:space="0" w:color="auto"/>
            </w:tcBorders>
          </w:tcPr>
          <w:p w14:paraId="6E1FA6F7" w14:textId="77777777" w:rsidR="00DF3799" w:rsidRPr="00633A6B" w:rsidRDefault="00DF3799" w:rsidP="001177CD">
            <w:pPr>
              <w:ind w:right="-333"/>
              <w:jc w:val="center"/>
              <w:rPr>
                <w:rFonts w:ascii="Arial" w:hAnsi="Arial" w:cs="Arial"/>
                <w:i/>
                <w:iCs/>
                <w:sz w:val="20"/>
                <w:szCs w:val="20"/>
              </w:rPr>
            </w:pPr>
            <w:r w:rsidRPr="00633A6B">
              <w:rPr>
                <w:rFonts w:ascii="Arial" w:hAnsi="Arial" w:cs="Arial"/>
                <w:i/>
                <w:iCs/>
                <w:sz w:val="20"/>
                <w:szCs w:val="20"/>
              </w:rPr>
              <w:t>S. aureus</w:t>
            </w:r>
          </w:p>
          <w:p w14:paraId="4F5540D9" w14:textId="77777777" w:rsidR="00DF3799" w:rsidRPr="00633A6B" w:rsidRDefault="00DF3799" w:rsidP="001177CD">
            <w:pPr>
              <w:ind w:right="-333"/>
              <w:jc w:val="center"/>
              <w:rPr>
                <w:rFonts w:ascii="Arial" w:hAnsi="Arial" w:cs="Arial"/>
                <w:i/>
                <w:iCs/>
                <w:sz w:val="20"/>
                <w:szCs w:val="20"/>
              </w:rPr>
            </w:pPr>
            <w:r w:rsidRPr="00633A6B">
              <w:rPr>
                <w:rFonts w:ascii="Arial" w:hAnsi="Arial" w:cs="Arial"/>
                <w:i/>
                <w:iCs/>
                <w:sz w:val="20"/>
                <w:szCs w:val="20"/>
              </w:rPr>
              <w:t>E. coli</w:t>
            </w:r>
          </w:p>
        </w:tc>
        <w:tc>
          <w:tcPr>
            <w:tcW w:w="2778" w:type="dxa"/>
            <w:tcBorders>
              <w:top w:val="single" w:sz="12" w:space="0" w:color="auto"/>
              <w:bottom w:val="single" w:sz="12" w:space="0" w:color="auto"/>
            </w:tcBorders>
          </w:tcPr>
          <w:p w14:paraId="14A5AD0F" w14:textId="77777777" w:rsidR="00DF3799" w:rsidRPr="00633A6B" w:rsidRDefault="00DF3799" w:rsidP="001177CD">
            <w:pPr>
              <w:ind w:right="-333"/>
              <w:jc w:val="center"/>
              <w:rPr>
                <w:rFonts w:ascii="Arial" w:hAnsi="Arial" w:cs="Arial"/>
                <w:sz w:val="20"/>
                <w:szCs w:val="20"/>
              </w:rPr>
            </w:pPr>
            <w:r w:rsidRPr="00633A6B">
              <w:rPr>
                <w:rFonts w:ascii="Arial" w:hAnsi="Arial" w:cs="Arial"/>
                <w:sz w:val="20"/>
                <w:szCs w:val="20"/>
              </w:rPr>
              <w:t>0</w:t>
            </w:r>
          </w:p>
          <w:p w14:paraId="32ECE554" w14:textId="77777777" w:rsidR="00DF3799" w:rsidRPr="00633A6B" w:rsidRDefault="00DF3799" w:rsidP="001177CD">
            <w:pPr>
              <w:ind w:right="-333"/>
              <w:jc w:val="center"/>
              <w:rPr>
                <w:rFonts w:ascii="Arial" w:hAnsi="Arial" w:cs="Arial"/>
                <w:sz w:val="20"/>
                <w:szCs w:val="20"/>
              </w:rPr>
            </w:pPr>
            <w:r w:rsidRPr="00633A6B">
              <w:rPr>
                <w:rFonts w:ascii="Arial" w:hAnsi="Arial" w:cs="Arial"/>
                <w:sz w:val="20"/>
                <w:szCs w:val="20"/>
              </w:rPr>
              <w:t>0</w:t>
            </w:r>
          </w:p>
        </w:tc>
        <w:tc>
          <w:tcPr>
            <w:tcW w:w="2908" w:type="dxa"/>
            <w:tcBorders>
              <w:top w:val="single" w:sz="12" w:space="0" w:color="auto"/>
              <w:bottom w:val="single" w:sz="12" w:space="0" w:color="auto"/>
            </w:tcBorders>
          </w:tcPr>
          <w:p w14:paraId="452688EE" w14:textId="77777777" w:rsidR="00DF3799" w:rsidRPr="00633A6B" w:rsidRDefault="00DF3799" w:rsidP="001177CD">
            <w:pPr>
              <w:ind w:right="-333"/>
              <w:jc w:val="center"/>
              <w:rPr>
                <w:rFonts w:ascii="Arial" w:hAnsi="Arial" w:cs="Arial"/>
                <w:sz w:val="20"/>
                <w:szCs w:val="20"/>
              </w:rPr>
            </w:pPr>
            <w:r w:rsidRPr="00633A6B">
              <w:rPr>
                <w:rFonts w:ascii="Arial" w:hAnsi="Arial" w:cs="Arial"/>
                <w:sz w:val="20"/>
                <w:szCs w:val="20"/>
              </w:rPr>
              <w:t>25 (Tetracycline)</w:t>
            </w:r>
          </w:p>
          <w:p w14:paraId="725FDBE3" w14:textId="77777777" w:rsidR="00DF3799" w:rsidRPr="00633A6B" w:rsidRDefault="00DF3799" w:rsidP="001177CD">
            <w:pPr>
              <w:ind w:right="-333"/>
              <w:jc w:val="center"/>
              <w:rPr>
                <w:rFonts w:ascii="Arial" w:hAnsi="Arial" w:cs="Arial"/>
                <w:sz w:val="20"/>
                <w:szCs w:val="20"/>
              </w:rPr>
            </w:pPr>
            <w:r w:rsidRPr="00633A6B">
              <w:rPr>
                <w:rFonts w:ascii="Arial" w:hAnsi="Arial" w:cs="Arial"/>
                <w:sz w:val="20"/>
                <w:szCs w:val="20"/>
              </w:rPr>
              <w:t>24 (Enrofloxacin)</w:t>
            </w:r>
          </w:p>
        </w:tc>
      </w:tr>
      <w:tr w:rsidR="00DF3799" w:rsidRPr="00633A6B" w14:paraId="6ED957FB" w14:textId="77777777" w:rsidTr="008A45F3">
        <w:trPr>
          <w:trHeight w:val="324"/>
        </w:trPr>
        <w:tc>
          <w:tcPr>
            <w:tcW w:w="2633" w:type="dxa"/>
            <w:tcBorders>
              <w:top w:val="single" w:sz="12" w:space="0" w:color="auto"/>
              <w:bottom w:val="single" w:sz="12" w:space="0" w:color="auto"/>
            </w:tcBorders>
          </w:tcPr>
          <w:p w14:paraId="6CD05859" w14:textId="77777777" w:rsidR="00DF3799" w:rsidRPr="00633A6B" w:rsidRDefault="00DF3799" w:rsidP="001177CD">
            <w:pPr>
              <w:ind w:right="-333"/>
              <w:jc w:val="center"/>
              <w:rPr>
                <w:rFonts w:ascii="Arial" w:hAnsi="Arial" w:cs="Arial"/>
                <w:b/>
                <w:bCs/>
                <w:sz w:val="20"/>
                <w:szCs w:val="20"/>
              </w:rPr>
            </w:pPr>
            <w:r w:rsidRPr="00633A6B">
              <w:rPr>
                <w:rFonts w:ascii="Arial" w:hAnsi="Arial" w:cs="Arial"/>
                <w:b/>
                <w:bCs/>
                <w:sz w:val="20"/>
                <w:szCs w:val="20"/>
              </w:rPr>
              <w:t>Descriptor</w:t>
            </w:r>
          </w:p>
        </w:tc>
        <w:tc>
          <w:tcPr>
            <w:tcW w:w="2778" w:type="dxa"/>
            <w:tcBorders>
              <w:top w:val="single" w:sz="12" w:space="0" w:color="auto"/>
              <w:bottom w:val="single" w:sz="12" w:space="0" w:color="auto"/>
            </w:tcBorders>
          </w:tcPr>
          <w:p w14:paraId="0FDA4492" w14:textId="77777777" w:rsidR="00DF3799" w:rsidRPr="00633A6B" w:rsidRDefault="00DF3799" w:rsidP="001177CD">
            <w:pPr>
              <w:ind w:right="-333"/>
              <w:jc w:val="center"/>
              <w:rPr>
                <w:rFonts w:ascii="Arial" w:hAnsi="Arial" w:cs="Arial"/>
                <w:sz w:val="20"/>
                <w:szCs w:val="20"/>
              </w:rPr>
            </w:pPr>
            <w:r w:rsidRPr="00633A6B">
              <w:rPr>
                <w:rFonts w:ascii="Arial" w:hAnsi="Arial" w:cs="Arial"/>
                <w:sz w:val="20"/>
                <w:szCs w:val="20"/>
              </w:rPr>
              <w:t>Resistant</w:t>
            </w:r>
          </w:p>
        </w:tc>
        <w:tc>
          <w:tcPr>
            <w:tcW w:w="2908" w:type="dxa"/>
            <w:tcBorders>
              <w:top w:val="single" w:sz="12" w:space="0" w:color="auto"/>
              <w:bottom w:val="single" w:sz="12" w:space="0" w:color="auto"/>
            </w:tcBorders>
          </w:tcPr>
          <w:p w14:paraId="438560A4" w14:textId="77777777" w:rsidR="00DF3799" w:rsidRPr="00633A6B" w:rsidRDefault="00DF3799" w:rsidP="001177CD">
            <w:pPr>
              <w:ind w:right="-333"/>
              <w:jc w:val="center"/>
              <w:rPr>
                <w:rFonts w:ascii="Arial" w:hAnsi="Arial" w:cs="Arial"/>
                <w:sz w:val="20"/>
                <w:szCs w:val="20"/>
              </w:rPr>
            </w:pPr>
            <w:r w:rsidRPr="00633A6B">
              <w:rPr>
                <w:rFonts w:ascii="Arial" w:hAnsi="Arial" w:cs="Arial"/>
                <w:sz w:val="20"/>
                <w:szCs w:val="20"/>
              </w:rPr>
              <w:t>Susceptible</w:t>
            </w:r>
          </w:p>
        </w:tc>
      </w:tr>
    </w:tbl>
    <w:p w14:paraId="5376C80F" w14:textId="77777777" w:rsidR="004340B2" w:rsidRDefault="004340B2" w:rsidP="004340B2">
      <w:pPr>
        <w:autoSpaceDE w:val="0"/>
        <w:autoSpaceDN w:val="0"/>
        <w:adjustRightInd w:val="0"/>
        <w:jc w:val="both"/>
        <w:rPr>
          <w:rFonts w:ascii="Arial" w:hAnsi="Arial" w:cs="Arial"/>
          <w:szCs w:val="22"/>
        </w:rPr>
      </w:pPr>
    </w:p>
    <w:p w14:paraId="0461AA63" w14:textId="039F0D57" w:rsidR="00976B90" w:rsidRPr="00920945" w:rsidRDefault="00976B90" w:rsidP="00384562">
      <w:pPr>
        <w:autoSpaceDE w:val="0"/>
        <w:autoSpaceDN w:val="0"/>
        <w:adjustRightInd w:val="0"/>
        <w:jc w:val="both"/>
        <w:rPr>
          <w:rFonts w:ascii="Arial" w:hAnsi="Arial" w:cs="Arial"/>
          <w:szCs w:val="22"/>
        </w:rPr>
      </w:pPr>
      <w:r w:rsidRPr="00976B90">
        <w:rPr>
          <w:rFonts w:ascii="Arial" w:hAnsi="Arial" w:cs="Arial"/>
          <w:szCs w:val="22"/>
        </w:rPr>
        <w:t xml:space="preserve">The results in Table 2 show the antibiotic activity of the nanogels and the control drug. The zone of </w:t>
      </w:r>
      <w:r w:rsidR="00C816EE">
        <w:rPr>
          <w:rFonts w:ascii="Arial" w:hAnsi="Arial" w:cs="Arial"/>
          <w:szCs w:val="22"/>
        </w:rPr>
        <w:t>inhibition of the nanogel across both S. aureus and E. coli was reported at 0 mm, indicating resistance of bacteria to</w:t>
      </w:r>
      <w:r w:rsidRPr="00976B90">
        <w:rPr>
          <w:rFonts w:ascii="Arial" w:hAnsi="Arial" w:cs="Arial"/>
          <w:szCs w:val="22"/>
        </w:rPr>
        <w:t xml:space="preserve"> the sample. Meanwhile, the positive controls (tetracycline and enrofloxacin) demonstrated </w:t>
      </w:r>
      <w:r w:rsidR="00C816EE">
        <w:rPr>
          <w:rFonts w:ascii="Arial" w:hAnsi="Arial" w:cs="Arial"/>
          <w:szCs w:val="22"/>
        </w:rPr>
        <w:t>zones of inhibition of 25 mm and 24 mm,</w:t>
      </w:r>
      <w:r w:rsidRPr="00976B90">
        <w:rPr>
          <w:rFonts w:ascii="Arial" w:hAnsi="Arial" w:cs="Arial"/>
          <w:szCs w:val="22"/>
        </w:rPr>
        <w:t xml:space="preserve"> respectively. Though not demonstrating antibiotic activity, the factors that can be attributed </w:t>
      </w:r>
      <w:r w:rsidR="00C816EE">
        <w:rPr>
          <w:rFonts w:ascii="Arial" w:hAnsi="Arial" w:cs="Arial"/>
          <w:szCs w:val="22"/>
        </w:rPr>
        <w:t>are</w:t>
      </w:r>
      <w:r w:rsidRPr="00976B90">
        <w:rPr>
          <w:rFonts w:ascii="Arial" w:hAnsi="Arial" w:cs="Arial"/>
          <w:szCs w:val="22"/>
        </w:rPr>
        <w:t xml:space="preserve"> due to the sustained and prolonged drug release characteristic of the nanogels</w:t>
      </w:r>
      <w:r w:rsidR="00C816EE">
        <w:rPr>
          <w:rFonts w:ascii="Arial" w:hAnsi="Arial" w:cs="Arial"/>
          <w:szCs w:val="22"/>
        </w:rPr>
        <w:t>; therefore,</w:t>
      </w:r>
      <w:r w:rsidRPr="00976B90">
        <w:rPr>
          <w:rFonts w:ascii="Arial" w:hAnsi="Arial" w:cs="Arial"/>
          <w:szCs w:val="22"/>
        </w:rPr>
        <w:t xml:space="preserve"> the burst diffusion mechanism required for the Kirby-Bauer method is uncontained (</w:t>
      </w:r>
      <w:proofErr w:type="spellStart"/>
      <w:r w:rsidRPr="00976B90">
        <w:rPr>
          <w:rFonts w:ascii="Arial" w:hAnsi="Arial" w:cs="Arial"/>
          <w:szCs w:val="22"/>
        </w:rPr>
        <w:t>Vijyalakshmi</w:t>
      </w:r>
      <w:proofErr w:type="spellEnd"/>
      <w:r w:rsidRPr="00976B90">
        <w:rPr>
          <w:rFonts w:ascii="Arial" w:hAnsi="Arial" w:cs="Arial"/>
          <w:szCs w:val="22"/>
        </w:rPr>
        <w:t xml:space="preserve"> et. al., 2025; Hafeman et. al., 2010), highlighting </w:t>
      </w:r>
      <w:r w:rsidR="00C816EE">
        <w:rPr>
          <w:rFonts w:ascii="Arial" w:hAnsi="Arial" w:cs="Arial"/>
          <w:szCs w:val="22"/>
        </w:rPr>
        <w:t xml:space="preserve">the </w:t>
      </w:r>
      <w:r w:rsidRPr="00976B90">
        <w:rPr>
          <w:rFonts w:ascii="Arial" w:hAnsi="Arial" w:cs="Arial"/>
          <w:szCs w:val="22"/>
        </w:rPr>
        <w:t xml:space="preserve">potential use of other methods in determining antibiotic activity. </w:t>
      </w:r>
    </w:p>
    <w:p w14:paraId="6CF6C05F" w14:textId="77777777" w:rsidR="00976B90" w:rsidRDefault="00976B90" w:rsidP="00384562">
      <w:pPr>
        <w:autoSpaceDE w:val="0"/>
        <w:autoSpaceDN w:val="0"/>
        <w:adjustRightInd w:val="0"/>
        <w:jc w:val="both"/>
        <w:rPr>
          <w:rFonts w:ascii="Arial" w:hAnsi="Arial" w:cs="Arial"/>
          <w:szCs w:val="22"/>
        </w:rPr>
      </w:pPr>
    </w:p>
    <w:p w14:paraId="13D664D2" w14:textId="69CCDA02" w:rsidR="00976B90" w:rsidRDefault="00976B90" w:rsidP="00384562">
      <w:pPr>
        <w:autoSpaceDE w:val="0"/>
        <w:autoSpaceDN w:val="0"/>
        <w:adjustRightInd w:val="0"/>
        <w:jc w:val="both"/>
        <w:rPr>
          <w:rFonts w:ascii="Arial" w:hAnsi="Arial" w:cs="Arial"/>
          <w:szCs w:val="22"/>
        </w:rPr>
      </w:pPr>
      <w:r w:rsidRPr="00976B90">
        <w:rPr>
          <w:rFonts w:ascii="Arial" w:hAnsi="Arial" w:cs="Arial"/>
          <w:szCs w:val="22"/>
        </w:rPr>
        <w:t xml:space="preserve">Migration of drug molecules can be inefficient due to viscosity. </w:t>
      </w:r>
      <w:r w:rsidR="00C816EE">
        <w:rPr>
          <w:rFonts w:ascii="Arial" w:hAnsi="Arial" w:cs="Arial"/>
          <w:szCs w:val="22"/>
        </w:rPr>
        <w:t xml:space="preserve">The tuned drug release network of nanogels and the density of the polymer networks </w:t>
      </w:r>
      <w:r w:rsidRPr="00976B90">
        <w:rPr>
          <w:rFonts w:ascii="Arial" w:hAnsi="Arial" w:cs="Arial"/>
          <w:szCs w:val="22"/>
        </w:rPr>
        <w:t xml:space="preserve">can impede the diffusion of the molecules. Additionally, </w:t>
      </w:r>
      <w:r w:rsidR="00C816EE">
        <w:rPr>
          <w:rFonts w:ascii="Arial" w:hAnsi="Arial" w:cs="Arial"/>
          <w:szCs w:val="22"/>
        </w:rPr>
        <w:t>inhibition zones are poorly detected</w:t>
      </w:r>
      <w:r w:rsidRPr="00976B90">
        <w:rPr>
          <w:rFonts w:ascii="Arial" w:hAnsi="Arial" w:cs="Arial"/>
          <w:szCs w:val="22"/>
        </w:rPr>
        <w:t xml:space="preserve"> despite the presence of an antimicrobial agent, </w:t>
      </w:r>
      <w:r w:rsidR="00C816EE">
        <w:rPr>
          <w:rFonts w:ascii="Arial" w:hAnsi="Arial" w:cs="Arial"/>
          <w:szCs w:val="22"/>
        </w:rPr>
        <w:t>resulting in</w:t>
      </w:r>
      <w:r w:rsidRPr="00976B90">
        <w:rPr>
          <w:rFonts w:ascii="Arial" w:hAnsi="Arial" w:cs="Arial"/>
          <w:szCs w:val="22"/>
        </w:rPr>
        <w:t xml:space="preserve"> a more pronounced activity over time rather than a burst release mechanism. As a result, the release kinetics of the nanogel are more efficient in wound healing applications and tissue regeneration (</w:t>
      </w:r>
      <w:proofErr w:type="spellStart"/>
      <w:r w:rsidRPr="00976B90">
        <w:rPr>
          <w:rFonts w:ascii="Arial" w:hAnsi="Arial" w:cs="Arial"/>
          <w:szCs w:val="22"/>
        </w:rPr>
        <w:t>Sabee</w:t>
      </w:r>
      <w:proofErr w:type="spellEnd"/>
      <w:r w:rsidRPr="00976B90">
        <w:rPr>
          <w:rFonts w:ascii="Arial" w:hAnsi="Arial" w:cs="Arial"/>
          <w:szCs w:val="22"/>
        </w:rPr>
        <w:t xml:space="preserve"> et. al., 2020). </w:t>
      </w:r>
    </w:p>
    <w:p w14:paraId="79E75E36" w14:textId="77777777" w:rsidR="00976B90" w:rsidRDefault="00976B90" w:rsidP="00384562">
      <w:pPr>
        <w:autoSpaceDE w:val="0"/>
        <w:autoSpaceDN w:val="0"/>
        <w:adjustRightInd w:val="0"/>
        <w:jc w:val="both"/>
        <w:rPr>
          <w:rFonts w:ascii="Arial" w:hAnsi="Arial" w:cs="Arial"/>
          <w:szCs w:val="22"/>
        </w:rPr>
      </w:pPr>
    </w:p>
    <w:p w14:paraId="7E3E0376" w14:textId="2C7BF0FD" w:rsidR="00976B90" w:rsidRDefault="00976B90" w:rsidP="00384562">
      <w:pPr>
        <w:autoSpaceDE w:val="0"/>
        <w:autoSpaceDN w:val="0"/>
        <w:adjustRightInd w:val="0"/>
        <w:jc w:val="both"/>
        <w:rPr>
          <w:rFonts w:ascii="Arial" w:hAnsi="Arial" w:cs="Arial"/>
          <w:szCs w:val="22"/>
        </w:rPr>
      </w:pPr>
      <w:r w:rsidRPr="00976B90">
        <w:rPr>
          <w:rFonts w:ascii="Arial" w:hAnsi="Arial" w:cs="Arial"/>
          <w:szCs w:val="22"/>
        </w:rPr>
        <w:t xml:space="preserve">In addition, the low drug loading capacity of the nanogels is </w:t>
      </w:r>
      <w:r w:rsidR="00C816EE">
        <w:rPr>
          <w:rFonts w:ascii="Arial" w:hAnsi="Arial" w:cs="Arial"/>
          <w:szCs w:val="22"/>
        </w:rPr>
        <w:t xml:space="preserve">a </w:t>
      </w:r>
      <w:r w:rsidRPr="00976B90">
        <w:rPr>
          <w:rFonts w:ascii="Arial" w:hAnsi="Arial" w:cs="Arial"/>
          <w:szCs w:val="22"/>
        </w:rPr>
        <w:t xml:space="preserve">driving attribute contributing to the low or absent zones of inhibition, as it limits the availability of the active pharmaceutical </w:t>
      </w:r>
      <w:r w:rsidRPr="00976B90">
        <w:rPr>
          <w:rFonts w:ascii="Arial" w:hAnsi="Arial" w:cs="Arial"/>
          <w:szCs w:val="22"/>
        </w:rPr>
        <w:lastRenderedPageBreak/>
        <w:t xml:space="preserve">ingredient necessary to exert antimicrobial effects. In the study of Shen et al. (2017), it was also highlighted that nanomedicine often faces challenges such as low drug loading, which diminishes the therapeutic efficacy. While increasing drug loading could enhance activity, it also introduces complications, including potential network degradation and systemic toxicity. Structural modifications to improve drug entrapment, such as altering polymer composition or crosslinking density, may compromise nanogel stability, leading to uncontrolled drug release or cytotoxicity. Therefore, achieving an optimal balance between drug loading capacity, stability, and controlled release is essential to maximize therapeutic potential while minimizing adverse effects. </w:t>
      </w:r>
    </w:p>
    <w:p w14:paraId="203B27BE" w14:textId="77777777" w:rsidR="00976B90" w:rsidRDefault="00976B90" w:rsidP="00384562">
      <w:pPr>
        <w:autoSpaceDE w:val="0"/>
        <w:autoSpaceDN w:val="0"/>
        <w:adjustRightInd w:val="0"/>
        <w:jc w:val="both"/>
        <w:rPr>
          <w:rFonts w:ascii="Arial" w:hAnsi="Arial" w:cs="Arial"/>
          <w:szCs w:val="22"/>
        </w:rPr>
      </w:pPr>
    </w:p>
    <w:p w14:paraId="5736B258" w14:textId="514D1F78" w:rsidR="00976B90" w:rsidRDefault="00976B90" w:rsidP="00384562">
      <w:pPr>
        <w:autoSpaceDE w:val="0"/>
        <w:autoSpaceDN w:val="0"/>
        <w:adjustRightInd w:val="0"/>
        <w:jc w:val="both"/>
        <w:rPr>
          <w:rFonts w:ascii="Arial" w:hAnsi="Arial" w:cs="Arial"/>
          <w:szCs w:val="22"/>
        </w:rPr>
      </w:pPr>
      <w:r w:rsidRPr="00976B90">
        <w:rPr>
          <w:rFonts w:ascii="Arial" w:hAnsi="Arial" w:cs="Arial"/>
          <w:szCs w:val="22"/>
        </w:rPr>
        <w:t xml:space="preserve">In the study of Asadi et al. (2024), chitosan nanogels were created, loaded with </w:t>
      </w:r>
      <w:proofErr w:type="spellStart"/>
      <w:r w:rsidRPr="00976B90">
        <w:rPr>
          <w:rFonts w:ascii="Arial" w:hAnsi="Arial" w:cs="Arial"/>
          <w:szCs w:val="22"/>
        </w:rPr>
        <w:t>trinitroglycerin</w:t>
      </w:r>
      <w:proofErr w:type="spellEnd"/>
      <w:r w:rsidRPr="00976B90">
        <w:rPr>
          <w:rFonts w:ascii="Arial" w:hAnsi="Arial" w:cs="Arial"/>
          <w:szCs w:val="22"/>
        </w:rPr>
        <w:t xml:space="preserve"> for wound healing applications, and tested in vivo. Subsequently, it demonstrated wound healing activity, exhibiting a complete wound closure ratio, enhanced epithelialization, and accelerated tissue regeneration. The nanogel also showed skin formation by promoting fibroblast proliferation and extracellular matrix deposition, contributing to efficient cell proliferation and </w:t>
      </w:r>
      <w:r w:rsidR="00C816EE">
        <w:rPr>
          <w:rFonts w:ascii="Arial" w:hAnsi="Arial" w:cs="Arial"/>
          <w:szCs w:val="22"/>
        </w:rPr>
        <w:t>supporting new blood vessel formation</w:t>
      </w:r>
      <w:r w:rsidRPr="00976B90">
        <w:rPr>
          <w:rFonts w:ascii="Arial" w:hAnsi="Arial" w:cs="Arial"/>
          <w:szCs w:val="22"/>
        </w:rPr>
        <w:t>. This indicated the therapeutic potential and biomedical implications of the nanogels in topical wound healing applications, highlighting their role in enhancing tissue repair and promoting a conducive healing environment. Additionally, wound healing nanogels derived from herbal compounds were created in the study of Singh et. al. (2024). As a result, the incorporation of components in the nanogels promoted significant amounts of wound size reductions, enhanced coagulation, reduced oxidative stress, and proliferated the regrowth of fibroblasts</w:t>
      </w:r>
    </w:p>
    <w:p w14:paraId="3B7845AC" w14:textId="77777777" w:rsidR="00920945" w:rsidRDefault="00920945" w:rsidP="00384562">
      <w:pPr>
        <w:autoSpaceDE w:val="0"/>
        <w:autoSpaceDN w:val="0"/>
        <w:adjustRightInd w:val="0"/>
        <w:jc w:val="both"/>
        <w:rPr>
          <w:rFonts w:ascii="Arial" w:hAnsi="Arial" w:cs="Arial"/>
          <w:szCs w:val="22"/>
        </w:rPr>
      </w:pPr>
    </w:p>
    <w:p w14:paraId="3C706842" w14:textId="1900F18E" w:rsidR="00384562" w:rsidRDefault="00920945" w:rsidP="005A6385">
      <w:pPr>
        <w:autoSpaceDE w:val="0"/>
        <w:autoSpaceDN w:val="0"/>
        <w:adjustRightInd w:val="0"/>
        <w:jc w:val="both"/>
        <w:rPr>
          <w:rFonts w:ascii="Arial" w:hAnsi="Arial" w:cs="Arial"/>
          <w:iCs/>
          <w:szCs w:val="22"/>
        </w:rPr>
      </w:pPr>
      <w:r>
        <w:rPr>
          <w:rFonts w:ascii="Arial" w:hAnsi="Arial" w:cs="Arial"/>
          <w:szCs w:val="22"/>
        </w:rPr>
        <w:t xml:space="preserve">Furthermore, the demonstration of antibacterial activity of </w:t>
      </w:r>
      <w:r>
        <w:rPr>
          <w:rFonts w:ascii="Arial" w:hAnsi="Arial" w:cs="Arial"/>
          <w:i/>
          <w:szCs w:val="22"/>
        </w:rPr>
        <w:t xml:space="preserve">C. arabica </w:t>
      </w:r>
      <w:r>
        <w:rPr>
          <w:rFonts w:ascii="Arial" w:hAnsi="Arial" w:cs="Arial"/>
          <w:iCs/>
          <w:szCs w:val="22"/>
        </w:rPr>
        <w:t xml:space="preserve">SCG </w:t>
      </w:r>
      <w:r w:rsidR="005A6385">
        <w:rPr>
          <w:rFonts w:ascii="Arial" w:hAnsi="Arial" w:cs="Arial"/>
          <w:iCs/>
          <w:szCs w:val="22"/>
        </w:rPr>
        <w:t>is known to be prominent on gram-positive bacteria. I</w:t>
      </w:r>
      <w:r>
        <w:rPr>
          <w:rFonts w:ascii="Arial" w:hAnsi="Arial" w:cs="Arial"/>
          <w:iCs/>
          <w:szCs w:val="22"/>
        </w:rPr>
        <w:t xml:space="preserve">n the study of </w:t>
      </w:r>
      <w:proofErr w:type="spellStart"/>
      <w:r>
        <w:rPr>
          <w:rFonts w:ascii="Arial" w:hAnsi="Arial" w:cs="Arial"/>
          <w:iCs/>
          <w:szCs w:val="22"/>
        </w:rPr>
        <w:t>Asido</w:t>
      </w:r>
      <w:proofErr w:type="spellEnd"/>
      <w:r>
        <w:rPr>
          <w:rFonts w:ascii="Arial" w:hAnsi="Arial" w:cs="Arial"/>
          <w:iCs/>
          <w:szCs w:val="22"/>
        </w:rPr>
        <w:t xml:space="preserve"> et. al. (2024) as an active ingredient in liquid hand soap. The findings </w:t>
      </w:r>
      <w:r w:rsidR="00E74A7A">
        <w:rPr>
          <w:rFonts w:ascii="Arial" w:hAnsi="Arial" w:cs="Arial"/>
          <w:iCs/>
          <w:szCs w:val="22"/>
        </w:rPr>
        <w:t>stated</w:t>
      </w:r>
      <w:r>
        <w:rPr>
          <w:rFonts w:ascii="Arial" w:hAnsi="Arial" w:cs="Arial"/>
          <w:iCs/>
          <w:szCs w:val="22"/>
        </w:rPr>
        <w:t xml:space="preserve"> </w:t>
      </w:r>
      <w:r w:rsidR="00E74A7A">
        <w:rPr>
          <w:rFonts w:ascii="Arial" w:hAnsi="Arial" w:cs="Arial"/>
          <w:iCs/>
          <w:szCs w:val="22"/>
        </w:rPr>
        <w:t xml:space="preserve">that the </w:t>
      </w:r>
      <w:r w:rsidR="00E74A7A">
        <w:rPr>
          <w:rFonts w:ascii="Arial" w:hAnsi="Arial" w:cs="Arial"/>
          <w:i/>
          <w:szCs w:val="22"/>
        </w:rPr>
        <w:t>C. arabica</w:t>
      </w:r>
      <w:r w:rsidR="00E74A7A">
        <w:rPr>
          <w:rFonts w:ascii="Arial" w:hAnsi="Arial" w:cs="Arial"/>
          <w:iCs/>
          <w:szCs w:val="22"/>
        </w:rPr>
        <w:t xml:space="preserve"> SCG exhibited zones of inhibition of 14 mm and 18.33 mm against </w:t>
      </w:r>
      <w:r w:rsidR="00E74A7A">
        <w:rPr>
          <w:rFonts w:ascii="Arial" w:hAnsi="Arial" w:cs="Arial"/>
          <w:i/>
          <w:szCs w:val="22"/>
        </w:rPr>
        <w:t xml:space="preserve">S. aureus </w:t>
      </w:r>
      <w:r w:rsidR="00E74A7A">
        <w:rPr>
          <w:rFonts w:ascii="Arial" w:hAnsi="Arial" w:cs="Arial"/>
          <w:iCs/>
          <w:szCs w:val="22"/>
        </w:rPr>
        <w:t xml:space="preserve">and </w:t>
      </w:r>
      <w:r w:rsidR="00E74A7A">
        <w:rPr>
          <w:rFonts w:ascii="Arial" w:hAnsi="Arial" w:cs="Arial"/>
          <w:i/>
          <w:szCs w:val="22"/>
        </w:rPr>
        <w:t xml:space="preserve">Bacillus </w:t>
      </w:r>
      <w:proofErr w:type="spellStart"/>
      <w:r w:rsidR="00E74A7A">
        <w:rPr>
          <w:rFonts w:ascii="Arial" w:hAnsi="Arial" w:cs="Arial"/>
          <w:i/>
          <w:szCs w:val="22"/>
        </w:rPr>
        <w:t>subtillis</w:t>
      </w:r>
      <w:proofErr w:type="spellEnd"/>
      <w:r w:rsidR="00E74A7A">
        <w:rPr>
          <w:rFonts w:ascii="Arial" w:hAnsi="Arial" w:cs="Arial"/>
          <w:iCs/>
          <w:szCs w:val="22"/>
        </w:rPr>
        <w:t xml:space="preserve"> respectively, but is resisted by gram-negative bacteria </w:t>
      </w:r>
      <w:r w:rsidR="00E74A7A">
        <w:rPr>
          <w:rFonts w:ascii="Arial" w:hAnsi="Arial" w:cs="Arial"/>
          <w:i/>
          <w:szCs w:val="22"/>
        </w:rPr>
        <w:t xml:space="preserve">E. coli </w:t>
      </w:r>
      <w:r w:rsidR="00E74A7A">
        <w:rPr>
          <w:rFonts w:ascii="Arial" w:hAnsi="Arial" w:cs="Arial"/>
          <w:iCs/>
          <w:szCs w:val="22"/>
        </w:rPr>
        <w:t xml:space="preserve">and </w:t>
      </w:r>
      <w:r w:rsidR="00E74A7A">
        <w:rPr>
          <w:rFonts w:ascii="Arial" w:hAnsi="Arial" w:cs="Arial"/>
          <w:i/>
          <w:szCs w:val="22"/>
        </w:rPr>
        <w:t xml:space="preserve">Pseudomonas </w:t>
      </w:r>
      <w:proofErr w:type="gramStart"/>
      <w:r w:rsidR="00E74A7A">
        <w:rPr>
          <w:rFonts w:ascii="Arial" w:hAnsi="Arial" w:cs="Arial"/>
          <w:i/>
          <w:szCs w:val="22"/>
        </w:rPr>
        <w:t>spp.</w:t>
      </w:r>
      <w:r w:rsidR="00E74A7A">
        <w:rPr>
          <w:rFonts w:ascii="Arial" w:hAnsi="Arial" w:cs="Arial"/>
          <w:iCs/>
          <w:szCs w:val="22"/>
        </w:rPr>
        <w:t>.</w:t>
      </w:r>
      <w:proofErr w:type="gramEnd"/>
      <w:r w:rsidR="00E74A7A">
        <w:rPr>
          <w:rFonts w:ascii="Arial" w:hAnsi="Arial" w:cs="Arial"/>
          <w:iCs/>
          <w:szCs w:val="22"/>
        </w:rPr>
        <w:t xml:space="preserve"> Additionally, </w:t>
      </w:r>
      <w:r w:rsidR="005A6385">
        <w:rPr>
          <w:rFonts w:ascii="Arial" w:hAnsi="Arial" w:cs="Arial"/>
          <w:iCs/>
          <w:szCs w:val="22"/>
        </w:rPr>
        <w:t>in the study of Monente et. al. (2015), the SCG recorded peak percent inhibition of 92% on gram-</w:t>
      </w:r>
      <w:proofErr w:type="spellStart"/>
      <w:r w:rsidR="005A6385">
        <w:rPr>
          <w:rFonts w:ascii="Arial" w:hAnsi="Arial" w:cs="Arial"/>
          <w:iCs/>
          <w:szCs w:val="22"/>
        </w:rPr>
        <w:t>positve</w:t>
      </w:r>
      <w:proofErr w:type="spellEnd"/>
      <w:r w:rsidR="005A6385">
        <w:rPr>
          <w:rFonts w:ascii="Arial" w:hAnsi="Arial" w:cs="Arial"/>
          <w:iCs/>
          <w:szCs w:val="22"/>
        </w:rPr>
        <w:t xml:space="preserve"> bacteria.</w:t>
      </w:r>
    </w:p>
    <w:p w14:paraId="3EFE37A3" w14:textId="77777777" w:rsidR="005A6385" w:rsidRDefault="005A6385" w:rsidP="005A6385">
      <w:pPr>
        <w:autoSpaceDE w:val="0"/>
        <w:autoSpaceDN w:val="0"/>
        <w:adjustRightInd w:val="0"/>
        <w:jc w:val="both"/>
        <w:rPr>
          <w:rFonts w:ascii="Arial" w:hAnsi="Arial" w:cs="Arial"/>
          <w:szCs w:val="22"/>
        </w:rPr>
      </w:pPr>
    </w:p>
    <w:p w14:paraId="3F5C84EB" w14:textId="77777777" w:rsidR="00384562" w:rsidRDefault="00384562" w:rsidP="00384562">
      <w:pPr>
        <w:pStyle w:val="Body"/>
        <w:spacing w:after="0"/>
        <w:rPr>
          <w:rFonts w:ascii="Arial" w:hAnsi="Arial" w:cs="Arial"/>
          <w:b/>
          <w:bCs/>
          <w:sz w:val="22"/>
          <w:szCs w:val="22"/>
        </w:rPr>
      </w:pPr>
      <w:r w:rsidRPr="001E3FB4">
        <w:rPr>
          <w:rFonts w:ascii="Arial" w:hAnsi="Arial" w:cs="Arial"/>
          <w:b/>
          <w:bCs/>
          <w:sz w:val="22"/>
          <w:szCs w:val="22"/>
        </w:rPr>
        <w:t>3.</w:t>
      </w:r>
      <w:r w:rsidR="001E3FB4" w:rsidRPr="001E3FB4">
        <w:rPr>
          <w:rFonts w:ascii="Arial" w:hAnsi="Arial" w:cs="Arial"/>
          <w:b/>
          <w:bCs/>
          <w:sz w:val="22"/>
          <w:szCs w:val="22"/>
        </w:rPr>
        <w:t>3</w:t>
      </w:r>
      <w:r w:rsidRPr="001E3FB4">
        <w:rPr>
          <w:rFonts w:ascii="Arial" w:hAnsi="Arial" w:cs="Arial"/>
          <w:b/>
          <w:bCs/>
          <w:sz w:val="22"/>
          <w:szCs w:val="22"/>
        </w:rPr>
        <w:t xml:space="preserve"> </w:t>
      </w:r>
      <w:r w:rsidR="001E3FB4" w:rsidRPr="001E3FB4">
        <w:rPr>
          <w:rFonts w:ascii="Arial" w:hAnsi="Arial" w:cs="Arial"/>
          <w:b/>
          <w:bCs/>
          <w:sz w:val="22"/>
          <w:szCs w:val="22"/>
        </w:rPr>
        <w:t>Safety and Stability Test (Cytotoxicity and pH test)</w:t>
      </w:r>
    </w:p>
    <w:p w14:paraId="089C363D" w14:textId="77777777" w:rsidR="00976B90" w:rsidRPr="001E3FB4" w:rsidRDefault="00976B90" w:rsidP="00384562">
      <w:pPr>
        <w:pStyle w:val="Body"/>
        <w:spacing w:after="0"/>
        <w:rPr>
          <w:rFonts w:ascii="Arial" w:hAnsi="Arial" w:cs="Arial"/>
          <w:b/>
          <w:bCs/>
          <w:sz w:val="22"/>
          <w:szCs w:val="22"/>
        </w:rPr>
      </w:pPr>
    </w:p>
    <w:p w14:paraId="5B63F626" w14:textId="20C8DA80" w:rsidR="00384562" w:rsidRPr="004025A7" w:rsidRDefault="004025A7" w:rsidP="00384562">
      <w:pPr>
        <w:autoSpaceDE w:val="0"/>
        <w:autoSpaceDN w:val="0"/>
        <w:adjustRightInd w:val="0"/>
        <w:jc w:val="both"/>
        <w:rPr>
          <w:rFonts w:ascii="Arial" w:hAnsi="Arial" w:cs="Arial"/>
        </w:rPr>
      </w:pPr>
      <w:r w:rsidRPr="004025A7">
        <w:rPr>
          <w:rFonts w:ascii="Arial" w:hAnsi="Arial" w:cs="Arial"/>
        </w:rPr>
        <w:t xml:space="preserve">The production of </w:t>
      </w:r>
      <w:proofErr w:type="spellStart"/>
      <w:r w:rsidRPr="004025A7">
        <w:rPr>
          <w:rFonts w:ascii="Arial" w:hAnsi="Arial" w:cs="Arial"/>
        </w:rPr>
        <w:t>nanomedicine</w:t>
      </w:r>
      <w:proofErr w:type="spellEnd"/>
      <w:r w:rsidRPr="004025A7">
        <w:rPr>
          <w:rFonts w:ascii="Arial" w:hAnsi="Arial" w:cs="Arial"/>
        </w:rPr>
        <w:t xml:space="preserve"> involves carefully monitoring and ensuring product quality over time. Maintaining stability and safety help prevent issues such as premature drug degradation, aggregation, or loss of bioactivity, which could compromise both safety and performance. By addressing these factors, nanomedicine production aims to enhance long-term product reliability, minimize potential toxicity, and ensure that the medicine remains safe and effective for its intended application </w:t>
      </w:r>
      <w:r w:rsidR="006F5F0C">
        <w:rPr>
          <w:rFonts w:ascii="Arial" w:hAnsi="Arial" w:cs="Arial"/>
        </w:rPr>
        <w:t xml:space="preserve">(Muthu </w:t>
      </w:r>
      <w:r w:rsidR="00933879">
        <w:rPr>
          <w:rFonts w:ascii="Arial" w:hAnsi="Arial" w:cs="Arial"/>
        </w:rPr>
        <w:t>&amp;</w:t>
      </w:r>
      <w:r w:rsidR="006F5F0C">
        <w:rPr>
          <w:rFonts w:ascii="Arial" w:hAnsi="Arial" w:cs="Arial"/>
        </w:rPr>
        <w:t xml:space="preserve"> Feng, 2009)</w:t>
      </w:r>
      <w:r w:rsidRPr="004025A7">
        <w:rPr>
          <w:rFonts w:ascii="Arial" w:hAnsi="Arial" w:cs="Arial"/>
        </w:rPr>
        <w:t>. The results of the cytotoxicity test and pH level assessment are listed in the tables below.</w:t>
      </w:r>
    </w:p>
    <w:p w14:paraId="24E6F449" w14:textId="091BE9EB" w:rsidR="000242CC" w:rsidRDefault="000242CC" w:rsidP="00441B6F">
      <w:pPr>
        <w:pStyle w:val="Body"/>
        <w:spacing w:after="0"/>
        <w:rPr>
          <w:rFonts w:ascii="Arial" w:hAnsi="Arial" w:cs="Arial"/>
          <w:b/>
          <w:bCs/>
        </w:rPr>
      </w:pPr>
    </w:p>
    <w:tbl>
      <w:tblPr>
        <w:tblStyle w:val="TableGrid"/>
        <w:tblpPr w:leftFromText="180" w:rightFromText="180" w:vertAnchor="page" w:horzAnchor="margin" w:tblpY="10426"/>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1766"/>
        <w:gridCol w:w="1761"/>
        <w:gridCol w:w="1975"/>
        <w:gridCol w:w="1978"/>
      </w:tblGrid>
      <w:tr w:rsidR="004E1D23" w:rsidRPr="008F689C" w14:paraId="177D9ABB" w14:textId="77777777" w:rsidTr="004E1D23">
        <w:trPr>
          <w:trHeight w:val="70"/>
        </w:trPr>
        <w:tc>
          <w:tcPr>
            <w:tcW w:w="451" w:type="pct"/>
            <w:vMerge w:val="restart"/>
            <w:tcBorders>
              <w:top w:val="single" w:sz="12" w:space="0" w:color="auto"/>
              <w:left w:val="single" w:sz="12" w:space="0" w:color="auto"/>
              <w:bottom w:val="single" w:sz="12" w:space="0" w:color="auto"/>
              <w:right w:val="single" w:sz="12" w:space="0" w:color="auto"/>
            </w:tcBorders>
            <w:textDirection w:val="btLr"/>
            <w:hideMark/>
          </w:tcPr>
          <w:p w14:paraId="451A1B55" w14:textId="77777777" w:rsidR="004E1D23" w:rsidRPr="008F689C" w:rsidRDefault="004E1D23" w:rsidP="004E1D23">
            <w:pPr>
              <w:pStyle w:val="Body"/>
              <w:spacing w:after="0"/>
              <w:jc w:val="center"/>
              <w:rPr>
                <w:rFonts w:ascii="Arial" w:hAnsi="Arial" w:cs="Arial"/>
                <w:b/>
                <w:bCs/>
                <w:sz w:val="20"/>
              </w:rPr>
            </w:pPr>
            <w:bookmarkStart w:id="0" w:name="_Hlk194248883"/>
            <w:r w:rsidRPr="008F689C">
              <w:rPr>
                <w:rFonts w:ascii="Arial" w:hAnsi="Arial" w:cs="Arial"/>
                <w:b/>
                <w:bCs/>
                <w:sz w:val="20"/>
              </w:rPr>
              <w:t>Cytotoxicity Test</w:t>
            </w:r>
          </w:p>
        </w:tc>
        <w:tc>
          <w:tcPr>
            <w:tcW w:w="2145" w:type="pct"/>
            <w:gridSpan w:val="2"/>
            <w:vMerge w:val="restart"/>
            <w:tcBorders>
              <w:top w:val="single" w:sz="12" w:space="0" w:color="auto"/>
              <w:left w:val="single" w:sz="12" w:space="0" w:color="auto"/>
              <w:bottom w:val="single" w:sz="12" w:space="0" w:color="auto"/>
              <w:right w:val="nil"/>
            </w:tcBorders>
            <w:vAlign w:val="center"/>
            <w:hideMark/>
          </w:tcPr>
          <w:p w14:paraId="159775E8" w14:textId="77777777" w:rsidR="004E1D23" w:rsidRPr="008F689C" w:rsidRDefault="004E1D23" w:rsidP="004E1D23">
            <w:pPr>
              <w:pStyle w:val="Body"/>
              <w:spacing w:after="0"/>
              <w:rPr>
                <w:rFonts w:ascii="Arial" w:hAnsi="Arial" w:cs="Arial"/>
                <w:b/>
                <w:bCs/>
                <w:sz w:val="20"/>
              </w:rPr>
            </w:pPr>
            <w:r w:rsidRPr="008F689C">
              <w:rPr>
                <w:rFonts w:ascii="Arial" w:hAnsi="Arial" w:cs="Arial"/>
                <w:b/>
                <w:bCs/>
                <w:sz w:val="20"/>
              </w:rPr>
              <w:t>Concentration</w:t>
            </w:r>
          </w:p>
        </w:tc>
        <w:tc>
          <w:tcPr>
            <w:tcW w:w="2404" w:type="pct"/>
            <w:gridSpan w:val="2"/>
            <w:tcBorders>
              <w:top w:val="single" w:sz="12" w:space="0" w:color="auto"/>
              <w:left w:val="nil"/>
              <w:bottom w:val="single" w:sz="12" w:space="0" w:color="auto"/>
              <w:right w:val="nil"/>
            </w:tcBorders>
            <w:hideMark/>
          </w:tcPr>
          <w:p w14:paraId="6E92F994" w14:textId="77777777" w:rsidR="004E1D23" w:rsidRPr="008F689C" w:rsidRDefault="004E1D23" w:rsidP="004E1D23">
            <w:pPr>
              <w:pStyle w:val="Body"/>
              <w:spacing w:after="0"/>
              <w:rPr>
                <w:rFonts w:ascii="Arial" w:hAnsi="Arial" w:cs="Arial"/>
                <w:b/>
                <w:bCs/>
                <w:sz w:val="20"/>
              </w:rPr>
            </w:pPr>
            <w:r w:rsidRPr="008F689C">
              <w:rPr>
                <w:rFonts w:ascii="Arial" w:hAnsi="Arial" w:cs="Arial"/>
                <w:b/>
                <w:bCs/>
                <w:sz w:val="20"/>
              </w:rPr>
              <w:t>No. of Live Brine Shrimp (BBS)</w:t>
            </w:r>
          </w:p>
        </w:tc>
      </w:tr>
      <w:tr w:rsidR="004E1D23" w:rsidRPr="008F689C" w14:paraId="079A0C43" w14:textId="77777777" w:rsidTr="004E1D23">
        <w:trPr>
          <w:trHeight w:val="70"/>
        </w:trPr>
        <w:tc>
          <w:tcPr>
            <w:tcW w:w="451" w:type="pct"/>
            <w:vMerge/>
            <w:tcBorders>
              <w:top w:val="single" w:sz="12" w:space="0" w:color="auto"/>
              <w:left w:val="single" w:sz="12" w:space="0" w:color="auto"/>
              <w:bottom w:val="single" w:sz="12" w:space="0" w:color="auto"/>
              <w:right w:val="single" w:sz="12" w:space="0" w:color="auto"/>
            </w:tcBorders>
            <w:vAlign w:val="center"/>
            <w:hideMark/>
          </w:tcPr>
          <w:p w14:paraId="48A5A411" w14:textId="77777777" w:rsidR="004E1D23" w:rsidRPr="008F689C" w:rsidRDefault="004E1D23" w:rsidP="004E1D23">
            <w:pPr>
              <w:pStyle w:val="Body"/>
              <w:spacing w:after="0"/>
              <w:jc w:val="center"/>
              <w:rPr>
                <w:rFonts w:ascii="Arial" w:hAnsi="Arial" w:cs="Arial"/>
                <w:b/>
                <w:bCs/>
                <w:sz w:val="20"/>
              </w:rPr>
            </w:pPr>
          </w:p>
        </w:tc>
        <w:tc>
          <w:tcPr>
            <w:tcW w:w="2145" w:type="pct"/>
            <w:gridSpan w:val="2"/>
            <w:vMerge/>
            <w:tcBorders>
              <w:top w:val="single" w:sz="12" w:space="0" w:color="auto"/>
              <w:left w:val="single" w:sz="12" w:space="0" w:color="auto"/>
              <w:bottom w:val="single" w:sz="12" w:space="0" w:color="auto"/>
              <w:right w:val="nil"/>
            </w:tcBorders>
            <w:vAlign w:val="center"/>
            <w:hideMark/>
          </w:tcPr>
          <w:p w14:paraId="1593F97E" w14:textId="77777777" w:rsidR="004E1D23" w:rsidRPr="008F689C" w:rsidRDefault="004E1D23" w:rsidP="004E1D23">
            <w:pPr>
              <w:pStyle w:val="Body"/>
              <w:spacing w:after="0"/>
              <w:rPr>
                <w:rFonts w:ascii="Arial" w:hAnsi="Arial" w:cs="Arial"/>
                <w:b/>
                <w:bCs/>
                <w:sz w:val="20"/>
              </w:rPr>
            </w:pPr>
          </w:p>
        </w:tc>
        <w:tc>
          <w:tcPr>
            <w:tcW w:w="1201" w:type="pct"/>
            <w:tcBorders>
              <w:top w:val="single" w:sz="12" w:space="0" w:color="auto"/>
              <w:left w:val="nil"/>
              <w:bottom w:val="single" w:sz="12" w:space="0" w:color="auto"/>
              <w:right w:val="nil"/>
            </w:tcBorders>
            <w:hideMark/>
          </w:tcPr>
          <w:p w14:paraId="68D71E07" w14:textId="77777777" w:rsidR="004E1D23" w:rsidRPr="008F689C" w:rsidRDefault="004E1D23" w:rsidP="004E1D23">
            <w:pPr>
              <w:pStyle w:val="Body"/>
              <w:spacing w:after="0"/>
              <w:rPr>
                <w:rFonts w:ascii="Arial" w:hAnsi="Arial" w:cs="Arial"/>
                <w:b/>
                <w:bCs/>
                <w:sz w:val="20"/>
              </w:rPr>
            </w:pPr>
            <w:r w:rsidRPr="008F689C">
              <w:rPr>
                <w:rFonts w:ascii="Arial" w:hAnsi="Arial" w:cs="Arial"/>
                <w:b/>
                <w:bCs/>
                <w:sz w:val="20"/>
              </w:rPr>
              <w:t>Day 1</w:t>
            </w:r>
          </w:p>
        </w:tc>
        <w:tc>
          <w:tcPr>
            <w:tcW w:w="1203" w:type="pct"/>
            <w:tcBorders>
              <w:top w:val="single" w:sz="12" w:space="0" w:color="auto"/>
              <w:left w:val="nil"/>
              <w:bottom w:val="single" w:sz="12" w:space="0" w:color="auto"/>
              <w:right w:val="nil"/>
            </w:tcBorders>
            <w:hideMark/>
          </w:tcPr>
          <w:p w14:paraId="1FA7E8C8" w14:textId="77777777" w:rsidR="004E1D23" w:rsidRPr="008F689C" w:rsidRDefault="004E1D23" w:rsidP="004E1D23">
            <w:pPr>
              <w:pStyle w:val="Body"/>
              <w:spacing w:after="0"/>
              <w:rPr>
                <w:rFonts w:ascii="Arial" w:hAnsi="Arial" w:cs="Arial"/>
                <w:b/>
                <w:bCs/>
                <w:sz w:val="20"/>
              </w:rPr>
            </w:pPr>
            <w:r w:rsidRPr="008F689C">
              <w:rPr>
                <w:rFonts w:ascii="Arial" w:hAnsi="Arial" w:cs="Arial"/>
                <w:b/>
                <w:bCs/>
                <w:sz w:val="20"/>
              </w:rPr>
              <w:t>Day 2</w:t>
            </w:r>
          </w:p>
        </w:tc>
      </w:tr>
      <w:tr w:rsidR="004E1D23" w:rsidRPr="008F689C" w14:paraId="17EDD819" w14:textId="77777777" w:rsidTr="004E1D23">
        <w:trPr>
          <w:trHeight w:val="112"/>
        </w:trPr>
        <w:tc>
          <w:tcPr>
            <w:tcW w:w="451" w:type="pct"/>
            <w:vMerge/>
            <w:tcBorders>
              <w:top w:val="single" w:sz="12" w:space="0" w:color="auto"/>
              <w:left w:val="single" w:sz="12" w:space="0" w:color="auto"/>
              <w:bottom w:val="single" w:sz="12" w:space="0" w:color="auto"/>
              <w:right w:val="single" w:sz="12" w:space="0" w:color="auto"/>
            </w:tcBorders>
            <w:vAlign w:val="center"/>
            <w:hideMark/>
          </w:tcPr>
          <w:p w14:paraId="3BD52462" w14:textId="77777777" w:rsidR="004E1D23" w:rsidRPr="008F689C" w:rsidRDefault="004E1D23" w:rsidP="004E1D23">
            <w:pPr>
              <w:pStyle w:val="Body"/>
              <w:spacing w:after="0"/>
              <w:jc w:val="center"/>
              <w:rPr>
                <w:rFonts w:ascii="Arial" w:hAnsi="Arial" w:cs="Arial"/>
                <w:b/>
                <w:bCs/>
                <w:sz w:val="20"/>
              </w:rPr>
            </w:pPr>
          </w:p>
        </w:tc>
        <w:tc>
          <w:tcPr>
            <w:tcW w:w="2145" w:type="pct"/>
            <w:gridSpan w:val="2"/>
            <w:tcBorders>
              <w:top w:val="single" w:sz="12" w:space="0" w:color="auto"/>
              <w:left w:val="single" w:sz="12" w:space="0" w:color="auto"/>
              <w:bottom w:val="nil"/>
              <w:right w:val="nil"/>
            </w:tcBorders>
            <w:hideMark/>
          </w:tcPr>
          <w:p w14:paraId="7AE1865C" w14:textId="77777777" w:rsidR="004E1D23" w:rsidRPr="008F689C" w:rsidRDefault="004E1D23" w:rsidP="004E1D23">
            <w:pPr>
              <w:pStyle w:val="Body"/>
              <w:spacing w:after="0"/>
              <w:rPr>
                <w:rFonts w:ascii="Arial" w:hAnsi="Arial" w:cs="Arial"/>
                <w:sz w:val="20"/>
              </w:rPr>
            </w:pPr>
            <w:r w:rsidRPr="008F689C">
              <w:rPr>
                <w:rFonts w:ascii="Arial" w:hAnsi="Arial" w:cs="Arial"/>
                <w:sz w:val="20"/>
              </w:rPr>
              <w:t>0</w:t>
            </w:r>
          </w:p>
        </w:tc>
        <w:tc>
          <w:tcPr>
            <w:tcW w:w="1201" w:type="pct"/>
            <w:tcBorders>
              <w:top w:val="single" w:sz="12" w:space="0" w:color="auto"/>
              <w:left w:val="nil"/>
              <w:bottom w:val="nil"/>
              <w:right w:val="nil"/>
            </w:tcBorders>
            <w:hideMark/>
          </w:tcPr>
          <w:p w14:paraId="38EC718E" w14:textId="77777777" w:rsidR="004E1D23" w:rsidRPr="008F689C" w:rsidRDefault="004E1D23" w:rsidP="004E1D23">
            <w:pPr>
              <w:pStyle w:val="Body"/>
              <w:spacing w:after="0"/>
              <w:rPr>
                <w:rFonts w:ascii="Arial" w:hAnsi="Arial" w:cs="Arial"/>
                <w:sz w:val="20"/>
              </w:rPr>
            </w:pPr>
            <w:r w:rsidRPr="008F689C">
              <w:rPr>
                <w:rFonts w:ascii="Arial" w:hAnsi="Arial" w:cs="Arial"/>
                <w:sz w:val="20"/>
              </w:rPr>
              <w:t>10</w:t>
            </w:r>
          </w:p>
        </w:tc>
        <w:tc>
          <w:tcPr>
            <w:tcW w:w="1203" w:type="pct"/>
            <w:tcBorders>
              <w:top w:val="single" w:sz="12" w:space="0" w:color="auto"/>
              <w:left w:val="nil"/>
              <w:bottom w:val="nil"/>
              <w:right w:val="nil"/>
            </w:tcBorders>
            <w:hideMark/>
          </w:tcPr>
          <w:p w14:paraId="61CD316C" w14:textId="77777777" w:rsidR="004E1D23" w:rsidRPr="008F689C" w:rsidRDefault="004E1D23" w:rsidP="004E1D23">
            <w:pPr>
              <w:pStyle w:val="Body"/>
              <w:spacing w:after="0"/>
              <w:rPr>
                <w:rFonts w:ascii="Arial" w:hAnsi="Arial" w:cs="Arial"/>
                <w:sz w:val="20"/>
              </w:rPr>
            </w:pPr>
            <w:r w:rsidRPr="008F689C">
              <w:rPr>
                <w:rFonts w:ascii="Arial" w:hAnsi="Arial" w:cs="Arial"/>
                <w:sz w:val="20"/>
              </w:rPr>
              <w:t>10</w:t>
            </w:r>
          </w:p>
        </w:tc>
      </w:tr>
      <w:tr w:rsidR="004E1D23" w:rsidRPr="008F689C" w14:paraId="247706F1" w14:textId="77777777" w:rsidTr="004E1D23">
        <w:trPr>
          <w:trHeight w:val="90"/>
        </w:trPr>
        <w:tc>
          <w:tcPr>
            <w:tcW w:w="451" w:type="pct"/>
            <w:vMerge/>
            <w:tcBorders>
              <w:top w:val="single" w:sz="12" w:space="0" w:color="auto"/>
              <w:left w:val="single" w:sz="12" w:space="0" w:color="auto"/>
              <w:bottom w:val="single" w:sz="12" w:space="0" w:color="auto"/>
              <w:right w:val="single" w:sz="12" w:space="0" w:color="auto"/>
            </w:tcBorders>
            <w:vAlign w:val="center"/>
            <w:hideMark/>
          </w:tcPr>
          <w:p w14:paraId="1A880516" w14:textId="77777777" w:rsidR="004E1D23" w:rsidRPr="008F689C" w:rsidRDefault="004E1D23" w:rsidP="004E1D23">
            <w:pPr>
              <w:pStyle w:val="Body"/>
              <w:spacing w:after="0"/>
              <w:jc w:val="center"/>
              <w:rPr>
                <w:rFonts w:ascii="Arial" w:hAnsi="Arial" w:cs="Arial"/>
                <w:b/>
                <w:bCs/>
                <w:sz w:val="20"/>
              </w:rPr>
            </w:pPr>
          </w:p>
        </w:tc>
        <w:tc>
          <w:tcPr>
            <w:tcW w:w="2145" w:type="pct"/>
            <w:gridSpan w:val="2"/>
            <w:tcBorders>
              <w:top w:val="nil"/>
              <w:left w:val="single" w:sz="12" w:space="0" w:color="auto"/>
              <w:bottom w:val="nil"/>
              <w:right w:val="nil"/>
            </w:tcBorders>
            <w:hideMark/>
          </w:tcPr>
          <w:p w14:paraId="6F37D3D6" w14:textId="77777777" w:rsidR="004E1D23" w:rsidRPr="008F689C" w:rsidRDefault="004E1D23" w:rsidP="004E1D23">
            <w:pPr>
              <w:pStyle w:val="Body"/>
              <w:spacing w:after="0"/>
              <w:rPr>
                <w:rFonts w:ascii="Arial" w:hAnsi="Arial" w:cs="Arial"/>
                <w:sz w:val="20"/>
              </w:rPr>
            </w:pPr>
            <w:r w:rsidRPr="008F689C">
              <w:rPr>
                <w:rFonts w:ascii="Arial" w:hAnsi="Arial" w:cs="Arial"/>
                <w:sz w:val="20"/>
              </w:rPr>
              <w:t>1000 ppm</w:t>
            </w:r>
          </w:p>
        </w:tc>
        <w:tc>
          <w:tcPr>
            <w:tcW w:w="1201" w:type="pct"/>
            <w:hideMark/>
          </w:tcPr>
          <w:p w14:paraId="4BC6B772" w14:textId="77777777" w:rsidR="004E1D23" w:rsidRPr="008F689C" w:rsidRDefault="004E1D23" w:rsidP="004E1D23">
            <w:pPr>
              <w:pStyle w:val="Body"/>
              <w:spacing w:after="0"/>
              <w:rPr>
                <w:rFonts w:ascii="Arial" w:hAnsi="Arial" w:cs="Arial"/>
                <w:sz w:val="20"/>
              </w:rPr>
            </w:pPr>
            <w:r w:rsidRPr="008F689C">
              <w:rPr>
                <w:rFonts w:ascii="Arial" w:hAnsi="Arial" w:cs="Arial"/>
                <w:sz w:val="20"/>
              </w:rPr>
              <w:t>10</w:t>
            </w:r>
          </w:p>
        </w:tc>
        <w:tc>
          <w:tcPr>
            <w:tcW w:w="1203" w:type="pct"/>
            <w:hideMark/>
          </w:tcPr>
          <w:p w14:paraId="21787040" w14:textId="77777777" w:rsidR="004E1D23" w:rsidRPr="008F689C" w:rsidRDefault="004E1D23" w:rsidP="004E1D23">
            <w:pPr>
              <w:pStyle w:val="Body"/>
              <w:spacing w:after="0"/>
              <w:rPr>
                <w:rFonts w:ascii="Arial" w:hAnsi="Arial" w:cs="Arial"/>
                <w:sz w:val="20"/>
              </w:rPr>
            </w:pPr>
            <w:r w:rsidRPr="008F689C">
              <w:rPr>
                <w:rFonts w:ascii="Arial" w:hAnsi="Arial" w:cs="Arial"/>
                <w:sz w:val="20"/>
              </w:rPr>
              <w:t>5</w:t>
            </w:r>
          </w:p>
        </w:tc>
      </w:tr>
      <w:tr w:rsidR="004E1D23" w:rsidRPr="008F689C" w14:paraId="3D2B451A" w14:textId="77777777" w:rsidTr="004E1D23">
        <w:trPr>
          <w:trHeight w:val="90"/>
        </w:trPr>
        <w:tc>
          <w:tcPr>
            <w:tcW w:w="451" w:type="pct"/>
            <w:vMerge/>
            <w:tcBorders>
              <w:top w:val="single" w:sz="12" w:space="0" w:color="auto"/>
              <w:left w:val="single" w:sz="12" w:space="0" w:color="auto"/>
              <w:bottom w:val="single" w:sz="12" w:space="0" w:color="auto"/>
              <w:right w:val="single" w:sz="12" w:space="0" w:color="auto"/>
            </w:tcBorders>
            <w:vAlign w:val="center"/>
            <w:hideMark/>
          </w:tcPr>
          <w:p w14:paraId="05520E2A" w14:textId="77777777" w:rsidR="004E1D23" w:rsidRPr="008F689C" w:rsidRDefault="004E1D23" w:rsidP="004E1D23">
            <w:pPr>
              <w:pStyle w:val="Body"/>
              <w:spacing w:after="0"/>
              <w:jc w:val="center"/>
              <w:rPr>
                <w:rFonts w:ascii="Arial" w:hAnsi="Arial" w:cs="Arial"/>
                <w:b/>
                <w:bCs/>
                <w:sz w:val="20"/>
              </w:rPr>
            </w:pPr>
          </w:p>
        </w:tc>
        <w:tc>
          <w:tcPr>
            <w:tcW w:w="2145" w:type="pct"/>
            <w:gridSpan w:val="2"/>
            <w:tcBorders>
              <w:top w:val="nil"/>
              <w:left w:val="single" w:sz="12" w:space="0" w:color="auto"/>
              <w:bottom w:val="nil"/>
              <w:right w:val="nil"/>
            </w:tcBorders>
            <w:hideMark/>
          </w:tcPr>
          <w:p w14:paraId="37F62718" w14:textId="77777777" w:rsidR="004E1D23" w:rsidRPr="008F689C" w:rsidRDefault="004E1D23" w:rsidP="004E1D23">
            <w:pPr>
              <w:pStyle w:val="Body"/>
              <w:spacing w:after="0"/>
              <w:rPr>
                <w:rFonts w:ascii="Arial" w:hAnsi="Arial" w:cs="Arial"/>
                <w:sz w:val="20"/>
              </w:rPr>
            </w:pPr>
            <w:r w:rsidRPr="008F689C">
              <w:rPr>
                <w:rFonts w:ascii="Arial" w:hAnsi="Arial" w:cs="Arial"/>
                <w:sz w:val="20"/>
              </w:rPr>
              <w:t>100 ppm</w:t>
            </w:r>
          </w:p>
        </w:tc>
        <w:tc>
          <w:tcPr>
            <w:tcW w:w="1201" w:type="pct"/>
            <w:hideMark/>
          </w:tcPr>
          <w:p w14:paraId="79468248" w14:textId="77777777" w:rsidR="004E1D23" w:rsidRPr="008F689C" w:rsidRDefault="004E1D23" w:rsidP="004E1D23">
            <w:pPr>
              <w:pStyle w:val="Body"/>
              <w:spacing w:after="0"/>
              <w:rPr>
                <w:rFonts w:ascii="Arial" w:hAnsi="Arial" w:cs="Arial"/>
                <w:sz w:val="20"/>
              </w:rPr>
            </w:pPr>
            <w:r w:rsidRPr="008F689C">
              <w:rPr>
                <w:rFonts w:ascii="Arial" w:hAnsi="Arial" w:cs="Arial"/>
                <w:sz w:val="20"/>
              </w:rPr>
              <w:t>10</w:t>
            </w:r>
          </w:p>
        </w:tc>
        <w:tc>
          <w:tcPr>
            <w:tcW w:w="1203" w:type="pct"/>
            <w:hideMark/>
          </w:tcPr>
          <w:p w14:paraId="2100F7B3" w14:textId="77777777" w:rsidR="004E1D23" w:rsidRPr="008F689C" w:rsidRDefault="004E1D23" w:rsidP="004E1D23">
            <w:pPr>
              <w:pStyle w:val="Body"/>
              <w:spacing w:after="0"/>
              <w:rPr>
                <w:rFonts w:ascii="Arial" w:hAnsi="Arial" w:cs="Arial"/>
                <w:sz w:val="20"/>
              </w:rPr>
            </w:pPr>
            <w:r w:rsidRPr="008F689C">
              <w:rPr>
                <w:rFonts w:ascii="Arial" w:hAnsi="Arial" w:cs="Arial"/>
                <w:sz w:val="20"/>
              </w:rPr>
              <w:t>7</w:t>
            </w:r>
          </w:p>
        </w:tc>
      </w:tr>
      <w:tr w:rsidR="004E1D23" w:rsidRPr="008F689C" w14:paraId="1C5CE104" w14:textId="77777777" w:rsidTr="004E1D23">
        <w:trPr>
          <w:trHeight w:val="90"/>
        </w:trPr>
        <w:tc>
          <w:tcPr>
            <w:tcW w:w="451" w:type="pct"/>
            <w:vMerge/>
            <w:tcBorders>
              <w:top w:val="single" w:sz="12" w:space="0" w:color="auto"/>
              <w:left w:val="single" w:sz="12" w:space="0" w:color="auto"/>
              <w:bottom w:val="single" w:sz="12" w:space="0" w:color="auto"/>
              <w:right w:val="single" w:sz="12" w:space="0" w:color="auto"/>
            </w:tcBorders>
            <w:vAlign w:val="center"/>
            <w:hideMark/>
          </w:tcPr>
          <w:p w14:paraId="4006BD54" w14:textId="77777777" w:rsidR="004E1D23" w:rsidRPr="008F689C" w:rsidRDefault="004E1D23" w:rsidP="004E1D23">
            <w:pPr>
              <w:pStyle w:val="Body"/>
              <w:spacing w:after="0"/>
              <w:jc w:val="center"/>
              <w:rPr>
                <w:rFonts w:ascii="Arial" w:hAnsi="Arial" w:cs="Arial"/>
                <w:b/>
                <w:bCs/>
                <w:sz w:val="20"/>
              </w:rPr>
            </w:pPr>
          </w:p>
        </w:tc>
        <w:tc>
          <w:tcPr>
            <w:tcW w:w="2145" w:type="pct"/>
            <w:gridSpan w:val="2"/>
            <w:tcBorders>
              <w:top w:val="nil"/>
              <w:left w:val="single" w:sz="12" w:space="0" w:color="auto"/>
              <w:bottom w:val="nil"/>
              <w:right w:val="nil"/>
            </w:tcBorders>
            <w:hideMark/>
          </w:tcPr>
          <w:p w14:paraId="5D9A12E9" w14:textId="77777777" w:rsidR="004E1D23" w:rsidRPr="008F689C" w:rsidRDefault="004E1D23" w:rsidP="004E1D23">
            <w:pPr>
              <w:pStyle w:val="Body"/>
              <w:spacing w:after="0"/>
              <w:rPr>
                <w:rFonts w:ascii="Arial" w:hAnsi="Arial" w:cs="Arial"/>
                <w:sz w:val="20"/>
              </w:rPr>
            </w:pPr>
            <w:r w:rsidRPr="008F689C">
              <w:rPr>
                <w:rFonts w:ascii="Arial" w:hAnsi="Arial" w:cs="Arial"/>
                <w:sz w:val="20"/>
              </w:rPr>
              <w:t>10 ppm</w:t>
            </w:r>
          </w:p>
        </w:tc>
        <w:tc>
          <w:tcPr>
            <w:tcW w:w="1201" w:type="pct"/>
            <w:hideMark/>
          </w:tcPr>
          <w:p w14:paraId="7AD454D9" w14:textId="77777777" w:rsidR="004E1D23" w:rsidRPr="008F689C" w:rsidRDefault="004E1D23" w:rsidP="004E1D23">
            <w:pPr>
              <w:pStyle w:val="Body"/>
              <w:spacing w:after="0"/>
              <w:rPr>
                <w:rFonts w:ascii="Arial" w:hAnsi="Arial" w:cs="Arial"/>
                <w:sz w:val="20"/>
              </w:rPr>
            </w:pPr>
            <w:r w:rsidRPr="008F689C">
              <w:rPr>
                <w:rFonts w:ascii="Arial" w:hAnsi="Arial" w:cs="Arial"/>
                <w:sz w:val="20"/>
              </w:rPr>
              <w:t>10</w:t>
            </w:r>
          </w:p>
        </w:tc>
        <w:tc>
          <w:tcPr>
            <w:tcW w:w="1203" w:type="pct"/>
            <w:hideMark/>
          </w:tcPr>
          <w:p w14:paraId="3EC811BA" w14:textId="77777777" w:rsidR="004E1D23" w:rsidRPr="008F689C" w:rsidRDefault="004E1D23" w:rsidP="004E1D23">
            <w:pPr>
              <w:pStyle w:val="Body"/>
              <w:spacing w:after="0"/>
              <w:rPr>
                <w:rFonts w:ascii="Arial" w:hAnsi="Arial" w:cs="Arial"/>
                <w:sz w:val="20"/>
              </w:rPr>
            </w:pPr>
            <w:r w:rsidRPr="008F689C">
              <w:rPr>
                <w:rFonts w:ascii="Arial" w:hAnsi="Arial" w:cs="Arial"/>
                <w:sz w:val="20"/>
              </w:rPr>
              <w:t>7</w:t>
            </w:r>
          </w:p>
        </w:tc>
      </w:tr>
      <w:tr w:rsidR="004E1D23" w:rsidRPr="008F689C" w14:paraId="402D8EF3" w14:textId="77777777" w:rsidTr="004E1D23">
        <w:trPr>
          <w:trHeight w:val="87"/>
        </w:trPr>
        <w:tc>
          <w:tcPr>
            <w:tcW w:w="451" w:type="pct"/>
            <w:vMerge/>
            <w:tcBorders>
              <w:top w:val="single" w:sz="12" w:space="0" w:color="auto"/>
              <w:left w:val="single" w:sz="12" w:space="0" w:color="auto"/>
              <w:bottom w:val="single" w:sz="12" w:space="0" w:color="auto"/>
              <w:right w:val="single" w:sz="12" w:space="0" w:color="auto"/>
            </w:tcBorders>
            <w:vAlign w:val="center"/>
            <w:hideMark/>
          </w:tcPr>
          <w:p w14:paraId="32312521" w14:textId="77777777" w:rsidR="004E1D23" w:rsidRPr="008F689C" w:rsidRDefault="004E1D23" w:rsidP="004E1D23">
            <w:pPr>
              <w:pStyle w:val="Body"/>
              <w:spacing w:after="0"/>
              <w:jc w:val="center"/>
              <w:rPr>
                <w:rFonts w:ascii="Arial" w:hAnsi="Arial" w:cs="Arial"/>
                <w:b/>
                <w:bCs/>
                <w:sz w:val="20"/>
              </w:rPr>
            </w:pPr>
          </w:p>
        </w:tc>
        <w:tc>
          <w:tcPr>
            <w:tcW w:w="2145" w:type="pct"/>
            <w:gridSpan w:val="2"/>
            <w:tcBorders>
              <w:top w:val="nil"/>
              <w:left w:val="single" w:sz="12" w:space="0" w:color="auto"/>
              <w:bottom w:val="nil"/>
              <w:right w:val="nil"/>
            </w:tcBorders>
            <w:hideMark/>
          </w:tcPr>
          <w:p w14:paraId="226A3231" w14:textId="77777777" w:rsidR="004E1D23" w:rsidRPr="008F689C" w:rsidRDefault="004E1D23" w:rsidP="004E1D23">
            <w:pPr>
              <w:pStyle w:val="Body"/>
              <w:spacing w:after="0"/>
              <w:rPr>
                <w:rFonts w:ascii="Arial" w:hAnsi="Arial" w:cs="Arial"/>
                <w:sz w:val="20"/>
              </w:rPr>
            </w:pPr>
            <w:r w:rsidRPr="008F689C">
              <w:rPr>
                <w:rFonts w:ascii="Arial" w:hAnsi="Arial" w:cs="Arial"/>
                <w:sz w:val="20"/>
              </w:rPr>
              <w:t>1</w:t>
            </w:r>
          </w:p>
        </w:tc>
        <w:tc>
          <w:tcPr>
            <w:tcW w:w="1201" w:type="pct"/>
            <w:hideMark/>
          </w:tcPr>
          <w:p w14:paraId="5F14350D" w14:textId="77777777" w:rsidR="004E1D23" w:rsidRPr="008F689C" w:rsidRDefault="004E1D23" w:rsidP="004E1D23">
            <w:pPr>
              <w:pStyle w:val="Body"/>
              <w:spacing w:after="0"/>
              <w:rPr>
                <w:rFonts w:ascii="Arial" w:hAnsi="Arial" w:cs="Arial"/>
                <w:sz w:val="20"/>
              </w:rPr>
            </w:pPr>
            <w:r w:rsidRPr="008F689C">
              <w:rPr>
                <w:rFonts w:ascii="Arial" w:hAnsi="Arial" w:cs="Arial"/>
                <w:sz w:val="20"/>
              </w:rPr>
              <w:t>10</w:t>
            </w:r>
          </w:p>
        </w:tc>
        <w:tc>
          <w:tcPr>
            <w:tcW w:w="1203" w:type="pct"/>
            <w:hideMark/>
          </w:tcPr>
          <w:p w14:paraId="254416DB" w14:textId="77777777" w:rsidR="004E1D23" w:rsidRPr="008F689C" w:rsidRDefault="004E1D23" w:rsidP="004E1D23">
            <w:pPr>
              <w:pStyle w:val="Body"/>
              <w:spacing w:after="0"/>
              <w:rPr>
                <w:rFonts w:ascii="Arial" w:hAnsi="Arial" w:cs="Arial"/>
                <w:sz w:val="20"/>
              </w:rPr>
            </w:pPr>
            <w:r w:rsidRPr="008F689C">
              <w:rPr>
                <w:rFonts w:ascii="Arial" w:hAnsi="Arial" w:cs="Arial"/>
                <w:sz w:val="20"/>
              </w:rPr>
              <w:t>10</w:t>
            </w:r>
          </w:p>
        </w:tc>
      </w:tr>
      <w:tr w:rsidR="004E1D23" w:rsidRPr="008F689C" w14:paraId="1C4C7CB0" w14:textId="77777777" w:rsidTr="004E1D23">
        <w:trPr>
          <w:trHeight w:val="87"/>
        </w:trPr>
        <w:tc>
          <w:tcPr>
            <w:tcW w:w="451" w:type="pct"/>
            <w:vMerge w:val="restart"/>
            <w:tcBorders>
              <w:top w:val="single" w:sz="12" w:space="0" w:color="auto"/>
              <w:left w:val="single" w:sz="12" w:space="0" w:color="auto"/>
              <w:bottom w:val="single" w:sz="12" w:space="0" w:color="auto"/>
              <w:right w:val="single" w:sz="12" w:space="0" w:color="auto"/>
            </w:tcBorders>
            <w:textDirection w:val="btLr"/>
            <w:hideMark/>
          </w:tcPr>
          <w:p w14:paraId="2ED1CD61" w14:textId="77777777" w:rsidR="004E1D23" w:rsidRPr="008F689C" w:rsidRDefault="004E1D23" w:rsidP="004E1D23">
            <w:pPr>
              <w:pStyle w:val="Body"/>
              <w:spacing w:after="0"/>
              <w:jc w:val="center"/>
              <w:rPr>
                <w:rFonts w:ascii="Arial" w:hAnsi="Arial" w:cs="Arial"/>
                <w:b/>
                <w:bCs/>
                <w:sz w:val="20"/>
              </w:rPr>
            </w:pPr>
            <w:r w:rsidRPr="008F689C">
              <w:rPr>
                <w:rFonts w:ascii="Arial" w:hAnsi="Arial" w:cs="Arial"/>
                <w:b/>
                <w:bCs/>
                <w:sz w:val="20"/>
              </w:rPr>
              <w:t>pH</w:t>
            </w:r>
          </w:p>
        </w:tc>
        <w:tc>
          <w:tcPr>
            <w:tcW w:w="1074" w:type="pct"/>
            <w:tcBorders>
              <w:top w:val="single" w:sz="12" w:space="0" w:color="auto"/>
              <w:left w:val="single" w:sz="12" w:space="0" w:color="auto"/>
              <w:bottom w:val="single" w:sz="12" w:space="0" w:color="auto"/>
              <w:right w:val="nil"/>
            </w:tcBorders>
            <w:hideMark/>
          </w:tcPr>
          <w:p w14:paraId="41C0D88E" w14:textId="77777777" w:rsidR="004E1D23" w:rsidRPr="008F689C" w:rsidRDefault="004E1D23" w:rsidP="004E1D23">
            <w:pPr>
              <w:pStyle w:val="Body"/>
              <w:spacing w:after="0"/>
              <w:rPr>
                <w:rFonts w:ascii="Arial" w:hAnsi="Arial" w:cs="Arial"/>
                <w:b/>
                <w:bCs/>
                <w:sz w:val="20"/>
              </w:rPr>
            </w:pPr>
            <w:r w:rsidRPr="008F689C">
              <w:rPr>
                <w:rFonts w:ascii="Arial" w:hAnsi="Arial" w:cs="Arial"/>
                <w:b/>
                <w:bCs/>
                <w:sz w:val="20"/>
              </w:rPr>
              <w:t>R1</w:t>
            </w:r>
          </w:p>
        </w:tc>
        <w:tc>
          <w:tcPr>
            <w:tcW w:w="1071" w:type="pct"/>
            <w:tcBorders>
              <w:top w:val="single" w:sz="12" w:space="0" w:color="auto"/>
              <w:left w:val="nil"/>
              <w:bottom w:val="single" w:sz="12" w:space="0" w:color="auto"/>
              <w:right w:val="nil"/>
            </w:tcBorders>
            <w:hideMark/>
          </w:tcPr>
          <w:p w14:paraId="1E40A305" w14:textId="77777777" w:rsidR="004E1D23" w:rsidRPr="008F689C" w:rsidRDefault="004E1D23" w:rsidP="004E1D23">
            <w:pPr>
              <w:pStyle w:val="Body"/>
              <w:spacing w:after="0"/>
              <w:rPr>
                <w:rFonts w:ascii="Arial" w:hAnsi="Arial" w:cs="Arial"/>
                <w:b/>
                <w:bCs/>
                <w:sz w:val="20"/>
              </w:rPr>
            </w:pPr>
            <w:r w:rsidRPr="008F689C">
              <w:rPr>
                <w:rFonts w:ascii="Arial" w:hAnsi="Arial" w:cs="Arial"/>
                <w:b/>
                <w:bCs/>
                <w:sz w:val="20"/>
              </w:rPr>
              <w:t>R2</w:t>
            </w:r>
          </w:p>
        </w:tc>
        <w:tc>
          <w:tcPr>
            <w:tcW w:w="1201" w:type="pct"/>
            <w:tcBorders>
              <w:top w:val="single" w:sz="12" w:space="0" w:color="auto"/>
              <w:left w:val="nil"/>
              <w:bottom w:val="single" w:sz="12" w:space="0" w:color="auto"/>
              <w:right w:val="nil"/>
            </w:tcBorders>
            <w:hideMark/>
          </w:tcPr>
          <w:p w14:paraId="30BAABB8" w14:textId="77777777" w:rsidR="004E1D23" w:rsidRPr="008F689C" w:rsidRDefault="004E1D23" w:rsidP="004E1D23">
            <w:pPr>
              <w:pStyle w:val="Body"/>
              <w:spacing w:after="0"/>
              <w:rPr>
                <w:rFonts w:ascii="Arial" w:hAnsi="Arial" w:cs="Arial"/>
                <w:b/>
                <w:bCs/>
                <w:sz w:val="20"/>
              </w:rPr>
            </w:pPr>
            <w:r w:rsidRPr="008F689C">
              <w:rPr>
                <w:rFonts w:ascii="Arial" w:hAnsi="Arial" w:cs="Arial"/>
                <w:b/>
                <w:bCs/>
                <w:sz w:val="20"/>
              </w:rPr>
              <w:t>R3</w:t>
            </w:r>
          </w:p>
        </w:tc>
        <w:tc>
          <w:tcPr>
            <w:tcW w:w="1203" w:type="pct"/>
            <w:tcBorders>
              <w:top w:val="single" w:sz="12" w:space="0" w:color="auto"/>
              <w:left w:val="nil"/>
              <w:bottom w:val="single" w:sz="12" w:space="0" w:color="auto"/>
              <w:right w:val="nil"/>
            </w:tcBorders>
            <w:hideMark/>
          </w:tcPr>
          <w:p w14:paraId="045A6E77" w14:textId="77777777" w:rsidR="004E1D23" w:rsidRPr="008F689C" w:rsidRDefault="004E1D23" w:rsidP="004E1D23">
            <w:pPr>
              <w:pStyle w:val="Body"/>
              <w:spacing w:after="0"/>
              <w:rPr>
                <w:rFonts w:ascii="Arial" w:hAnsi="Arial" w:cs="Arial"/>
                <w:b/>
                <w:bCs/>
                <w:sz w:val="20"/>
              </w:rPr>
            </w:pPr>
            <w:r w:rsidRPr="008F689C">
              <w:rPr>
                <w:rFonts w:ascii="Arial" w:hAnsi="Arial" w:cs="Arial"/>
                <w:b/>
                <w:bCs/>
                <w:sz w:val="20"/>
              </w:rPr>
              <w:t>R4</w:t>
            </w:r>
          </w:p>
        </w:tc>
      </w:tr>
      <w:tr w:rsidR="004E1D23" w:rsidRPr="008F689C" w14:paraId="195D9DA5" w14:textId="77777777" w:rsidTr="004E1D23">
        <w:trPr>
          <w:trHeight w:val="87"/>
        </w:trPr>
        <w:tc>
          <w:tcPr>
            <w:tcW w:w="451" w:type="pct"/>
            <w:vMerge/>
            <w:tcBorders>
              <w:top w:val="single" w:sz="12" w:space="0" w:color="auto"/>
              <w:left w:val="single" w:sz="12" w:space="0" w:color="auto"/>
              <w:bottom w:val="single" w:sz="12" w:space="0" w:color="auto"/>
              <w:right w:val="single" w:sz="12" w:space="0" w:color="auto"/>
            </w:tcBorders>
            <w:vAlign w:val="center"/>
            <w:hideMark/>
          </w:tcPr>
          <w:p w14:paraId="3D581AEB" w14:textId="77777777" w:rsidR="004E1D23" w:rsidRPr="008F689C" w:rsidRDefault="004E1D23" w:rsidP="004E1D23">
            <w:pPr>
              <w:pStyle w:val="Body"/>
              <w:spacing w:after="0"/>
              <w:rPr>
                <w:rFonts w:ascii="Arial" w:hAnsi="Arial" w:cs="Arial"/>
                <w:b/>
                <w:bCs/>
                <w:sz w:val="20"/>
              </w:rPr>
            </w:pPr>
          </w:p>
        </w:tc>
        <w:tc>
          <w:tcPr>
            <w:tcW w:w="1074" w:type="pct"/>
            <w:tcBorders>
              <w:top w:val="single" w:sz="12" w:space="0" w:color="auto"/>
              <w:left w:val="single" w:sz="12" w:space="0" w:color="auto"/>
              <w:bottom w:val="single" w:sz="12" w:space="0" w:color="auto"/>
              <w:right w:val="nil"/>
            </w:tcBorders>
            <w:hideMark/>
          </w:tcPr>
          <w:p w14:paraId="780D7EF0" w14:textId="77777777" w:rsidR="004E1D23" w:rsidRPr="008F689C" w:rsidRDefault="004E1D23" w:rsidP="004E1D23">
            <w:pPr>
              <w:pStyle w:val="Body"/>
              <w:spacing w:after="0"/>
              <w:rPr>
                <w:rFonts w:ascii="Arial" w:hAnsi="Arial" w:cs="Arial"/>
                <w:sz w:val="20"/>
              </w:rPr>
            </w:pPr>
            <w:r w:rsidRPr="008F689C">
              <w:rPr>
                <w:rFonts w:ascii="Arial" w:hAnsi="Arial" w:cs="Arial"/>
                <w:sz w:val="20"/>
              </w:rPr>
              <w:t>4.5</w:t>
            </w:r>
          </w:p>
        </w:tc>
        <w:tc>
          <w:tcPr>
            <w:tcW w:w="1071" w:type="pct"/>
            <w:tcBorders>
              <w:top w:val="single" w:sz="12" w:space="0" w:color="auto"/>
              <w:left w:val="nil"/>
              <w:bottom w:val="single" w:sz="12" w:space="0" w:color="auto"/>
              <w:right w:val="nil"/>
            </w:tcBorders>
            <w:hideMark/>
          </w:tcPr>
          <w:p w14:paraId="38CBA7A9" w14:textId="77777777" w:rsidR="004E1D23" w:rsidRPr="008F689C" w:rsidRDefault="004E1D23" w:rsidP="004E1D23">
            <w:pPr>
              <w:pStyle w:val="Body"/>
              <w:spacing w:after="0"/>
              <w:rPr>
                <w:rFonts w:ascii="Arial" w:hAnsi="Arial" w:cs="Arial"/>
                <w:sz w:val="20"/>
              </w:rPr>
            </w:pPr>
            <w:r w:rsidRPr="008F689C">
              <w:rPr>
                <w:rFonts w:ascii="Arial" w:hAnsi="Arial" w:cs="Arial"/>
                <w:sz w:val="20"/>
              </w:rPr>
              <w:t>4.5</w:t>
            </w:r>
          </w:p>
        </w:tc>
        <w:tc>
          <w:tcPr>
            <w:tcW w:w="1201" w:type="pct"/>
            <w:tcBorders>
              <w:top w:val="single" w:sz="12" w:space="0" w:color="auto"/>
              <w:left w:val="nil"/>
              <w:bottom w:val="single" w:sz="12" w:space="0" w:color="auto"/>
              <w:right w:val="nil"/>
            </w:tcBorders>
            <w:hideMark/>
          </w:tcPr>
          <w:p w14:paraId="77EBDC94" w14:textId="77777777" w:rsidR="004E1D23" w:rsidRPr="008F689C" w:rsidRDefault="004E1D23" w:rsidP="004E1D23">
            <w:pPr>
              <w:pStyle w:val="Body"/>
              <w:spacing w:after="0"/>
              <w:rPr>
                <w:rFonts w:ascii="Arial" w:hAnsi="Arial" w:cs="Arial"/>
                <w:sz w:val="20"/>
              </w:rPr>
            </w:pPr>
            <w:r w:rsidRPr="008F689C">
              <w:rPr>
                <w:rFonts w:ascii="Arial" w:hAnsi="Arial" w:cs="Arial"/>
                <w:sz w:val="20"/>
              </w:rPr>
              <w:t>4.5</w:t>
            </w:r>
          </w:p>
        </w:tc>
        <w:tc>
          <w:tcPr>
            <w:tcW w:w="1203" w:type="pct"/>
            <w:tcBorders>
              <w:top w:val="single" w:sz="12" w:space="0" w:color="auto"/>
              <w:left w:val="nil"/>
              <w:bottom w:val="single" w:sz="12" w:space="0" w:color="auto"/>
              <w:right w:val="nil"/>
            </w:tcBorders>
            <w:hideMark/>
          </w:tcPr>
          <w:p w14:paraId="2E79FFF8" w14:textId="77777777" w:rsidR="004E1D23" w:rsidRPr="008F689C" w:rsidRDefault="004E1D23" w:rsidP="004E1D23">
            <w:pPr>
              <w:pStyle w:val="Body"/>
              <w:spacing w:after="0"/>
              <w:rPr>
                <w:rFonts w:ascii="Arial" w:hAnsi="Arial" w:cs="Arial"/>
                <w:sz w:val="20"/>
              </w:rPr>
            </w:pPr>
            <w:r w:rsidRPr="008F689C">
              <w:rPr>
                <w:rFonts w:ascii="Arial" w:hAnsi="Arial" w:cs="Arial"/>
                <w:sz w:val="20"/>
              </w:rPr>
              <w:t>4.5</w:t>
            </w:r>
          </w:p>
        </w:tc>
        <w:bookmarkEnd w:id="0"/>
      </w:tr>
    </w:tbl>
    <w:p w14:paraId="7FCA8CE5" w14:textId="4425BF90" w:rsidR="000917D5" w:rsidRPr="00976B90" w:rsidRDefault="006E36DB" w:rsidP="00441B6F">
      <w:pPr>
        <w:pStyle w:val="Body"/>
        <w:spacing w:after="0"/>
        <w:rPr>
          <w:rFonts w:ascii="Arial" w:hAnsi="Arial" w:cs="Arial"/>
          <w:b/>
          <w:bCs/>
        </w:rPr>
      </w:pPr>
      <w:r>
        <w:rPr>
          <w:rFonts w:ascii="Arial" w:hAnsi="Arial" w:cs="Arial"/>
          <w:b/>
          <w:bCs/>
        </w:rPr>
        <w:t>Table 4. Cytotoxic a</w:t>
      </w:r>
      <w:r w:rsidR="008F689C">
        <w:rPr>
          <w:rFonts w:ascii="Arial" w:hAnsi="Arial" w:cs="Arial"/>
          <w:b/>
          <w:bCs/>
        </w:rPr>
        <w:t>ctivity and pH level of SCG-loaded nanogels</w:t>
      </w:r>
    </w:p>
    <w:p w14:paraId="79A8096E" w14:textId="658D27C7" w:rsidR="008F689C" w:rsidRDefault="004E1D23" w:rsidP="008F689C">
      <w:pPr>
        <w:pStyle w:val="Body"/>
        <w:spacing w:after="0"/>
        <w:jc w:val="center"/>
        <w:rPr>
          <w:rFonts w:ascii="Arial" w:hAnsi="Arial" w:cs="Arial"/>
        </w:rPr>
      </w:pPr>
      <w:r>
        <w:rPr>
          <w:rFonts w:ascii="Arial" w:hAnsi="Arial" w:cs="Arial"/>
          <w:noProof/>
          <w:lang w:val="en-SG" w:eastAsia="en-SG"/>
        </w:rPr>
        <w:lastRenderedPageBreak/>
        <w:drawing>
          <wp:inline distT="0" distB="0" distL="0" distR="0" wp14:anchorId="6C97384B" wp14:editId="65E09DE9">
            <wp:extent cx="5168348" cy="1947545"/>
            <wp:effectExtent l="0" t="0" r="1333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3BE644" w14:textId="77777777" w:rsidR="004E1D23" w:rsidRDefault="004E1D23" w:rsidP="008F689C">
      <w:pPr>
        <w:pStyle w:val="Body"/>
        <w:spacing w:after="0"/>
        <w:jc w:val="center"/>
        <w:rPr>
          <w:rFonts w:ascii="Arial" w:hAnsi="Arial" w:cs="Arial"/>
        </w:rPr>
      </w:pPr>
    </w:p>
    <w:p w14:paraId="07C754DC" w14:textId="4BBFF25B" w:rsidR="00640701" w:rsidRPr="00640701" w:rsidRDefault="00640701" w:rsidP="00441B6F">
      <w:pPr>
        <w:pStyle w:val="Body"/>
        <w:spacing w:after="0"/>
        <w:rPr>
          <w:rFonts w:ascii="Arial" w:hAnsi="Arial" w:cs="Arial"/>
          <w:b/>
        </w:rPr>
      </w:pPr>
      <w:r>
        <w:rPr>
          <w:rFonts w:ascii="Arial" w:hAnsi="Arial" w:cs="Arial"/>
          <w:b/>
        </w:rPr>
        <w:t>Fig. 2. Bar graph of brine shrimp mortality across all concentrations</w:t>
      </w:r>
    </w:p>
    <w:p w14:paraId="326C2FCC" w14:textId="77777777" w:rsidR="00640701" w:rsidRDefault="00640701" w:rsidP="00441B6F">
      <w:pPr>
        <w:pStyle w:val="Body"/>
        <w:spacing w:after="0"/>
        <w:rPr>
          <w:rFonts w:ascii="Arial" w:hAnsi="Arial" w:cs="Arial"/>
        </w:rPr>
      </w:pPr>
    </w:p>
    <w:p w14:paraId="166681BB" w14:textId="77FA8B6C" w:rsidR="00976B90" w:rsidRDefault="004E1D23" w:rsidP="00441B6F">
      <w:pPr>
        <w:pStyle w:val="Body"/>
        <w:spacing w:after="0"/>
        <w:rPr>
          <w:rFonts w:ascii="Arial" w:hAnsi="Arial" w:cs="Arial"/>
        </w:rPr>
      </w:pPr>
      <w:r>
        <w:rPr>
          <w:rFonts w:ascii="Arial" w:hAnsi="Arial" w:cs="Arial"/>
        </w:rPr>
        <w:t xml:space="preserve">Table 4 </w:t>
      </w:r>
      <w:r w:rsidR="00976B90" w:rsidRPr="00976B90">
        <w:rPr>
          <w:rFonts w:ascii="Arial" w:hAnsi="Arial" w:cs="Arial"/>
        </w:rPr>
        <w:t xml:space="preserve">presents the preliminary cytotoxic activity of the SCG-loaded nanogel and its pH levels across 4 replicated tests. In the initial day of the </w:t>
      </w:r>
      <w:r w:rsidR="00574C47">
        <w:rPr>
          <w:rFonts w:ascii="Arial" w:hAnsi="Arial" w:cs="Arial"/>
        </w:rPr>
        <w:t xml:space="preserve">cytotoxicity </w:t>
      </w:r>
      <w:r w:rsidR="00976B90" w:rsidRPr="00976B90">
        <w:rPr>
          <w:rFonts w:ascii="Arial" w:hAnsi="Arial" w:cs="Arial"/>
        </w:rPr>
        <w:t>y test, 10 brine shrimps were placed in each concentration and left with 5, 7, 7,</w:t>
      </w:r>
      <w:r w:rsidR="000C3C97">
        <w:rPr>
          <w:rFonts w:ascii="Arial" w:hAnsi="Arial" w:cs="Arial"/>
        </w:rPr>
        <w:t xml:space="preserve"> 10,</w:t>
      </w:r>
      <w:r w:rsidR="00976B90" w:rsidRPr="00976B90">
        <w:rPr>
          <w:rFonts w:ascii="Arial" w:hAnsi="Arial" w:cs="Arial"/>
        </w:rPr>
        <w:t xml:space="preserve"> and 10 respectively</w:t>
      </w:r>
      <w:r w:rsidR="000C3C97">
        <w:rPr>
          <w:rFonts w:ascii="Arial" w:hAnsi="Arial" w:cs="Arial"/>
        </w:rPr>
        <w:t xml:space="preserve"> on Day 2, as shown on Figure 2 as well</w:t>
      </w:r>
      <w:r w:rsidR="00976B90" w:rsidRPr="00976B90">
        <w:rPr>
          <w:rFonts w:ascii="Arial" w:hAnsi="Arial" w:cs="Arial"/>
        </w:rPr>
        <w:t xml:space="preserve">, indicating that the nanogels are generally non-toxic according to the performed assay. Meanwhile, the pH level across all replicates were reported at 4.5, indicating that the nanogel remains stable and not at risk of chitosan precipitation due to low solubility in alkaline solutions (Tang et. al., 2023). </w:t>
      </w:r>
    </w:p>
    <w:p w14:paraId="73BE6746" w14:textId="77777777" w:rsidR="00976B90" w:rsidRDefault="00976B90" w:rsidP="00441B6F">
      <w:pPr>
        <w:pStyle w:val="Body"/>
        <w:spacing w:after="0"/>
        <w:rPr>
          <w:rFonts w:ascii="Arial" w:hAnsi="Arial" w:cs="Arial"/>
        </w:rPr>
      </w:pPr>
    </w:p>
    <w:p w14:paraId="00AB7042" w14:textId="77777777" w:rsidR="00976B90" w:rsidRDefault="00976B90" w:rsidP="00441B6F">
      <w:pPr>
        <w:pStyle w:val="Body"/>
        <w:spacing w:after="0"/>
        <w:rPr>
          <w:rFonts w:ascii="Arial" w:hAnsi="Arial" w:cs="Arial"/>
        </w:rPr>
      </w:pPr>
      <w:r w:rsidRPr="00976B90">
        <w:rPr>
          <w:rFonts w:ascii="Arial" w:hAnsi="Arial" w:cs="Arial"/>
        </w:rPr>
        <w:t xml:space="preserve">According to the study of Xu and Matysiak (2017), chitosan nanogel networks are highly dependent on its pH level. It impacts the structural integrity and the physicochemical attributes of the network, Moreover, it serves as a driver of suitable applications. Additionally, the study of Huang et. al. (2015) emphasizes that pH concentrations of the nanogels help determine its overall stability and network function. </w:t>
      </w:r>
    </w:p>
    <w:p w14:paraId="794AF466" w14:textId="77777777" w:rsidR="00976B90" w:rsidRDefault="00976B90" w:rsidP="00441B6F">
      <w:pPr>
        <w:pStyle w:val="Body"/>
        <w:spacing w:after="0"/>
        <w:rPr>
          <w:rFonts w:ascii="Arial" w:hAnsi="Arial" w:cs="Arial"/>
        </w:rPr>
      </w:pPr>
    </w:p>
    <w:p w14:paraId="0245FD41" w14:textId="4986C347" w:rsidR="00976B90" w:rsidRDefault="00976B90" w:rsidP="00441B6F">
      <w:pPr>
        <w:pStyle w:val="Body"/>
        <w:spacing w:after="0"/>
        <w:rPr>
          <w:rFonts w:ascii="Arial" w:hAnsi="Arial" w:cs="Arial"/>
        </w:rPr>
      </w:pPr>
      <w:r w:rsidRPr="00976B90">
        <w:rPr>
          <w:rFonts w:ascii="Arial" w:hAnsi="Arial" w:cs="Arial"/>
        </w:rPr>
        <w:t>The study o</w:t>
      </w:r>
      <w:r w:rsidR="001E5FDD">
        <w:rPr>
          <w:rFonts w:ascii="Arial" w:hAnsi="Arial" w:cs="Arial"/>
        </w:rPr>
        <w:t xml:space="preserve">f </w:t>
      </w:r>
      <w:r w:rsidR="00827311">
        <w:rPr>
          <w:rFonts w:ascii="Arial" w:hAnsi="Arial" w:cs="Arial"/>
        </w:rPr>
        <w:t>Manivong</w:t>
      </w:r>
      <w:r w:rsidR="001E5FDD">
        <w:rPr>
          <w:rFonts w:ascii="Arial" w:hAnsi="Arial" w:cs="Arial"/>
        </w:rPr>
        <w:t xml:space="preserve"> et. al.</w:t>
      </w:r>
      <w:r w:rsidRPr="00976B90">
        <w:rPr>
          <w:rFonts w:ascii="Arial" w:hAnsi="Arial" w:cs="Arial"/>
        </w:rPr>
        <w:t xml:space="preserve"> (20</w:t>
      </w:r>
      <w:r w:rsidR="00827311">
        <w:rPr>
          <w:rFonts w:ascii="Arial" w:hAnsi="Arial" w:cs="Arial"/>
        </w:rPr>
        <w:t>22</w:t>
      </w:r>
      <w:r w:rsidRPr="00976B90">
        <w:rPr>
          <w:rFonts w:ascii="Arial" w:hAnsi="Arial" w:cs="Arial"/>
        </w:rPr>
        <w:t xml:space="preserve">) stated that the biocompatibility of nanogels is driven by factors such as their composition, size, surface charge, and degradation products. Nanogels composed of biodegradable polymers, like chitosan, exhibit favorable biocompatibility, reducing the risk of adverse reactions. For instance, biodegradable nanogels can enhance therapeutic efficacy while minimizing toxicity, making them suitable for treating conditions. Conversely, non-biodegradable nanogels may show risks due to potential accumulation in tissues, leading to more risks in topical applications like inflammation. To alleviate such issues, designing nanogels with stimuli-responsive characteristics, such as pH or temperature sensitivity, allows for controlled degradation and release of therapeutic agents at targeted sites. This approach </w:t>
      </w:r>
      <w:r w:rsidR="00C816EE">
        <w:rPr>
          <w:rFonts w:ascii="Arial" w:hAnsi="Arial" w:cs="Arial"/>
        </w:rPr>
        <w:t>enhances efficacy and</w:t>
      </w:r>
      <w:r w:rsidRPr="00976B90">
        <w:rPr>
          <w:rFonts w:ascii="Arial" w:hAnsi="Arial" w:cs="Arial"/>
        </w:rPr>
        <w:t xml:space="preserve"> reduces systemic toxicity (Mastella et. al., 2024). </w:t>
      </w:r>
    </w:p>
    <w:p w14:paraId="7E3256FA" w14:textId="77777777" w:rsidR="00976B90" w:rsidRDefault="00976B90" w:rsidP="00441B6F">
      <w:pPr>
        <w:pStyle w:val="Body"/>
        <w:spacing w:after="0"/>
        <w:rPr>
          <w:rFonts w:ascii="Arial" w:hAnsi="Arial" w:cs="Arial"/>
        </w:rPr>
      </w:pPr>
    </w:p>
    <w:p w14:paraId="052D2E1A" w14:textId="702C2AEC" w:rsidR="00790ADA" w:rsidRDefault="00976B90" w:rsidP="00441B6F">
      <w:pPr>
        <w:pStyle w:val="Body"/>
        <w:spacing w:after="0"/>
        <w:rPr>
          <w:rFonts w:ascii="Arial" w:hAnsi="Arial" w:cs="Arial"/>
        </w:rPr>
      </w:pPr>
      <w:r w:rsidRPr="00976B90">
        <w:rPr>
          <w:rFonts w:ascii="Arial" w:hAnsi="Arial" w:cs="Arial"/>
        </w:rPr>
        <w:t xml:space="preserve">Furthermore, the overall safety of products ensures that treatments show benefits without causing harm. It helps prevent adverse drug reactions, ensuring they </w:t>
      </w:r>
      <w:r w:rsidR="00C816EE">
        <w:rPr>
          <w:rFonts w:ascii="Arial" w:hAnsi="Arial" w:cs="Arial"/>
        </w:rPr>
        <w:t xml:space="preserve">are </w:t>
      </w:r>
      <w:r w:rsidRPr="00976B90">
        <w:rPr>
          <w:rFonts w:ascii="Arial" w:hAnsi="Arial" w:cs="Arial"/>
        </w:rPr>
        <w:t xml:space="preserve">efficient and not detrimental. Additionally, ensuring the safety of medications aligns with the </w:t>
      </w:r>
      <w:r w:rsidR="00C816EE">
        <w:rPr>
          <w:rFonts w:ascii="Arial" w:hAnsi="Arial" w:cs="Arial"/>
        </w:rPr>
        <w:t xml:space="preserve">drug's overall performance, regulatory standards, and public health goals, allowing for the safe use of </w:t>
      </w:r>
      <w:r w:rsidRPr="00976B90">
        <w:rPr>
          <w:rFonts w:ascii="Arial" w:hAnsi="Arial" w:cs="Arial"/>
        </w:rPr>
        <w:t>new and established therapies while minimizing legal and financial risks. Ultimately, it is essential for improving health outcomes and maintaining public confidence in healthcare (Brennan et. al., 2024).</w:t>
      </w:r>
    </w:p>
    <w:p w14:paraId="314E445B" w14:textId="77777777" w:rsidR="00C96DB8" w:rsidRPr="00FB3A86" w:rsidRDefault="00C96DB8" w:rsidP="00441B6F">
      <w:pPr>
        <w:pStyle w:val="Body"/>
        <w:spacing w:after="0"/>
        <w:rPr>
          <w:rFonts w:ascii="Arial" w:hAnsi="Arial" w:cs="Arial"/>
        </w:rPr>
      </w:pPr>
    </w:p>
    <w:p w14:paraId="68D04449" w14:textId="7C353BA9" w:rsidR="00CE3FA5" w:rsidRDefault="00000F8F" w:rsidP="008F689C">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1EC5D85" w14:textId="77777777" w:rsidR="008F689C" w:rsidRPr="008F2EFF" w:rsidRDefault="008F689C" w:rsidP="008F689C">
      <w:pPr>
        <w:pStyle w:val="ConcHead"/>
        <w:spacing w:after="0"/>
        <w:jc w:val="both"/>
        <w:rPr>
          <w:rFonts w:ascii="Arial" w:hAnsi="Arial" w:cs="Arial"/>
        </w:rPr>
      </w:pPr>
    </w:p>
    <w:p w14:paraId="3EF0D3BA" w14:textId="7446D8B4" w:rsidR="00B936EC" w:rsidRDefault="00B936EC" w:rsidP="008F689C">
      <w:pPr>
        <w:pStyle w:val="p1"/>
        <w:spacing w:before="0" w:beforeAutospacing="0" w:after="0" w:afterAutospacing="0"/>
        <w:jc w:val="both"/>
        <w:divId w:val="1255701883"/>
        <w:rPr>
          <w:rStyle w:val="s1"/>
          <w:rFonts w:ascii="Arial" w:hAnsi="Arial" w:cs="Arial"/>
          <w:sz w:val="20"/>
          <w:szCs w:val="20"/>
        </w:rPr>
      </w:pPr>
      <w:r w:rsidRPr="008F2EFF">
        <w:rPr>
          <w:rStyle w:val="s1"/>
          <w:rFonts w:ascii="Arial" w:hAnsi="Arial" w:cs="Arial"/>
          <w:sz w:val="20"/>
          <w:szCs w:val="20"/>
        </w:rPr>
        <w:t xml:space="preserve">The nanogel characterization revealed a particle size distribution of 4,470 nm at the 10th percentile and 6,280 nm at the 90th. This relatively large particle size may be attributed to </w:t>
      </w:r>
      <w:r w:rsidRPr="008F2EFF">
        <w:rPr>
          <w:rStyle w:val="s1"/>
          <w:rFonts w:ascii="Arial" w:hAnsi="Arial" w:cs="Arial"/>
          <w:sz w:val="20"/>
          <w:szCs w:val="20"/>
        </w:rPr>
        <w:lastRenderedPageBreak/>
        <w:t>molecular aggregation, swelling, or, more notably, an unoptimized sonication process. Meanwhile, drug loading capacity and encapsulation efficiency were measured at 4.76% and 99.77% across five trials, respectively, suggesting that while the amount of loaded drug was relatively low, encapsulation was highly efficient due to the nanogel-to-extract ratio.</w:t>
      </w:r>
    </w:p>
    <w:p w14:paraId="104FD481" w14:textId="77777777" w:rsidR="008F689C" w:rsidRPr="008F2EFF" w:rsidRDefault="008F689C" w:rsidP="008F689C">
      <w:pPr>
        <w:pStyle w:val="p1"/>
        <w:spacing w:before="0" w:beforeAutospacing="0" w:after="0" w:afterAutospacing="0"/>
        <w:jc w:val="both"/>
        <w:divId w:val="1255701883"/>
        <w:rPr>
          <w:rFonts w:ascii="Arial" w:hAnsi="Arial" w:cs="Arial"/>
          <w:sz w:val="20"/>
          <w:szCs w:val="20"/>
        </w:rPr>
      </w:pPr>
    </w:p>
    <w:p w14:paraId="282C0E77" w14:textId="6A8C3C1F" w:rsidR="00B936EC" w:rsidRDefault="00B936EC" w:rsidP="008F689C">
      <w:pPr>
        <w:pStyle w:val="p1"/>
        <w:spacing w:before="0" w:beforeAutospacing="0" w:after="0" w:afterAutospacing="0"/>
        <w:jc w:val="both"/>
        <w:divId w:val="1255701883"/>
        <w:rPr>
          <w:rStyle w:val="s1"/>
          <w:rFonts w:ascii="Arial" w:hAnsi="Arial" w:cs="Arial"/>
          <w:sz w:val="20"/>
          <w:szCs w:val="20"/>
        </w:rPr>
      </w:pPr>
      <w:r w:rsidRPr="008F689C">
        <w:rPr>
          <w:rStyle w:val="s1"/>
          <w:rFonts w:ascii="Arial" w:hAnsi="Arial" w:cs="Arial"/>
          <w:i/>
          <w:iCs/>
          <w:sz w:val="20"/>
          <w:szCs w:val="20"/>
        </w:rPr>
        <w:t>In vitro</w:t>
      </w:r>
      <w:r w:rsidRPr="008F2EFF">
        <w:rPr>
          <w:rStyle w:val="s1"/>
          <w:rFonts w:ascii="Arial" w:hAnsi="Arial" w:cs="Arial"/>
          <w:sz w:val="20"/>
          <w:szCs w:val="20"/>
        </w:rPr>
        <w:t xml:space="preserve"> antibacterial activity tests showed no zones of inhibition against </w:t>
      </w:r>
      <w:r w:rsidRPr="00933879">
        <w:rPr>
          <w:rStyle w:val="s2"/>
          <w:rFonts w:ascii="Arial" w:hAnsi="Arial" w:cs="Arial"/>
          <w:i/>
          <w:iCs/>
          <w:sz w:val="20"/>
          <w:szCs w:val="20"/>
        </w:rPr>
        <w:t>S. aureus</w:t>
      </w:r>
      <w:r w:rsidRPr="008F2EFF">
        <w:rPr>
          <w:rStyle w:val="s1"/>
          <w:rFonts w:ascii="Arial" w:hAnsi="Arial" w:cs="Arial"/>
          <w:sz w:val="20"/>
          <w:szCs w:val="20"/>
        </w:rPr>
        <w:t xml:space="preserve"> and </w:t>
      </w:r>
      <w:r w:rsidRPr="00933879">
        <w:rPr>
          <w:rStyle w:val="s2"/>
          <w:rFonts w:ascii="Arial" w:hAnsi="Arial" w:cs="Arial"/>
          <w:i/>
          <w:iCs/>
          <w:sz w:val="20"/>
          <w:szCs w:val="20"/>
        </w:rPr>
        <w:t>E. coli</w:t>
      </w:r>
      <w:r w:rsidR="00DF7A41">
        <w:rPr>
          <w:rStyle w:val="s1"/>
          <w:rFonts w:ascii="Arial" w:hAnsi="Arial" w:cs="Arial"/>
          <w:sz w:val="20"/>
          <w:szCs w:val="20"/>
        </w:rPr>
        <w:t xml:space="preserve"> and can be attributed </w:t>
      </w:r>
      <w:r w:rsidRPr="008F2EFF">
        <w:rPr>
          <w:rStyle w:val="s1"/>
          <w:rFonts w:ascii="Arial" w:hAnsi="Arial" w:cs="Arial"/>
          <w:sz w:val="20"/>
          <w:szCs w:val="20"/>
        </w:rPr>
        <w:t xml:space="preserve">to the </w:t>
      </w:r>
      <w:r w:rsidR="00DF7A41">
        <w:rPr>
          <w:rStyle w:val="s1"/>
          <w:rFonts w:ascii="Arial" w:hAnsi="Arial" w:cs="Arial"/>
          <w:sz w:val="20"/>
          <w:szCs w:val="20"/>
        </w:rPr>
        <w:t>low drug loading capacity of the nanogels</w:t>
      </w:r>
      <w:r w:rsidR="00C816EE">
        <w:rPr>
          <w:rStyle w:val="s1"/>
          <w:rFonts w:ascii="Arial" w:hAnsi="Arial" w:cs="Arial"/>
          <w:sz w:val="20"/>
          <w:szCs w:val="20"/>
        </w:rPr>
        <w:t xml:space="preserve"> and </w:t>
      </w:r>
      <w:r w:rsidRPr="008F2EFF">
        <w:rPr>
          <w:rStyle w:val="s1"/>
          <w:rFonts w:ascii="Arial" w:hAnsi="Arial" w:cs="Arial"/>
          <w:sz w:val="20"/>
          <w:szCs w:val="20"/>
        </w:rPr>
        <w:t>p</w:t>
      </w:r>
      <w:r w:rsidR="00DF7A41">
        <w:rPr>
          <w:rStyle w:val="s1"/>
          <w:rFonts w:ascii="Arial" w:hAnsi="Arial" w:cs="Arial"/>
          <w:sz w:val="20"/>
          <w:szCs w:val="20"/>
        </w:rPr>
        <w:t xml:space="preserve">rolonged drug release mechanism which are </w:t>
      </w:r>
      <w:r w:rsidRPr="008F2EFF">
        <w:rPr>
          <w:rStyle w:val="s1"/>
          <w:rFonts w:ascii="Arial" w:hAnsi="Arial" w:cs="Arial"/>
          <w:sz w:val="20"/>
          <w:szCs w:val="20"/>
        </w:rPr>
        <w:t>features that may be beneficial for direct wound healing and tissue regeneration applications.</w:t>
      </w:r>
    </w:p>
    <w:p w14:paraId="0EBF3605" w14:textId="77777777" w:rsidR="008F689C" w:rsidRPr="008F2EFF" w:rsidRDefault="008F689C" w:rsidP="008F689C">
      <w:pPr>
        <w:pStyle w:val="p1"/>
        <w:spacing w:before="0" w:beforeAutospacing="0" w:after="0" w:afterAutospacing="0"/>
        <w:jc w:val="both"/>
        <w:divId w:val="1255701883"/>
        <w:rPr>
          <w:rFonts w:ascii="Arial" w:hAnsi="Arial" w:cs="Arial"/>
          <w:sz w:val="20"/>
          <w:szCs w:val="20"/>
        </w:rPr>
      </w:pPr>
    </w:p>
    <w:p w14:paraId="3D33B2DD" w14:textId="4C3DE956" w:rsidR="00B936EC" w:rsidRDefault="00B936EC" w:rsidP="008F689C">
      <w:pPr>
        <w:pStyle w:val="p1"/>
        <w:spacing w:before="0" w:beforeAutospacing="0" w:after="0" w:afterAutospacing="0"/>
        <w:jc w:val="both"/>
        <w:divId w:val="1255701883"/>
        <w:rPr>
          <w:rStyle w:val="s1"/>
          <w:rFonts w:ascii="Arial" w:hAnsi="Arial" w:cs="Arial"/>
          <w:sz w:val="20"/>
          <w:szCs w:val="20"/>
        </w:rPr>
      </w:pPr>
      <w:r w:rsidRPr="008F2EFF">
        <w:rPr>
          <w:rStyle w:val="s1"/>
          <w:rFonts w:ascii="Arial" w:hAnsi="Arial" w:cs="Arial"/>
          <w:sz w:val="20"/>
          <w:szCs w:val="20"/>
        </w:rPr>
        <w:t>Furthermore, the Brine Shrimp Lethality Assay indicated that the nanogels were generally non-toxic,</w:t>
      </w:r>
      <w:r w:rsidR="00DF7A41">
        <w:rPr>
          <w:rStyle w:val="s1"/>
          <w:rFonts w:ascii="Arial" w:hAnsi="Arial" w:cs="Arial"/>
          <w:sz w:val="20"/>
          <w:szCs w:val="20"/>
        </w:rPr>
        <w:t xml:space="preserve"> with mortality of 11 out of 50 brine shrimp across all tested concentrations</w:t>
      </w:r>
      <w:r w:rsidRPr="008F2EFF">
        <w:rPr>
          <w:rStyle w:val="s1"/>
          <w:rFonts w:ascii="Arial" w:hAnsi="Arial" w:cs="Arial"/>
          <w:sz w:val="20"/>
          <w:szCs w:val="20"/>
        </w:rPr>
        <w:t>. Additionally, the pH was maintained at 4.5, ensuring chitosan solubility, as it is known to</w:t>
      </w:r>
      <w:r w:rsidR="00DF7A41">
        <w:rPr>
          <w:rStyle w:val="s1"/>
          <w:rFonts w:ascii="Arial" w:hAnsi="Arial" w:cs="Arial"/>
          <w:sz w:val="20"/>
          <w:szCs w:val="20"/>
        </w:rPr>
        <w:t xml:space="preserve"> be stable in acidic conditions.</w:t>
      </w:r>
    </w:p>
    <w:p w14:paraId="7FC91F4F" w14:textId="61C31E52" w:rsidR="007D36C1" w:rsidRDefault="007D36C1" w:rsidP="008F689C">
      <w:pPr>
        <w:pStyle w:val="p1"/>
        <w:spacing w:before="0" w:beforeAutospacing="0" w:after="0" w:afterAutospacing="0"/>
        <w:jc w:val="both"/>
        <w:divId w:val="1255701883"/>
        <w:rPr>
          <w:rFonts w:ascii="Arial" w:hAnsi="Arial" w:cs="Arial"/>
          <w:sz w:val="20"/>
          <w:szCs w:val="20"/>
        </w:rPr>
      </w:pPr>
    </w:p>
    <w:p w14:paraId="0CAA0B44" w14:textId="5C1CA4AA" w:rsidR="0084580D" w:rsidRDefault="001A7242" w:rsidP="0084580D">
      <w:pPr>
        <w:spacing w:after="200" w:line="276" w:lineRule="auto"/>
        <w:divId w:val="1255701883"/>
        <w:rPr>
          <w:rFonts w:ascii="Arial" w:eastAsia="Calibri" w:hAnsi="Arial" w:cs="Arial"/>
          <w:b/>
          <w:kern w:val="2"/>
          <w:sz w:val="22"/>
          <w:szCs w:val="22"/>
        </w:rPr>
      </w:pPr>
      <w:bookmarkStart w:id="1" w:name="_Hlk180402183"/>
      <w:bookmarkStart w:id="2" w:name="_Hlk183680988"/>
      <w:r>
        <w:rPr>
          <w:rFonts w:ascii="Arial" w:eastAsia="Calibri" w:hAnsi="Arial" w:cs="Arial"/>
          <w:b/>
          <w:kern w:val="2"/>
          <w:sz w:val="22"/>
          <w:szCs w:val="22"/>
        </w:rPr>
        <w:t>DISCLAIMER</w:t>
      </w:r>
    </w:p>
    <w:p w14:paraId="3178B63F" w14:textId="5E57C092" w:rsidR="00371FB6" w:rsidRPr="002575D6" w:rsidRDefault="001A7242" w:rsidP="00DF7A41">
      <w:pPr>
        <w:spacing w:after="200" w:line="276" w:lineRule="auto"/>
        <w:jc w:val="both"/>
        <w:divId w:val="1255701883"/>
        <w:rPr>
          <w:rFonts w:ascii="Arial" w:eastAsia="Calibri" w:hAnsi="Arial" w:cs="Arial"/>
          <w:kern w:val="2"/>
          <w:szCs w:val="22"/>
        </w:rPr>
      </w:pPr>
      <w:r>
        <w:rPr>
          <w:rFonts w:ascii="Arial" w:eastAsia="Calibri" w:hAnsi="Arial" w:cs="Arial"/>
          <w:kern w:val="2"/>
          <w:szCs w:val="22"/>
        </w:rPr>
        <w:t xml:space="preserve">The authors declare that the use of </w:t>
      </w:r>
      <w:r w:rsidR="002575D6">
        <w:rPr>
          <w:rFonts w:ascii="Arial" w:eastAsia="Calibri" w:hAnsi="Arial" w:cs="Arial"/>
          <w:kern w:val="2"/>
          <w:szCs w:val="22"/>
        </w:rPr>
        <w:t xml:space="preserve">Artificial Intelligence (AI) software such as </w:t>
      </w:r>
      <w:proofErr w:type="spellStart"/>
      <w:r w:rsidR="002575D6">
        <w:rPr>
          <w:rFonts w:ascii="Arial" w:eastAsia="Calibri" w:hAnsi="Arial" w:cs="Arial"/>
          <w:kern w:val="2"/>
          <w:szCs w:val="22"/>
        </w:rPr>
        <w:t>ChatGPT</w:t>
      </w:r>
      <w:proofErr w:type="spellEnd"/>
      <w:r w:rsidR="002575D6">
        <w:rPr>
          <w:rFonts w:ascii="Arial" w:eastAsia="Calibri" w:hAnsi="Arial" w:cs="Arial"/>
          <w:kern w:val="2"/>
          <w:szCs w:val="22"/>
        </w:rPr>
        <w:t xml:space="preserve">, Gemini, </w:t>
      </w:r>
      <w:proofErr w:type="spellStart"/>
      <w:r w:rsidR="002575D6">
        <w:rPr>
          <w:rFonts w:ascii="Arial" w:eastAsia="Calibri" w:hAnsi="Arial" w:cs="Arial"/>
          <w:kern w:val="2"/>
          <w:szCs w:val="22"/>
        </w:rPr>
        <w:t>CoPilot</w:t>
      </w:r>
      <w:proofErr w:type="spellEnd"/>
      <w:r w:rsidR="002575D6">
        <w:rPr>
          <w:rFonts w:ascii="Arial" w:eastAsia="Calibri" w:hAnsi="Arial" w:cs="Arial"/>
          <w:kern w:val="2"/>
          <w:szCs w:val="22"/>
        </w:rPr>
        <w:t>, and others was not practiced during the writing and editing of the study</w:t>
      </w:r>
      <w:bookmarkEnd w:id="1"/>
      <w:bookmarkEnd w:id="2"/>
      <w:r w:rsidR="002575D6">
        <w:rPr>
          <w:rFonts w:ascii="Arial" w:eastAsia="Calibri" w:hAnsi="Arial" w:cs="Arial"/>
          <w:kern w:val="2"/>
          <w:szCs w:val="22"/>
        </w:rPr>
        <w:t>.</w:t>
      </w:r>
    </w:p>
    <w:p w14:paraId="7EF451C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DF2E0D0" w14:textId="77777777" w:rsidR="00790ADA" w:rsidRPr="00803EC4" w:rsidRDefault="00790ADA" w:rsidP="00441B6F">
      <w:pPr>
        <w:pStyle w:val="ReferHead"/>
        <w:spacing w:after="0"/>
        <w:jc w:val="both"/>
        <w:rPr>
          <w:rFonts w:ascii="Arial" w:hAnsi="Arial" w:cs="Arial"/>
          <w:sz w:val="20"/>
        </w:rPr>
      </w:pPr>
    </w:p>
    <w:p w14:paraId="45708043" w14:textId="77777777" w:rsidR="001B746A" w:rsidRPr="009C2F97" w:rsidRDefault="001B746A" w:rsidP="001B746A">
      <w:pPr>
        <w:rPr>
          <w:rFonts w:ascii="Arial" w:hAnsi="Arial" w:cs="Arial"/>
        </w:rPr>
      </w:pPr>
      <w:bookmarkStart w:id="3" w:name="_Hlk196304838"/>
      <w:r w:rsidRPr="009C2F97">
        <w:rPr>
          <w:rFonts w:ascii="Arial" w:hAnsi="Arial" w:cs="Arial"/>
        </w:rPr>
        <w:t xml:space="preserve">Abdollahi, A., </w:t>
      </w:r>
      <w:proofErr w:type="spellStart"/>
      <w:r w:rsidRPr="009C2F97">
        <w:rPr>
          <w:rFonts w:ascii="Arial" w:hAnsi="Arial" w:cs="Arial"/>
        </w:rPr>
        <w:t>Fereydounin</w:t>
      </w:r>
      <w:proofErr w:type="spellEnd"/>
      <w:r w:rsidRPr="009C2F97">
        <w:rPr>
          <w:rFonts w:ascii="Arial" w:hAnsi="Arial" w:cs="Arial"/>
        </w:rPr>
        <w:t xml:space="preserve"> N., Moradi, H., </w:t>
      </w:r>
      <w:proofErr w:type="spellStart"/>
      <w:r w:rsidRPr="009C2F97">
        <w:rPr>
          <w:rFonts w:ascii="Arial" w:hAnsi="Arial" w:cs="Arial"/>
        </w:rPr>
        <w:t>Karimivaselabadi</w:t>
      </w:r>
      <w:proofErr w:type="spellEnd"/>
      <w:r w:rsidRPr="009C2F97">
        <w:rPr>
          <w:rFonts w:ascii="Arial" w:hAnsi="Arial" w:cs="Arial"/>
        </w:rPr>
        <w:t xml:space="preserve">, A., </w:t>
      </w:r>
      <w:proofErr w:type="spellStart"/>
      <w:r w:rsidRPr="009C2F97">
        <w:rPr>
          <w:rFonts w:ascii="Arial" w:hAnsi="Arial" w:cs="Arial"/>
        </w:rPr>
        <w:t>Zarenezhad</w:t>
      </w:r>
      <w:proofErr w:type="spellEnd"/>
      <w:r w:rsidRPr="009C2F97">
        <w:rPr>
          <w:rFonts w:ascii="Arial" w:hAnsi="Arial" w:cs="Arial"/>
        </w:rPr>
        <w:t xml:space="preserve">, E., &amp; </w:t>
      </w:r>
      <w:proofErr w:type="spellStart"/>
      <w:r w:rsidRPr="009C2F97">
        <w:rPr>
          <w:rFonts w:ascii="Arial" w:hAnsi="Arial" w:cs="Arial"/>
        </w:rPr>
        <w:t>Osanloo</w:t>
      </w:r>
      <w:proofErr w:type="spellEnd"/>
      <w:r w:rsidRPr="009C2F97">
        <w:rPr>
          <w:rFonts w:ascii="Arial" w:hAnsi="Arial" w:cs="Arial"/>
        </w:rPr>
        <w:t>, M</w:t>
      </w:r>
      <w:proofErr w:type="gramStart"/>
      <w:r w:rsidRPr="009C2F97">
        <w:rPr>
          <w:rFonts w:ascii="Arial" w:hAnsi="Arial" w:cs="Arial"/>
        </w:rPr>
        <w:t>..</w:t>
      </w:r>
      <w:proofErr w:type="gramEnd"/>
      <w:r w:rsidRPr="009C2F97">
        <w:rPr>
          <w:rFonts w:ascii="Arial" w:hAnsi="Arial" w:cs="Arial"/>
        </w:rPr>
        <w:t xml:space="preserve"> (2024). </w:t>
      </w:r>
      <w:proofErr w:type="spellStart"/>
      <w:r w:rsidRPr="009C2F97">
        <w:rPr>
          <w:rFonts w:ascii="Arial" w:hAnsi="Arial" w:cs="Arial"/>
        </w:rPr>
        <w:t>Nanoformulated</w:t>
      </w:r>
      <w:proofErr w:type="spellEnd"/>
      <w:r w:rsidRPr="009C2F97">
        <w:rPr>
          <w:rFonts w:ascii="Arial" w:hAnsi="Arial" w:cs="Arial"/>
        </w:rPr>
        <w:t xml:space="preserve"> herbal compounds: enhanced antibacterial efficacy of camphor and thymol-loaded nanogels. BMC Complementary Medicine and Therapies, 24(1). https://doi.org/10.1186/s12906-024-04435-z </w:t>
      </w:r>
    </w:p>
    <w:bookmarkEnd w:id="3"/>
    <w:p w14:paraId="42199007" w14:textId="77777777" w:rsidR="001B746A" w:rsidRDefault="001B746A" w:rsidP="001B746A">
      <w:pPr>
        <w:rPr>
          <w:rFonts w:ascii="Arial" w:hAnsi="Arial" w:cs="Arial"/>
        </w:rPr>
      </w:pPr>
    </w:p>
    <w:p w14:paraId="07F57351" w14:textId="2334F7F7" w:rsidR="001B746A" w:rsidRPr="009C2F97" w:rsidRDefault="001B746A" w:rsidP="001B746A">
      <w:pPr>
        <w:rPr>
          <w:rFonts w:ascii="Arial" w:hAnsi="Arial" w:cs="Arial"/>
        </w:rPr>
      </w:pPr>
      <w:r w:rsidRPr="009C2F97">
        <w:rPr>
          <w:rFonts w:ascii="Arial" w:hAnsi="Arial" w:cs="Arial"/>
        </w:rPr>
        <w:t xml:space="preserve">Abdon, J. E., Abaya, J. P., Pepito, N. P., &amp; Saldo, I. J. (2024). Development of Two Ointments from Corn (Zea mays L.) Silk and Rice (Oryza sativa) Hull: Their Phytochemical Compositions, Antibacterial Properties, and Sensory Profiles. American Journal of Microbiological Research, 12(3), 51–62. https://www.sciepub.com/AJMR/abstract/16065 </w:t>
      </w:r>
    </w:p>
    <w:p w14:paraId="525C6C45" w14:textId="77777777" w:rsidR="001B746A" w:rsidRDefault="001B746A" w:rsidP="001B746A">
      <w:pPr>
        <w:rPr>
          <w:rFonts w:ascii="Arial" w:hAnsi="Arial" w:cs="Arial"/>
        </w:rPr>
      </w:pPr>
    </w:p>
    <w:p w14:paraId="2DFBD298" w14:textId="24FAFE39" w:rsidR="00DF7A41" w:rsidRDefault="00DF7A41" w:rsidP="001B746A">
      <w:pPr>
        <w:rPr>
          <w:rFonts w:ascii="Arial" w:hAnsi="Arial" w:cs="Arial"/>
        </w:rPr>
      </w:pPr>
      <w:r w:rsidRPr="00DF7A41">
        <w:rPr>
          <w:rFonts w:ascii="Arial" w:hAnsi="Arial" w:cs="Arial"/>
        </w:rPr>
        <w:t>Al-</w:t>
      </w:r>
      <w:proofErr w:type="spellStart"/>
      <w:r w:rsidRPr="00DF7A41">
        <w:rPr>
          <w:rFonts w:ascii="Arial" w:hAnsi="Arial" w:cs="Arial"/>
        </w:rPr>
        <w:t>Awsi</w:t>
      </w:r>
      <w:proofErr w:type="spellEnd"/>
      <w:r w:rsidRPr="00DF7A41">
        <w:rPr>
          <w:rFonts w:ascii="Arial" w:hAnsi="Arial" w:cs="Arial"/>
        </w:rPr>
        <w:t>, G. R. L., Alameri, A. A., Al-</w:t>
      </w:r>
      <w:proofErr w:type="spellStart"/>
      <w:r w:rsidRPr="00DF7A41">
        <w:rPr>
          <w:rFonts w:ascii="Arial" w:hAnsi="Arial" w:cs="Arial"/>
        </w:rPr>
        <w:t>Dhalimy</w:t>
      </w:r>
      <w:proofErr w:type="spellEnd"/>
      <w:r w:rsidRPr="00DF7A41">
        <w:rPr>
          <w:rFonts w:ascii="Arial" w:hAnsi="Arial" w:cs="Arial"/>
        </w:rPr>
        <w:t xml:space="preserve">, A. M. B., </w:t>
      </w:r>
      <w:proofErr w:type="spellStart"/>
      <w:r w:rsidRPr="00DF7A41">
        <w:rPr>
          <w:rFonts w:ascii="Arial" w:hAnsi="Arial" w:cs="Arial"/>
        </w:rPr>
        <w:t>Gabr</w:t>
      </w:r>
      <w:proofErr w:type="spellEnd"/>
      <w:r w:rsidRPr="00DF7A41">
        <w:rPr>
          <w:rFonts w:ascii="Arial" w:hAnsi="Arial" w:cs="Arial"/>
        </w:rPr>
        <w:t xml:space="preserve">, G. A., &amp; </w:t>
      </w:r>
      <w:proofErr w:type="spellStart"/>
      <w:r w:rsidRPr="00DF7A41">
        <w:rPr>
          <w:rFonts w:ascii="Arial" w:hAnsi="Arial" w:cs="Arial"/>
        </w:rPr>
        <w:t>Kianfar</w:t>
      </w:r>
      <w:proofErr w:type="spellEnd"/>
      <w:r w:rsidRPr="00DF7A41">
        <w:rPr>
          <w:rFonts w:ascii="Arial" w:hAnsi="Arial" w:cs="Arial"/>
        </w:rPr>
        <w:t xml:space="preserve">, E. (2024). Application of </w:t>
      </w:r>
      <w:proofErr w:type="spellStart"/>
      <w:r w:rsidRPr="00DF7A41">
        <w:rPr>
          <w:rFonts w:ascii="Arial" w:hAnsi="Arial" w:cs="Arial"/>
        </w:rPr>
        <w:t>nano</w:t>
      </w:r>
      <w:proofErr w:type="spellEnd"/>
      <w:r w:rsidRPr="00DF7A41">
        <w:rPr>
          <w:rFonts w:ascii="Arial" w:hAnsi="Arial" w:cs="Arial"/>
        </w:rPr>
        <w:t>-antibiotics in the diagnosis and treatment of infectious diseases. Brazilian Journal of Biology, 84, e264946. https://doi.org/10.1590/1519-6984.264946</w:t>
      </w:r>
    </w:p>
    <w:p w14:paraId="74046BFB" w14:textId="77777777" w:rsidR="00DF7A41" w:rsidRDefault="00DF7A41" w:rsidP="001B746A">
      <w:pPr>
        <w:rPr>
          <w:rFonts w:ascii="Arial" w:hAnsi="Arial" w:cs="Arial"/>
        </w:rPr>
      </w:pPr>
    </w:p>
    <w:p w14:paraId="6E55B042" w14:textId="30CAED75" w:rsidR="001B746A" w:rsidRPr="009C2F97" w:rsidRDefault="001B746A" w:rsidP="001B746A">
      <w:pPr>
        <w:rPr>
          <w:rFonts w:ascii="Arial" w:hAnsi="Arial" w:cs="Arial"/>
        </w:rPr>
      </w:pPr>
      <w:proofErr w:type="spellStart"/>
      <w:r w:rsidRPr="009C2F97">
        <w:rPr>
          <w:rFonts w:ascii="Arial" w:hAnsi="Arial" w:cs="Arial"/>
        </w:rPr>
        <w:t>Amasya</w:t>
      </w:r>
      <w:proofErr w:type="spellEnd"/>
      <w:r w:rsidRPr="009C2F97">
        <w:rPr>
          <w:rFonts w:ascii="Arial" w:hAnsi="Arial" w:cs="Arial"/>
        </w:rPr>
        <w:t xml:space="preserve">, G., Tuba Sengel-Turk, C., Basak Erol, H., </w:t>
      </w:r>
      <w:proofErr w:type="spellStart"/>
      <w:r w:rsidRPr="009C2F97">
        <w:rPr>
          <w:rFonts w:ascii="Arial" w:hAnsi="Arial" w:cs="Arial"/>
        </w:rPr>
        <w:t>Kaskatepe</w:t>
      </w:r>
      <w:proofErr w:type="spellEnd"/>
      <w:r w:rsidRPr="009C2F97">
        <w:rPr>
          <w:rFonts w:ascii="Arial" w:hAnsi="Arial" w:cs="Arial"/>
        </w:rPr>
        <w:t xml:space="preserve">, B., </w:t>
      </w:r>
      <w:proofErr w:type="spellStart"/>
      <w:r w:rsidRPr="009C2F97">
        <w:rPr>
          <w:rFonts w:ascii="Arial" w:hAnsi="Arial" w:cs="Arial"/>
        </w:rPr>
        <w:t>Oncu</w:t>
      </w:r>
      <w:proofErr w:type="spellEnd"/>
      <w:r w:rsidRPr="009C2F97">
        <w:rPr>
          <w:rFonts w:ascii="Arial" w:hAnsi="Arial" w:cs="Arial"/>
        </w:rPr>
        <w:t xml:space="preserve">, A., </w:t>
      </w:r>
      <w:proofErr w:type="spellStart"/>
      <w:r w:rsidRPr="009C2F97">
        <w:rPr>
          <w:rFonts w:ascii="Arial" w:hAnsi="Arial" w:cs="Arial"/>
        </w:rPr>
        <w:t>Guney-Eskiler</w:t>
      </w:r>
      <w:proofErr w:type="spellEnd"/>
      <w:r w:rsidRPr="009C2F97">
        <w:rPr>
          <w:rFonts w:ascii="Arial" w:hAnsi="Arial" w:cs="Arial"/>
        </w:rPr>
        <w:t xml:space="preserve">, G., &amp; </w:t>
      </w:r>
      <w:proofErr w:type="spellStart"/>
      <w:r w:rsidRPr="009C2F97">
        <w:rPr>
          <w:rFonts w:ascii="Arial" w:hAnsi="Arial" w:cs="Arial"/>
        </w:rPr>
        <w:t>Celikten</w:t>
      </w:r>
      <w:proofErr w:type="spellEnd"/>
      <w:r w:rsidRPr="009C2F97">
        <w:rPr>
          <w:rFonts w:ascii="Arial" w:hAnsi="Arial" w:cs="Arial"/>
        </w:rPr>
        <w:t xml:space="preserve">, B. (2024). Rational design of a Nano-Antibiotic chitosan hydrogel for the bacterial infection Therapy: In vitro &amp; ex vivo Assessments. International Journal of Pharmaceutics, 665, 124692. https://doi.org/10.1016/j.ijpharm.2024.124692 </w:t>
      </w:r>
    </w:p>
    <w:p w14:paraId="6832106D" w14:textId="77777777" w:rsidR="001B746A" w:rsidRDefault="001B746A" w:rsidP="001B746A">
      <w:pPr>
        <w:rPr>
          <w:rFonts w:ascii="Arial" w:hAnsi="Arial" w:cs="Arial"/>
        </w:rPr>
      </w:pPr>
    </w:p>
    <w:p w14:paraId="6857B8E7" w14:textId="7886D8A4" w:rsidR="001B746A" w:rsidRDefault="001B746A" w:rsidP="001B746A">
      <w:pPr>
        <w:rPr>
          <w:rFonts w:ascii="Arial" w:hAnsi="Arial" w:cs="Arial"/>
        </w:rPr>
      </w:pPr>
      <w:r w:rsidRPr="009C2F97">
        <w:rPr>
          <w:rFonts w:ascii="Arial" w:hAnsi="Arial" w:cs="Arial"/>
        </w:rPr>
        <w:t xml:space="preserve">Ansari, R., Sadati, S. M., </w:t>
      </w:r>
      <w:proofErr w:type="spellStart"/>
      <w:r w:rsidRPr="009C2F97">
        <w:rPr>
          <w:rFonts w:ascii="Arial" w:hAnsi="Arial" w:cs="Arial"/>
        </w:rPr>
        <w:t>Mozafari</w:t>
      </w:r>
      <w:proofErr w:type="spellEnd"/>
      <w:r w:rsidRPr="009C2F97">
        <w:rPr>
          <w:rFonts w:ascii="Arial" w:hAnsi="Arial" w:cs="Arial"/>
        </w:rPr>
        <w:t xml:space="preserve">, N., Ashrafi, H., &amp; Azadi, A. (2020). Carbohydrate polymer-based nanoparticle application in drug delivery for CNS-related disorders. European Polymer Journal, 128, 109607. https://doi.org/10.1016/j.eurpolymj.2020.109607 </w:t>
      </w:r>
    </w:p>
    <w:p w14:paraId="5EA210AF" w14:textId="77777777" w:rsidR="0010236F" w:rsidRDefault="0010236F" w:rsidP="001B746A">
      <w:pPr>
        <w:rPr>
          <w:rFonts w:ascii="Arial" w:hAnsi="Arial" w:cs="Arial"/>
        </w:rPr>
      </w:pPr>
    </w:p>
    <w:p w14:paraId="5884445B" w14:textId="43099B8A" w:rsidR="0010236F" w:rsidRPr="009C2F97" w:rsidRDefault="0010236F" w:rsidP="001B746A">
      <w:pPr>
        <w:rPr>
          <w:rFonts w:ascii="Arial" w:hAnsi="Arial" w:cs="Arial"/>
        </w:rPr>
      </w:pPr>
      <w:r w:rsidRPr="0010236F">
        <w:rPr>
          <w:rFonts w:ascii="Arial" w:hAnsi="Arial" w:cs="Arial"/>
        </w:rPr>
        <w:t xml:space="preserve">Asadi, K., Negar </w:t>
      </w:r>
      <w:proofErr w:type="spellStart"/>
      <w:r w:rsidRPr="0010236F">
        <w:rPr>
          <w:rFonts w:ascii="Arial" w:hAnsi="Arial" w:cs="Arial"/>
        </w:rPr>
        <w:t>Azarpira</w:t>
      </w:r>
      <w:proofErr w:type="spellEnd"/>
      <w:r w:rsidRPr="0010236F">
        <w:rPr>
          <w:rFonts w:ascii="Arial" w:hAnsi="Arial" w:cs="Arial"/>
        </w:rPr>
        <w:t xml:space="preserve">, </w:t>
      </w:r>
      <w:proofErr w:type="spellStart"/>
      <w:r w:rsidRPr="0010236F">
        <w:rPr>
          <w:rFonts w:ascii="Arial" w:hAnsi="Arial" w:cs="Arial"/>
        </w:rPr>
        <w:t>Heidari</w:t>
      </w:r>
      <w:proofErr w:type="spellEnd"/>
      <w:r w:rsidRPr="0010236F">
        <w:rPr>
          <w:rFonts w:ascii="Arial" w:hAnsi="Arial" w:cs="Arial"/>
        </w:rPr>
        <w:t xml:space="preserve">, R., Hamidi, M., Shahrokh Yousefzadeh-Chabok, Nemati, M. M., </w:t>
      </w:r>
      <w:proofErr w:type="spellStart"/>
      <w:r w:rsidRPr="0010236F">
        <w:rPr>
          <w:rFonts w:ascii="Arial" w:hAnsi="Arial" w:cs="Arial"/>
        </w:rPr>
        <w:t>Ommati</w:t>
      </w:r>
      <w:proofErr w:type="spellEnd"/>
      <w:r w:rsidRPr="0010236F">
        <w:rPr>
          <w:rFonts w:ascii="Arial" w:hAnsi="Arial" w:cs="Arial"/>
        </w:rPr>
        <w:t>, M. M., Amini, A., &amp; Gholami, A. (2024). Trinitroglycerin-loaded chitosan nanogels accelerate angiogenesis in wound healing process. International Journal of Biological Macromolecules, 278, 134937–134937. https://doi.org/10.1016/j.ijbiomac.2024.134937</w:t>
      </w:r>
    </w:p>
    <w:p w14:paraId="12769137" w14:textId="39DC9710" w:rsidR="001B746A" w:rsidRDefault="001B746A" w:rsidP="001B746A">
      <w:pPr>
        <w:rPr>
          <w:rFonts w:ascii="Arial" w:hAnsi="Arial" w:cs="Arial"/>
        </w:rPr>
      </w:pPr>
    </w:p>
    <w:p w14:paraId="5E9C23A4" w14:textId="14038749" w:rsidR="00D74287" w:rsidRDefault="00D74287" w:rsidP="001B746A">
      <w:pPr>
        <w:rPr>
          <w:rFonts w:ascii="Arial" w:hAnsi="Arial" w:cs="Arial"/>
        </w:rPr>
      </w:pPr>
      <w:proofErr w:type="spellStart"/>
      <w:r w:rsidRPr="00D74287">
        <w:rPr>
          <w:rFonts w:ascii="Arial" w:hAnsi="Arial" w:cs="Arial"/>
        </w:rPr>
        <w:t>Asido</w:t>
      </w:r>
      <w:proofErr w:type="spellEnd"/>
      <w:r w:rsidRPr="00D74287">
        <w:rPr>
          <w:rFonts w:ascii="Arial" w:hAnsi="Arial" w:cs="Arial"/>
        </w:rPr>
        <w:t xml:space="preserve">, L., </w:t>
      </w:r>
      <w:proofErr w:type="spellStart"/>
      <w:r w:rsidRPr="00D74287">
        <w:rPr>
          <w:rFonts w:ascii="Arial" w:hAnsi="Arial" w:cs="Arial"/>
        </w:rPr>
        <w:t>Unico</w:t>
      </w:r>
      <w:proofErr w:type="spellEnd"/>
      <w:r w:rsidRPr="00D74287">
        <w:rPr>
          <w:rFonts w:ascii="Arial" w:hAnsi="Arial" w:cs="Arial"/>
        </w:rPr>
        <w:t xml:space="preserve">, C., </w:t>
      </w:r>
      <w:proofErr w:type="spellStart"/>
      <w:r w:rsidRPr="00D74287">
        <w:rPr>
          <w:rFonts w:ascii="Arial" w:hAnsi="Arial" w:cs="Arial"/>
        </w:rPr>
        <w:t>Torniado</w:t>
      </w:r>
      <w:proofErr w:type="spellEnd"/>
      <w:r w:rsidRPr="00D74287">
        <w:rPr>
          <w:rFonts w:ascii="Arial" w:hAnsi="Arial" w:cs="Arial"/>
        </w:rPr>
        <w:t xml:space="preserve">, K., </w:t>
      </w:r>
      <w:proofErr w:type="spellStart"/>
      <w:r w:rsidRPr="00D74287">
        <w:rPr>
          <w:rFonts w:ascii="Arial" w:hAnsi="Arial" w:cs="Arial"/>
        </w:rPr>
        <w:t>Villacencio</w:t>
      </w:r>
      <w:proofErr w:type="spellEnd"/>
      <w:r w:rsidRPr="00D74287">
        <w:rPr>
          <w:rFonts w:ascii="Arial" w:hAnsi="Arial" w:cs="Arial"/>
        </w:rPr>
        <w:t xml:space="preserve">, T., &amp; </w:t>
      </w:r>
      <w:proofErr w:type="spellStart"/>
      <w:r w:rsidRPr="00D74287">
        <w:rPr>
          <w:rFonts w:ascii="Arial" w:hAnsi="Arial" w:cs="Arial"/>
        </w:rPr>
        <w:t>Saldo</w:t>
      </w:r>
      <w:proofErr w:type="spellEnd"/>
      <w:r w:rsidRPr="00D74287">
        <w:rPr>
          <w:rFonts w:ascii="Arial" w:hAnsi="Arial" w:cs="Arial"/>
        </w:rPr>
        <w:t>, I. (2024). Antibacterial Activity and Sensory Profile of Liquid Hand Soap from Arabica (</w:t>
      </w:r>
      <w:proofErr w:type="spellStart"/>
      <w:r w:rsidRPr="00D74287">
        <w:rPr>
          <w:rFonts w:ascii="Arial" w:hAnsi="Arial" w:cs="Arial"/>
        </w:rPr>
        <w:t>Coffea</w:t>
      </w:r>
      <w:proofErr w:type="spellEnd"/>
      <w:r w:rsidRPr="00D74287">
        <w:rPr>
          <w:rFonts w:ascii="Arial" w:hAnsi="Arial" w:cs="Arial"/>
        </w:rPr>
        <w:t xml:space="preserve"> </w:t>
      </w:r>
      <w:proofErr w:type="spellStart"/>
      <w:r w:rsidRPr="00D74287">
        <w:rPr>
          <w:rFonts w:ascii="Arial" w:hAnsi="Arial" w:cs="Arial"/>
        </w:rPr>
        <w:t>arabica</w:t>
      </w:r>
      <w:proofErr w:type="spellEnd"/>
      <w:r w:rsidRPr="00D74287">
        <w:rPr>
          <w:rFonts w:ascii="Arial" w:hAnsi="Arial" w:cs="Arial"/>
        </w:rPr>
        <w:t>) and Robusta (</w:t>
      </w:r>
      <w:proofErr w:type="spellStart"/>
      <w:r w:rsidRPr="00D74287">
        <w:rPr>
          <w:rFonts w:ascii="Arial" w:hAnsi="Arial" w:cs="Arial"/>
        </w:rPr>
        <w:t>Coffea</w:t>
      </w:r>
      <w:proofErr w:type="spellEnd"/>
      <w:r w:rsidRPr="00D74287">
        <w:rPr>
          <w:rFonts w:ascii="Arial" w:hAnsi="Arial" w:cs="Arial"/>
        </w:rPr>
        <w:t xml:space="preserve"> </w:t>
      </w:r>
      <w:proofErr w:type="spellStart"/>
      <w:r w:rsidRPr="00D74287">
        <w:rPr>
          <w:rFonts w:ascii="Arial" w:hAnsi="Arial" w:cs="Arial"/>
        </w:rPr>
        <w:lastRenderedPageBreak/>
        <w:t>canephora</w:t>
      </w:r>
      <w:proofErr w:type="spellEnd"/>
      <w:r w:rsidRPr="00D74287">
        <w:rPr>
          <w:rFonts w:ascii="Arial" w:hAnsi="Arial" w:cs="Arial"/>
        </w:rPr>
        <w:t>) Spent Coffee Grounds. Asian Journal of Biological and Life Sciences, 13. https://doi.org/10.5530/ajbls.2023.13.31</w:t>
      </w:r>
    </w:p>
    <w:p w14:paraId="6669B6A8" w14:textId="77777777" w:rsidR="00D74287" w:rsidRDefault="00D74287" w:rsidP="001B746A">
      <w:pPr>
        <w:rPr>
          <w:rFonts w:ascii="Arial" w:hAnsi="Arial" w:cs="Arial"/>
        </w:rPr>
      </w:pPr>
      <w:bookmarkStart w:id="4" w:name="_GoBack"/>
      <w:bookmarkEnd w:id="4"/>
    </w:p>
    <w:p w14:paraId="085D6989" w14:textId="7EA170F0" w:rsidR="001B746A" w:rsidRPr="009C2F97" w:rsidRDefault="001B746A" w:rsidP="001B746A">
      <w:pPr>
        <w:rPr>
          <w:rFonts w:ascii="Arial" w:hAnsi="Arial" w:cs="Arial"/>
        </w:rPr>
      </w:pPr>
      <w:proofErr w:type="spellStart"/>
      <w:r w:rsidRPr="009C2F97">
        <w:rPr>
          <w:rFonts w:ascii="Arial" w:hAnsi="Arial" w:cs="Arial"/>
        </w:rPr>
        <w:t>Attama</w:t>
      </w:r>
      <w:proofErr w:type="spellEnd"/>
      <w:r w:rsidRPr="009C2F97">
        <w:rPr>
          <w:rFonts w:ascii="Arial" w:hAnsi="Arial" w:cs="Arial"/>
        </w:rPr>
        <w:t xml:space="preserve">, A. A., Nnamani, P. O., </w:t>
      </w:r>
      <w:proofErr w:type="spellStart"/>
      <w:r w:rsidRPr="009C2F97">
        <w:rPr>
          <w:rFonts w:ascii="Arial" w:hAnsi="Arial" w:cs="Arial"/>
        </w:rPr>
        <w:t>Onokala</w:t>
      </w:r>
      <w:proofErr w:type="spellEnd"/>
      <w:r w:rsidRPr="009C2F97">
        <w:rPr>
          <w:rFonts w:ascii="Arial" w:hAnsi="Arial" w:cs="Arial"/>
        </w:rPr>
        <w:t xml:space="preserve">, O. B., Ugwu, A. A., &amp; </w:t>
      </w:r>
      <w:proofErr w:type="spellStart"/>
      <w:r w:rsidRPr="009C2F97">
        <w:rPr>
          <w:rFonts w:ascii="Arial" w:hAnsi="Arial" w:cs="Arial"/>
        </w:rPr>
        <w:t>Onugwu</w:t>
      </w:r>
      <w:proofErr w:type="spellEnd"/>
      <w:r w:rsidRPr="009C2F97">
        <w:rPr>
          <w:rFonts w:ascii="Arial" w:hAnsi="Arial" w:cs="Arial"/>
        </w:rPr>
        <w:t xml:space="preserve">, A. L. (2022). Nanogels as target drug delivery systems in cancer therapy: A review of the last decade. Frontiers in Pharmacology, 13. https://doi.org/10.3389/fphar.2022.874510 </w:t>
      </w:r>
    </w:p>
    <w:p w14:paraId="70CE777C" w14:textId="77777777" w:rsidR="001B746A" w:rsidRDefault="001B746A" w:rsidP="001B746A">
      <w:pPr>
        <w:rPr>
          <w:rFonts w:ascii="Arial" w:hAnsi="Arial" w:cs="Arial"/>
        </w:rPr>
      </w:pPr>
    </w:p>
    <w:p w14:paraId="02A66AAA" w14:textId="25094CA7" w:rsidR="001B746A" w:rsidRPr="009C2F97" w:rsidRDefault="001B746A" w:rsidP="001B746A">
      <w:pPr>
        <w:rPr>
          <w:rFonts w:ascii="Arial" w:hAnsi="Arial" w:cs="Arial"/>
        </w:rPr>
      </w:pPr>
      <w:r w:rsidRPr="009C2F97">
        <w:rPr>
          <w:rFonts w:ascii="Arial" w:hAnsi="Arial" w:cs="Arial"/>
        </w:rPr>
        <w:t xml:space="preserve">Basak, S., Singh, P., Weller, A., </w:t>
      </w:r>
      <w:proofErr w:type="spellStart"/>
      <w:r w:rsidRPr="009C2F97">
        <w:rPr>
          <w:rFonts w:ascii="Arial" w:hAnsi="Arial" w:cs="Arial"/>
        </w:rPr>
        <w:t>Kadumudi</w:t>
      </w:r>
      <w:proofErr w:type="spellEnd"/>
      <w:r w:rsidRPr="009C2F97">
        <w:rPr>
          <w:rFonts w:ascii="Arial" w:hAnsi="Arial" w:cs="Arial"/>
        </w:rPr>
        <w:t xml:space="preserve">, F. B., Kempen, P. J., </w:t>
      </w:r>
      <w:proofErr w:type="spellStart"/>
      <w:r w:rsidRPr="009C2F97">
        <w:rPr>
          <w:rFonts w:ascii="Arial" w:hAnsi="Arial" w:cs="Arial"/>
        </w:rPr>
        <w:t>Mijakovic</w:t>
      </w:r>
      <w:proofErr w:type="spellEnd"/>
      <w:r w:rsidRPr="009C2F97">
        <w:rPr>
          <w:rFonts w:ascii="Arial" w:hAnsi="Arial" w:cs="Arial"/>
        </w:rPr>
        <w:t xml:space="preserve">, I., </w:t>
      </w:r>
      <w:proofErr w:type="spellStart"/>
      <w:r w:rsidRPr="009C2F97">
        <w:rPr>
          <w:rFonts w:ascii="Arial" w:hAnsi="Arial" w:cs="Arial"/>
        </w:rPr>
        <w:t>Dolatshahi-Pirouz</w:t>
      </w:r>
      <w:proofErr w:type="spellEnd"/>
      <w:r w:rsidRPr="009C2F97">
        <w:rPr>
          <w:rFonts w:ascii="Arial" w:hAnsi="Arial" w:cs="Arial"/>
        </w:rPr>
        <w:t xml:space="preserve">, A., &amp; Almdal, K. (2024). Cost-effective and eco-friendly sprayable nanogels (ZC-CSNG) for multifunctional wound dressing applications. Chemical Engineering Journal, 503, 158312. https://doi.org/10.1016/j.cej.2024.158312 </w:t>
      </w:r>
    </w:p>
    <w:p w14:paraId="2643F845" w14:textId="77777777" w:rsidR="001B746A" w:rsidRDefault="001B746A" w:rsidP="001B746A">
      <w:pPr>
        <w:rPr>
          <w:rFonts w:ascii="Arial" w:hAnsi="Arial" w:cs="Arial"/>
        </w:rPr>
      </w:pPr>
      <w:bookmarkStart w:id="5" w:name="_Hlk196304770"/>
    </w:p>
    <w:p w14:paraId="4556B095" w14:textId="531152E1" w:rsidR="001B746A" w:rsidRPr="009C2F97" w:rsidRDefault="001B746A" w:rsidP="001B746A">
      <w:pPr>
        <w:rPr>
          <w:rFonts w:ascii="Arial" w:hAnsi="Arial" w:cs="Arial"/>
        </w:rPr>
      </w:pPr>
      <w:r w:rsidRPr="009C2F97">
        <w:rPr>
          <w:rFonts w:ascii="Arial" w:hAnsi="Arial" w:cs="Arial"/>
        </w:rPr>
        <w:t xml:space="preserve">Brennan, R. J., Jenkinson, S., Brown, A., </w:t>
      </w:r>
      <w:proofErr w:type="spellStart"/>
      <w:r w:rsidRPr="009C2F97">
        <w:rPr>
          <w:rFonts w:ascii="Arial" w:hAnsi="Arial" w:cs="Arial"/>
        </w:rPr>
        <w:t>Delaunois</w:t>
      </w:r>
      <w:proofErr w:type="spellEnd"/>
      <w:r w:rsidRPr="009C2F97">
        <w:rPr>
          <w:rFonts w:ascii="Arial" w:hAnsi="Arial" w:cs="Arial"/>
        </w:rPr>
        <w:t>, A.,</w:t>
      </w:r>
      <w:r w:rsidR="00747C2E">
        <w:rPr>
          <w:rFonts w:ascii="Arial" w:hAnsi="Arial" w:cs="Arial"/>
        </w:rPr>
        <w:t xml:space="preserve"> </w:t>
      </w:r>
      <w:proofErr w:type="spellStart"/>
      <w:r w:rsidRPr="009C2F97">
        <w:rPr>
          <w:rFonts w:ascii="Arial" w:hAnsi="Arial" w:cs="Arial"/>
        </w:rPr>
        <w:t>Dumotier</w:t>
      </w:r>
      <w:proofErr w:type="spellEnd"/>
      <w:r w:rsidR="00747C2E">
        <w:rPr>
          <w:rFonts w:ascii="Arial" w:hAnsi="Arial" w:cs="Arial"/>
        </w:rPr>
        <w:t xml:space="preserve"> B.</w:t>
      </w:r>
      <w:r w:rsidRPr="009C2F97">
        <w:rPr>
          <w:rFonts w:ascii="Arial" w:hAnsi="Arial" w:cs="Arial"/>
        </w:rPr>
        <w:t xml:space="preserve">, </w:t>
      </w:r>
      <w:proofErr w:type="spellStart"/>
      <w:r w:rsidRPr="009C2F97">
        <w:rPr>
          <w:rFonts w:ascii="Arial" w:hAnsi="Arial" w:cs="Arial"/>
        </w:rPr>
        <w:t>Pannirselvam</w:t>
      </w:r>
      <w:proofErr w:type="spellEnd"/>
      <w:r w:rsidR="00747C2E">
        <w:rPr>
          <w:rFonts w:ascii="Arial" w:hAnsi="Arial" w:cs="Arial"/>
        </w:rPr>
        <w:t xml:space="preserve">, M. et. al. </w:t>
      </w:r>
      <w:r w:rsidRPr="009C2F97">
        <w:rPr>
          <w:rFonts w:ascii="Arial" w:hAnsi="Arial" w:cs="Arial"/>
        </w:rPr>
        <w:t xml:space="preserve">(2024). The state of the art in secondary pharmacology and its impact on the safety of new medicines. Nature Reviews Drug Discovery, 23(7), 525–545. https://doi.org/10.1038/s41573-024-00942-3 </w:t>
      </w:r>
    </w:p>
    <w:p w14:paraId="314EBDD4" w14:textId="77777777" w:rsidR="00747C2E" w:rsidRDefault="00747C2E" w:rsidP="001B746A">
      <w:pPr>
        <w:rPr>
          <w:rFonts w:ascii="Arial" w:hAnsi="Arial" w:cs="Arial"/>
        </w:rPr>
      </w:pPr>
      <w:bookmarkStart w:id="6" w:name="_Hlk196304802"/>
      <w:bookmarkEnd w:id="5"/>
    </w:p>
    <w:p w14:paraId="29C12025" w14:textId="6E304667" w:rsidR="001B746A" w:rsidRPr="009C2F97" w:rsidRDefault="00827311" w:rsidP="001B746A">
      <w:pPr>
        <w:rPr>
          <w:rFonts w:ascii="Arial" w:hAnsi="Arial" w:cs="Arial"/>
        </w:rPr>
      </w:pPr>
      <w:r>
        <w:rPr>
          <w:rFonts w:ascii="Arial" w:hAnsi="Arial" w:cs="Arial"/>
        </w:rPr>
        <w:t xml:space="preserve">Brianna, </w:t>
      </w:r>
      <w:r w:rsidR="001B746A" w:rsidRPr="009C2F97">
        <w:rPr>
          <w:rFonts w:ascii="Arial" w:hAnsi="Arial" w:cs="Arial"/>
        </w:rPr>
        <w:t>Anwar, A.,</w:t>
      </w:r>
      <w:r w:rsidR="00702BA9">
        <w:rPr>
          <w:rFonts w:ascii="Arial" w:hAnsi="Arial" w:cs="Arial"/>
        </w:rPr>
        <w:t xml:space="preserve"> </w:t>
      </w:r>
      <w:r w:rsidR="001B746A" w:rsidRPr="009C2F97">
        <w:rPr>
          <w:rFonts w:ascii="Arial" w:hAnsi="Arial" w:cs="Arial"/>
        </w:rPr>
        <w:t>Teow</w:t>
      </w:r>
      <w:r w:rsidR="00702BA9">
        <w:rPr>
          <w:rFonts w:ascii="Arial" w:hAnsi="Arial" w:cs="Arial"/>
        </w:rPr>
        <w:t>, S.</w:t>
      </w:r>
      <w:r w:rsidR="001B746A" w:rsidRPr="009C2F97">
        <w:rPr>
          <w:rFonts w:ascii="Arial" w:hAnsi="Arial" w:cs="Arial"/>
        </w:rPr>
        <w:t>, &amp; Wu</w:t>
      </w:r>
      <w:r w:rsidR="00702BA9">
        <w:rPr>
          <w:rFonts w:ascii="Arial" w:hAnsi="Arial" w:cs="Arial"/>
        </w:rPr>
        <w:t xml:space="preserve">, </w:t>
      </w:r>
      <w:proofErr w:type="gramStart"/>
      <w:r w:rsidR="00702BA9">
        <w:rPr>
          <w:rFonts w:ascii="Arial" w:hAnsi="Arial" w:cs="Arial"/>
        </w:rPr>
        <w:t>Y.S.</w:t>
      </w:r>
      <w:r w:rsidR="001B746A" w:rsidRPr="009C2F97">
        <w:rPr>
          <w:rFonts w:ascii="Arial" w:hAnsi="Arial" w:cs="Arial"/>
        </w:rPr>
        <w:t>.</w:t>
      </w:r>
      <w:proofErr w:type="gramEnd"/>
      <w:r w:rsidR="001B746A" w:rsidRPr="009C2F97">
        <w:rPr>
          <w:rFonts w:ascii="Arial" w:hAnsi="Arial" w:cs="Arial"/>
        </w:rPr>
        <w:t xml:space="preserve"> (2024). Nanogel-based drug delivery system as a treatment modality for diverse diseases: Are we there yet? Journal of Drug Delivery Science and Technology, 91, 105224–105224. https://doi.org/10.1016/j.jddst.2023.105224 </w:t>
      </w:r>
    </w:p>
    <w:p w14:paraId="65626042" w14:textId="77777777" w:rsidR="00747C2E" w:rsidRDefault="00747C2E" w:rsidP="001B746A">
      <w:pPr>
        <w:rPr>
          <w:rFonts w:ascii="Arial" w:hAnsi="Arial" w:cs="Arial"/>
        </w:rPr>
      </w:pPr>
      <w:bookmarkStart w:id="7" w:name="_Hlk196304990"/>
      <w:bookmarkEnd w:id="6"/>
    </w:p>
    <w:p w14:paraId="561E2DDB" w14:textId="564F5FE9" w:rsidR="008B5A18" w:rsidRDefault="008B5A18" w:rsidP="001B746A">
      <w:pPr>
        <w:rPr>
          <w:rFonts w:ascii="Arial" w:hAnsi="Arial" w:cs="Arial"/>
        </w:rPr>
      </w:pPr>
      <w:bookmarkStart w:id="8" w:name="_Hlk196305016"/>
      <w:bookmarkEnd w:id="7"/>
      <w:r w:rsidRPr="008B5A18">
        <w:rPr>
          <w:rFonts w:ascii="Arial" w:hAnsi="Arial" w:cs="Arial"/>
        </w:rPr>
        <w:t>Chung, F.-Y., Lin, Y.-Z., Huang, C.-R., Huang, K.-W., &amp; Chen, Y.-F. (2023). Crosslinking kiwifruit-derived DNA with natural aromatic aldehydes generates membranolytic antibacterial nanogels. International Journal of Biological Macromolecules, 255, 127947. https://doi.org/10.1016/j.ijbiomac.2023.127947</w:t>
      </w:r>
    </w:p>
    <w:p w14:paraId="4F8681EF" w14:textId="77777777" w:rsidR="008B5A18" w:rsidRDefault="008B5A18" w:rsidP="001B746A">
      <w:pPr>
        <w:rPr>
          <w:rFonts w:ascii="Arial" w:hAnsi="Arial" w:cs="Arial"/>
        </w:rPr>
      </w:pPr>
    </w:p>
    <w:p w14:paraId="770C5225" w14:textId="6DC23C0C" w:rsidR="00747C2E" w:rsidRDefault="00747C2E" w:rsidP="001B746A">
      <w:pPr>
        <w:rPr>
          <w:rFonts w:ascii="Arial" w:hAnsi="Arial" w:cs="Arial"/>
        </w:rPr>
      </w:pPr>
      <w:r w:rsidRPr="00747C2E">
        <w:rPr>
          <w:rFonts w:ascii="Arial" w:hAnsi="Arial" w:cs="Arial"/>
        </w:rPr>
        <w:t>Chung, S. (2019). Specialty Coffee: The Pour-Over. Wisc.pb.unizin.org. https://wisc.pb.unizin.org/english100coursereader/chapter/specialty-coffee-the-pour-over/</w:t>
      </w:r>
    </w:p>
    <w:p w14:paraId="38B41727" w14:textId="77777777" w:rsidR="00747C2E" w:rsidRDefault="00747C2E" w:rsidP="001B746A">
      <w:pPr>
        <w:rPr>
          <w:rFonts w:ascii="Arial" w:hAnsi="Arial" w:cs="Arial"/>
        </w:rPr>
      </w:pPr>
      <w:bookmarkStart w:id="9" w:name="_Hlk196305041"/>
      <w:bookmarkEnd w:id="8"/>
    </w:p>
    <w:p w14:paraId="72F3CC30" w14:textId="0CC445E1" w:rsidR="00747C2E" w:rsidRDefault="001B746A" w:rsidP="001B746A">
      <w:pPr>
        <w:rPr>
          <w:rFonts w:ascii="Arial" w:hAnsi="Arial" w:cs="Arial"/>
        </w:rPr>
      </w:pPr>
      <w:r w:rsidRPr="009C2F97">
        <w:rPr>
          <w:rFonts w:ascii="Arial" w:hAnsi="Arial" w:cs="Arial"/>
        </w:rPr>
        <w:t xml:space="preserve">Das, N., Islam, M. E., Jahan, N., Islam, M. S., Khan, A., Islam, M. R., &amp; Parvin, M. S. (2014). Antioxidant activities of ethanol extracts and fractions of </w:t>
      </w:r>
      <w:proofErr w:type="spellStart"/>
      <w:r w:rsidRPr="009C2F97">
        <w:rPr>
          <w:rFonts w:ascii="Arial" w:hAnsi="Arial" w:cs="Arial"/>
        </w:rPr>
        <w:t>Crescentia</w:t>
      </w:r>
      <w:proofErr w:type="spellEnd"/>
      <w:r w:rsidRPr="009C2F97">
        <w:rPr>
          <w:rFonts w:ascii="Arial" w:hAnsi="Arial" w:cs="Arial"/>
        </w:rPr>
        <w:t xml:space="preserve"> </w:t>
      </w:r>
      <w:proofErr w:type="spellStart"/>
      <w:r w:rsidRPr="009C2F97">
        <w:rPr>
          <w:rFonts w:ascii="Arial" w:hAnsi="Arial" w:cs="Arial"/>
        </w:rPr>
        <w:t>cujete</w:t>
      </w:r>
      <w:proofErr w:type="spellEnd"/>
      <w:r w:rsidRPr="009C2F97">
        <w:rPr>
          <w:rFonts w:ascii="Arial" w:hAnsi="Arial" w:cs="Arial"/>
        </w:rPr>
        <w:t xml:space="preserve"> leaves and stem bark and the involvement of phenolic compounds. BMC Complementary and Alternative Medicine, 14, 45. https://doi.org/10.1186/1472-6882-14-45 </w:t>
      </w:r>
      <w:bookmarkStart w:id="10" w:name="_Hlk196305064"/>
      <w:bookmarkEnd w:id="9"/>
    </w:p>
    <w:p w14:paraId="4203A7CE" w14:textId="77777777" w:rsidR="00747C2E" w:rsidRDefault="00747C2E" w:rsidP="001B746A">
      <w:pPr>
        <w:rPr>
          <w:rFonts w:ascii="Arial" w:hAnsi="Arial" w:cs="Arial"/>
        </w:rPr>
      </w:pPr>
      <w:bookmarkStart w:id="11" w:name="_Hlk196305083"/>
      <w:bookmarkEnd w:id="10"/>
    </w:p>
    <w:p w14:paraId="793FB4A4" w14:textId="016DF809" w:rsidR="001B746A" w:rsidRPr="009C2F97" w:rsidRDefault="001B746A" w:rsidP="001B746A">
      <w:pPr>
        <w:rPr>
          <w:rFonts w:ascii="Arial" w:hAnsi="Arial" w:cs="Arial"/>
        </w:rPr>
      </w:pPr>
      <w:bookmarkStart w:id="12" w:name="_Hlk196305114"/>
      <w:bookmarkEnd w:id="11"/>
      <w:r w:rsidRPr="009C2F97">
        <w:rPr>
          <w:rFonts w:ascii="Arial" w:hAnsi="Arial" w:cs="Arial"/>
        </w:rPr>
        <w:t xml:space="preserve">Fernández-Solís, K. G., Domínguez-Fonseca, E., Martínez, B. M. G., Becerra, A. G., Ochoa, E. F., </w:t>
      </w:r>
      <w:proofErr w:type="spellStart"/>
      <w:r w:rsidRPr="009C2F97">
        <w:rPr>
          <w:rFonts w:ascii="Arial" w:hAnsi="Arial" w:cs="Arial"/>
        </w:rPr>
        <w:t>Mendizábal</w:t>
      </w:r>
      <w:proofErr w:type="spellEnd"/>
      <w:r w:rsidRPr="009C2F97">
        <w:rPr>
          <w:rFonts w:ascii="Arial" w:hAnsi="Arial" w:cs="Arial"/>
        </w:rPr>
        <w:t xml:space="preserve">, E., Toriz, G., Loyer, P., </w:t>
      </w:r>
      <w:proofErr w:type="spellStart"/>
      <w:r w:rsidRPr="009C2F97">
        <w:rPr>
          <w:rFonts w:ascii="Arial" w:hAnsi="Arial" w:cs="Arial"/>
        </w:rPr>
        <w:t>Rosselgong</w:t>
      </w:r>
      <w:proofErr w:type="spellEnd"/>
      <w:r w:rsidRPr="009C2F97">
        <w:rPr>
          <w:rFonts w:ascii="Arial" w:hAnsi="Arial" w:cs="Arial"/>
        </w:rPr>
        <w:t xml:space="preserve">, J., &amp; Bravo-Anaya, L. M. (2024). Synthesis, characterization and stability of crosslinked chitosan-maltodextrin pH-sensitive nanogels. International Journal of Biological Macromolecules, 274, 133277. https://doi.org/10.1016/j.ijbiomac.2024.133277 </w:t>
      </w:r>
    </w:p>
    <w:p w14:paraId="63B536D1" w14:textId="77777777" w:rsidR="00747C2E" w:rsidRDefault="00747C2E" w:rsidP="001B746A">
      <w:pPr>
        <w:rPr>
          <w:rFonts w:ascii="Arial" w:hAnsi="Arial" w:cs="Arial"/>
        </w:rPr>
      </w:pPr>
      <w:bookmarkStart w:id="13" w:name="_Hlk196305179"/>
      <w:bookmarkEnd w:id="12"/>
    </w:p>
    <w:p w14:paraId="40F42561" w14:textId="2D2B629F" w:rsidR="00A64CE7" w:rsidRDefault="00A64CE7" w:rsidP="001B746A">
      <w:pPr>
        <w:rPr>
          <w:rFonts w:ascii="Arial" w:hAnsi="Arial" w:cs="Arial"/>
        </w:rPr>
      </w:pPr>
      <w:r w:rsidRPr="00A64CE7">
        <w:rPr>
          <w:rFonts w:ascii="Arial" w:hAnsi="Arial" w:cs="Arial"/>
        </w:rPr>
        <w:t>Gupta, J., &amp; Sharma, G. (2024). Nanogel: A versatile drug delivery system for the treatment of various diseases and their future perspective. Drug Delivery and Translational Research. https://doi.org/10.1007/s13346-024-01684-w</w:t>
      </w:r>
    </w:p>
    <w:p w14:paraId="0C1C4247" w14:textId="77777777" w:rsidR="00A64CE7" w:rsidRDefault="00A64CE7" w:rsidP="001B746A">
      <w:pPr>
        <w:rPr>
          <w:rFonts w:ascii="Arial" w:hAnsi="Arial" w:cs="Arial"/>
        </w:rPr>
      </w:pPr>
    </w:p>
    <w:p w14:paraId="1C01F59C" w14:textId="650501A0" w:rsidR="001B746A" w:rsidRPr="009C2F97" w:rsidRDefault="001B746A" w:rsidP="001B746A">
      <w:pPr>
        <w:rPr>
          <w:rFonts w:ascii="Arial" w:hAnsi="Arial" w:cs="Arial"/>
        </w:rPr>
      </w:pPr>
      <w:r w:rsidRPr="009C2F97">
        <w:rPr>
          <w:rFonts w:ascii="Arial" w:hAnsi="Arial" w:cs="Arial"/>
        </w:rPr>
        <w:t xml:space="preserve">Hafeman, A. E., Zienkiewicz, K. J., Carney, E., Litzner, B., Stratton, C., Wenke, J. C., &amp; Guelcher, S. A. (2010). Local Delivery of Tobramycin from Injectable Biodegradable Polyurethane Scaffolds. Journal of Biomaterials Science, Polymer Edition, 21(1), 95–112. https://doi.org/10.1163/156856209x410256 </w:t>
      </w:r>
    </w:p>
    <w:p w14:paraId="05888BE3" w14:textId="77777777" w:rsidR="00747C2E" w:rsidRDefault="00747C2E" w:rsidP="001B746A">
      <w:pPr>
        <w:rPr>
          <w:rFonts w:ascii="Arial" w:hAnsi="Arial" w:cs="Arial"/>
        </w:rPr>
      </w:pPr>
      <w:bookmarkStart w:id="14" w:name="_Hlk196305813"/>
      <w:bookmarkEnd w:id="13"/>
    </w:p>
    <w:p w14:paraId="0F9281D2" w14:textId="01D8B6AF" w:rsidR="001B746A" w:rsidRPr="009C2F97" w:rsidRDefault="001B746A" w:rsidP="001B746A">
      <w:pPr>
        <w:rPr>
          <w:rFonts w:ascii="Arial" w:hAnsi="Arial" w:cs="Arial"/>
        </w:rPr>
      </w:pPr>
      <w:bookmarkStart w:id="15" w:name="_Hlk196305997"/>
      <w:bookmarkEnd w:id="14"/>
      <w:r w:rsidRPr="009C2F97">
        <w:rPr>
          <w:rFonts w:ascii="Arial" w:hAnsi="Arial" w:cs="Arial"/>
        </w:rPr>
        <w:t xml:space="preserve">Huang, Y., &amp; </w:t>
      </w:r>
      <w:proofErr w:type="spellStart"/>
      <w:r w:rsidRPr="009C2F97">
        <w:rPr>
          <w:rFonts w:ascii="Arial" w:hAnsi="Arial" w:cs="Arial"/>
        </w:rPr>
        <w:t>Lapitsky</w:t>
      </w:r>
      <w:proofErr w:type="spellEnd"/>
      <w:r w:rsidRPr="009C2F97">
        <w:rPr>
          <w:rFonts w:ascii="Arial" w:hAnsi="Arial" w:cs="Arial"/>
        </w:rPr>
        <w:t xml:space="preserve">, Y. (2017). On the kinetics of chitosan/tripolyphosphate micro- and nanogel aggregation and their effects on particle polydispersity. Journal of Colloid and Interface Science, 486, 27–37. https://doi.org/10.1016/j.jcis.2016.09.050 </w:t>
      </w:r>
    </w:p>
    <w:p w14:paraId="741F66EE" w14:textId="77777777" w:rsidR="00747C2E" w:rsidRDefault="00747C2E" w:rsidP="001B746A">
      <w:pPr>
        <w:rPr>
          <w:rFonts w:ascii="Arial" w:hAnsi="Arial" w:cs="Arial"/>
        </w:rPr>
      </w:pPr>
      <w:bookmarkStart w:id="16" w:name="_Hlk196306016"/>
      <w:bookmarkEnd w:id="15"/>
    </w:p>
    <w:p w14:paraId="028B1069" w14:textId="519FA23A" w:rsidR="001B746A" w:rsidRPr="009C2F97" w:rsidRDefault="001B746A" w:rsidP="001B746A">
      <w:pPr>
        <w:rPr>
          <w:rFonts w:ascii="Arial" w:hAnsi="Arial" w:cs="Arial"/>
        </w:rPr>
      </w:pPr>
      <w:r w:rsidRPr="009C2F97">
        <w:rPr>
          <w:rFonts w:ascii="Arial" w:hAnsi="Arial" w:cs="Arial"/>
        </w:rPr>
        <w:lastRenderedPageBreak/>
        <w:t xml:space="preserve">Huang, Y., Cai, Y., &amp; </w:t>
      </w:r>
      <w:proofErr w:type="spellStart"/>
      <w:r w:rsidRPr="009C2F97">
        <w:rPr>
          <w:rFonts w:ascii="Arial" w:hAnsi="Arial" w:cs="Arial"/>
        </w:rPr>
        <w:t>Lapitsky</w:t>
      </w:r>
      <w:proofErr w:type="spellEnd"/>
      <w:r w:rsidRPr="009C2F97">
        <w:rPr>
          <w:rFonts w:ascii="Arial" w:hAnsi="Arial" w:cs="Arial"/>
        </w:rPr>
        <w:t xml:space="preserve">, Y. (2015). Factors affecting the stability of chitosan/tripolyphosphate micro- and nanogels: resolving the opposing findings. Journal of Materials Chemistry B, 3(29), 5957–5970. https://doi.org/10.1039/c5tb00431d </w:t>
      </w:r>
    </w:p>
    <w:p w14:paraId="0025477D" w14:textId="77777777" w:rsidR="00747C2E" w:rsidRDefault="00747C2E" w:rsidP="001B746A">
      <w:pPr>
        <w:rPr>
          <w:rFonts w:ascii="Arial" w:hAnsi="Arial" w:cs="Arial"/>
        </w:rPr>
      </w:pPr>
      <w:bookmarkStart w:id="17" w:name="_Hlk196306036"/>
      <w:bookmarkEnd w:id="16"/>
    </w:p>
    <w:p w14:paraId="2C014BAF" w14:textId="3E5C90A1" w:rsidR="001B746A" w:rsidRPr="009C2F97" w:rsidRDefault="001B746A" w:rsidP="001B746A">
      <w:pPr>
        <w:rPr>
          <w:rFonts w:ascii="Arial" w:hAnsi="Arial" w:cs="Arial"/>
        </w:rPr>
      </w:pPr>
      <w:r w:rsidRPr="009C2F97">
        <w:rPr>
          <w:rFonts w:ascii="Arial" w:hAnsi="Arial" w:cs="Arial"/>
        </w:rPr>
        <w:t xml:space="preserve">Hudzicki, J. (2009). Kirby-Bauer Disk Diffusion Susceptibility Test Protocol. American Society for Microbiology. https://asm.org/getattachment/2594ce26-bd44-47f6-8287-0657aa9185ad/Kirby-Bauer-Disk-Diffusion-Susceptibility-Test-Protocol-pdf.pdf </w:t>
      </w:r>
    </w:p>
    <w:p w14:paraId="1C5ACCC9" w14:textId="77777777" w:rsidR="00747C2E" w:rsidRDefault="00747C2E" w:rsidP="001B746A">
      <w:pPr>
        <w:rPr>
          <w:rFonts w:ascii="Arial" w:hAnsi="Arial" w:cs="Arial"/>
        </w:rPr>
      </w:pPr>
      <w:bookmarkStart w:id="18" w:name="_Hlk196306057"/>
      <w:bookmarkEnd w:id="17"/>
    </w:p>
    <w:p w14:paraId="48C1539D" w14:textId="0A19D707" w:rsidR="001B746A" w:rsidRPr="009C2F97" w:rsidRDefault="001B746A" w:rsidP="001B746A">
      <w:pPr>
        <w:rPr>
          <w:rFonts w:ascii="Arial" w:hAnsi="Arial" w:cs="Arial"/>
        </w:rPr>
      </w:pPr>
      <w:r w:rsidRPr="009C2F97">
        <w:rPr>
          <w:rFonts w:ascii="Arial" w:hAnsi="Arial" w:cs="Arial"/>
        </w:rPr>
        <w:t xml:space="preserve">Keskin, D., Zu, G., Forson, A. M., Tromp, L., </w:t>
      </w:r>
      <w:proofErr w:type="spellStart"/>
      <w:r w:rsidRPr="009C2F97">
        <w:rPr>
          <w:rFonts w:ascii="Arial" w:hAnsi="Arial" w:cs="Arial"/>
        </w:rPr>
        <w:t>Sjollema</w:t>
      </w:r>
      <w:proofErr w:type="spellEnd"/>
      <w:r w:rsidRPr="009C2F97">
        <w:rPr>
          <w:rFonts w:ascii="Arial" w:hAnsi="Arial" w:cs="Arial"/>
        </w:rPr>
        <w:t xml:space="preserve">, J., &amp; van Rijn, P. (2021). Nanogels: A novel approach in antimicrobial delivery systems and antimicrobial coatings. Bioactive Materials, 6(10), 3634–3657. https://doi.org/10.1016/j.bioactmat.2021.03.004 </w:t>
      </w:r>
    </w:p>
    <w:p w14:paraId="754101BD" w14:textId="77777777" w:rsidR="00747C2E" w:rsidRDefault="00747C2E" w:rsidP="001B746A">
      <w:pPr>
        <w:rPr>
          <w:rFonts w:ascii="Arial" w:hAnsi="Arial" w:cs="Arial"/>
        </w:rPr>
      </w:pPr>
      <w:bookmarkStart w:id="19" w:name="_Hlk196306101"/>
      <w:bookmarkEnd w:id="18"/>
    </w:p>
    <w:p w14:paraId="26659AA6" w14:textId="0813A8D7" w:rsidR="001B746A" w:rsidRPr="009C2F97" w:rsidRDefault="001B746A" w:rsidP="001B746A">
      <w:pPr>
        <w:rPr>
          <w:rFonts w:ascii="Arial" w:hAnsi="Arial" w:cs="Arial"/>
        </w:rPr>
      </w:pPr>
      <w:proofErr w:type="spellStart"/>
      <w:r w:rsidRPr="009C2F97">
        <w:rPr>
          <w:rFonts w:ascii="Arial" w:hAnsi="Arial" w:cs="Arial"/>
        </w:rPr>
        <w:t>Kourmentza</w:t>
      </w:r>
      <w:proofErr w:type="spellEnd"/>
      <w:r w:rsidRPr="009C2F97">
        <w:rPr>
          <w:rFonts w:ascii="Arial" w:hAnsi="Arial" w:cs="Arial"/>
        </w:rPr>
        <w:t xml:space="preserve">, C., Economou, Ch. N., </w:t>
      </w:r>
      <w:proofErr w:type="spellStart"/>
      <w:r w:rsidRPr="009C2F97">
        <w:rPr>
          <w:rFonts w:ascii="Arial" w:hAnsi="Arial" w:cs="Arial"/>
        </w:rPr>
        <w:t>Tsafrakidou</w:t>
      </w:r>
      <w:proofErr w:type="spellEnd"/>
      <w:r w:rsidRPr="009C2F97">
        <w:rPr>
          <w:rFonts w:ascii="Arial" w:hAnsi="Arial" w:cs="Arial"/>
        </w:rPr>
        <w:t xml:space="preserve">, P., &amp; </w:t>
      </w:r>
      <w:proofErr w:type="spellStart"/>
      <w:r w:rsidRPr="009C2F97">
        <w:rPr>
          <w:rFonts w:ascii="Arial" w:hAnsi="Arial" w:cs="Arial"/>
        </w:rPr>
        <w:t>Kornaros</w:t>
      </w:r>
      <w:proofErr w:type="spellEnd"/>
      <w:r w:rsidRPr="009C2F97">
        <w:rPr>
          <w:rFonts w:ascii="Arial" w:hAnsi="Arial" w:cs="Arial"/>
        </w:rPr>
        <w:t xml:space="preserve">, M. (2018). Spent coffee grounds make much more than waste: Exploring recent advances and future exploitation strategies for the valorization of an emerging food waste stream. Journal of Cleaner Production, 172, 980–992. https://doi.org/10.1016/j.jclepro.2017.10.088 </w:t>
      </w:r>
    </w:p>
    <w:p w14:paraId="47873B9C" w14:textId="77777777" w:rsidR="00747C2E" w:rsidRDefault="00747C2E" w:rsidP="001B746A">
      <w:pPr>
        <w:rPr>
          <w:rFonts w:ascii="Arial" w:hAnsi="Arial" w:cs="Arial"/>
        </w:rPr>
      </w:pPr>
      <w:bookmarkStart w:id="20" w:name="_Hlk196306119"/>
      <w:bookmarkEnd w:id="19"/>
    </w:p>
    <w:p w14:paraId="03EA24D8" w14:textId="77777777" w:rsidR="00747C2E" w:rsidRDefault="001B746A" w:rsidP="001B746A">
      <w:pPr>
        <w:rPr>
          <w:rFonts w:ascii="Arial" w:hAnsi="Arial" w:cs="Arial"/>
        </w:rPr>
      </w:pPr>
      <w:bookmarkStart w:id="21" w:name="_Hlk196306138"/>
      <w:bookmarkEnd w:id="20"/>
      <w:r w:rsidRPr="009C2F97">
        <w:rPr>
          <w:rFonts w:ascii="Arial" w:hAnsi="Arial" w:cs="Arial"/>
        </w:rPr>
        <w:t xml:space="preserve">Luat, Y., Mendoza, J., To, M., &amp; Cabauatan, R. (2021). A Study on the Economic Sustainability of Local Coffee Production in the Philippines. INTERNATIONAL JOURNAL of SOCIAL, POLICY and LAW, 2(5), 12–26. https://doi.org/10.8888/ijospl.v2i5.76Lesiv, S., </w:t>
      </w:r>
    </w:p>
    <w:p w14:paraId="3696D569" w14:textId="77777777" w:rsidR="00747C2E" w:rsidRDefault="00747C2E" w:rsidP="001B746A">
      <w:pPr>
        <w:rPr>
          <w:rFonts w:ascii="Arial" w:hAnsi="Arial" w:cs="Arial"/>
        </w:rPr>
      </w:pPr>
    </w:p>
    <w:p w14:paraId="6423D0B9" w14:textId="6E04B732" w:rsidR="00827311" w:rsidRDefault="00827311" w:rsidP="001B746A">
      <w:pPr>
        <w:rPr>
          <w:rFonts w:ascii="Arial" w:hAnsi="Arial" w:cs="Arial"/>
        </w:rPr>
      </w:pPr>
      <w:bookmarkStart w:id="22" w:name="_Hlk196306163"/>
      <w:bookmarkEnd w:id="21"/>
      <w:r w:rsidRPr="00827311">
        <w:rPr>
          <w:rFonts w:ascii="Arial" w:hAnsi="Arial" w:cs="Arial"/>
        </w:rPr>
        <w:t xml:space="preserve">Manivong, S., Garcia Ac, A., Patten, S. A., Fernandes, J. C., </w:t>
      </w:r>
      <w:proofErr w:type="spellStart"/>
      <w:r w:rsidRPr="00827311">
        <w:rPr>
          <w:rFonts w:ascii="Arial" w:hAnsi="Arial" w:cs="Arial"/>
        </w:rPr>
        <w:t>Benderdour</w:t>
      </w:r>
      <w:proofErr w:type="spellEnd"/>
      <w:r w:rsidRPr="00827311">
        <w:rPr>
          <w:rFonts w:ascii="Arial" w:hAnsi="Arial" w:cs="Arial"/>
        </w:rPr>
        <w:t xml:space="preserve">, M., </w:t>
      </w:r>
      <w:proofErr w:type="spellStart"/>
      <w:r w:rsidRPr="00827311">
        <w:rPr>
          <w:rFonts w:ascii="Arial" w:hAnsi="Arial" w:cs="Arial"/>
        </w:rPr>
        <w:t>Banquy</w:t>
      </w:r>
      <w:proofErr w:type="spellEnd"/>
      <w:r w:rsidRPr="00827311">
        <w:rPr>
          <w:rFonts w:ascii="Arial" w:hAnsi="Arial" w:cs="Arial"/>
        </w:rPr>
        <w:t xml:space="preserve">, X., Moldovan, F., &amp; </w:t>
      </w:r>
      <w:proofErr w:type="spellStart"/>
      <w:r w:rsidRPr="00827311">
        <w:rPr>
          <w:rFonts w:ascii="Arial" w:hAnsi="Arial" w:cs="Arial"/>
        </w:rPr>
        <w:t>Roullin</w:t>
      </w:r>
      <w:proofErr w:type="spellEnd"/>
      <w:r w:rsidRPr="00827311">
        <w:rPr>
          <w:rFonts w:ascii="Arial" w:hAnsi="Arial" w:cs="Arial"/>
        </w:rPr>
        <w:t xml:space="preserve">, V. G. (2022). Chitosan-Based Nanogels: Synthesis and Toxicity </w:t>
      </w:r>
      <w:r w:rsidR="008B5A18" w:rsidRPr="00827311">
        <w:rPr>
          <w:rFonts w:ascii="Arial" w:hAnsi="Arial" w:cs="Arial"/>
          <w:noProof/>
          <w:lang w:val="en-SG" w:eastAsia="en-SG"/>
        </w:rPr>
        <w:drawing>
          <wp:anchor distT="0" distB="0" distL="114300" distR="114300" simplePos="0" relativeHeight="251659264" behindDoc="0" locked="0" layoutInCell="1" allowOverlap="1" wp14:anchorId="4DD00BDF" wp14:editId="0DCB658B">
            <wp:simplePos x="0" y="0"/>
            <wp:positionH relativeFrom="column">
              <wp:posOffset>7025640</wp:posOffset>
            </wp:positionH>
            <wp:positionV relativeFrom="paragraph">
              <wp:posOffset>-914400</wp:posOffset>
            </wp:positionV>
            <wp:extent cx="152400" cy="152400"/>
            <wp:effectExtent l="0" t="0" r="0" b="0"/>
            <wp:wrapNone/>
            <wp:docPr id="102232750"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anchor>
        </w:drawing>
      </w:r>
      <w:r w:rsidRPr="00827311">
        <w:rPr>
          <w:rFonts w:ascii="Arial" w:hAnsi="Arial" w:cs="Arial"/>
        </w:rPr>
        <w:t xml:space="preserve">Profile for Drug Delivery to Articular Joints. Nanomaterials, 12, 1337. </w:t>
      </w:r>
      <w:r w:rsidRPr="008B5A18">
        <w:rPr>
          <w:rFonts w:ascii="Arial" w:hAnsi="Arial" w:cs="Arial"/>
        </w:rPr>
        <w:t>https://doi.org/10.3390/nano12081337</w:t>
      </w:r>
    </w:p>
    <w:p w14:paraId="1510DFD1" w14:textId="77777777" w:rsidR="00827311" w:rsidRDefault="00827311" w:rsidP="001B746A">
      <w:pPr>
        <w:rPr>
          <w:rFonts w:ascii="Arial" w:hAnsi="Arial" w:cs="Arial"/>
        </w:rPr>
      </w:pPr>
    </w:p>
    <w:p w14:paraId="182D8DED" w14:textId="4D60C921" w:rsidR="001B746A" w:rsidRPr="009C2F97" w:rsidRDefault="001B746A" w:rsidP="001B746A">
      <w:pPr>
        <w:rPr>
          <w:rFonts w:ascii="Arial" w:hAnsi="Arial" w:cs="Arial"/>
        </w:rPr>
      </w:pPr>
      <w:proofErr w:type="spellStart"/>
      <w:r w:rsidRPr="009C2F97">
        <w:rPr>
          <w:rFonts w:ascii="Arial" w:hAnsi="Arial" w:cs="Arial"/>
        </w:rPr>
        <w:t>Mahdiani</w:t>
      </w:r>
      <w:proofErr w:type="spellEnd"/>
      <w:r w:rsidRPr="009C2F97">
        <w:rPr>
          <w:rFonts w:ascii="Arial" w:hAnsi="Arial" w:cs="Arial"/>
        </w:rPr>
        <w:t xml:space="preserve">, H., Yazdani, F., </w:t>
      </w:r>
      <w:proofErr w:type="spellStart"/>
      <w:r w:rsidRPr="009C2F97">
        <w:rPr>
          <w:rFonts w:ascii="Arial" w:hAnsi="Arial" w:cs="Arial"/>
        </w:rPr>
        <w:t>Khoramipour</w:t>
      </w:r>
      <w:proofErr w:type="spellEnd"/>
      <w:r w:rsidRPr="009C2F97">
        <w:rPr>
          <w:rFonts w:ascii="Arial" w:hAnsi="Arial" w:cs="Arial"/>
        </w:rPr>
        <w:t xml:space="preserve">, M., Valizadeh, V., </w:t>
      </w:r>
      <w:proofErr w:type="spellStart"/>
      <w:r w:rsidRPr="009C2F97">
        <w:rPr>
          <w:rFonts w:ascii="Arial" w:hAnsi="Arial" w:cs="Arial"/>
        </w:rPr>
        <w:t>Bakhshandeh</w:t>
      </w:r>
      <w:proofErr w:type="spellEnd"/>
      <w:r w:rsidRPr="009C2F97">
        <w:rPr>
          <w:rFonts w:ascii="Arial" w:hAnsi="Arial" w:cs="Arial"/>
        </w:rPr>
        <w:t xml:space="preserve">, H., &amp; </w:t>
      </w:r>
      <w:proofErr w:type="spellStart"/>
      <w:r w:rsidRPr="009C2F97">
        <w:rPr>
          <w:rFonts w:ascii="Arial" w:hAnsi="Arial" w:cs="Arial"/>
        </w:rPr>
        <w:t>Dinarvand</w:t>
      </w:r>
      <w:proofErr w:type="spellEnd"/>
      <w:r w:rsidRPr="009C2F97">
        <w:rPr>
          <w:rFonts w:ascii="Arial" w:hAnsi="Arial" w:cs="Arial"/>
        </w:rPr>
        <w:t xml:space="preserve">, R. (2024). Preparation and Physicochemical Characterization of Hyaluronic Acid-Lysine </w:t>
      </w:r>
      <w:proofErr w:type="spellStart"/>
      <w:r w:rsidRPr="009C2F97">
        <w:rPr>
          <w:rFonts w:ascii="Arial" w:hAnsi="Arial" w:cs="Arial"/>
        </w:rPr>
        <w:t>Nanogels</w:t>
      </w:r>
      <w:proofErr w:type="spellEnd"/>
      <w:r w:rsidRPr="009C2F97">
        <w:rPr>
          <w:rFonts w:ascii="Arial" w:hAnsi="Arial" w:cs="Arial"/>
        </w:rPr>
        <w:t xml:space="preserve"> Containing </w:t>
      </w:r>
      <w:proofErr w:type="spellStart"/>
      <w:r w:rsidRPr="009C2F97">
        <w:rPr>
          <w:rFonts w:ascii="Arial" w:hAnsi="Arial" w:cs="Arial"/>
        </w:rPr>
        <w:t>Serratiopeptidase</w:t>
      </w:r>
      <w:proofErr w:type="spellEnd"/>
      <w:r w:rsidRPr="009C2F97">
        <w:rPr>
          <w:rFonts w:ascii="Arial" w:hAnsi="Arial" w:cs="Arial"/>
        </w:rPr>
        <w:t xml:space="preserve"> to Control Biofilm Formation. Scientific Reports, 14(1). https://doi.org/10.1038/s41598-024-56732-9 </w:t>
      </w:r>
    </w:p>
    <w:p w14:paraId="58BB22D0" w14:textId="77777777" w:rsidR="00747C2E" w:rsidRDefault="00747C2E" w:rsidP="001B746A">
      <w:pPr>
        <w:rPr>
          <w:rFonts w:ascii="Arial" w:hAnsi="Arial" w:cs="Arial"/>
        </w:rPr>
      </w:pPr>
      <w:bookmarkStart w:id="23" w:name="_Hlk196306198"/>
      <w:bookmarkEnd w:id="22"/>
    </w:p>
    <w:p w14:paraId="6096EC9E" w14:textId="7A93C44E" w:rsidR="00A64CE7" w:rsidRPr="00A64CE7" w:rsidRDefault="00A64CE7" w:rsidP="001B746A">
      <w:pPr>
        <w:rPr>
          <w:rFonts w:ascii="Arial" w:hAnsi="Arial" w:cs="Arial"/>
        </w:rPr>
      </w:pPr>
      <w:proofErr w:type="spellStart"/>
      <w:r w:rsidRPr="00A64CE7">
        <w:rPr>
          <w:rFonts w:ascii="Arial" w:hAnsi="Arial" w:cs="Arial"/>
        </w:rPr>
        <w:t>Mardikasari</w:t>
      </w:r>
      <w:proofErr w:type="spellEnd"/>
      <w:r w:rsidRPr="00A64CE7">
        <w:rPr>
          <w:rFonts w:ascii="Arial" w:hAnsi="Arial" w:cs="Arial"/>
        </w:rPr>
        <w:t xml:space="preserve">, S. A., Mária Budai-Szűcs, Orosz, L., Katalin Burián, Ildikó Csóka, &amp; Katona, G. (2022). Development of </w:t>
      </w:r>
      <w:proofErr w:type="spellStart"/>
      <w:r w:rsidRPr="00A64CE7">
        <w:rPr>
          <w:rFonts w:ascii="Arial" w:hAnsi="Arial" w:cs="Arial"/>
        </w:rPr>
        <w:t>Thermoresponsive</w:t>
      </w:r>
      <w:proofErr w:type="spellEnd"/>
      <w:r w:rsidRPr="00A64CE7">
        <w:rPr>
          <w:rFonts w:ascii="Arial" w:hAnsi="Arial" w:cs="Arial"/>
        </w:rPr>
        <w:t xml:space="preserve">-Gel-Matrix-Embedded Amoxicillin </w:t>
      </w:r>
      <w:proofErr w:type="spellStart"/>
      <w:r w:rsidRPr="00A64CE7">
        <w:rPr>
          <w:rFonts w:ascii="Arial" w:hAnsi="Arial" w:cs="Arial"/>
        </w:rPr>
        <w:t>Trihydrate</w:t>
      </w:r>
      <w:proofErr w:type="spellEnd"/>
      <w:r w:rsidRPr="00A64CE7">
        <w:rPr>
          <w:rFonts w:ascii="Arial" w:hAnsi="Arial" w:cs="Arial"/>
        </w:rPr>
        <w:t>-Loaded Bovine Serum Albumin Nanoparticles for Local Intranasal Therapy. Gels, 8(11), 750–750. https://doi.org/10.3390/gels8110750</w:t>
      </w:r>
    </w:p>
    <w:p w14:paraId="39A8E7C2" w14:textId="77777777" w:rsidR="00A64CE7" w:rsidRDefault="00A64CE7" w:rsidP="001B746A">
      <w:pPr>
        <w:rPr>
          <w:rFonts w:ascii="Arial" w:hAnsi="Arial" w:cs="Arial"/>
        </w:rPr>
      </w:pPr>
    </w:p>
    <w:p w14:paraId="26AA7359" w14:textId="3213B8E5" w:rsidR="001B746A" w:rsidRPr="009C2F97" w:rsidRDefault="001B746A" w:rsidP="001B746A">
      <w:pPr>
        <w:rPr>
          <w:rFonts w:ascii="Arial" w:hAnsi="Arial" w:cs="Arial"/>
        </w:rPr>
      </w:pPr>
      <w:r w:rsidRPr="009C2F97">
        <w:rPr>
          <w:rFonts w:ascii="Arial" w:hAnsi="Arial" w:cs="Arial"/>
        </w:rPr>
        <w:t xml:space="preserve">Mastella, P., Todaro, B., &amp; Stefano Luin. (2024). Nanogels: Recent Advances in Synthesis and Biomedical Applications. Nanomaterials, 14(15), 1300–1300. https://doi.org/10.3390/nano14151300 </w:t>
      </w:r>
    </w:p>
    <w:p w14:paraId="0CF5B31A" w14:textId="77777777" w:rsidR="00747C2E" w:rsidRDefault="00747C2E" w:rsidP="001B746A">
      <w:pPr>
        <w:rPr>
          <w:rFonts w:ascii="Arial" w:hAnsi="Arial" w:cs="Arial"/>
        </w:rPr>
      </w:pPr>
      <w:bookmarkStart w:id="24" w:name="_Hlk196306218"/>
      <w:bookmarkEnd w:id="23"/>
    </w:p>
    <w:p w14:paraId="7417E449" w14:textId="482D4D27" w:rsidR="001B746A" w:rsidRPr="009C2F97" w:rsidRDefault="001B746A" w:rsidP="001B746A">
      <w:pPr>
        <w:rPr>
          <w:rFonts w:ascii="Arial" w:hAnsi="Arial" w:cs="Arial"/>
        </w:rPr>
      </w:pPr>
      <w:r w:rsidRPr="009C2F97">
        <w:rPr>
          <w:rFonts w:ascii="Arial" w:hAnsi="Arial" w:cs="Arial"/>
        </w:rPr>
        <w:t xml:space="preserve">McNutt, J., &amp; He, Q. (Sophia). (2019). Spent coffee grounds: A review on current utilization. Journal of Industrial and Engineering Chemistry, 71, 78–88. https://doi.org/10.1016/j.jiec.2018.11.054  </w:t>
      </w:r>
    </w:p>
    <w:p w14:paraId="5BD74F92" w14:textId="77777777" w:rsidR="00747C2E" w:rsidRDefault="00747C2E" w:rsidP="001B746A">
      <w:pPr>
        <w:rPr>
          <w:rFonts w:ascii="Arial" w:hAnsi="Arial" w:cs="Arial"/>
        </w:rPr>
      </w:pPr>
      <w:bookmarkStart w:id="25" w:name="_Hlk196306241"/>
      <w:bookmarkEnd w:id="24"/>
    </w:p>
    <w:p w14:paraId="539DC53F" w14:textId="1FC4CC1E" w:rsidR="001B746A" w:rsidRPr="009C2F97" w:rsidRDefault="001B746A" w:rsidP="001B746A">
      <w:pPr>
        <w:rPr>
          <w:rFonts w:ascii="Arial" w:hAnsi="Arial" w:cs="Arial"/>
        </w:rPr>
      </w:pPr>
      <w:r w:rsidRPr="009C2F97">
        <w:rPr>
          <w:rFonts w:ascii="Arial" w:hAnsi="Arial" w:cs="Arial"/>
        </w:rPr>
        <w:t xml:space="preserve">Mohammed, J., </w:t>
      </w:r>
      <w:proofErr w:type="spellStart"/>
      <w:r w:rsidRPr="009C2F97">
        <w:rPr>
          <w:rFonts w:ascii="Arial" w:hAnsi="Arial" w:cs="Arial"/>
        </w:rPr>
        <w:t>Hounmanou</w:t>
      </w:r>
      <w:proofErr w:type="spellEnd"/>
      <w:r w:rsidRPr="009C2F97">
        <w:rPr>
          <w:rFonts w:ascii="Arial" w:hAnsi="Arial" w:cs="Arial"/>
        </w:rPr>
        <w:t xml:space="preserve">, Y. M. G., &amp; Thomsen, L. E. (2018). Antimicrobial resistance among clinically relevant bacterial isolates in Accra: a retrospective study. BMC Research Notes, 11(1). https://doi.org/10.1186/s13104-018-3377-7 </w:t>
      </w:r>
    </w:p>
    <w:p w14:paraId="39F4D424" w14:textId="77777777" w:rsidR="00747C2E" w:rsidRDefault="00747C2E" w:rsidP="001B746A">
      <w:pPr>
        <w:rPr>
          <w:rFonts w:ascii="Arial" w:hAnsi="Arial" w:cs="Arial"/>
        </w:rPr>
      </w:pPr>
      <w:bookmarkStart w:id="26" w:name="_Hlk196306266"/>
      <w:bookmarkEnd w:id="25"/>
    </w:p>
    <w:p w14:paraId="1DBD38F9" w14:textId="09CEEA01" w:rsidR="00D74287" w:rsidRDefault="00D74287" w:rsidP="001B746A">
      <w:pPr>
        <w:rPr>
          <w:rFonts w:ascii="Arial" w:hAnsi="Arial" w:cs="Arial"/>
        </w:rPr>
      </w:pPr>
      <w:proofErr w:type="spellStart"/>
      <w:r w:rsidRPr="00D74287">
        <w:rPr>
          <w:rFonts w:ascii="Arial" w:hAnsi="Arial" w:cs="Arial"/>
        </w:rPr>
        <w:t>Monente</w:t>
      </w:r>
      <w:proofErr w:type="spellEnd"/>
      <w:r w:rsidRPr="00D74287">
        <w:rPr>
          <w:rFonts w:ascii="Arial" w:hAnsi="Arial" w:cs="Arial"/>
        </w:rPr>
        <w:t xml:space="preserve">, C., Bravo, J., Vitas, A. I., </w:t>
      </w:r>
      <w:proofErr w:type="spellStart"/>
      <w:r w:rsidRPr="00D74287">
        <w:rPr>
          <w:rFonts w:ascii="Arial" w:hAnsi="Arial" w:cs="Arial"/>
        </w:rPr>
        <w:t>Leire</w:t>
      </w:r>
      <w:proofErr w:type="spellEnd"/>
      <w:r w:rsidRPr="00D74287">
        <w:rPr>
          <w:rFonts w:ascii="Arial" w:hAnsi="Arial" w:cs="Arial"/>
        </w:rPr>
        <w:t xml:space="preserve"> </w:t>
      </w:r>
      <w:proofErr w:type="spellStart"/>
      <w:r w:rsidRPr="00D74287">
        <w:rPr>
          <w:rFonts w:ascii="Arial" w:hAnsi="Arial" w:cs="Arial"/>
        </w:rPr>
        <w:t>Arbillaga</w:t>
      </w:r>
      <w:proofErr w:type="spellEnd"/>
      <w:r w:rsidRPr="00D74287">
        <w:rPr>
          <w:rFonts w:ascii="Arial" w:hAnsi="Arial" w:cs="Arial"/>
        </w:rPr>
        <w:t>, De, P., &amp; Cid, C. (2015). Coffee and spent coffee extracts protect against cell mutagens and inhibit growth of food-borne pathogen microorganisms. Journal of Functional Foods, 12, 365–374. https://doi.org/10.1016/j.jff.2014.12.006</w:t>
      </w:r>
    </w:p>
    <w:p w14:paraId="61F3D0BF" w14:textId="77777777" w:rsidR="00D74287" w:rsidRDefault="00D74287" w:rsidP="001B746A">
      <w:pPr>
        <w:rPr>
          <w:rFonts w:ascii="Arial" w:hAnsi="Arial" w:cs="Arial"/>
        </w:rPr>
      </w:pPr>
    </w:p>
    <w:p w14:paraId="66A4DE1F" w14:textId="30649537" w:rsidR="001B746A" w:rsidRPr="009C2F97" w:rsidRDefault="001B746A" w:rsidP="001B746A">
      <w:pPr>
        <w:rPr>
          <w:rFonts w:ascii="Arial" w:hAnsi="Arial" w:cs="Arial"/>
        </w:rPr>
      </w:pPr>
      <w:proofErr w:type="spellStart"/>
      <w:r w:rsidRPr="009C2F97">
        <w:rPr>
          <w:rFonts w:ascii="Arial" w:hAnsi="Arial" w:cs="Arial"/>
        </w:rPr>
        <w:lastRenderedPageBreak/>
        <w:t>Muthu</w:t>
      </w:r>
      <w:proofErr w:type="spellEnd"/>
      <w:r w:rsidRPr="009C2F97">
        <w:rPr>
          <w:rFonts w:ascii="Arial" w:hAnsi="Arial" w:cs="Arial"/>
        </w:rPr>
        <w:t xml:space="preserve">, M. S., &amp; Feng, S.-S. (2009). Pharmaceutical stability aspects of nanomedicines. </w:t>
      </w:r>
      <w:r w:rsidRPr="009C2F97">
        <w:rPr>
          <w:rFonts w:ascii="Arial" w:hAnsi="Arial" w:cs="Arial"/>
          <w:i/>
          <w:iCs/>
        </w:rPr>
        <w:t>Nanomedicine</w:t>
      </w:r>
      <w:r w:rsidRPr="009C2F97">
        <w:rPr>
          <w:rFonts w:ascii="Arial" w:hAnsi="Arial" w:cs="Arial"/>
        </w:rPr>
        <w:t xml:space="preserve">, </w:t>
      </w:r>
      <w:r w:rsidRPr="009C2F97">
        <w:rPr>
          <w:rFonts w:ascii="Arial" w:hAnsi="Arial" w:cs="Arial"/>
          <w:i/>
          <w:iCs/>
        </w:rPr>
        <w:t>4</w:t>
      </w:r>
      <w:r w:rsidRPr="009C2F97">
        <w:rPr>
          <w:rFonts w:ascii="Arial" w:hAnsi="Arial" w:cs="Arial"/>
        </w:rPr>
        <w:t>(8), 857–860. https://doi.org/10.2217/nnm.09.75</w:t>
      </w:r>
    </w:p>
    <w:p w14:paraId="40FAFDAE" w14:textId="77777777" w:rsidR="00747C2E" w:rsidRDefault="00747C2E" w:rsidP="001B746A">
      <w:pPr>
        <w:rPr>
          <w:rFonts w:ascii="Arial" w:hAnsi="Arial" w:cs="Arial"/>
        </w:rPr>
      </w:pPr>
      <w:bookmarkStart w:id="27" w:name="_Hlk196306283"/>
      <w:bookmarkEnd w:id="26"/>
    </w:p>
    <w:p w14:paraId="5DEA3C1A" w14:textId="37152360" w:rsidR="001B746A" w:rsidRPr="009C2F97" w:rsidRDefault="001B746A" w:rsidP="001B746A">
      <w:pPr>
        <w:rPr>
          <w:rFonts w:ascii="Arial" w:hAnsi="Arial" w:cs="Arial"/>
        </w:rPr>
      </w:pPr>
      <w:r w:rsidRPr="009C2F97">
        <w:rPr>
          <w:rFonts w:ascii="Arial" w:hAnsi="Arial" w:cs="Arial"/>
        </w:rPr>
        <w:t xml:space="preserve">Neamtu, I., Rusu, A. G., Diaconu, A., Nita, L. E., &amp; Chiriac, A. P. (2017). Basic concepts and recent advances in nanogels as carriers for medical applications. Drug Delivery, 24(1), 539–557. https://doi.org/10.1080/10717544.2016.1276232 </w:t>
      </w:r>
    </w:p>
    <w:p w14:paraId="113D419D" w14:textId="77777777" w:rsidR="00747C2E" w:rsidRDefault="00747C2E" w:rsidP="001B746A">
      <w:pPr>
        <w:rPr>
          <w:rFonts w:ascii="Arial" w:hAnsi="Arial" w:cs="Arial"/>
        </w:rPr>
      </w:pPr>
      <w:bookmarkStart w:id="28" w:name="_Hlk196306303"/>
      <w:bookmarkEnd w:id="27"/>
    </w:p>
    <w:p w14:paraId="7E10A069" w14:textId="03FCB876" w:rsidR="001B746A" w:rsidRPr="009C2F97" w:rsidRDefault="00747C2E" w:rsidP="001B746A">
      <w:pPr>
        <w:rPr>
          <w:rFonts w:ascii="Arial" w:hAnsi="Arial" w:cs="Arial"/>
        </w:rPr>
      </w:pPr>
      <w:r w:rsidRPr="009C2F97">
        <w:rPr>
          <w:rFonts w:ascii="Arial" w:hAnsi="Arial" w:cs="Arial"/>
        </w:rPr>
        <w:t xml:space="preserve">Qin, C., Li, H., Xiao, Q., Liu, Y., Zhu, J., </w:t>
      </w:r>
      <w:r w:rsidR="001B746A" w:rsidRPr="009C2F97">
        <w:rPr>
          <w:rFonts w:ascii="Arial" w:hAnsi="Arial" w:cs="Arial"/>
        </w:rPr>
        <w:t>&amp; D</w:t>
      </w:r>
      <w:r>
        <w:rPr>
          <w:rFonts w:ascii="Arial" w:hAnsi="Arial" w:cs="Arial"/>
        </w:rPr>
        <w:t>u</w:t>
      </w:r>
      <w:r w:rsidR="001B746A" w:rsidRPr="009C2F97">
        <w:rPr>
          <w:rFonts w:ascii="Arial" w:hAnsi="Arial" w:cs="Arial"/>
        </w:rPr>
        <w:t xml:space="preserve">, Y. (2006). Water-solubility of chitosan and its antimicrobial activity. Carbohydrate Polymers, 63(3), 367–374. https://doi.org/10.1016/j.carbpol.2005.09.023 </w:t>
      </w:r>
    </w:p>
    <w:p w14:paraId="3B872CFB" w14:textId="77777777" w:rsidR="00747C2E" w:rsidRDefault="00747C2E" w:rsidP="001B746A">
      <w:pPr>
        <w:rPr>
          <w:rFonts w:ascii="Arial" w:hAnsi="Arial" w:cs="Arial"/>
        </w:rPr>
      </w:pPr>
      <w:bookmarkStart w:id="29" w:name="_Hlk196306327"/>
      <w:bookmarkEnd w:id="28"/>
    </w:p>
    <w:p w14:paraId="7FB37F4A" w14:textId="0246BE48" w:rsidR="00A7234B" w:rsidRDefault="00A7234B" w:rsidP="001B746A">
      <w:pPr>
        <w:rPr>
          <w:rFonts w:ascii="Arial" w:hAnsi="Arial" w:cs="Arial"/>
        </w:rPr>
      </w:pPr>
      <w:r w:rsidRPr="00A7234B">
        <w:rPr>
          <w:rFonts w:ascii="Arial" w:hAnsi="Arial" w:cs="Arial"/>
        </w:rPr>
        <w:t>Ruiz, E., Orozco, V. H., Hoyos, L. M., &amp; Giraldo, L. F. (2022). Study of sonication parameters on PLA nanoparticles preparation by simple emulsion-evaporation solvent technique. European Polymer Journal, 173, 111307. https://doi.org/10.1016/j.eurpolymj.2022.111307</w:t>
      </w:r>
    </w:p>
    <w:p w14:paraId="32EE8983" w14:textId="77777777" w:rsidR="00A7234B" w:rsidRDefault="00A7234B" w:rsidP="001B746A">
      <w:pPr>
        <w:rPr>
          <w:rFonts w:ascii="Arial" w:hAnsi="Arial" w:cs="Arial"/>
        </w:rPr>
      </w:pPr>
    </w:p>
    <w:p w14:paraId="36526AB0" w14:textId="75D6224B" w:rsidR="00A64CE7" w:rsidRDefault="00A64CE7" w:rsidP="001B746A">
      <w:pPr>
        <w:rPr>
          <w:rFonts w:ascii="Arial" w:hAnsi="Arial" w:cs="Arial"/>
        </w:rPr>
      </w:pPr>
      <w:r w:rsidRPr="00A64CE7">
        <w:rPr>
          <w:rFonts w:ascii="Arial" w:hAnsi="Arial" w:cs="Arial"/>
        </w:rPr>
        <w:t xml:space="preserve">Rusu, A. G., Chiriac, A. P., Nita, L. E., </w:t>
      </w:r>
      <w:proofErr w:type="spellStart"/>
      <w:r w:rsidRPr="00A64CE7">
        <w:rPr>
          <w:rFonts w:ascii="Arial" w:hAnsi="Arial" w:cs="Arial"/>
        </w:rPr>
        <w:t>Ghilan</w:t>
      </w:r>
      <w:proofErr w:type="spellEnd"/>
      <w:r w:rsidRPr="00A64CE7">
        <w:rPr>
          <w:rFonts w:ascii="Arial" w:hAnsi="Arial" w:cs="Arial"/>
        </w:rPr>
        <w:t xml:space="preserve">, A., Rusu, D., Simionescu, N., &amp; </w:t>
      </w:r>
      <w:proofErr w:type="spellStart"/>
      <w:r w:rsidRPr="00A64CE7">
        <w:rPr>
          <w:rFonts w:ascii="Arial" w:hAnsi="Arial" w:cs="Arial"/>
        </w:rPr>
        <w:t>Tartau</w:t>
      </w:r>
      <w:proofErr w:type="spellEnd"/>
      <w:r w:rsidRPr="00A64CE7">
        <w:rPr>
          <w:rFonts w:ascii="Arial" w:hAnsi="Arial" w:cs="Arial"/>
        </w:rPr>
        <w:t>, L. M. (2022). Nanostructured hyaluronic acid-based hydrogels encapsulating synthetic/ natural hybrid nanogels as promising wound dressings. Biochemical Engineering Journal, 179, 108341. https://doi.org/10.1016/j.bej.2022.108341</w:t>
      </w:r>
    </w:p>
    <w:p w14:paraId="0476E206" w14:textId="77777777" w:rsidR="00A64CE7" w:rsidRDefault="00A64CE7" w:rsidP="001B746A">
      <w:pPr>
        <w:rPr>
          <w:rFonts w:ascii="Arial" w:hAnsi="Arial" w:cs="Arial"/>
        </w:rPr>
      </w:pPr>
    </w:p>
    <w:p w14:paraId="5EE6DCB8" w14:textId="24430E45" w:rsidR="001B746A" w:rsidRPr="009C2F97" w:rsidRDefault="001B746A" w:rsidP="001B746A">
      <w:pPr>
        <w:rPr>
          <w:rFonts w:ascii="Arial" w:hAnsi="Arial" w:cs="Arial"/>
        </w:rPr>
      </w:pPr>
      <w:proofErr w:type="spellStart"/>
      <w:r w:rsidRPr="009C2F97">
        <w:rPr>
          <w:rFonts w:ascii="Arial" w:hAnsi="Arial" w:cs="Arial"/>
        </w:rPr>
        <w:t>Sabee</w:t>
      </w:r>
      <w:proofErr w:type="spellEnd"/>
      <w:r w:rsidRPr="009C2F97">
        <w:rPr>
          <w:rFonts w:ascii="Arial" w:hAnsi="Arial" w:cs="Arial"/>
        </w:rPr>
        <w:t>, M. M. S. M., Awang, M. S., Bustami, Y., &amp; Hamid, Z. A. A. (2020). Gentamicin loaded PLA microspheres susceptibility against Staphylococcus aureus and Escherichia coli by Kirby-Bauer and micro-dilution methods. 3RD INTERNATIONAL POSTGRADUATE CONFERENCE on MATERIALS, MINERALS &amp; POLYMER (MAMIP) 2019. https://doi.org/10.1063/5.0017438.</w:t>
      </w:r>
      <w:bookmarkEnd w:id="29"/>
      <w:r w:rsidRPr="009C2F97">
        <w:rPr>
          <w:rFonts w:ascii="Arial" w:hAnsi="Arial" w:cs="Arial"/>
        </w:rPr>
        <w:t xml:space="preserve"> </w:t>
      </w:r>
    </w:p>
    <w:p w14:paraId="127567F9" w14:textId="77777777" w:rsidR="00747C2E" w:rsidRDefault="00747C2E" w:rsidP="001B746A">
      <w:pPr>
        <w:rPr>
          <w:rFonts w:ascii="Arial" w:hAnsi="Arial" w:cs="Arial"/>
        </w:rPr>
      </w:pPr>
      <w:bookmarkStart w:id="30" w:name="_Hlk196306353"/>
    </w:p>
    <w:p w14:paraId="59AE735B" w14:textId="6C5EF8A3" w:rsidR="001B746A" w:rsidRPr="009C2F97" w:rsidRDefault="001B746A" w:rsidP="001B746A">
      <w:pPr>
        <w:rPr>
          <w:rFonts w:ascii="Arial" w:hAnsi="Arial" w:cs="Arial"/>
        </w:rPr>
      </w:pPr>
      <w:r w:rsidRPr="009C2F97">
        <w:rPr>
          <w:rFonts w:ascii="Arial" w:hAnsi="Arial" w:cs="Arial"/>
        </w:rPr>
        <w:t xml:space="preserve">Sarah, Q. S., Anny, F. C., &amp; </w:t>
      </w:r>
      <w:proofErr w:type="spellStart"/>
      <w:r w:rsidRPr="009C2F97">
        <w:rPr>
          <w:rFonts w:ascii="Arial" w:hAnsi="Arial" w:cs="Arial"/>
        </w:rPr>
        <w:t>Misbahuddin</w:t>
      </w:r>
      <w:proofErr w:type="spellEnd"/>
      <w:r w:rsidRPr="009C2F97">
        <w:rPr>
          <w:rFonts w:ascii="Arial" w:hAnsi="Arial" w:cs="Arial"/>
        </w:rPr>
        <w:t xml:space="preserve">, M. (2017). Brine shrimp lethality assay. Bangladesh Journal of Pharmacology, 12(2), 5. https://doi.org/10.3329/bjp.v12i2.32796 </w:t>
      </w:r>
    </w:p>
    <w:p w14:paraId="09522BDB" w14:textId="77777777" w:rsidR="00747C2E" w:rsidRDefault="00747C2E" w:rsidP="001B746A">
      <w:pPr>
        <w:rPr>
          <w:rFonts w:ascii="Arial" w:hAnsi="Arial" w:cs="Arial"/>
        </w:rPr>
      </w:pPr>
      <w:bookmarkStart w:id="31" w:name="_Hlk196306461"/>
      <w:bookmarkEnd w:id="30"/>
    </w:p>
    <w:p w14:paraId="148C5536" w14:textId="3C9A5F98" w:rsidR="001B746A" w:rsidRPr="009C2F97" w:rsidRDefault="001B746A" w:rsidP="001B746A">
      <w:pPr>
        <w:rPr>
          <w:rFonts w:ascii="Arial" w:hAnsi="Arial" w:cs="Arial"/>
        </w:rPr>
      </w:pPr>
      <w:r w:rsidRPr="009C2F97">
        <w:rPr>
          <w:rFonts w:ascii="Arial" w:hAnsi="Arial" w:cs="Arial"/>
        </w:rPr>
        <w:t xml:space="preserve">Shen, S., Wu, Y., Liu, Y., &amp; Wu, D. (2017). High drug-loading nanomedicines: progress, current status, and prospects. International Journal of Nanomedicine, Volume 12, 4085–4109. https://doi.org/10.2147/ijn.s132780 </w:t>
      </w:r>
    </w:p>
    <w:p w14:paraId="5C7290EF" w14:textId="77777777" w:rsidR="00747C2E" w:rsidRDefault="00747C2E" w:rsidP="001B746A">
      <w:pPr>
        <w:rPr>
          <w:rFonts w:ascii="Arial" w:hAnsi="Arial" w:cs="Arial"/>
        </w:rPr>
      </w:pPr>
      <w:bookmarkStart w:id="32" w:name="_Hlk196306476"/>
      <w:bookmarkEnd w:id="31"/>
    </w:p>
    <w:p w14:paraId="6E8ECCC8" w14:textId="77777777" w:rsidR="00827311" w:rsidRPr="009C2F97" w:rsidRDefault="00827311" w:rsidP="00827311">
      <w:pPr>
        <w:rPr>
          <w:rFonts w:ascii="Arial" w:hAnsi="Arial" w:cs="Arial"/>
        </w:rPr>
      </w:pPr>
      <w:r w:rsidRPr="009C2F97">
        <w:rPr>
          <w:rFonts w:ascii="Arial" w:hAnsi="Arial" w:cs="Arial"/>
        </w:rPr>
        <w:t xml:space="preserve">Stylianou, M., </w:t>
      </w:r>
      <w:proofErr w:type="spellStart"/>
      <w:r w:rsidRPr="009C2F97">
        <w:rPr>
          <w:rFonts w:ascii="Arial" w:hAnsi="Arial" w:cs="Arial"/>
        </w:rPr>
        <w:t>Agapiou</w:t>
      </w:r>
      <w:proofErr w:type="spellEnd"/>
      <w:r w:rsidRPr="009C2F97">
        <w:rPr>
          <w:rFonts w:ascii="Arial" w:hAnsi="Arial" w:cs="Arial"/>
        </w:rPr>
        <w:t xml:space="preserve">, A., </w:t>
      </w:r>
      <w:proofErr w:type="spellStart"/>
      <w:r w:rsidRPr="009C2F97">
        <w:rPr>
          <w:rFonts w:ascii="Arial" w:hAnsi="Arial" w:cs="Arial"/>
        </w:rPr>
        <w:t>Omirou</w:t>
      </w:r>
      <w:proofErr w:type="spellEnd"/>
      <w:r w:rsidRPr="009C2F97">
        <w:rPr>
          <w:rFonts w:ascii="Arial" w:hAnsi="Arial" w:cs="Arial"/>
        </w:rPr>
        <w:t xml:space="preserve">, M., </w:t>
      </w:r>
      <w:proofErr w:type="spellStart"/>
      <w:r w:rsidRPr="009C2F97">
        <w:rPr>
          <w:rFonts w:ascii="Arial" w:hAnsi="Arial" w:cs="Arial"/>
        </w:rPr>
        <w:t>Vyrides</w:t>
      </w:r>
      <w:proofErr w:type="spellEnd"/>
      <w:r w:rsidRPr="009C2F97">
        <w:rPr>
          <w:rFonts w:ascii="Arial" w:hAnsi="Arial" w:cs="Arial"/>
        </w:rPr>
        <w:t xml:space="preserve">, I., Ioannides, I. M., </w:t>
      </w:r>
      <w:proofErr w:type="spellStart"/>
      <w:r w:rsidRPr="009C2F97">
        <w:rPr>
          <w:rFonts w:ascii="Arial" w:hAnsi="Arial" w:cs="Arial"/>
        </w:rPr>
        <w:t>Maratheftis</w:t>
      </w:r>
      <w:proofErr w:type="spellEnd"/>
      <w:r w:rsidRPr="009C2F97">
        <w:rPr>
          <w:rFonts w:ascii="Arial" w:hAnsi="Arial" w:cs="Arial"/>
        </w:rPr>
        <w:t xml:space="preserve">, G., &amp; </w:t>
      </w:r>
      <w:proofErr w:type="spellStart"/>
      <w:r w:rsidRPr="009C2F97">
        <w:rPr>
          <w:rFonts w:ascii="Arial" w:hAnsi="Arial" w:cs="Arial"/>
        </w:rPr>
        <w:t>Fasoula</w:t>
      </w:r>
      <w:proofErr w:type="spellEnd"/>
      <w:r w:rsidRPr="009C2F97">
        <w:rPr>
          <w:rFonts w:ascii="Arial" w:hAnsi="Arial" w:cs="Arial"/>
        </w:rPr>
        <w:t>, D. (2018). Converting environmental risks to benefits by using spent coffee grounds (SCG) as a valuable resource. Environmental Science and Pollution Research, 25(36), 35776–35790. https://doi.org/10.1007/s11356-018-2359-6</w:t>
      </w:r>
    </w:p>
    <w:p w14:paraId="335D14DD" w14:textId="77777777" w:rsidR="00827311" w:rsidRDefault="00827311" w:rsidP="001B746A">
      <w:pPr>
        <w:rPr>
          <w:rFonts w:ascii="Arial" w:hAnsi="Arial" w:cs="Arial"/>
        </w:rPr>
      </w:pPr>
    </w:p>
    <w:p w14:paraId="66ADA25A" w14:textId="3CB97F80" w:rsidR="001B746A" w:rsidRPr="009C2F97" w:rsidRDefault="001B746A" w:rsidP="001B746A">
      <w:pPr>
        <w:rPr>
          <w:rFonts w:ascii="Arial" w:hAnsi="Arial" w:cs="Arial"/>
        </w:rPr>
      </w:pPr>
      <w:r w:rsidRPr="009C2F97">
        <w:rPr>
          <w:rFonts w:ascii="Arial" w:hAnsi="Arial" w:cs="Arial"/>
        </w:rPr>
        <w:t xml:space="preserve">Singh, R., Kumar, J., Rajput, S. K., Bhardwaj, R., &amp; Ranjan, G. (2024). </w:t>
      </w:r>
      <w:proofErr w:type="spellStart"/>
      <w:r w:rsidRPr="009C2F97">
        <w:rPr>
          <w:rFonts w:ascii="Arial" w:hAnsi="Arial" w:cs="Arial"/>
        </w:rPr>
        <w:t>Revolutionising</w:t>
      </w:r>
      <w:proofErr w:type="spellEnd"/>
      <w:r w:rsidRPr="009C2F97">
        <w:rPr>
          <w:rFonts w:ascii="Arial" w:hAnsi="Arial" w:cs="Arial"/>
        </w:rPr>
        <w:t xml:space="preserve"> shift in advanced wound healing therapies: nanoengineered herbal gels. Natural Product Research, 1–16. https://doi.org/10.1080/14786419.2024.2436111 </w:t>
      </w:r>
    </w:p>
    <w:p w14:paraId="254FE495" w14:textId="77777777" w:rsidR="00747C2E" w:rsidRDefault="00747C2E" w:rsidP="001B746A">
      <w:pPr>
        <w:rPr>
          <w:rFonts w:ascii="Arial" w:hAnsi="Arial" w:cs="Arial"/>
        </w:rPr>
      </w:pPr>
      <w:bookmarkStart w:id="33" w:name="_Hlk196306494"/>
      <w:bookmarkEnd w:id="32"/>
    </w:p>
    <w:p w14:paraId="2E3A3734" w14:textId="79CF6B2F" w:rsidR="001B746A" w:rsidRPr="009C2F97" w:rsidRDefault="001B746A" w:rsidP="001B746A">
      <w:pPr>
        <w:rPr>
          <w:rFonts w:ascii="Arial" w:hAnsi="Arial" w:cs="Arial"/>
        </w:rPr>
      </w:pPr>
      <w:r w:rsidRPr="009C2F97">
        <w:rPr>
          <w:rFonts w:ascii="Arial" w:hAnsi="Arial" w:cs="Arial"/>
        </w:rPr>
        <w:t xml:space="preserve">Sivaram, A. J., Rajitha, P., Maya, S., Jayakumar, R., &amp; Sabitha, M. (2015). Nanogels for delivery, imaging and therapy. Wiley Interdisciplinary Reviews: Nanomedicine and Nanobiotechnology, 7(4), 509–533. https://doi.org/10.1002/wnan.1328 </w:t>
      </w:r>
    </w:p>
    <w:p w14:paraId="1A057048" w14:textId="77777777" w:rsidR="00747C2E" w:rsidRDefault="00747C2E" w:rsidP="001B746A">
      <w:pPr>
        <w:rPr>
          <w:rFonts w:ascii="Arial" w:hAnsi="Arial" w:cs="Arial"/>
        </w:rPr>
      </w:pPr>
      <w:bookmarkStart w:id="34" w:name="_Hlk196306510"/>
      <w:bookmarkEnd w:id="33"/>
    </w:p>
    <w:p w14:paraId="0A649DEF" w14:textId="52C63C55" w:rsidR="001B746A" w:rsidRPr="009C2F97" w:rsidRDefault="001B746A" w:rsidP="001B746A">
      <w:pPr>
        <w:rPr>
          <w:rFonts w:ascii="Arial" w:hAnsi="Arial" w:cs="Arial"/>
        </w:rPr>
      </w:pPr>
      <w:r w:rsidRPr="009C2F97">
        <w:rPr>
          <w:rFonts w:ascii="Arial" w:hAnsi="Arial" w:cs="Arial"/>
        </w:rPr>
        <w:t xml:space="preserve">Soni, K. S., </w:t>
      </w:r>
      <w:proofErr w:type="spellStart"/>
      <w:r w:rsidRPr="009C2F97">
        <w:rPr>
          <w:rFonts w:ascii="Arial" w:hAnsi="Arial" w:cs="Arial"/>
        </w:rPr>
        <w:t>Desale</w:t>
      </w:r>
      <w:proofErr w:type="spellEnd"/>
      <w:r w:rsidRPr="009C2F97">
        <w:rPr>
          <w:rFonts w:ascii="Arial" w:hAnsi="Arial" w:cs="Arial"/>
        </w:rPr>
        <w:t xml:space="preserve">, S. S., &amp; </w:t>
      </w:r>
      <w:proofErr w:type="spellStart"/>
      <w:r w:rsidRPr="009C2F97">
        <w:rPr>
          <w:rFonts w:ascii="Arial" w:hAnsi="Arial" w:cs="Arial"/>
        </w:rPr>
        <w:t>Bronich</w:t>
      </w:r>
      <w:proofErr w:type="spellEnd"/>
      <w:r w:rsidRPr="009C2F97">
        <w:rPr>
          <w:rFonts w:ascii="Arial" w:hAnsi="Arial" w:cs="Arial"/>
        </w:rPr>
        <w:t xml:space="preserve">, T. K. (2016). Nanogels: an overview of properties, biomedical applications and obstacles to clinical translation. Journal of Controlled </w:t>
      </w:r>
      <w:proofErr w:type="gramStart"/>
      <w:r w:rsidRPr="009C2F97">
        <w:rPr>
          <w:rFonts w:ascii="Arial" w:hAnsi="Arial" w:cs="Arial"/>
        </w:rPr>
        <w:t>Release :</w:t>
      </w:r>
      <w:proofErr w:type="gramEnd"/>
      <w:r w:rsidRPr="009C2F97">
        <w:rPr>
          <w:rFonts w:ascii="Arial" w:hAnsi="Arial" w:cs="Arial"/>
        </w:rPr>
        <w:t xml:space="preserve"> Official Journal of the Controlled Release Society, 240, 109–126. https://doi.org/10.1016/j.jconrel.2015.11.009 </w:t>
      </w:r>
    </w:p>
    <w:p w14:paraId="14F8C6F4" w14:textId="77777777" w:rsidR="00747C2E" w:rsidRDefault="00747C2E" w:rsidP="001B746A">
      <w:pPr>
        <w:rPr>
          <w:rFonts w:ascii="Arial" w:hAnsi="Arial" w:cs="Arial"/>
        </w:rPr>
      </w:pPr>
      <w:bookmarkStart w:id="35" w:name="_Hlk196306525"/>
      <w:bookmarkEnd w:id="34"/>
    </w:p>
    <w:p w14:paraId="510B9DB5" w14:textId="23D09BE1" w:rsidR="001B746A" w:rsidRPr="009C2F97" w:rsidRDefault="001B746A" w:rsidP="001B746A">
      <w:pPr>
        <w:rPr>
          <w:rFonts w:ascii="Arial" w:hAnsi="Arial" w:cs="Arial"/>
        </w:rPr>
      </w:pPr>
      <w:r w:rsidRPr="009C2F97">
        <w:rPr>
          <w:rFonts w:ascii="Arial" w:hAnsi="Arial" w:cs="Arial"/>
        </w:rPr>
        <w:t xml:space="preserve">Taha, M., </w:t>
      </w:r>
      <w:proofErr w:type="spellStart"/>
      <w:r w:rsidRPr="009C2F97">
        <w:rPr>
          <w:rFonts w:ascii="Arial" w:hAnsi="Arial" w:cs="Arial"/>
        </w:rPr>
        <w:t>Alhakamy</w:t>
      </w:r>
      <w:proofErr w:type="spellEnd"/>
      <w:r w:rsidRPr="009C2F97">
        <w:rPr>
          <w:rFonts w:ascii="Arial" w:hAnsi="Arial" w:cs="Arial"/>
        </w:rPr>
        <w:t xml:space="preserve">, N. A., Shadab, Mohammad Nazir Ahmad, Md. </w:t>
      </w:r>
      <w:proofErr w:type="spellStart"/>
      <w:r w:rsidRPr="009C2F97">
        <w:rPr>
          <w:rFonts w:ascii="Arial" w:hAnsi="Arial" w:cs="Arial"/>
        </w:rPr>
        <w:t>Rizwanullah</w:t>
      </w:r>
      <w:proofErr w:type="spellEnd"/>
      <w:r w:rsidRPr="009C2F97">
        <w:rPr>
          <w:rFonts w:ascii="Arial" w:hAnsi="Arial" w:cs="Arial"/>
        </w:rPr>
        <w:t xml:space="preserve">, Fatima, S., Ahmed, N., </w:t>
      </w:r>
      <w:proofErr w:type="spellStart"/>
      <w:r w:rsidRPr="009C2F97">
        <w:rPr>
          <w:rFonts w:ascii="Arial" w:hAnsi="Arial" w:cs="Arial"/>
        </w:rPr>
        <w:t>Alyazedi</w:t>
      </w:r>
      <w:proofErr w:type="spellEnd"/>
      <w:r w:rsidRPr="009C2F97">
        <w:rPr>
          <w:rFonts w:ascii="Arial" w:hAnsi="Arial" w:cs="Arial"/>
        </w:rPr>
        <w:t xml:space="preserve">, F. M., Karim, S., &amp; Ahmad, J. (2022). Nanogels as Potential Delivery </w:t>
      </w:r>
      <w:r w:rsidRPr="009C2F97">
        <w:rPr>
          <w:rFonts w:ascii="Arial" w:hAnsi="Arial" w:cs="Arial"/>
        </w:rPr>
        <w:lastRenderedPageBreak/>
        <w:t xml:space="preserve">Vehicles in Improving the Therapeutic Efficacy of Phytopharmaceuticals. 14(19), 4141–4141. https://doi.org/10.3390/polym14194141 </w:t>
      </w:r>
    </w:p>
    <w:p w14:paraId="7832DCA1" w14:textId="77777777" w:rsidR="00747C2E" w:rsidRDefault="00747C2E" w:rsidP="001B746A">
      <w:pPr>
        <w:rPr>
          <w:rFonts w:ascii="Arial" w:hAnsi="Arial" w:cs="Arial"/>
        </w:rPr>
      </w:pPr>
      <w:bookmarkStart w:id="36" w:name="_Hlk196306545"/>
      <w:bookmarkEnd w:id="35"/>
    </w:p>
    <w:p w14:paraId="45AE1852" w14:textId="32B5816C" w:rsidR="001B746A" w:rsidRPr="009C2F97" w:rsidRDefault="001B746A" w:rsidP="001B746A">
      <w:pPr>
        <w:rPr>
          <w:rFonts w:ascii="Arial" w:hAnsi="Arial" w:cs="Arial"/>
        </w:rPr>
      </w:pPr>
      <w:r w:rsidRPr="009C2F97">
        <w:rPr>
          <w:rFonts w:ascii="Arial" w:hAnsi="Arial" w:cs="Arial"/>
        </w:rPr>
        <w:t xml:space="preserve">Tang, W., Wang, J., Hou, H., Li, Y., Wang, J., Fu, J., Lu, L., Gao, D., Liu, Z., Zhao, F., Gao, X., Ling, P., Wang, F., Sun, F., &amp; Tan, H. (2023). Review: Application of chitosan and its derivatives in medical materials. International Journal of Biological Macromolecules, 240, 124398. https://doi.org/10.1016/j.ijbiomac.2023.124398 </w:t>
      </w:r>
    </w:p>
    <w:bookmarkEnd w:id="36"/>
    <w:p w14:paraId="74825598" w14:textId="77777777" w:rsidR="00747C2E" w:rsidRDefault="00747C2E" w:rsidP="001B746A">
      <w:pPr>
        <w:rPr>
          <w:rFonts w:ascii="Arial" w:hAnsi="Arial" w:cs="Arial"/>
        </w:rPr>
      </w:pPr>
    </w:p>
    <w:p w14:paraId="2645348D" w14:textId="5397C2C8" w:rsidR="00C75650" w:rsidRDefault="00C75650" w:rsidP="001B746A">
      <w:pPr>
        <w:rPr>
          <w:rFonts w:ascii="Arial" w:hAnsi="Arial" w:cs="Arial"/>
        </w:rPr>
      </w:pPr>
      <w:r w:rsidRPr="00C75650">
        <w:rPr>
          <w:rFonts w:ascii="Arial" w:hAnsi="Arial" w:cs="Arial"/>
        </w:rPr>
        <w:t>Tripathi, A., Anand Chaurasiya, Dharmendra Singh Rajpoot, &amp; Gupta, N. (2024). NANOGEL HERBAL FORMULATION AGAINST WOUNDS: A REVIEW. Biochemical and Cellular Archives/Biochemical and Cellular Archives, 24(1). https://doi.org/10.51470/bca.2024.24.1.169</w:t>
      </w:r>
    </w:p>
    <w:p w14:paraId="482467C6" w14:textId="77777777" w:rsidR="00C75650" w:rsidRDefault="00C75650" w:rsidP="001B746A">
      <w:pPr>
        <w:rPr>
          <w:rFonts w:ascii="Arial" w:hAnsi="Arial" w:cs="Arial"/>
        </w:rPr>
      </w:pPr>
    </w:p>
    <w:p w14:paraId="568AC282" w14:textId="54F7F950" w:rsidR="001B746A" w:rsidRPr="009C2F97" w:rsidRDefault="001B746A" w:rsidP="001B746A">
      <w:pPr>
        <w:rPr>
          <w:rFonts w:ascii="Arial" w:hAnsi="Arial" w:cs="Arial"/>
        </w:rPr>
      </w:pPr>
      <w:r w:rsidRPr="009C2F97">
        <w:rPr>
          <w:rFonts w:ascii="Arial" w:hAnsi="Arial" w:cs="Arial"/>
        </w:rPr>
        <w:t xml:space="preserve">Vijayalakshmi, R., </w:t>
      </w:r>
      <w:proofErr w:type="spellStart"/>
      <w:r w:rsidRPr="009C2F97">
        <w:rPr>
          <w:rFonts w:ascii="Arial" w:hAnsi="Arial" w:cs="Arial"/>
        </w:rPr>
        <w:t>Ambalavanan</w:t>
      </w:r>
      <w:proofErr w:type="spellEnd"/>
      <w:r w:rsidRPr="009C2F97">
        <w:rPr>
          <w:rFonts w:ascii="Arial" w:hAnsi="Arial" w:cs="Arial"/>
        </w:rPr>
        <w:t xml:space="preserve">, N., Rajeshkumar, S., Mahendra, J., Sudhakar, U., &amp; Parameswari, D. (2025). Comparative drug release kinetics of Terminalia </w:t>
      </w:r>
      <w:proofErr w:type="spellStart"/>
      <w:r w:rsidRPr="009C2F97">
        <w:rPr>
          <w:rFonts w:ascii="Arial" w:hAnsi="Arial" w:cs="Arial"/>
        </w:rPr>
        <w:t>arjuna</w:t>
      </w:r>
      <w:proofErr w:type="spellEnd"/>
      <w:r w:rsidRPr="009C2F97">
        <w:rPr>
          <w:rFonts w:ascii="Arial" w:hAnsi="Arial" w:cs="Arial"/>
        </w:rPr>
        <w:t xml:space="preserve"> mediated </w:t>
      </w:r>
      <w:proofErr w:type="spellStart"/>
      <w:r w:rsidRPr="009C2F97">
        <w:rPr>
          <w:rFonts w:ascii="Arial" w:hAnsi="Arial" w:cs="Arial"/>
        </w:rPr>
        <w:t>SeNPs</w:t>
      </w:r>
      <w:proofErr w:type="spellEnd"/>
      <w:r w:rsidRPr="009C2F97">
        <w:rPr>
          <w:rFonts w:ascii="Arial" w:hAnsi="Arial" w:cs="Arial"/>
        </w:rPr>
        <w:t xml:space="preserve"> </w:t>
      </w:r>
      <w:proofErr w:type="spellStart"/>
      <w:r w:rsidRPr="009C2F97">
        <w:rPr>
          <w:rFonts w:ascii="Arial" w:hAnsi="Arial" w:cs="Arial"/>
        </w:rPr>
        <w:t>NanoGel</w:t>
      </w:r>
      <w:proofErr w:type="spellEnd"/>
      <w:r w:rsidRPr="009C2F97">
        <w:rPr>
          <w:rFonts w:ascii="Arial" w:hAnsi="Arial" w:cs="Arial"/>
        </w:rPr>
        <w:t xml:space="preserve"> and </w:t>
      </w:r>
      <w:proofErr w:type="spellStart"/>
      <w:r w:rsidRPr="009C2F97">
        <w:rPr>
          <w:rFonts w:ascii="Arial" w:hAnsi="Arial" w:cs="Arial"/>
        </w:rPr>
        <w:t>ZnONPs</w:t>
      </w:r>
      <w:proofErr w:type="spellEnd"/>
      <w:r w:rsidRPr="009C2F97">
        <w:rPr>
          <w:rFonts w:ascii="Arial" w:hAnsi="Arial" w:cs="Arial"/>
        </w:rPr>
        <w:t xml:space="preserve"> </w:t>
      </w:r>
      <w:proofErr w:type="spellStart"/>
      <w:r w:rsidRPr="009C2F97">
        <w:rPr>
          <w:rFonts w:ascii="Arial" w:hAnsi="Arial" w:cs="Arial"/>
        </w:rPr>
        <w:t>NanoGel</w:t>
      </w:r>
      <w:proofErr w:type="spellEnd"/>
      <w:r w:rsidRPr="009C2F97">
        <w:rPr>
          <w:rFonts w:ascii="Arial" w:hAnsi="Arial" w:cs="Arial"/>
        </w:rPr>
        <w:t xml:space="preserve"> – An in-vitro study. Journal of Oral Biology and Craniofacial Research, 15(1), 199–204. https://doi.org/10.1016/j.jobcr.2024.12.011 </w:t>
      </w:r>
    </w:p>
    <w:p w14:paraId="1D517CDE" w14:textId="77777777" w:rsidR="00747C2E" w:rsidRDefault="00747C2E" w:rsidP="001B746A">
      <w:pPr>
        <w:rPr>
          <w:rFonts w:ascii="Arial" w:hAnsi="Arial" w:cs="Arial"/>
        </w:rPr>
      </w:pPr>
    </w:p>
    <w:p w14:paraId="0883C698" w14:textId="39B36E22" w:rsidR="001B746A" w:rsidRDefault="001B746A" w:rsidP="001B746A">
      <w:pPr>
        <w:rPr>
          <w:rFonts w:ascii="Arial" w:hAnsi="Arial" w:cs="Arial"/>
        </w:rPr>
      </w:pPr>
      <w:proofErr w:type="spellStart"/>
      <w:r w:rsidRPr="009C2F97">
        <w:rPr>
          <w:rFonts w:ascii="Arial" w:hAnsi="Arial" w:cs="Arial"/>
        </w:rPr>
        <w:t>Weldrick</w:t>
      </w:r>
      <w:proofErr w:type="spellEnd"/>
      <w:r w:rsidRPr="009C2F97">
        <w:rPr>
          <w:rFonts w:ascii="Arial" w:hAnsi="Arial" w:cs="Arial"/>
        </w:rPr>
        <w:t xml:space="preserve">, P. J., Iveson, S., Hardman, M. J., &amp; </w:t>
      </w:r>
      <w:proofErr w:type="spellStart"/>
      <w:r w:rsidRPr="009C2F97">
        <w:rPr>
          <w:rFonts w:ascii="Arial" w:hAnsi="Arial" w:cs="Arial"/>
        </w:rPr>
        <w:t>Paunov</w:t>
      </w:r>
      <w:proofErr w:type="spellEnd"/>
      <w:r w:rsidRPr="009C2F97">
        <w:rPr>
          <w:rFonts w:ascii="Arial" w:hAnsi="Arial" w:cs="Arial"/>
        </w:rPr>
        <w:t xml:space="preserve">, V. N. (2019). Breathing new life into old antibiotics: overcoming antibacterial resistance by antibiotic-loaded nanogel carriers with cationic surface functionality. Nanoscale, 11(21), 10472–10485. </w:t>
      </w:r>
      <w:r w:rsidR="0010236F" w:rsidRPr="0010236F">
        <w:rPr>
          <w:rFonts w:ascii="Arial" w:hAnsi="Arial" w:cs="Arial"/>
        </w:rPr>
        <w:t>https://doi.org/10.1039/c8nr10022e</w:t>
      </w:r>
      <w:r w:rsidRPr="009C2F97">
        <w:rPr>
          <w:rFonts w:ascii="Arial" w:hAnsi="Arial" w:cs="Arial"/>
        </w:rPr>
        <w:t xml:space="preserve"> </w:t>
      </w:r>
    </w:p>
    <w:p w14:paraId="29056A2C" w14:textId="77777777" w:rsidR="0010236F" w:rsidRDefault="0010236F" w:rsidP="001B746A">
      <w:pPr>
        <w:rPr>
          <w:rFonts w:ascii="Arial" w:hAnsi="Arial" w:cs="Arial"/>
        </w:rPr>
      </w:pPr>
    </w:p>
    <w:p w14:paraId="26D7C442" w14:textId="44A3DA28" w:rsidR="0010236F" w:rsidRPr="00827311" w:rsidRDefault="0010236F" w:rsidP="001B746A">
      <w:pPr>
        <w:rPr>
          <w:rFonts w:ascii="Arial" w:hAnsi="Arial" w:cs="Arial"/>
        </w:rPr>
      </w:pPr>
      <w:r w:rsidRPr="0010236F">
        <w:rPr>
          <w:rFonts w:ascii="Arial" w:hAnsi="Arial" w:cs="Arial"/>
        </w:rPr>
        <w:t>Xu, H., &amp; Matysiak, S. (2017). Effect of pH on chitosan hydrogel polymer network structure. Chemical Communications, 53(53), 7373–7376. https://doi.org/10.1039/c7cc01826f</w:t>
      </w:r>
    </w:p>
    <w:p w14:paraId="40E30726" w14:textId="77777777" w:rsidR="00B01FCD" w:rsidRPr="00FB3A86" w:rsidRDefault="00B01FCD" w:rsidP="00441B6F">
      <w:pPr>
        <w:pStyle w:val="Reference"/>
        <w:numPr>
          <w:ilvl w:val="0"/>
          <w:numId w:val="0"/>
        </w:numPr>
        <w:spacing w:line="240" w:lineRule="auto"/>
        <w:rPr>
          <w:rFonts w:ascii="Arial" w:hAnsi="Arial" w:cs="Arial"/>
        </w:rPr>
      </w:pPr>
    </w:p>
    <w:p w14:paraId="7B11B10A" w14:textId="77777777" w:rsidR="004D4277" w:rsidRPr="00FB3A86" w:rsidRDefault="004D4277" w:rsidP="00441B6F">
      <w:pPr>
        <w:pStyle w:val="Appendix"/>
        <w:spacing w:after="0"/>
        <w:jc w:val="both"/>
        <w:rPr>
          <w:rFonts w:ascii="Arial" w:hAnsi="Arial" w:cs="Arial"/>
          <w:b w:val="0"/>
        </w:rPr>
        <w:sectPr w:rsidR="004D4277" w:rsidRPr="00FB3A86" w:rsidSect="00880E58">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70C1BCA6" w14:textId="77777777" w:rsidR="00B01FCD" w:rsidRPr="00FB3A86" w:rsidRDefault="00B01FCD" w:rsidP="00441B6F">
      <w:pPr>
        <w:pStyle w:val="Appendix"/>
        <w:spacing w:after="0"/>
        <w:jc w:val="both"/>
        <w:rPr>
          <w:rFonts w:ascii="Arial" w:hAnsi="Arial" w:cs="Arial"/>
          <w:b w:val="0"/>
        </w:rPr>
      </w:pPr>
    </w:p>
    <w:sectPr w:rsidR="00B01FCD" w:rsidRPr="00FB3A86" w:rsidSect="00880E5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BE45F" w14:textId="77777777" w:rsidR="00D021A4" w:rsidRDefault="00D021A4" w:rsidP="00C37E61">
      <w:r>
        <w:separator/>
      </w:r>
    </w:p>
  </w:endnote>
  <w:endnote w:type="continuationSeparator" w:id="0">
    <w:p w14:paraId="001BC45C" w14:textId="77777777" w:rsidR="00D021A4" w:rsidRDefault="00D021A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51FE4" w14:textId="77777777" w:rsidR="004662CE" w:rsidRDefault="00466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C9D6" w14:textId="77777777" w:rsidR="004662CE" w:rsidRDefault="00466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B4BB4" w14:textId="77777777" w:rsidR="009E048A" w:rsidRDefault="009E048A">
    <w:pPr>
      <w:pStyle w:val="Footer"/>
      <w:rPr>
        <w:rFonts w:ascii="Arial" w:hAnsi="Arial" w:cs="Arial"/>
        <w:sz w:val="16"/>
      </w:rPr>
    </w:pPr>
  </w:p>
  <w:p w14:paraId="3C2401F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C6C6F2B" w14:textId="77777777" w:rsidR="009E048A" w:rsidRDefault="009E048A">
    <w:pPr>
      <w:pStyle w:val="Footer"/>
      <w:rPr>
        <w:rFonts w:ascii="Arial" w:hAnsi="Arial" w:cs="Arial"/>
        <w:sz w:val="16"/>
      </w:rPr>
    </w:pPr>
  </w:p>
  <w:p w14:paraId="76F1A9E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65ED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52A02" w14:textId="77777777" w:rsidR="00D021A4" w:rsidRDefault="00D021A4" w:rsidP="00C37E61">
      <w:r>
        <w:separator/>
      </w:r>
    </w:p>
  </w:footnote>
  <w:footnote w:type="continuationSeparator" w:id="0">
    <w:p w14:paraId="2F69F1F3" w14:textId="77777777" w:rsidR="00D021A4" w:rsidRDefault="00D021A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04A0A" w14:textId="7D3935AF" w:rsidR="004662CE" w:rsidRDefault="00D021A4">
    <w:pPr>
      <w:pStyle w:val="Header"/>
    </w:pPr>
    <w:r>
      <w:rPr>
        <w:noProof/>
      </w:rPr>
      <w:pict w14:anchorId="341AA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1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FDFD" w14:textId="011F0599" w:rsidR="004662CE" w:rsidRDefault="00D021A4">
    <w:pPr>
      <w:pStyle w:val="Header"/>
    </w:pPr>
    <w:r>
      <w:rPr>
        <w:noProof/>
      </w:rPr>
      <w:pict w14:anchorId="5D1EC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1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5276" w14:textId="130B2EC0" w:rsidR="00296529" w:rsidRPr="00296529" w:rsidRDefault="00D021A4" w:rsidP="00296529">
    <w:pPr>
      <w:ind w:left="2160"/>
      <w:jc w:val="center"/>
      <w:rPr>
        <w:rFonts w:ascii="Times New Roman" w:eastAsia="Calibri" w:hAnsi="Times New Roman"/>
        <w:i/>
        <w:sz w:val="18"/>
        <w:szCs w:val="22"/>
      </w:rPr>
    </w:pPr>
    <w:r>
      <w:rPr>
        <w:noProof/>
      </w:rPr>
      <w:pict w14:anchorId="582EB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14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7582C4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CA71DC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2DEC1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6C6891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87132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DF75F9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3587" w14:textId="59D6D9FB" w:rsidR="004662CE" w:rsidRDefault="00D021A4">
    <w:pPr>
      <w:pStyle w:val="Header"/>
    </w:pPr>
    <w:r>
      <w:rPr>
        <w:noProof/>
      </w:rPr>
      <w:pict w14:anchorId="78C93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14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35DA" w14:textId="4A01D4B9" w:rsidR="004662CE" w:rsidRDefault="00D021A4">
    <w:pPr>
      <w:pStyle w:val="Header"/>
    </w:pPr>
    <w:r>
      <w:rPr>
        <w:noProof/>
      </w:rPr>
      <w:pict w14:anchorId="447B5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14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FDA" w14:textId="322582E0" w:rsidR="004662CE" w:rsidRDefault="00D021A4">
    <w:pPr>
      <w:pStyle w:val="Header"/>
    </w:pPr>
    <w:r>
      <w:rPr>
        <w:noProof/>
      </w:rPr>
      <w:pict w14:anchorId="29621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14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61E5A69"/>
    <w:multiLevelType w:val="multilevel"/>
    <w:tmpl w:val="559A69BC"/>
    <w:lvl w:ilvl="0">
      <w:start w:val="1"/>
      <w:numFmt w:val="decimal"/>
      <w:lvlText w:val="[%1]"/>
      <w:lvlJc w:val="left"/>
      <w:pPr>
        <w:ind w:left="420" w:hanging="420"/>
      </w:pPr>
      <w:rPr>
        <w:rFonts w:ascii="Arial" w:eastAsia="Times New Roman" w:hAnsi="Arial" w:cs="Arial" w:hint="default"/>
        <w:sz w:val="18"/>
        <w:szCs w:val="18"/>
        <w:vertAlign w:val="baseline"/>
      </w:rPr>
    </w:lvl>
    <w:lvl w:ilvl="1">
      <w:start w:val="1"/>
      <w:numFmt w:val="lowerLetter"/>
      <w:lvlText w:val="%2)"/>
      <w:lvlJc w:val="left"/>
      <w:pPr>
        <w:ind w:left="840" w:hanging="420"/>
      </w:pPr>
      <w:rPr>
        <w:vertAlign w:val="baseline"/>
      </w:rPr>
    </w:lvl>
    <w:lvl w:ilvl="2">
      <w:start w:val="1"/>
      <w:numFmt w:val="lowerRoman"/>
      <w:lvlText w:val="%3."/>
      <w:lvlJc w:val="right"/>
      <w:pPr>
        <w:ind w:left="1260" w:hanging="420"/>
      </w:pPr>
      <w:rPr>
        <w:vertAlign w:val="baseline"/>
      </w:rPr>
    </w:lvl>
    <w:lvl w:ilvl="3">
      <w:start w:val="1"/>
      <w:numFmt w:val="decimal"/>
      <w:lvlText w:val="%4."/>
      <w:lvlJc w:val="left"/>
      <w:pPr>
        <w:ind w:left="1680" w:hanging="420"/>
      </w:pPr>
      <w:rPr>
        <w:vertAlign w:val="baseline"/>
      </w:rPr>
    </w:lvl>
    <w:lvl w:ilvl="4">
      <w:start w:val="1"/>
      <w:numFmt w:val="lowerLetter"/>
      <w:lvlText w:val="%5)"/>
      <w:lvlJc w:val="left"/>
      <w:pPr>
        <w:ind w:left="2100" w:hanging="420"/>
      </w:pPr>
      <w:rPr>
        <w:vertAlign w:val="baseline"/>
      </w:rPr>
    </w:lvl>
    <w:lvl w:ilvl="5">
      <w:start w:val="1"/>
      <w:numFmt w:val="lowerRoman"/>
      <w:lvlText w:val="%6."/>
      <w:lvlJc w:val="right"/>
      <w:pPr>
        <w:ind w:left="2520" w:hanging="420"/>
      </w:pPr>
      <w:rPr>
        <w:vertAlign w:val="baseline"/>
      </w:rPr>
    </w:lvl>
    <w:lvl w:ilvl="6">
      <w:start w:val="1"/>
      <w:numFmt w:val="decimal"/>
      <w:lvlText w:val="%7."/>
      <w:lvlJc w:val="left"/>
      <w:pPr>
        <w:ind w:left="2940" w:hanging="420"/>
      </w:pPr>
      <w:rPr>
        <w:vertAlign w:val="baseline"/>
      </w:rPr>
    </w:lvl>
    <w:lvl w:ilvl="7">
      <w:start w:val="1"/>
      <w:numFmt w:val="lowerLetter"/>
      <w:lvlText w:val="%8)"/>
      <w:lvlJc w:val="left"/>
      <w:pPr>
        <w:ind w:left="3360" w:hanging="420"/>
      </w:pPr>
      <w:rPr>
        <w:vertAlign w:val="baseline"/>
      </w:rPr>
    </w:lvl>
    <w:lvl w:ilvl="8">
      <w:start w:val="1"/>
      <w:numFmt w:val="lowerRoman"/>
      <w:lvlText w:val="%9."/>
      <w:lvlJc w:val="right"/>
      <w:pPr>
        <w:ind w:left="3780" w:hanging="420"/>
      </w:pPr>
      <w:rPr>
        <w:vertAlign w:val="baseli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25A5"/>
    <w:rsid w:val="00012654"/>
    <w:rsid w:val="000154D0"/>
    <w:rsid w:val="00021D0D"/>
    <w:rsid w:val="00022C5A"/>
    <w:rsid w:val="000242CC"/>
    <w:rsid w:val="00027152"/>
    <w:rsid w:val="00030174"/>
    <w:rsid w:val="0004579C"/>
    <w:rsid w:val="000464E8"/>
    <w:rsid w:val="00057A26"/>
    <w:rsid w:val="00064DB9"/>
    <w:rsid w:val="0007303B"/>
    <w:rsid w:val="00073889"/>
    <w:rsid w:val="00075641"/>
    <w:rsid w:val="00077297"/>
    <w:rsid w:val="00083644"/>
    <w:rsid w:val="00086CE9"/>
    <w:rsid w:val="00090C8B"/>
    <w:rsid w:val="000917D5"/>
    <w:rsid w:val="0009202D"/>
    <w:rsid w:val="00094BD9"/>
    <w:rsid w:val="000A47FA"/>
    <w:rsid w:val="000A5EF8"/>
    <w:rsid w:val="000A65D3"/>
    <w:rsid w:val="000B1E33"/>
    <w:rsid w:val="000B37D9"/>
    <w:rsid w:val="000C3C97"/>
    <w:rsid w:val="000C5364"/>
    <w:rsid w:val="000D689F"/>
    <w:rsid w:val="000E7B7B"/>
    <w:rsid w:val="000E7D62"/>
    <w:rsid w:val="000F2057"/>
    <w:rsid w:val="000F3ED4"/>
    <w:rsid w:val="00100952"/>
    <w:rsid w:val="0010236F"/>
    <w:rsid w:val="00103357"/>
    <w:rsid w:val="001057A8"/>
    <w:rsid w:val="00105E16"/>
    <w:rsid w:val="00123C9F"/>
    <w:rsid w:val="00125A9E"/>
    <w:rsid w:val="00126190"/>
    <w:rsid w:val="00127F73"/>
    <w:rsid w:val="00130858"/>
    <w:rsid w:val="00130F17"/>
    <w:rsid w:val="001320BF"/>
    <w:rsid w:val="0014504B"/>
    <w:rsid w:val="00147571"/>
    <w:rsid w:val="00150CA9"/>
    <w:rsid w:val="00162248"/>
    <w:rsid w:val="00162F3B"/>
    <w:rsid w:val="00163BC4"/>
    <w:rsid w:val="00172A72"/>
    <w:rsid w:val="00185FB1"/>
    <w:rsid w:val="00191062"/>
    <w:rsid w:val="00192862"/>
    <w:rsid w:val="00192B72"/>
    <w:rsid w:val="00197259"/>
    <w:rsid w:val="001A01F0"/>
    <w:rsid w:val="001A29D8"/>
    <w:rsid w:val="001A5CAA"/>
    <w:rsid w:val="001A7242"/>
    <w:rsid w:val="001B0427"/>
    <w:rsid w:val="001B746A"/>
    <w:rsid w:val="001C552D"/>
    <w:rsid w:val="001D3A51"/>
    <w:rsid w:val="001D5391"/>
    <w:rsid w:val="001D63C9"/>
    <w:rsid w:val="001E079B"/>
    <w:rsid w:val="001E1031"/>
    <w:rsid w:val="001E10D2"/>
    <w:rsid w:val="001E25B4"/>
    <w:rsid w:val="001E3FB4"/>
    <w:rsid w:val="001E44FE"/>
    <w:rsid w:val="001E5FDD"/>
    <w:rsid w:val="001E6F98"/>
    <w:rsid w:val="001E7F5C"/>
    <w:rsid w:val="001F37F5"/>
    <w:rsid w:val="00200595"/>
    <w:rsid w:val="00204835"/>
    <w:rsid w:val="002110B8"/>
    <w:rsid w:val="00211374"/>
    <w:rsid w:val="00212300"/>
    <w:rsid w:val="00220B4E"/>
    <w:rsid w:val="00222829"/>
    <w:rsid w:val="00225E92"/>
    <w:rsid w:val="00231920"/>
    <w:rsid w:val="0023195C"/>
    <w:rsid w:val="0023333C"/>
    <w:rsid w:val="0024282C"/>
    <w:rsid w:val="002460DC"/>
    <w:rsid w:val="00250985"/>
    <w:rsid w:val="002556F6"/>
    <w:rsid w:val="002575D6"/>
    <w:rsid w:val="00266C9E"/>
    <w:rsid w:val="002821BE"/>
    <w:rsid w:val="00282A52"/>
    <w:rsid w:val="00283105"/>
    <w:rsid w:val="00284C4C"/>
    <w:rsid w:val="00287E68"/>
    <w:rsid w:val="00291954"/>
    <w:rsid w:val="00296529"/>
    <w:rsid w:val="002A5167"/>
    <w:rsid w:val="002B27FB"/>
    <w:rsid w:val="002B638D"/>
    <w:rsid w:val="002B685A"/>
    <w:rsid w:val="002B7ADE"/>
    <w:rsid w:val="002C57D2"/>
    <w:rsid w:val="002D286F"/>
    <w:rsid w:val="002D770D"/>
    <w:rsid w:val="002E0D56"/>
    <w:rsid w:val="002E2CD2"/>
    <w:rsid w:val="002F38CB"/>
    <w:rsid w:val="002F6303"/>
    <w:rsid w:val="002F752E"/>
    <w:rsid w:val="00311ECD"/>
    <w:rsid w:val="00315186"/>
    <w:rsid w:val="00330041"/>
    <w:rsid w:val="00330E2C"/>
    <w:rsid w:val="00332D07"/>
    <w:rsid w:val="0033343E"/>
    <w:rsid w:val="00335244"/>
    <w:rsid w:val="00337AF8"/>
    <w:rsid w:val="00341165"/>
    <w:rsid w:val="0034188F"/>
    <w:rsid w:val="003512C2"/>
    <w:rsid w:val="00356D4F"/>
    <w:rsid w:val="00366687"/>
    <w:rsid w:val="00371C75"/>
    <w:rsid w:val="00371FB6"/>
    <w:rsid w:val="003763C1"/>
    <w:rsid w:val="00376BBE"/>
    <w:rsid w:val="00381157"/>
    <w:rsid w:val="00384562"/>
    <w:rsid w:val="0039224F"/>
    <w:rsid w:val="003A3B2B"/>
    <w:rsid w:val="003A43A4"/>
    <w:rsid w:val="003A7E18"/>
    <w:rsid w:val="003B48DA"/>
    <w:rsid w:val="003B59AF"/>
    <w:rsid w:val="003B73CC"/>
    <w:rsid w:val="003C069B"/>
    <w:rsid w:val="003C4C86"/>
    <w:rsid w:val="003C6258"/>
    <w:rsid w:val="003C69A3"/>
    <w:rsid w:val="003C716E"/>
    <w:rsid w:val="003D1DD3"/>
    <w:rsid w:val="003E0E14"/>
    <w:rsid w:val="003E19CC"/>
    <w:rsid w:val="003E2904"/>
    <w:rsid w:val="003E7660"/>
    <w:rsid w:val="00401927"/>
    <w:rsid w:val="004025A7"/>
    <w:rsid w:val="00405281"/>
    <w:rsid w:val="004100BB"/>
    <w:rsid w:val="0041027F"/>
    <w:rsid w:val="00412475"/>
    <w:rsid w:val="004206BE"/>
    <w:rsid w:val="004220B3"/>
    <w:rsid w:val="00423789"/>
    <w:rsid w:val="00424EF4"/>
    <w:rsid w:val="00432970"/>
    <w:rsid w:val="004340B2"/>
    <w:rsid w:val="00435EAA"/>
    <w:rsid w:val="00440F43"/>
    <w:rsid w:val="00441B6F"/>
    <w:rsid w:val="00444777"/>
    <w:rsid w:val="0044506A"/>
    <w:rsid w:val="004459A5"/>
    <w:rsid w:val="00445D3E"/>
    <w:rsid w:val="00446221"/>
    <w:rsid w:val="00450E62"/>
    <w:rsid w:val="004539DB"/>
    <w:rsid w:val="004545B1"/>
    <w:rsid w:val="00460A5A"/>
    <w:rsid w:val="00461E21"/>
    <w:rsid w:val="004662CE"/>
    <w:rsid w:val="00471A80"/>
    <w:rsid w:val="0047226A"/>
    <w:rsid w:val="00472CD8"/>
    <w:rsid w:val="00472EEE"/>
    <w:rsid w:val="004745B8"/>
    <w:rsid w:val="00481EC7"/>
    <w:rsid w:val="00491E1B"/>
    <w:rsid w:val="004A2306"/>
    <w:rsid w:val="004A550C"/>
    <w:rsid w:val="004B2CB2"/>
    <w:rsid w:val="004B5BE1"/>
    <w:rsid w:val="004B5D8F"/>
    <w:rsid w:val="004C6041"/>
    <w:rsid w:val="004D09BC"/>
    <w:rsid w:val="004D305E"/>
    <w:rsid w:val="004D4277"/>
    <w:rsid w:val="004E1D23"/>
    <w:rsid w:val="004E2C8D"/>
    <w:rsid w:val="004E6714"/>
    <w:rsid w:val="004F6B42"/>
    <w:rsid w:val="004F7C6C"/>
    <w:rsid w:val="00500FC0"/>
    <w:rsid w:val="00502516"/>
    <w:rsid w:val="00505F06"/>
    <w:rsid w:val="00506828"/>
    <w:rsid w:val="005069BD"/>
    <w:rsid w:val="00515319"/>
    <w:rsid w:val="00524B70"/>
    <w:rsid w:val="00525D2C"/>
    <w:rsid w:val="0053056E"/>
    <w:rsid w:val="00530988"/>
    <w:rsid w:val="005318F3"/>
    <w:rsid w:val="0054345A"/>
    <w:rsid w:val="00544E38"/>
    <w:rsid w:val="00552145"/>
    <w:rsid w:val="005534E9"/>
    <w:rsid w:val="005542E2"/>
    <w:rsid w:val="00554FDA"/>
    <w:rsid w:val="00564300"/>
    <w:rsid w:val="00566DEA"/>
    <w:rsid w:val="005748E6"/>
    <w:rsid w:val="00574C47"/>
    <w:rsid w:val="00582873"/>
    <w:rsid w:val="00586E67"/>
    <w:rsid w:val="005A6385"/>
    <w:rsid w:val="005B3BD0"/>
    <w:rsid w:val="005B6539"/>
    <w:rsid w:val="005B7E01"/>
    <w:rsid w:val="005C784C"/>
    <w:rsid w:val="005D17F6"/>
    <w:rsid w:val="005D530D"/>
    <w:rsid w:val="005D5921"/>
    <w:rsid w:val="005E5539"/>
    <w:rsid w:val="005F7F9F"/>
    <w:rsid w:val="00602BF5"/>
    <w:rsid w:val="00617FDD"/>
    <w:rsid w:val="00620A7D"/>
    <w:rsid w:val="00622485"/>
    <w:rsid w:val="006271BB"/>
    <w:rsid w:val="00633614"/>
    <w:rsid w:val="00633A6B"/>
    <w:rsid w:val="00633F68"/>
    <w:rsid w:val="006354E1"/>
    <w:rsid w:val="00635CC8"/>
    <w:rsid w:val="00636EB2"/>
    <w:rsid w:val="006375B8"/>
    <w:rsid w:val="00640701"/>
    <w:rsid w:val="00661E1D"/>
    <w:rsid w:val="0066510A"/>
    <w:rsid w:val="0066602F"/>
    <w:rsid w:val="00673F9F"/>
    <w:rsid w:val="00676F55"/>
    <w:rsid w:val="00683C03"/>
    <w:rsid w:val="00686953"/>
    <w:rsid w:val="00687DEA"/>
    <w:rsid w:val="00687E67"/>
    <w:rsid w:val="006967F7"/>
    <w:rsid w:val="00697E1C"/>
    <w:rsid w:val="006A250C"/>
    <w:rsid w:val="006A45D0"/>
    <w:rsid w:val="006A47E5"/>
    <w:rsid w:val="006A4F8E"/>
    <w:rsid w:val="006A6077"/>
    <w:rsid w:val="006B21D3"/>
    <w:rsid w:val="006B57D0"/>
    <w:rsid w:val="006B58A1"/>
    <w:rsid w:val="006C2B2B"/>
    <w:rsid w:val="006C33DF"/>
    <w:rsid w:val="006D30FF"/>
    <w:rsid w:val="006D4E40"/>
    <w:rsid w:val="006D5286"/>
    <w:rsid w:val="006D6940"/>
    <w:rsid w:val="006E36DB"/>
    <w:rsid w:val="006F11EC"/>
    <w:rsid w:val="006F57AF"/>
    <w:rsid w:val="006F5F0C"/>
    <w:rsid w:val="0070082C"/>
    <w:rsid w:val="00702BA9"/>
    <w:rsid w:val="00706D78"/>
    <w:rsid w:val="007164FE"/>
    <w:rsid w:val="00730B7D"/>
    <w:rsid w:val="00731455"/>
    <w:rsid w:val="007369E6"/>
    <w:rsid w:val="0074022C"/>
    <w:rsid w:val="007464E6"/>
    <w:rsid w:val="00746E59"/>
    <w:rsid w:val="00747C2E"/>
    <w:rsid w:val="007501AE"/>
    <w:rsid w:val="00754C9A"/>
    <w:rsid w:val="0075599A"/>
    <w:rsid w:val="00755BF1"/>
    <w:rsid w:val="00761D52"/>
    <w:rsid w:val="007621AC"/>
    <w:rsid w:val="00764536"/>
    <w:rsid w:val="0077749E"/>
    <w:rsid w:val="00781389"/>
    <w:rsid w:val="00783D13"/>
    <w:rsid w:val="00790ADA"/>
    <w:rsid w:val="007A12F6"/>
    <w:rsid w:val="007C0B24"/>
    <w:rsid w:val="007C29B2"/>
    <w:rsid w:val="007C7817"/>
    <w:rsid w:val="007D2288"/>
    <w:rsid w:val="007D32C5"/>
    <w:rsid w:val="007D36C1"/>
    <w:rsid w:val="007D4A72"/>
    <w:rsid w:val="007D79D1"/>
    <w:rsid w:val="007E088F"/>
    <w:rsid w:val="007F193A"/>
    <w:rsid w:val="007F3A3D"/>
    <w:rsid w:val="007F7B32"/>
    <w:rsid w:val="00800F85"/>
    <w:rsid w:val="0080200E"/>
    <w:rsid w:val="00803EC4"/>
    <w:rsid w:val="00804BC2"/>
    <w:rsid w:val="0081431A"/>
    <w:rsid w:val="00827311"/>
    <w:rsid w:val="00827730"/>
    <w:rsid w:val="00830450"/>
    <w:rsid w:val="0083216F"/>
    <w:rsid w:val="008337F0"/>
    <w:rsid w:val="00837F52"/>
    <w:rsid w:val="0084580D"/>
    <w:rsid w:val="00860000"/>
    <w:rsid w:val="0086133A"/>
    <w:rsid w:val="00862C03"/>
    <w:rsid w:val="00863BD3"/>
    <w:rsid w:val="008641ED"/>
    <w:rsid w:val="00866B5D"/>
    <w:rsid w:val="00866D66"/>
    <w:rsid w:val="008671C6"/>
    <w:rsid w:val="00875803"/>
    <w:rsid w:val="00880E58"/>
    <w:rsid w:val="00886A0D"/>
    <w:rsid w:val="00890E94"/>
    <w:rsid w:val="00893442"/>
    <w:rsid w:val="008A45F3"/>
    <w:rsid w:val="008B1216"/>
    <w:rsid w:val="008B1E90"/>
    <w:rsid w:val="008B201C"/>
    <w:rsid w:val="008B459E"/>
    <w:rsid w:val="008B5A18"/>
    <w:rsid w:val="008B7E2E"/>
    <w:rsid w:val="008C1A15"/>
    <w:rsid w:val="008C620F"/>
    <w:rsid w:val="008D2526"/>
    <w:rsid w:val="008D25C6"/>
    <w:rsid w:val="008D4350"/>
    <w:rsid w:val="008E13AE"/>
    <w:rsid w:val="008E1506"/>
    <w:rsid w:val="008E31AA"/>
    <w:rsid w:val="008E5141"/>
    <w:rsid w:val="008E51E6"/>
    <w:rsid w:val="008E710C"/>
    <w:rsid w:val="008F0DA0"/>
    <w:rsid w:val="008F0EDD"/>
    <w:rsid w:val="008F2EFF"/>
    <w:rsid w:val="008F689C"/>
    <w:rsid w:val="008F69D6"/>
    <w:rsid w:val="009026CA"/>
    <w:rsid w:val="00902823"/>
    <w:rsid w:val="00915CA6"/>
    <w:rsid w:val="0092030F"/>
    <w:rsid w:val="00920945"/>
    <w:rsid w:val="00927834"/>
    <w:rsid w:val="00933879"/>
    <w:rsid w:val="00942F75"/>
    <w:rsid w:val="009467C0"/>
    <w:rsid w:val="00946C2E"/>
    <w:rsid w:val="009500A6"/>
    <w:rsid w:val="00957C18"/>
    <w:rsid w:val="009659BA"/>
    <w:rsid w:val="00966AC8"/>
    <w:rsid w:val="00972614"/>
    <w:rsid w:val="00974017"/>
    <w:rsid w:val="00976B90"/>
    <w:rsid w:val="009772C9"/>
    <w:rsid w:val="00977964"/>
    <w:rsid w:val="00980444"/>
    <w:rsid w:val="00983040"/>
    <w:rsid w:val="00987E46"/>
    <w:rsid w:val="009A014F"/>
    <w:rsid w:val="009A566A"/>
    <w:rsid w:val="009A5685"/>
    <w:rsid w:val="009B3FB9"/>
    <w:rsid w:val="009B6563"/>
    <w:rsid w:val="009C1CB6"/>
    <w:rsid w:val="009C23BA"/>
    <w:rsid w:val="009C2465"/>
    <w:rsid w:val="009D277F"/>
    <w:rsid w:val="009D35A0"/>
    <w:rsid w:val="009D7EB7"/>
    <w:rsid w:val="009E048A"/>
    <w:rsid w:val="009E08E9"/>
    <w:rsid w:val="009E3DB9"/>
    <w:rsid w:val="009E3EB0"/>
    <w:rsid w:val="009E6E35"/>
    <w:rsid w:val="009E783F"/>
    <w:rsid w:val="009F0EDA"/>
    <w:rsid w:val="009F13F9"/>
    <w:rsid w:val="009F7375"/>
    <w:rsid w:val="00A03A43"/>
    <w:rsid w:val="00A03B96"/>
    <w:rsid w:val="00A05B19"/>
    <w:rsid w:val="00A1134E"/>
    <w:rsid w:val="00A14F3D"/>
    <w:rsid w:val="00A242E1"/>
    <w:rsid w:val="00A24E7E"/>
    <w:rsid w:val="00A258C3"/>
    <w:rsid w:val="00A347C0"/>
    <w:rsid w:val="00A43ACF"/>
    <w:rsid w:val="00A45B93"/>
    <w:rsid w:val="00A45C64"/>
    <w:rsid w:val="00A51431"/>
    <w:rsid w:val="00A539AD"/>
    <w:rsid w:val="00A544A5"/>
    <w:rsid w:val="00A64CE7"/>
    <w:rsid w:val="00A6760F"/>
    <w:rsid w:val="00A7234B"/>
    <w:rsid w:val="00A74E5B"/>
    <w:rsid w:val="00A837EB"/>
    <w:rsid w:val="00A94063"/>
    <w:rsid w:val="00AA2342"/>
    <w:rsid w:val="00AA58CF"/>
    <w:rsid w:val="00AA6219"/>
    <w:rsid w:val="00AA74E0"/>
    <w:rsid w:val="00AB50CF"/>
    <w:rsid w:val="00AB703F"/>
    <w:rsid w:val="00AC5152"/>
    <w:rsid w:val="00AC6BB8"/>
    <w:rsid w:val="00AD3390"/>
    <w:rsid w:val="00AE008F"/>
    <w:rsid w:val="00AE5A99"/>
    <w:rsid w:val="00B00D80"/>
    <w:rsid w:val="00B01FCD"/>
    <w:rsid w:val="00B075CE"/>
    <w:rsid w:val="00B107D1"/>
    <w:rsid w:val="00B12BFB"/>
    <w:rsid w:val="00B1776C"/>
    <w:rsid w:val="00B22F6F"/>
    <w:rsid w:val="00B269C2"/>
    <w:rsid w:val="00B301A9"/>
    <w:rsid w:val="00B3231A"/>
    <w:rsid w:val="00B33307"/>
    <w:rsid w:val="00B44E5F"/>
    <w:rsid w:val="00B458D5"/>
    <w:rsid w:val="00B52583"/>
    <w:rsid w:val="00B52896"/>
    <w:rsid w:val="00B716A9"/>
    <w:rsid w:val="00B73AFF"/>
    <w:rsid w:val="00B82065"/>
    <w:rsid w:val="00B936EC"/>
    <w:rsid w:val="00B95236"/>
    <w:rsid w:val="00B96BD9"/>
    <w:rsid w:val="00BA082A"/>
    <w:rsid w:val="00BA1B01"/>
    <w:rsid w:val="00BA2641"/>
    <w:rsid w:val="00BA708E"/>
    <w:rsid w:val="00BA74C3"/>
    <w:rsid w:val="00BB37AA"/>
    <w:rsid w:val="00BC0DD3"/>
    <w:rsid w:val="00BC53A0"/>
    <w:rsid w:val="00BD2AB8"/>
    <w:rsid w:val="00BE62AD"/>
    <w:rsid w:val="00BE6DA7"/>
    <w:rsid w:val="00BF121F"/>
    <w:rsid w:val="00BF1F80"/>
    <w:rsid w:val="00C03E01"/>
    <w:rsid w:val="00C06B2F"/>
    <w:rsid w:val="00C07474"/>
    <w:rsid w:val="00C11D98"/>
    <w:rsid w:val="00C12C26"/>
    <w:rsid w:val="00C137A0"/>
    <w:rsid w:val="00C166EF"/>
    <w:rsid w:val="00C17EB0"/>
    <w:rsid w:val="00C2086C"/>
    <w:rsid w:val="00C22A25"/>
    <w:rsid w:val="00C27F5F"/>
    <w:rsid w:val="00C30A0F"/>
    <w:rsid w:val="00C37E61"/>
    <w:rsid w:val="00C52BD3"/>
    <w:rsid w:val="00C63A23"/>
    <w:rsid w:val="00C645C4"/>
    <w:rsid w:val="00C70F1B"/>
    <w:rsid w:val="00C71A47"/>
    <w:rsid w:val="00C7310E"/>
    <w:rsid w:val="00C7464C"/>
    <w:rsid w:val="00C75650"/>
    <w:rsid w:val="00C77053"/>
    <w:rsid w:val="00C816EE"/>
    <w:rsid w:val="00C82818"/>
    <w:rsid w:val="00C83606"/>
    <w:rsid w:val="00C85588"/>
    <w:rsid w:val="00C96DB8"/>
    <w:rsid w:val="00CC7CE7"/>
    <w:rsid w:val="00CD039A"/>
    <w:rsid w:val="00CD6755"/>
    <w:rsid w:val="00CD6856"/>
    <w:rsid w:val="00CE0089"/>
    <w:rsid w:val="00CE3FA5"/>
    <w:rsid w:val="00CE793C"/>
    <w:rsid w:val="00CF193C"/>
    <w:rsid w:val="00CF49F6"/>
    <w:rsid w:val="00D021A4"/>
    <w:rsid w:val="00D06FCD"/>
    <w:rsid w:val="00D1016E"/>
    <w:rsid w:val="00D173F1"/>
    <w:rsid w:val="00D3146E"/>
    <w:rsid w:val="00D40C0D"/>
    <w:rsid w:val="00D42CC9"/>
    <w:rsid w:val="00D4533E"/>
    <w:rsid w:val="00D56F0C"/>
    <w:rsid w:val="00D65ABE"/>
    <w:rsid w:val="00D663FE"/>
    <w:rsid w:val="00D66C92"/>
    <w:rsid w:val="00D74287"/>
    <w:rsid w:val="00D74CB0"/>
    <w:rsid w:val="00D76360"/>
    <w:rsid w:val="00D769A4"/>
    <w:rsid w:val="00D80D14"/>
    <w:rsid w:val="00D8295D"/>
    <w:rsid w:val="00D92714"/>
    <w:rsid w:val="00D9301B"/>
    <w:rsid w:val="00D9380D"/>
    <w:rsid w:val="00D9463F"/>
    <w:rsid w:val="00D94825"/>
    <w:rsid w:val="00DC2A65"/>
    <w:rsid w:val="00DD1C8C"/>
    <w:rsid w:val="00DD3BF6"/>
    <w:rsid w:val="00DE15F0"/>
    <w:rsid w:val="00DE228D"/>
    <w:rsid w:val="00DE4A59"/>
    <w:rsid w:val="00DE4FB4"/>
    <w:rsid w:val="00DE5663"/>
    <w:rsid w:val="00DE78AA"/>
    <w:rsid w:val="00DF3799"/>
    <w:rsid w:val="00DF7A41"/>
    <w:rsid w:val="00E01AA7"/>
    <w:rsid w:val="00E01D9B"/>
    <w:rsid w:val="00E053D0"/>
    <w:rsid w:val="00E06BD0"/>
    <w:rsid w:val="00E12A0F"/>
    <w:rsid w:val="00E14199"/>
    <w:rsid w:val="00E15747"/>
    <w:rsid w:val="00E15994"/>
    <w:rsid w:val="00E17A0E"/>
    <w:rsid w:val="00E26645"/>
    <w:rsid w:val="00E3114E"/>
    <w:rsid w:val="00E3155B"/>
    <w:rsid w:val="00E31A70"/>
    <w:rsid w:val="00E35B02"/>
    <w:rsid w:val="00E370B0"/>
    <w:rsid w:val="00E4349C"/>
    <w:rsid w:val="00E47DFB"/>
    <w:rsid w:val="00E51ACA"/>
    <w:rsid w:val="00E530EF"/>
    <w:rsid w:val="00E55EF8"/>
    <w:rsid w:val="00E56FD5"/>
    <w:rsid w:val="00E62D97"/>
    <w:rsid w:val="00E65255"/>
    <w:rsid w:val="00E65BF4"/>
    <w:rsid w:val="00E66496"/>
    <w:rsid w:val="00E66B35"/>
    <w:rsid w:val="00E66E10"/>
    <w:rsid w:val="00E679CB"/>
    <w:rsid w:val="00E74A7A"/>
    <w:rsid w:val="00E769F6"/>
    <w:rsid w:val="00E80FE5"/>
    <w:rsid w:val="00E81C6A"/>
    <w:rsid w:val="00E8407C"/>
    <w:rsid w:val="00E84F3C"/>
    <w:rsid w:val="00E867C5"/>
    <w:rsid w:val="00E92872"/>
    <w:rsid w:val="00E9798C"/>
    <w:rsid w:val="00EA012C"/>
    <w:rsid w:val="00EC56C4"/>
    <w:rsid w:val="00EC6A55"/>
    <w:rsid w:val="00ED0288"/>
    <w:rsid w:val="00ED278B"/>
    <w:rsid w:val="00ED3194"/>
    <w:rsid w:val="00EE2C25"/>
    <w:rsid w:val="00EE52CB"/>
    <w:rsid w:val="00EE6E8C"/>
    <w:rsid w:val="00EF581D"/>
    <w:rsid w:val="00EF7019"/>
    <w:rsid w:val="00EF7FD8"/>
    <w:rsid w:val="00F03BCF"/>
    <w:rsid w:val="00F040A6"/>
    <w:rsid w:val="00F06F59"/>
    <w:rsid w:val="00F17988"/>
    <w:rsid w:val="00F302EC"/>
    <w:rsid w:val="00F32531"/>
    <w:rsid w:val="00F469F0"/>
    <w:rsid w:val="00F53273"/>
    <w:rsid w:val="00F60DDD"/>
    <w:rsid w:val="00F64EE1"/>
    <w:rsid w:val="00F755E4"/>
    <w:rsid w:val="00F77D02"/>
    <w:rsid w:val="00F77DFD"/>
    <w:rsid w:val="00F861F5"/>
    <w:rsid w:val="00F95604"/>
    <w:rsid w:val="00FA13D9"/>
    <w:rsid w:val="00FB3A86"/>
    <w:rsid w:val="00FC7EFC"/>
    <w:rsid w:val="00FD36C8"/>
    <w:rsid w:val="00FD5F56"/>
    <w:rsid w:val="00FE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B8110C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D039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CD039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731455"/>
    <w:pPr>
      <w:ind w:left="720"/>
      <w:contextualSpacing/>
    </w:pPr>
  </w:style>
  <w:style w:type="paragraph" w:customStyle="1" w:styleId="p1">
    <w:name w:val="p1"/>
    <w:basedOn w:val="Normal"/>
    <w:rsid w:val="00B936EC"/>
    <w:pPr>
      <w:spacing w:before="100" w:beforeAutospacing="1" w:after="100" w:afterAutospacing="1"/>
    </w:pPr>
    <w:rPr>
      <w:rFonts w:ascii="Times New Roman" w:eastAsiaTheme="minorEastAsia" w:hAnsi="Times New Roman"/>
      <w:sz w:val="24"/>
      <w:szCs w:val="24"/>
      <w:lang w:val="en-AE"/>
    </w:rPr>
  </w:style>
  <w:style w:type="character" w:customStyle="1" w:styleId="s1">
    <w:name w:val="s1"/>
    <w:basedOn w:val="DefaultParagraphFont"/>
    <w:rsid w:val="00B936EC"/>
  </w:style>
  <w:style w:type="paragraph" w:customStyle="1" w:styleId="p2">
    <w:name w:val="p2"/>
    <w:basedOn w:val="Normal"/>
    <w:rsid w:val="00B936EC"/>
    <w:pPr>
      <w:spacing w:before="100" w:beforeAutospacing="1" w:after="100" w:afterAutospacing="1"/>
    </w:pPr>
    <w:rPr>
      <w:rFonts w:ascii="Times New Roman" w:eastAsiaTheme="minorEastAsia" w:hAnsi="Times New Roman"/>
      <w:sz w:val="24"/>
      <w:szCs w:val="24"/>
      <w:lang w:val="en-AE"/>
    </w:rPr>
  </w:style>
  <w:style w:type="character" w:customStyle="1" w:styleId="s2">
    <w:name w:val="s2"/>
    <w:basedOn w:val="DefaultParagraphFont"/>
    <w:rsid w:val="00B9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3043971">
      <w:bodyDiv w:val="1"/>
      <w:marLeft w:val="0"/>
      <w:marRight w:val="0"/>
      <w:marTop w:val="0"/>
      <w:marBottom w:val="0"/>
      <w:divBdr>
        <w:top w:val="none" w:sz="0" w:space="0" w:color="auto"/>
        <w:left w:val="none" w:sz="0" w:space="0" w:color="auto"/>
        <w:bottom w:val="none" w:sz="0" w:space="0" w:color="auto"/>
        <w:right w:val="none" w:sz="0" w:space="0" w:color="auto"/>
      </w:divBdr>
    </w:div>
    <w:div w:id="10651135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409724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1670813">
      <w:bodyDiv w:val="1"/>
      <w:marLeft w:val="0"/>
      <w:marRight w:val="0"/>
      <w:marTop w:val="0"/>
      <w:marBottom w:val="0"/>
      <w:divBdr>
        <w:top w:val="none" w:sz="0" w:space="0" w:color="auto"/>
        <w:left w:val="none" w:sz="0" w:space="0" w:color="auto"/>
        <w:bottom w:val="none" w:sz="0" w:space="0" w:color="auto"/>
        <w:right w:val="none" w:sz="0" w:space="0" w:color="auto"/>
      </w:divBdr>
    </w:div>
    <w:div w:id="260987924">
      <w:bodyDiv w:val="1"/>
      <w:marLeft w:val="0"/>
      <w:marRight w:val="0"/>
      <w:marTop w:val="0"/>
      <w:marBottom w:val="0"/>
      <w:divBdr>
        <w:top w:val="none" w:sz="0" w:space="0" w:color="auto"/>
        <w:left w:val="none" w:sz="0" w:space="0" w:color="auto"/>
        <w:bottom w:val="none" w:sz="0" w:space="0" w:color="auto"/>
        <w:right w:val="none" w:sz="0" w:space="0" w:color="auto"/>
      </w:divBdr>
    </w:div>
    <w:div w:id="326786858">
      <w:bodyDiv w:val="1"/>
      <w:marLeft w:val="0"/>
      <w:marRight w:val="0"/>
      <w:marTop w:val="0"/>
      <w:marBottom w:val="0"/>
      <w:divBdr>
        <w:top w:val="none" w:sz="0" w:space="0" w:color="auto"/>
        <w:left w:val="none" w:sz="0" w:space="0" w:color="auto"/>
        <w:bottom w:val="none" w:sz="0" w:space="0" w:color="auto"/>
        <w:right w:val="none" w:sz="0" w:space="0" w:color="auto"/>
      </w:divBdr>
    </w:div>
    <w:div w:id="469133248">
      <w:bodyDiv w:val="1"/>
      <w:marLeft w:val="0"/>
      <w:marRight w:val="0"/>
      <w:marTop w:val="0"/>
      <w:marBottom w:val="0"/>
      <w:divBdr>
        <w:top w:val="none" w:sz="0" w:space="0" w:color="auto"/>
        <w:left w:val="none" w:sz="0" w:space="0" w:color="auto"/>
        <w:bottom w:val="none" w:sz="0" w:space="0" w:color="auto"/>
        <w:right w:val="none" w:sz="0" w:space="0" w:color="auto"/>
      </w:divBdr>
    </w:div>
    <w:div w:id="516508536">
      <w:bodyDiv w:val="1"/>
      <w:marLeft w:val="0"/>
      <w:marRight w:val="0"/>
      <w:marTop w:val="0"/>
      <w:marBottom w:val="0"/>
      <w:divBdr>
        <w:top w:val="none" w:sz="0" w:space="0" w:color="auto"/>
        <w:left w:val="none" w:sz="0" w:space="0" w:color="auto"/>
        <w:bottom w:val="none" w:sz="0" w:space="0" w:color="auto"/>
        <w:right w:val="none" w:sz="0" w:space="0" w:color="auto"/>
      </w:divBdr>
    </w:div>
    <w:div w:id="59278917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5452341">
      <w:bodyDiv w:val="1"/>
      <w:marLeft w:val="0"/>
      <w:marRight w:val="0"/>
      <w:marTop w:val="0"/>
      <w:marBottom w:val="0"/>
      <w:divBdr>
        <w:top w:val="none" w:sz="0" w:space="0" w:color="auto"/>
        <w:left w:val="none" w:sz="0" w:space="0" w:color="auto"/>
        <w:bottom w:val="none" w:sz="0" w:space="0" w:color="auto"/>
        <w:right w:val="none" w:sz="0" w:space="0" w:color="auto"/>
      </w:divBdr>
    </w:div>
    <w:div w:id="913782412">
      <w:bodyDiv w:val="1"/>
      <w:marLeft w:val="0"/>
      <w:marRight w:val="0"/>
      <w:marTop w:val="0"/>
      <w:marBottom w:val="0"/>
      <w:divBdr>
        <w:top w:val="none" w:sz="0" w:space="0" w:color="auto"/>
        <w:left w:val="none" w:sz="0" w:space="0" w:color="auto"/>
        <w:bottom w:val="none" w:sz="0" w:space="0" w:color="auto"/>
        <w:right w:val="none" w:sz="0" w:space="0" w:color="auto"/>
      </w:divBdr>
    </w:div>
    <w:div w:id="938490148">
      <w:bodyDiv w:val="1"/>
      <w:marLeft w:val="0"/>
      <w:marRight w:val="0"/>
      <w:marTop w:val="0"/>
      <w:marBottom w:val="0"/>
      <w:divBdr>
        <w:top w:val="none" w:sz="0" w:space="0" w:color="auto"/>
        <w:left w:val="none" w:sz="0" w:space="0" w:color="auto"/>
        <w:bottom w:val="none" w:sz="0" w:space="0" w:color="auto"/>
        <w:right w:val="none" w:sz="0" w:space="0" w:color="auto"/>
      </w:divBdr>
    </w:div>
    <w:div w:id="949118999">
      <w:bodyDiv w:val="1"/>
      <w:marLeft w:val="0"/>
      <w:marRight w:val="0"/>
      <w:marTop w:val="0"/>
      <w:marBottom w:val="0"/>
      <w:divBdr>
        <w:top w:val="none" w:sz="0" w:space="0" w:color="auto"/>
        <w:left w:val="none" w:sz="0" w:space="0" w:color="auto"/>
        <w:bottom w:val="none" w:sz="0" w:space="0" w:color="auto"/>
        <w:right w:val="none" w:sz="0" w:space="0" w:color="auto"/>
      </w:divBdr>
    </w:div>
    <w:div w:id="95101238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7052724">
      <w:bodyDiv w:val="1"/>
      <w:marLeft w:val="0"/>
      <w:marRight w:val="0"/>
      <w:marTop w:val="0"/>
      <w:marBottom w:val="0"/>
      <w:divBdr>
        <w:top w:val="none" w:sz="0" w:space="0" w:color="auto"/>
        <w:left w:val="none" w:sz="0" w:space="0" w:color="auto"/>
        <w:bottom w:val="none" w:sz="0" w:space="0" w:color="auto"/>
        <w:right w:val="none" w:sz="0" w:space="0" w:color="auto"/>
      </w:divBdr>
    </w:div>
    <w:div w:id="106039624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9671084">
      <w:bodyDiv w:val="1"/>
      <w:marLeft w:val="0"/>
      <w:marRight w:val="0"/>
      <w:marTop w:val="0"/>
      <w:marBottom w:val="0"/>
      <w:divBdr>
        <w:top w:val="none" w:sz="0" w:space="0" w:color="auto"/>
        <w:left w:val="none" w:sz="0" w:space="0" w:color="auto"/>
        <w:bottom w:val="none" w:sz="0" w:space="0" w:color="auto"/>
        <w:right w:val="none" w:sz="0" w:space="0" w:color="auto"/>
      </w:divBdr>
    </w:div>
    <w:div w:id="1084839069">
      <w:bodyDiv w:val="1"/>
      <w:marLeft w:val="0"/>
      <w:marRight w:val="0"/>
      <w:marTop w:val="0"/>
      <w:marBottom w:val="0"/>
      <w:divBdr>
        <w:top w:val="none" w:sz="0" w:space="0" w:color="auto"/>
        <w:left w:val="none" w:sz="0" w:space="0" w:color="auto"/>
        <w:bottom w:val="none" w:sz="0" w:space="0" w:color="auto"/>
        <w:right w:val="none" w:sz="0" w:space="0" w:color="auto"/>
      </w:divBdr>
    </w:div>
    <w:div w:id="110762641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5313458">
      <w:bodyDiv w:val="1"/>
      <w:marLeft w:val="0"/>
      <w:marRight w:val="0"/>
      <w:marTop w:val="0"/>
      <w:marBottom w:val="0"/>
      <w:divBdr>
        <w:top w:val="none" w:sz="0" w:space="0" w:color="auto"/>
        <w:left w:val="none" w:sz="0" w:space="0" w:color="auto"/>
        <w:bottom w:val="none" w:sz="0" w:space="0" w:color="auto"/>
        <w:right w:val="none" w:sz="0" w:space="0" w:color="auto"/>
      </w:divBdr>
    </w:div>
    <w:div w:id="1255701883">
      <w:bodyDiv w:val="1"/>
      <w:marLeft w:val="0"/>
      <w:marRight w:val="0"/>
      <w:marTop w:val="0"/>
      <w:marBottom w:val="0"/>
      <w:divBdr>
        <w:top w:val="none" w:sz="0" w:space="0" w:color="auto"/>
        <w:left w:val="none" w:sz="0" w:space="0" w:color="auto"/>
        <w:bottom w:val="none" w:sz="0" w:space="0" w:color="auto"/>
        <w:right w:val="none" w:sz="0" w:space="0" w:color="auto"/>
      </w:divBdr>
    </w:div>
    <w:div w:id="169345836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6418512">
      <w:bodyDiv w:val="1"/>
      <w:marLeft w:val="0"/>
      <w:marRight w:val="0"/>
      <w:marTop w:val="0"/>
      <w:marBottom w:val="0"/>
      <w:divBdr>
        <w:top w:val="none" w:sz="0" w:space="0" w:color="auto"/>
        <w:left w:val="none" w:sz="0" w:space="0" w:color="auto"/>
        <w:bottom w:val="none" w:sz="0" w:space="0" w:color="auto"/>
        <w:right w:val="none" w:sz="0" w:space="0" w:color="auto"/>
      </w:divBdr>
    </w:div>
    <w:div w:id="1749959210">
      <w:bodyDiv w:val="1"/>
      <w:marLeft w:val="0"/>
      <w:marRight w:val="0"/>
      <w:marTop w:val="0"/>
      <w:marBottom w:val="0"/>
      <w:divBdr>
        <w:top w:val="none" w:sz="0" w:space="0" w:color="auto"/>
        <w:left w:val="none" w:sz="0" w:space="0" w:color="auto"/>
        <w:bottom w:val="none" w:sz="0" w:space="0" w:color="auto"/>
        <w:right w:val="none" w:sz="0" w:space="0" w:color="auto"/>
      </w:divBdr>
    </w:div>
    <w:div w:id="1810319885">
      <w:bodyDiv w:val="1"/>
      <w:marLeft w:val="0"/>
      <w:marRight w:val="0"/>
      <w:marTop w:val="0"/>
      <w:marBottom w:val="0"/>
      <w:divBdr>
        <w:top w:val="none" w:sz="0" w:space="0" w:color="auto"/>
        <w:left w:val="none" w:sz="0" w:space="0" w:color="auto"/>
        <w:bottom w:val="none" w:sz="0" w:space="0" w:color="auto"/>
        <w:right w:val="none" w:sz="0" w:space="0" w:color="auto"/>
      </w:divBdr>
    </w:div>
    <w:div w:id="1811747242">
      <w:bodyDiv w:val="1"/>
      <w:marLeft w:val="0"/>
      <w:marRight w:val="0"/>
      <w:marTop w:val="0"/>
      <w:marBottom w:val="0"/>
      <w:divBdr>
        <w:top w:val="none" w:sz="0" w:space="0" w:color="auto"/>
        <w:left w:val="none" w:sz="0" w:space="0" w:color="auto"/>
        <w:bottom w:val="none" w:sz="0" w:space="0" w:color="auto"/>
        <w:right w:val="none" w:sz="0" w:space="0" w:color="auto"/>
      </w:divBdr>
    </w:div>
    <w:div w:id="187815629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2370212">
      <w:bodyDiv w:val="1"/>
      <w:marLeft w:val="0"/>
      <w:marRight w:val="0"/>
      <w:marTop w:val="0"/>
      <w:marBottom w:val="0"/>
      <w:divBdr>
        <w:top w:val="none" w:sz="0" w:space="0" w:color="auto"/>
        <w:left w:val="none" w:sz="0" w:space="0" w:color="auto"/>
        <w:bottom w:val="none" w:sz="0" w:space="0" w:color="auto"/>
        <w:right w:val="none" w:sz="0" w:space="0" w:color="auto"/>
      </w:divBdr>
    </w:div>
    <w:div w:id="2064983600">
      <w:bodyDiv w:val="1"/>
      <w:marLeft w:val="0"/>
      <w:marRight w:val="0"/>
      <w:marTop w:val="0"/>
      <w:marBottom w:val="0"/>
      <w:divBdr>
        <w:top w:val="none" w:sz="0" w:space="0" w:color="auto"/>
        <w:left w:val="none" w:sz="0" w:space="0" w:color="auto"/>
        <w:bottom w:val="none" w:sz="0" w:space="0" w:color="auto"/>
        <w:right w:val="none" w:sz="0" w:space="0" w:color="auto"/>
      </w:divBdr>
    </w:div>
    <w:div w:id="210036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SG"/>
              <a:t>No. of Live</a:t>
            </a:r>
            <a:r>
              <a:rPr lang="en-SG" baseline="0"/>
              <a:t> Brine Shrimp per Concentration</a:t>
            </a:r>
            <a:endParaRPr lang="en-SG"/>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Day 1</c:v>
                </c:pt>
              </c:strCache>
            </c:strRef>
          </c:tx>
          <c:spPr>
            <a:solidFill>
              <a:schemeClr val="accent6">
                <a:shade val="76000"/>
              </a:schemeClr>
            </a:solidFill>
            <a:ln>
              <a:noFill/>
            </a:ln>
            <a:effectLst/>
          </c:spPr>
          <c:invertIfNegative val="0"/>
          <c:cat>
            <c:strRef>
              <c:f>Sheet1!$A$2:$A$6</c:f>
              <c:strCache>
                <c:ptCount val="5"/>
                <c:pt idx="0">
                  <c:v>1000 ppm</c:v>
                </c:pt>
                <c:pt idx="1">
                  <c:v>100 ppm</c:v>
                </c:pt>
                <c:pt idx="2">
                  <c:v>10 ppm</c:v>
                </c:pt>
                <c:pt idx="3">
                  <c:v>1 ppm</c:v>
                </c:pt>
                <c:pt idx="4">
                  <c:v>0 ppm</c:v>
                </c:pt>
              </c:strCache>
            </c:strRef>
          </c:cat>
          <c:val>
            <c:numRef>
              <c:f>Sheet1!$B$2:$B$6</c:f>
              <c:numCache>
                <c:formatCode>General</c:formatCode>
                <c:ptCount val="5"/>
                <c:pt idx="0">
                  <c:v>10</c:v>
                </c:pt>
                <c:pt idx="1">
                  <c:v>10</c:v>
                </c:pt>
                <c:pt idx="2">
                  <c:v>10</c:v>
                </c:pt>
                <c:pt idx="3">
                  <c:v>10</c:v>
                </c:pt>
                <c:pt idx="4">
                  <c:v>10</c:v>
                </c:pt>
              </c:numCache>
            </c:numRef>
          </c:val>
          <c:extLst>
            <c:ext xmlns:c16="http://schemas.microsoft.com/office/drawing/2014/chart" uri="{C3380CC4-5D6E-409C-BE32-E72D297353CC}">
              <c16:uniqueId val="{00000000-096F-459E-8A65-77CC466B2390}"/>
            </c:ext>
          </c:extLst>
        </c:ser>
        <c:ser>
          <c:idx val="1"/>
          <c:order val="1"/>
          <c:tx>
            <c:strRef>
              <c:f>Sheet1!$C$1</c:f>
              <c:strCache>
                <c:ptCount val="1"/>
                <c:pt idx="0">
                  <c:v>Day 2</c:v>
                </c:pt>
              </c:strCache>
            </c:strRef>
          </c:tx>
          <c:spPr>
            <a:solidFill>
              <a:schemeClr val="accent6">
                <a:tint val="77000"/>
              </a:schemeClr>
            </a:solidFill>
            <a:ln>
              <a:noFill/>
            </a:ln>
            <a:effectLst/>
          </c:spPr>
          <c:invertIfNegative val="0"/>
          <c:cat>
            <c:strRef>
              <c:f>Sheet1!$A$2:$A$6</c:f>
              <c:strCache>
                <c:ptCount val="5"/>
                <c:pt idx="0">
                  <c:v>1000 ppm</c:v>
                </c:pt>
                <c:pt idx="1">
                  <c:v>100 ppm</c:v>
                </c:pt>
                <c:pt idx="2">
                  <c:v>10 ppm</c:v>
                </c:pt>
                <c:pt idx="3">
                  <c:v>1 ppm</c:v>
                </c:pt>
                <c:pt idx="4">
                  <c:v>0 ppm</c:v>
                </c:pt>
              </c:strCache>
            </c:strRef>
          </c:cat>
          <c:val>
            <c:numRef>
              <c:f>Sheet1!$C$2:$C$6</c:f>
              <c:numCache>
                <c:formatCode>General</c:formatCode>
                <c:ptCount val="5"/>
                <c:pt idx="0">
                  <c:v>5</c:v>
                </c:pt>
                <c:pt idx="1">
                  <c:v>7</c:v>
                </c:pt>
                <c:pt idx="2">
                  <c:v>7</c:v>
                </c:pt>
                <c:pt idx="3">
                  <c:v>10</c:v>
                </c:pt>
                <c:pt idx="4">
                  <c:v>10</c:v>
                </c:pt>
              </c:numCache>
            </c:numRef>
          </c:val>
          <c:extLst>
            <c:ext xmlns:c16="http://schemas.microsoft.com/office/drawing/2014/chart" uri="{C3380CC4-5D6E-409C-BE32-E72D297353CC}">
              <c16:uniqueId val="{00000001-096F-459E-8A65-77CC466B2390}"/>
            </c:ext>
          </c:extLst>
        </c:ser>
        <c:dLbls>
          <c:showLegendKey val="0"/>
          <c:showVal val="0"/>
          <c:showCatName val="0"/>
          <c:showSerName val="0"/>
          <c:showPercent val="0"/>
          <c:showBubbleSize val="0"/>
        </c:dLbls>
        <c:gapWidth val="219"/>
        <c:overlap val="-27"/>
        <c:axId val="438209920"/>
        <c:axId val="438203680"/>
      </c:barChart>
      <c:catAx>
        <c:axId val="43820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38203680"/>
        <c:crosses val="autoZero"/>
        <c:auto val="1"/>
        <c:lblAlgn val="ctr"/>
        <c:lblOffset val="100"/>
        <c:noMultiLvlLbl val="0"/>
      </c:catAx>
      <c:valAx>
        <c:axId val="43820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3820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73BB-1635-4B60-A916-610F171E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14</Pages>
  <Words>5689</Words>
  <Characters>34760</Characters>
  <Application>Microsoft Office Word</Application>
  <DocSecurity>0</DocSecurity>
  <Lines>772</Lines>
  <Paragraphs>262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40187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cp:revision>
  <cp:lastPrinted>1999-07-06T11:00:00Z</cp:lastPrinted>
  <dcterms:created xsi:type="dcterms:W3CDTF">2025-05-01T14:08:00Z</dcterms:created>
  <dcterms:modified xsi:type="dcterms:W3CDTF">2025-05-01T14:08:00Z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d0865d6678d00a7ddf21a5ad574c10804166d55f07d1c756e1d73c94afbb3340</vt:lpwstr>
  </property>
</Properties>
</file>