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9FDC" w14:textId="77777777" w:rsidR="00754C9A" w:rsidRDefault="00754C9A" w:rsidP="00441B6F">
      <w:pPr>
        <w:pStyle w:val="Title"/>
        <w:spacing w:after="0"/>
        <w:jc w:val="both"/>
        <w:rPr>
          <w:rFonts w:ascii="Arial" w:hAnsi="Arial" w:cs="Arial"/>
        </w:rPr>
      </w:pPr>
    </w:p>
    <w:p w14:paraId="052EBB94" w14:textId="4E1F0C6A" w:rsidR="00163BC4" w:rsidRPr="00163BC4" w:rsidRDefault="00BD50B4" w:rsidP="00441B6F">
      <w:pPr>
        <w:pStyle w:val="Author"/>
        <w:spacing w:line="240" w:lineRule="auto"/>
        <w:rPr>
          <w:rFonts w:ascii="Arial" w:hAnsi="Arial" w:cs="Arial"/>
          <w:bCs/>
          <w:iCs/>
          <w:kern w:val="28"/>
          <w:sz w:val="36"/>
        </w:rPr>
      </w:pPr>
      <w:r w:rsidRPr="00BD50B4">
        <w:rPr>
          <w:rFonts w:ascii="Arial" w:hAnsi="Arial" w:cs="Arial"/>
          <w:bCs/>
          <w:iCs/>
          <w:kern w:val="28"/>
          <w:sz w:val="36"/>
        </w:rPr>
        <w:t>Exposure, Language Learning and Reading Strategies: A Structural Model</w:t>
      </w:r>
      <w:r w:rsidR="00045CC5">
        <w:rPr>
          <w:rFonts w:ascii="Arial" w:hAnsi="Arial" w:cs="Arial"/>
          <w:bCs/>
          <w:iCs/>
          <w:kern w:val="28"/>
          <w:sz w:val="36"/>
        </w:rPr>
        <w:t xml:space="preserve"> for</w:t>
      </w:r>
      <w:r w:rsidRPr="00BD50B4">
        <w:rPr>
          <w:rFonts w:ascii="Arial" w:hAnsi="Arial" w:cs="Arial"/>
          <w:bCs/>
          <w:iCs/>
          <w:kern w:val="28"/>
          <w:sz w:val="36"/>
        </w:rPr>
        <w:t xml:space="preserve"> Grammatical Competence</w:t>
      </w:r>
    </w:p>
    <w:p w14:paraId="6CDECB98" w14:textId="77777777" w:rsidR="00A258C3" w:rsidRPr="00790ADA" w:rsidRDefault="00A258C3" w:rsidP="00441B6F">
      <w:pPr>
        <w:pStyle w:val="Author"/>
        <w:spacing w:line="240" w:lineRule="auto"/>
        <w:jc w:val="both"/>
        <w:rPr>
          <w:rFonts w:ascii="Arial" w:hAnsi="Arial" w:cs="Arial"/>
          <w:sz w:val="36"/>
        </w:rPr>
      </w:pPr>
    </w:p>
    <w:p w14:paraId="66EE63F3" w14:textId="3C7EDEA9" w:rsidR="00B01FCD" w:rsidRPr="00FB3A86" w:rsidRDefault="00BD50B4" w:rsidP="00441B6F">
      <w:pPr>
        <w:pStyle w:val="Copyright"/>
        <w:spacing w:after="0" w:line="240" w:lineRule="auto"/>
        <w:jc w:val="both"/>
        <w:rPr>
          <w:rFonts w:ascii="Arial" w:hAnsi="Arial" w:cs="Arial"/>
        </w:rPr>
        <w:sectPr w:rsidR="00B01FCD" w:rsidRPr="00FB3A86" w:rsidSect="000A4F0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865B25B" wp14:editId="256205A2">
                <wp:extent cx="5303520" cy="635"/>
                <wp:effectExtent l="13335" t="13335" r="17145" b="15240"/>
                <wp:docPr id="53850404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747EC2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27D4D79" w14:textId="5FE7CD6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C11FFE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98B6868" w14:textId="77777777" w:rsidTr="001E44FE">
        <w:tc>
          <w:tcPr>
            <w:tcW w:w="9576" w:type="dxa"/>
            <w:shd w:val="clear" w:color="auto" w:fill="F2F2F2"/>
          </w:tcPr>
          <w:p w14:paraId="2FD02C6C" w14:textId="77777777" w:rsidR="00E567EC" w:rsidRPr="00E567EC" w:rsidRDefault="00E567EC" w:rsidP="00E567EC">
            <w:pPr>
              <w:pStyle w:val="Body"/>
              <w:rPr>
                <w:rFonts w:ascii="Arial" w:eastAsia="Calibri" w:hAnsi="Arial" w:cs="Arial"/>
                <w:szCs w:val="22"/>
              </w:rPr>
            </w:pPr>
            <w:r w:rsidRPr="00E567EC">
              <w:rPr>
                <w:rFonts w:ascii="Arial" w:eastAsia="Calibri" w:hAnsi="Arial" w:cs="Arial"/>
                <w:szCs w:val="22"/>
              </w:rPr>
              <w:t>This study explored how language exposure, language learning, and reading strategies are connected to grammatical competence among 400 Grade 9 students in public schools in Region XI. Using a non-experimental, quantitative approach with Structural Equation Modeling (SEM), the researcher collected data through a validated questionnaire to understand these relationships.</w:t>
            </w:r>
          </w:p>
          <w:p w14:paraId="6044ECF2" w14:textId="77777777" w:rsidR="00E567EC" w:rsidRPr="00E567EC" w:rsidRDefault="00E567EC" w:rsidP="00E567EC">
            <w:pPr>
              <w:pStyle w:val="Body"/>
              <w:rPr>
                <w:rFonts w:ascii="Arial" w:eastAsia="Calibri" w:hAnsi="Arial" w:cs="Arial"/>
                <w:szCs w:val="22"/>
              </w:rPr>
            </w:pPr>
            <w:r w:rsidRPr="00E567EC">
              <w:rPr>
                <w:rFonts w:ascii="Arial" w:eastAsia="Calibri" w:hAnsi="Arial" w:cs="Arial"/>
                <w:szCs w:val="22"/>
              </w:rPr>
              <w:t>The findings showed that students generally had high language exposure (mean = 3.82), with school being the main source (mean = 4.01) and home exposure being slightly lower (mean = 3.65). In terms of language learning, students also performed well (mean = 3.96), with reading emerging as the strongest skill (mean = 4.01) and listening as the weakest (mean = 3.92). For reading strategies, students scored high overall (mean = 4.01), with cognitive strategies slightly ahead of metacognitive strategies, showing that students actively engage with texts to improve their understanding. Grammatical competence was extreme (mean = 4.29), with subject-verb agreement being the most consistently applied skill (mean = 4.52).</w:t>
            </w:r>
          </w:p>
          <w:p w14:paraId="4F42E537" w14:textId="77777777" w:rsidR="00E567EC" w:rsidRPr="00E567EC" w:rsidRDefault="00E567EC" w:rsidP="00E567EC">
            <w:pPr>
              <w:pStyle w:val="Body"/>
              <w:rPr>
                <w:rFonts w:ascii="Arial" w:eastAsia="Calibri" w:hAnsi="Arial" w:cs="Arial"/>
                <w:szCs w:val="22"/>
              </w:rPr>
            </w:pPr>
            <w:r w:rsidRPr="00E567EC">
              <w:rPr>
                <w:rFonts w:ascii="Arial" w:eastAsia="Calibri" w:hAnsi="Arial" w:cs="Arial"/>
                <w:szCs w:val="22"/>
              </w:rPr>
              <w:t>However, the study also found some weak negative correlations between language exposure, language learning, reading strategies, and grammatical competence, suggesting that these factors don’t always have straightforward effects on each other. The best-fitting model, Structural Model 3, showed that while these factors are all important for developing grammatical competence, the relationships are more complex than initially expected.</w:t>
            </w:r>
          </w:p>
          <w:p w14:paraId="5C35DDD0" w14:textId="54605EFF" w:rsidR="00F6149F" w:rsidRPr="00BA1B01" w:rsidRDefault="00E567EC" w:rsidP="00E567EC">
            <w:pPr>
              <w:pStyle w:val="Body"/>
              <w:spacing w:after="0"/>
              <w:rPr>
                <w:rFonts w:ascii="Arial" w:eastAsia="Calibri" w:hAnsi="Arial" w:cs="Arial"/>
                <w:szCs w:val="22"/>
              </w:rPr>
            </w:pPr>
            <w:r w:rsidRPr="00E567EC">
              <w:rPr>
                <w:rFonts w:ascii="Arial" w:eastAsia="Calibri" w:hAnsi="Arial" w:cs="Arial"/>
                <w:szCs w:val="22"/>
              </w:rPr>
              <w:t>The study highlights the need for stronger language education, more effective teaching strategies, and supportive learning environments. It also suggests that future research should include other educational levels, explore the impact of digital and social media, and test practical grammar teaching methods. Developing local teaching materials based on these insights could improve students’ grammatical competence.</w:t>
            </w:r>
          </w:p>
        </w:tc>
      </w:tr>
    </w:tbl>
    <w:p w14:paraId="14310A37" w14:textId="77777777" w:rsidR="00636EB2" w:rsidRDefault="00636EB2" w:rsidP="00441B6F">
      <w:pPr>
        <w:pStyle w:val="Body"/>
        <w:spacing w:after="0"/>
        <w:rPr>
          <w:rFonts w:ascii="Arial" w:hAnsi="Arial" w:cs="Arial"/>
          <w:i/>
        </w:rPr>
      </w:pPr>
    </w:p>
    <w:p w14:paraId="3861AECE" w14:textId="480BD1F6" w:rsidR="00A24E7E" w:rsidRDefault="00A24E7E" w:rsidP="00850243">
      <w:pPr>
        <w:pStyle w:val="Body"/>
        <w:spacing w:after="0"/>
        <w:rPr>
          <w:rFonts w:ascii="Arial" w:hAnsi="Arial" w:cs="Arial"/>
          <w:i/>
        </w:rPr>
      </w:pPr>
      <w:r>
        <w:rPr>
          <w:rFonts w:ascii="Arial" w:hAnsi="Arial" w:cs="Arial"/>
          <w:i/>
        </w:rPr>
        <w:t xml:space="preserve">Keywords: </w:t>
      </w:r>
      <w:r w:rsidR="00984E8F">
        <w:rPr>
          <w:rFonts w:ascii="Arial" w:hAnsi="Arial" w:cs="Arial"/>
          <w:i/>
        </w:rPr>
        <w:t>Education, Student-Learner, Language Exposure, Language Learning, Reading Strategies, Grammatical Competence, Structural Model</w:t>
      </w:r>
    </w:p>
    <w:p w14:paraId="167BF1FA" w14:textId="77777777" w:rsidR="00790ADA" w:rsidRDefault="00790ADA" w:rsidP="00441B6F">
      <w:pPr>
        <w:pStyle w:val="Body"/>
        <w:spacing w:after="0"/>
        <w:rPr>
          <w:rFonts w:ascii="Arial" w:hAnsi="Arial" w:cs="Arial"/>
          <w:i/>
        </w:rPr>
      </w:pPr>
    </w:p>
    <w:p w14:paraId="4988771F" w14:textId="77777777" w:rsidR="00505F06" w:rsidRPr="00A24E7E" w:rsidRDefault="00505F06" w:rsidP="00441B6F">
      <w:pPr>
        <w:pStyle w:val="Body"/>
        <w:spacing w:after="0"/>
        <w:rPr>
          <w:rFonts w:ascii="Arial" w:hAnsi="Arial" w:cs="Arial"/>
          <w:i/>
        </w:rPr>
      </w:pPr>
    </w:p>
    <w:p w14:paraId="134ECDCF" w14:textId="6067505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13A471B" w14:textId="77777777" w:rsidR="00790ADA" w:rsidRPr="00FB3A86" w:rsidRDefault="00790ADA" w:rsidP="00441B6F">
      <w:pPr>
        <w:pStyle w:val="AbstHead"/>
        <w:spacing w:after="0"/>
        <w:jc w:val="both"/>
        <w:rPr>
          <w:rFonts w:ascii="Arial" w:hAnsi="Arial" w:cs="Arial"/>
        </w:rPr>
      </w:pPr>
    </w:p>
    <w:p w14:paraId="364D2F68" w14:textId="77777777" w:rsidR="007376D5" w:rsidRPr="007376D5" w:rsidRDefault="007376D5" w:rsidP="007376D5">
      <w:pPr>
        <w:pStyle w:val="Body"/>
        <w:rPr>
          <w:rFonts w:ascii="Arial" w:hAnsi="Arial" w:cs="Arial"/>
          <w:sz w:val="22"/>
          <w:szCs w:val="22"/>
        </w:rPr>
      </w:pPr>
      <w:r w:rsidRPr="007376D5">
        <w:rPr>
          <w:rFonts w:ascii="Arial" w:hAnsi="Arial" w:cs="Arial"/>
          <w:sz w:val="22"/>
          <w:szCs w:val="22"/>
        </w:rPr>
        <w:t xml:space="preserve">Grammatical competence is an important part of effective communication. It helps people express their thoughts clearly and correctly, whether speaking or writing. In school, having good grammar skills is especially important because students need to explain complex ideas clearly to do well. Even though grammar is so important, many students still find it difficult. This affects their confidence and their performance in tasks that require language. Research shows that understanding grammar helps not </w:t>
      </w:r>
      <w:r w:rsidRPr="007376D5">
        <w:rPr>
          <w:rFonts w:ascii="Arial" w:hAnsi="Arial" w:cs="Arial"/>
          <w:sz w:val="22"/>
          <w:szCs w:val="22"/>
        </w:rPr>
        <w:lastRenderedPageBreak/>
        <w:t>only with using language correctly but also with becoming more fluent and understanding different types of communication (</w:t>
      </w:r>
      <w:proofErr w:type="spellStart"/>
      <w:r w:rsidRPr="007376D5">
        <w:rPr>
          <w:rFonts w:ascii="Arial" w:hAnsi="Arial" w:cs="Arial"/>
          <w:sz w:val="22"/>
          <w:szCs w:val="22"/>
        </w:rPr>
        <w:t>Amroune</w:t>
      </w:r>
      <w:proofErr w:type="spellEnd"/>
      <w:r w:rsidRPr="007376D5">
        <w:rPr>
          <w:rFonts w:ascii="Arial" w:hAnsi="Arial" w:cs="Arial"/>
          <w:sz w:val="22"/>
          <w:szCs w:val="22"/>
        </w:rPr>
        <w:t xml:space="preserve"> &amp; </w:t>
      </w:r>
      <w:proofErr w:type="spellStart"/>
      <w:r w:rsidRPr="007376D5">
        <w:rPr>
          <w:rFonts w:ascii="Arial" w:hAnsi="Arial" w:cs="Arial"/>
          <w:sz w:val="22"/>
          <w:szCs w:val="22"/>
        </w:rPr>
        <w:t>Charik</w:t>
      </w:r>
      <w:proofErr w:type="spellEnd"/>
      <w:r w:rsidRPr="007376D5">
        <w:rPr>
          <w:rFonts w:ascii="Arial" w:hAnsi="Arial" w:cs="Arial"/>
          <w:sz w:val="22"/>
          <w:szCs w:val="22"/>
        </w:rPr>
        <w:t>, 2020; Ismail &amp; Dedi, 2021).</w:t>
      </w:r>
    </w:p>
    <w:p w14:paraId="4A20682C" w14:textId="2F71643B" w:rsidR="007376D5" w:rsidRPr="007376D5" w:rsidRDefault="007376D5" w:rsidP="007376D5">
      <w:pPr>
        <w:pStyle w:val="Body"/>
        <w:rPr>
          <w:rFonts w:ascii="Arial" w:hAnsi="Arial" w:cs="Arial"/>
          <w:sz w:val="22"/>
          <w:szCs w:val="22"/>
        </w:rPr>
      </w:pPr>
      <w:r w:rsidRPr="007376D5">
        <w:rPr>
          <w:rFonts w:ascii="Arial" w:hAnsi="Arial" w:cs="Arial"/>
          <w:sz w:val="22"/>
          <w:szCs w:val="22"/>
        </w:rPr>
        <w:t xml:space="preserve">Still, </w:t>
      </w:r>
      <w:r w:rsidRPr="007376D5">
        <w:rPr>
          <w:rFonts w:ascii="Arial" w:hAnsi="Arial" w:cs="Arial"/>
          <w:sz w:val="22"/>
          <w:szCs w:val="22"/>
        </w:rPr>
        <w:t>many</w:t>
      </w:r>
      <w:r w:rsidRPr="007376D5">
        <w:rPr>
          <w:rFonts w:ascii="Arial" w:hAnsi="Arial" w:cs="Arial"/>
          <w:sz w:val="22"/>
          <w:szCs w:val="22"/>
        </w:rPr>
        <w:t xml:space="preserve"> students show low grammar skills. Studies by Bentsen (2021) and </w:t>
      </w:r>
      <w:proofErr w:type="spellStart"/>
      <w:r w:rsidRPr="007376D5">
        <w:rPr>
          <w:rFonts w:ascii="Arial" w:hAnsi="Arial" w:cs="Arial"/>
          <w:sz w:val="22"/>
          <w:szCs w:val="22"/>
        </w:rPr>
        <w:t>Alsied</w:t>
      </w:r>
      <w:proofErr w:type="spellEnd"/>
      <w:r w:rsidRPr="007376D5">
        <w:rPr>
          <w:rFonts w:ascii="Arial" w:hAnsi="Arial" w:cs="Arial"/>
          <w:sz w:val="22"/>
          <w:szCs w:val="22"/>
        </w:rPr>
        <w:t xml:space="preserve"> et al. (2018) found that many students do not receive enough or proper grammar instruction. Because of this, they often make the same mistakes and struggle to express themselves. This can make them afraid to speak or write, especially in school or social situations. As a result, their language skills and academic success are affected.</w:t>
      </w:r>
    </w:p>
    <w:p w14:paraId="58492D16" w14:textId="0CE133CA" w:rsidR="007376D5" w:rsidRPr="007376D5" w:rsidRDefault="007376D5" w:rsidP="007376D5">
      <w:pPr>
        <w:pStyle w:val="Body"/>
        <w:rPr>
          <w:rFonts w:ascii="Arial" w:hAnsi="Arial" w:cs="Arial"/>
          <w:sz w:val="22"/>
          <w:szCs w:val="22"/>
        </w:rPr>
      </w:pPr>
      <w:r w:rsidRPr="007376D5">
        <w:rPr>
          <w:rFonts w:ascii="Arial" w:hAnsi="Arial" w:cs="Arial"/>
          <w:sz w:val="22"/>
          <w:szCs w:val="22"/>
        </w:rPr>
        <w:t xml:space="preserve">To help solve this problem, this study suggests a new approach that combines language exposure, language learning, and reading strategies to improve students’ grammatical competence. It aims to understand how </w:t>
      </w:r>
      <w:r w:rsidRPr="007376D5">
        <w:rPr>
          <w:rFonts w:ascii="Arial" w:hAnsi="Arial" w:cs="Arial"/>
          <w:sz w:val="22"/>
          <w:szCs w:val="22"/>
        </w:rPr>
        <w:t>these three parts works</w:t>
      </w:r>
      <w:r w:rsidRPr="007376D5">
        <w:rPr>
          <w:rFonts w:ascii="Arial" w:hAnsi="Arial" w:cs="Arial"/>
          <w:sz w:val="22"/>
          <w:szCs w:val="22"/>
        </w:rPr>
        <w:t xml:space="preserve"> together and how they can be used to help students improve their grammar and communication. The goal is to create a teaching method that works well for students in public secondary schools.</w:t>
      </w:r>
    </w:p>
    <w:p w14:paraId="0A537B50" w14:textId="77777777" w:rsidR="007376D5" w:rsidRPr="007376D5" w:rsidRDefault="007376D5" w:rsidP="007376D5">
      <w:pPr>
        <w:pStyle w:val="Body"/>
        <w:rPr>
          <w:rFonts w:ascii="Arial" w:hAnsi="Arial" w:cs="Arial"/>
          <w:sz w:val="22"/>
          <w:szCs w:val="22"/>
        </w:rPr>
      </w:pPr>
      <w:r w:rsidRPr="007376D5">
        <w:rPr>
          <w:rFonts w:ascii="Arial" w:hAnsi="Arial" w:cs="Arial"/>
          <w:sz w:val="22"/>
          <w:szCs w:val="22"/>
        </w:rPr>
        <w:t xml:space="preserve">Many studies support the idea that grammar is best learned when students use the language actively. Swain’s (2008) Output Hypothesis shows that speaking and writing help students learn grammar better. Ellis (2009) also believes that grammar is learned best when both direct teaching and natural use of language are combined. Theories from Vygotsky, Chomsky, Piaget, and Flavell also explain how grammar learning is supported by social interaction, natural ability, and thinking skills. In addition, research by Zhang and Wu (2019) and </w:t>
      </w:r>
      <w:proofErr w:type="spellStart"/>
      <w:r w:rsidRPr="007376D5">
        <w:rPr>
          <w:rFonts w:ascii="Arial" w:hAnsi="Arial" w:cs="Arial"/>
          <w:sz w:val="22"/>
          <w:szCs w:val="22"/>
        </w:rPr>
        <w:t>Bardovi-Harlig</w:t>
      </w:r>
      <w:proofErr w:type="spellEnd"/>
      <w:r w:rsidRPr="007376D5">
        <w:rPr>
          <w:rFonts w:ascii="Arial" w:hAnsi="Arial" w:cs="Arial"/>
          <w:sz w:val="22"/>
          <w:szCs w:val="22"/>
        </w:rPr>
        <w:t xml:space="preserve"> (1999) shows that reading and real-life language exposure help students learn grammar more effectively.</w:t>
      </w:r>
    </w:p>
    <w:p w14:paraId="4DE87DF3" w14:textId="36BE3056" w:rsidR="003167C3" w:rsidRDefault="007376D5" w:rsidP="007376D5">
      <w:pPr>
        <w:pStyle w:val="Body"/>
        <w:spacing w:after="0"/>
        <w:rPr>
          <w:rFonts w:ascii="Arial" w:hAnsi="Arial" w:cs="Arial"/>
          <w:sz w:val="22"/>
          <w:szCs w:val="22"/>
        </w:rPr>
      </w:pPr>
      <w:r w:rsidRPr="007376D5">
        <w:rPr>
          <w:rFonts w:ascii="Arial" w:hAnsi="Arial" w:cs="Arial"/>
          <w:sz w:val="22"/>
          <w:szCs w:val="22"/>
        </w:rPr>
        <w:t>This study is important because most local research has focused on college students or those in private schools. Public high school students, who often have fewer resources and support, are not as well studied. By focusing on this group, the study hopes to close this gap and improve grammar teaching in public schools. The results will help teachers, school leaders, and program planners create better ways to teach grammar. This supports the goal of Sustainable Development Goal (</w:t>
      </w:r>
      <w:proofErr w:type="gramStart"/>
      <w:r w:rsidRPr="007376D5">
        <w:rPr>
          <w:rFonts w:ascii="Arial" w:hAnsi="Arial" w:cs="Arial"/>
          <w:sz w:val="22"/>
          <w:szCs w:val="22"/>
        </w:rPr>
        <w:t>SDG)#</w:t>
      </w:r>
      <w:proofErr w:type="gramEnd"/>
      <w:r w:rsidRPr="007376D5">
        <w:rPr>
          <w:rFonts w:ascii="Arial" w:hAnsi="Arial" w:cs="Arial"/>
          <w:sz w:val="22"/>
          <w:szCs w:val="22"/>
        </w:rPr>
        <w:t>4: providing quality education for all.</w:t>
      </w:r>
    </w:p>
    <w:p w14:paraId="49900FE2" w14:textId="77777777" w:rsidR="007376D5" w:rsidRPr="003167C3" w:rsidRDefault="007376D5" w:rsidP="007376D5">
      <w:pPr>
        <w:pStyle w:val="Body"/>
        <w:spacing w:after="0"/>
        <w:rPr>
          <w:rFonts w:ascii="Arial" w:hAnsi="Arial" w:cs="Arial"/>
          <w:sz w:val="22"/>
          <w:szCs w:val="22"/>
        </w:rPr>
      </w:pPr>
    </w:p>
    <w:p w14:paraId="7F6974BB" w14:textId="406D99BC" w:rsidR="003167C3" w:rsidRDefault="003167C3" w:rsidP="003167C3">
      <w:pPr>
        <w:pStyle w:val="Body"/>
        <w:numPr>
          <w:ilvl w:val="1"/>
          <w:numId w:val="31"/>
        </w:numPr>
        <w:spacing w:after="0"/>
        <w:rPr>
          <w:rFonts w:ascii="Arial" w:hAnsi="Arial" w:cs="Arial"/>
          <w:b/>
          <w:bCs/>
          <w:sz w:val="22"/>
          <w:szCs w:val="22"/>
        </w:rPr>
      </w:pPr>
      <w:r w:rsidRPr="003167C3">
        <w:rPr>
          <w:rFonts w:ascii="Arial" w:hAnsi="Arial" w:cs="Arial"/>
          <w:b/>
          <w:bCs/>
          <w:sz w:val="22"/>
          <w:szCs w:val="22"/>
        </w:rPr>
        <w:t>RESEARCH OBJETIVES</w:t>
      </w:r>
    </w:p>
    <w:p w14:paraId="127E22B9" w14:textId="77777777" w:rsidR="00B75924" w:rsidRDefault="00B75924" w:rsidP="00B75924">
      <w:pPr>
        <w:pStyle w:val="Body"/>
        <w:spacing w:after="0"/>
        <w:ind w:left="372"/>
        <w:rPr>
          <w:rFonts w:ascii="Arial" w:hAnsi="Arial" w:cs="Arial"/>
          <w:b/>
          <w:bCs/>
          <w:sz w:val="22"/>
          <w:szCs w:val="22"/>
        </w:rPr>
      </w:pPr>
    </w:p>
    <w:p w14:paraId="50E98844" w14:textId="77777777" w:rsidR="003167C3" w:rsidRPr="003167C3" w:rsidRDefault="003167C3" w:rsidP="003167C3">
      <w:pPr>
        <w:pStyle w:val="Body"/>
        <w:rPr>
          <w:rFonts w:ascii="Arial" w:hAnsi="Arial" w:cs="Arial"/>
          <w:sz w:val="22"/>
          <w:szCs w:val="22"/>
        </w:rPr>
      </w:pPr>
      <w:r w:rsidRPr="003167C3">
        <w:rPr>
          <w:rFonts w:ascii="Arial" w:hAnsi="Arial" w:cs="Arial"/>
          <w:sz w:val="22"/>
          <w:szCs w:val="22"/>
        </w:rPr>
        <w:t>Objectives of the Study</w:t>
      </w:r>
    </w:p>
    <w:p w14:paraId="2A1D7D8F" w14:textId="77777777" w:rsidR="003167C3" w:rsidRPr="003167C3" w:rsidRDefault="003167C3" w:rsidP="003167C3">
      <w:pPr>
        <w:pStyle w:val="Body"/>
        <w:rPr>
          <w:rFonts w:ascii="Arial" w:hAnsi="Arial" w:cs="Arial"/>
        </w:rPr>
      </w:pPr>
      <w:r w:rsidRPr="003167C3">
        <w:rPr>
          <w:rFonts w:ascii="Arial" w:hAnsi="Arial" w:cs="Arial"/>
        </w:rPr>
        <w:t>This study aims to identify the most appropriate model for students’ grammatical competence. Specifically, it seeks to:</w:t>
      </w:r>
    </w:p>
    <w:p w14:paraId="00193F2F" w14:textId="77777777" w:rsidR="007376D5" w:rsidRPr="007376D5" w:rsidRDefault="007376D5" w:rsidP="007376D5">
      <w:pPr>
        <w:pStyle w:val="Body"/>
        <w:rPr>
          <w:rFonts w:ascii="Arial" w:hAnsi="Arial" w:cs="Arial"/>
        </w:rPr>
      </w:pPr>
      <w:r w:rsidRPr="007376D5">
        <w:rPr>
          <w:rFonts w:ascii="Arial" w:hAnsi="Arial" w:cs="Arial"/>
        </w:rPr>
        <w:t>1. Assess students’ level of language exposure in terms of home, friends, school, and media.</w:t>
      </w:r>
    </w:p>
    <w:p w14:paraId="63999509" w14:textId="77777777" w:rsidR="007376D5" w:rsidRPr="007376D5" w:rsidRDefault="007376D5" w:rsidP="007376D5">
      <w:pPr>
        <w:pStyle w:val="Body"/>
        <w:rPr>
          <w:rFonts w:ascii="Arial" w:hAnsi="Arial" w:cs="Arial"/>
        </w:rPr>
      </w:pPr>
      <w:r w:rsidRPr="007376D5">
        <w:rPr>
          <w:rFonts w:ascii="Arial" w:hAnsi="Arial" w:cs="Arial"/>
        </w:rPr>
        <w:t>2. Evaluate students’ language learning abilities in speaking, listening, reading, and writing.</w:t>
      </w:r>
    </w:p>
    <w:p w14:paraId="15F7657F" w14:textId="77777777" w:rsidR="007376D5" w:rsidRPr="007376D5" w:rsidRDefault="007376D5" w:rsidP="007376D5">
      <w:pPr>
        <w:pStyle w:val="Body"/>
        <w:rPr>
          <w:rFonts w:ascii="Arial" w:hAnsi="Arial" w:cs="Arial"/>
        </w:rPr>
      </w:pPr>
      <w:r w:rsidRPr="007376D5">
        <w:rPr>
          <w:rFonts w:ascii="Arial" w:hAnsi="Arial" w:cs="Arial"/>
        </w:rPr>
        <w:t>3. Determine students’ proficiency in reading strategies, focusing on cognitive and metacognitive strategies.</w:t>
      </w:r>
    </w:p>
    <w:p w14:paraId="4EFD777A" w14:textId="77777777" w:rsidR="007376D5" w:rsidRPr="007376D5" w:rsidRDefault="007376D5" w:rsidP="007376D5">
      <w:pPr>
        <w:pStyle w:val="Body"/>
        <w:rPr>
          <w:rFonts w:ascii="Arial" w:hAnsi="Arial" w:cs="Arial"/>
        </w:rPr>
      </w:pPr>
      <w:r w:rsidRPr="007376D5">
        <w:rPr>
          <w:rFonts w:ascii="Arial" w:hAnsi="Arial" w:cs="Arial"/>
        </w:rPr>
        <w:lastRenderedPageBreak/>
        <w:t>4. Measure students’ grammatical competence in subject-verb agreement, prepositions, verb aspects, and modals.</w:t>
      </w:r>
    </w:p>
    <w:p w14:paraId="6CDD61F4" w14:textId="77777777" w:rsidR="007376D5" w:rsidRPr="007376D5" w:rsidRDefault="007376D5" w:rsidP="007376D5">
      <w:pPr>
        <w:pStyle w:val="Body"/>
        <w:rPr>
          <w:rFonts w:ascii="Arial" w:hAnsi="Arial" w:cs="Arial"/>
        </w:rPr>
      </w:pPr>
      <w:r w:rsidRPr="007376D5">
        <w:rPr>
          <w:rFonts w:ascii="Arial" w:hAnsi="Arial" w:cs="Arial"/>
        </w:rPr>
        <w:t>5. Establish significant relationships among language exposure, language learning, reading strategies, and grammatical competence.</w:t>
      </w:r>
    </w:p>
    <w:p w14:paraId="0F2A1E71" w14:textId="095479B0" w:rsidR="00B75C75" w:rsidRPr="003167C3" w:rsidRDefault="007376D5" w:rsidP="003167C3">
      <w:pPr>
        <w:pStyle w:val="Body"/>
        <w:rPr>
          <w:rFonts w:ascii="Arial" w:hAnsi="Arial" w:cs="Arial"/>
        </w:rPr>
      </w:pPr>
      <w:r w:rsidRPr="007376D5">
        <w:rPr>
          <w:rFonts w:ascii="Arial" w:hAnsi="Arial" w:cs="Arial"/>
        </w:rPr>
        <w:t>6. Identify the most suitable model for students' grammatical competence.</w:t>
      </w:r>
    </w:p>
    <w:p w14:paraId="060EA1A8" w14:textId="0771C6F8" w:rsidR="00F176F3" w:rsidRDefault="00902823" w:rsidP="00441B6F">
      <w:pPr>
        <w:pStyle w:val="AbstHead"/>
        <w:spacing w:after="0"/>
        <w:jc w:val="both"/>
        <w:rPr>
          <w:rFonts w:ascii="Arial" w:hAnsi="Arial" w:cs="Arial"/>
        </w:rPr>
      </w:pPr>
      <w:r>
        <w:rPr>
          <w:rFonts w:ascii="Arial" w:hAnsi="Arial" w:cs="Arial"/>
        </w:rPr>
        <w:t>2</w:t>
      </w:r>
      <w:r w:rsidR="002E2700">
        <w:rPr>
          <w:rFonts w:ascii="Arial" w:hAnsi="Arial" w:cs="Arial"/>
        </w:rPr>
        <w:t xml:space="preserve">. </w:t>
      </w:r>
      <w:r w:rsidR="00F176F3">
        <w:rPr>
          <w:rFonts w:ascii="Arial" w:hAnsi="Arial" w:cs="Arial"/>
        </w:rPr>
        <w:t>literature review</w:t>
      </w:r>
    </w:p>
    <w:p w14:paraId="25BC5DB2" w14:textId="77777777" w:rsidR="00F176F3" w:rsidRDefault="00F176F3" w:rsidP="00F176F3">
      <w:pPr>
        <w:pStyle w:val="AbstHead"/>
        <w:jc w:val="both"/>
        <w:rPr>
          <w:rFonts w:ascii="Arial" w:hAnsi="Arial" w:cs="Arial"/>
          <w:b w:val="0"/>
          <w:bCs/>
          <w:caps w:val="0"/>
          <w:sz w:val="20"/>
        </w:rPr>
      </w:pPr>
    </w:p>
    <w:p w14:paraId="2D9B69EA" w14:textId="58E35EE5" w:rsidR="00F176F3" w:rsidRPr="00F176F3" w:rsidRDefault="00F176F3" w:rsidP="00F176F3">
      <w:pPr>
        <w:pStyle w:val="AbstHead"/>
        <w:jc w:val="both"/>
        <w:rPr>
          <w:rFonts w:ascii="Arial" w:hAnsi="Arial" w:cs="Arial"/>
          <w:caps w:val="0"/>
          <w:sz w:val="20"/>
        </w:rPr>
      </w:pPr>
      <w:r w:rsidRPr="00F176F3">
        <w:rPr>
          <w:rFonts w:ascii="Arial" w:hAnsi="Arial" w:cs="Arial"/>
          <w:caps w:val="0"/>
          <w:sz w:val="20"/>
        </w:rPr>
        <w:t>Grammatical Competence</w:t>
      </w:r>
    </w:p>
    <w:p w14:paraId="6365CA89" w14:textId="77777777" w:rsidR="00A36B25" w:rsidRDefault="00A36B25" w:rsidP="00F176F3">
      <w:pPr>
        <w:pStyle w:val="AbstHead"/>
        <w:jc w:val="both"/>
        <w:rPr>
          <w:rFonts w:ascii="Arial" w:hAnsi="Arial" w:cs="Arial"/>
          <w:b w:val="0"/>
          <w:bCs/>
          <w:caps w:val="0"/>
          <w:sz w:val="20"/>
        </w:rPr>
      </w:pPr>
      <w:r w:rsidRPr="00A36B25">
        <w:rPr>
          <w:rFonts w:ascii="Arial" w:hAnsi="Arial" w:cs="Arial"/>
          <w:b w:val="0"/>
          <w:bCs/>
          <w:caps w:val="0"/>
          <w:sz w:val="20"/>
        </w:rPr>
        <w:t xml:space="preserve">Grammatical competence is essential for effective language use. It enables us to construct clear and accurate sentences and understand complex ideas without confusion. This competence encompasses everything from basic sentence structure to the detailed rules of syntax and morphology (Chomsky, 1965). In their research, </w:t>
      </w:r>
      <w:proofErr w:type="spellStart"/>
      <w:r w:rsidRPr="00A36B25">
        <w:rPr>
          <w:rFonts w:ascii="Arial" w:hAnsi="Arial" w:cs="Arial"/>
          <w:b w:val="0"/>
          <w:bCs/>
          <w:caps w:val="0"/>
          <w:sz w:val="20"/>
        </w:rPr>
        <w:t>Alova</w:t>
      </w:r>
      <w:proofErr w:type="spellEnd"/>
      <w:r w:rsidRPr="00A36B25">
        <w:rPr>
          <w:rFonts w:ascii="Arial" w:hAnsi="Arial" w:cs="Arial"/>
          <w:b w:val="0"/>
          <w:bCs/>
          <w:caps w:val="0"/>
          <w:sz w:val="20"/>
        </w:rPr>
        <w:t xml:space="preserve"> and </w:t>
      </w:r>
      <w:proofErr w:type="spellStart"/>
      <w:r w:rsidRPr="00A36B25">
        <w:rPr>
          <w:rFonts w:ascii="Arial" w:hAnsi="Arial" w:cs="Arial"/>
          <w:b w:val="0"/>
          <w:bCs/>
          <w:caps w:val="0"/>
          <w:sz w:val="20"/>
        </w:rPr>
        <w:t>Alova</w:t>
      </w:r>
      <w:proofErr w:type="spellEnd"/>
      <w:r w:rsidRPr="00A36B25">
        <w:rPr>
          <w:rFonts w:ascii="Arial" w:hAnsi="Arial" w:cs="Arial"/>
          <w:b w:val="0"/>
          <w:bCs/>
          <w:caps w:val="0"/>
          <w:sz w:val="20"/>
        </w:rPr>
        <w:t xml:space="preserve"> (2023) emphasized that this competence significantly affects students' academic writing, especially in situations where precision and clarity are crucial.</w:t>
      </w:r>
    </w:p>
    <w:p w14:paraId="2F4CD06E" w14:textId="6B6A2DA4" w:rsidR="00F176F3" w:rsidRPr="00F176F3" w:rsidRDefault="00F176F3" w:rsidP="00F176F3">
      <w:pPr>
        <w:pStyle w:val="AbstHead"/>
        <w:jc w:val="both"/>
        <w:rPr>
          <w:rFonts w:ascii="Arial" w:hAnsi="Arial" w:cs="Arial"/>
          <w:caps w:val="0"/>
          <w:sz w:val="20"/>
        </w:rPr>
      </w:pPr>
      <w:r w:rsidRPr="00F176F3">
        <w:rPr>
          <w:rFonts w:ascii="Arial" w:hAnsi="Arial" w:cs="Arial"/>
          <w:caps w:val="0"/>
          <w:sz w:val="20"/>
        </w:rPr>
        <w:t>Language Exposure and Grammatical Competence</w:t>
      </w:r>
    </w:p>
    <w:p w14:paraId="2C45418B" w14:textId="4755FFBD" w:rsidR="001B76C4" w:rsidRPr="001B76C4" w:rsidRDefault="001B76C4" w:rsidP="001B76C4">
      <w:pPr>
        <w:pStyle w:val="AbstHead"/>
        <w:jc w:val="both"/>
        <w:rPr>
          <w:rFonts w:ascii="Arial" w:hAnsi="Arial" w:cs="Arial"/>
          <w:b w:val="0"/>
          <w:bCs/>
          <w:caps w:val="0"/>
          <w:sz w:val="20"/>
        </w:rPr>
      </w:pPr>
      <w:r w:rsidRPr="001B76C4">
        <w:rPr>
          <w:rFonts w:ascii="Arial" w:hAnsi="Arial" w:cs="Arial"/>
          <w:b w:val="0"/>
          <w:bCs/>
          <w:caps w:val="0"/>
          <w:sz w:val="20"/>
        </w:rPr>
        <w:t xml:space="preserve">The more you hear and use a language, the better you become at its grammar. This connection is logical—just as athletes improve through consistent practice, language learners develop their grammatical </w:t>
      </w:r>
      <w:r>
        <w:rPr>
          <w:rFonts w:ascii="Arial" w:hAnsi="Arial" w:cs="Arial"/>
          <w:b w:val="0"/>
          <w:bCs/>
          <w:caps w:val="0"/>
          <w:sz w:val="20"/>
        </w:rPr>
        <w:t>competence</w:t>
      </w:r>
      <w:r w:rsidRPr="001B76C4">
        <w:rPr>
          <w:rFonts w:ascii="Arial" w:hAnsi="Arial" w:cs="Arial"/>
          <w:b w:val="0"/>
          <w:bCs/>
          <w:caps w:val="0"/>
          <w:sz w:val="20"/>
        </w:rPr>
        <w:t xml:space="preserve"> through regular exposure. Magno et al. (2009) found that students who had more exposure to English in their daily lives had a stronger understanding of grammar.</w:t>
      </w:r>
    </w:p>
    <w:p w14:paraId="742F8322" w14:textId="54372593" w:rsidR="001B76C4" w:rsidRPr="00F176F3" w:rsidRDefault="001B76C4" w:rsidP="001B76C4">
      <w:pPr>
        <w:pStyle w:val="AbstHead"/>
        <w:jc w:val="both"/>
        <w:rPr>
          <w:rFonts w:ascii="Arial" w:hAnsi="Arial" w:cs="Arial"/>
          <w:b w:val="0"/>
          <w:bCs/>
          <w:caps w:val="0"/>
          <w:sz w:val="20"/>
        </w:rPr>
      </w:pPr>
      <w:r w:rsidRPr="001B76C4">
        <w:rPr>
          <w:rFonts w:ascii="Arial" w:hAnsi="Arial" w:cs="Arial"/>
          <w:b w:val="0"/>
          <w:bCs/>
          <w:caps w:val="0"/>
          <w:sz w:val="20"/>
        </w:rPr>
        <w:t>Similarly, Salas and Legaspi (2020) discovered that intermediate students with greater language exposure performed better on grammar tests. This underscores the importance of regular language use for mastering grammar. These findings support the idea that the more we interact with a language, the more our grammatical competence becomes second nature.</w:t>
      </w:r>
    </w:p>
    <w:p w14:paraId="20BEFB73" w14:textId="77777777" w:rsidR="00F176F3" w:rsidRPr="00F176F3" w:rsidRDefault="00F176F3" w:rsidP="00F176F3">
      <w:pPr>
        <w:pStyle w:val="AbstHead"/>
        <w:jc w:val="both"/>
        <w:rPr>
          <w:rFonts w:ascii="Arial" w:hAnsi="Arial" w:cs="Arial"/>
          <w:caps w:val="0"/>
          <w:sz w:val="20"/>
        </w:rPr>
      </w:pPr>
      <w:r w:rsidRPr="00F176F3">
        <w:rPr>
          <w:rFonts w:ascii="Arial" w:hAnsi="Arial" w:cs="Arial"/>
          <w:caps w:val="0"/>
          <w:sz w:val="20"/>
        </w:rPr>
        <w:t>Language Learning and Grammatical Competence</w:t>
      </w:r>
    </w:p>
    <w:p w14:paraId="5E133268" w14:textId="77777777" w:rsidR="00CA31C8" w:rsidRPr="00CA31C8" w:rsidRDefault="00CA31C8" w:rsidP="00CA31C8">
      <w:pPr>
        <w:pStyle w:val="AbstHead"/>
        <w:jc w:val="both"/>
        <w:rPr>
          <w:rFonts w:ascii="Arial" w:hAnsi="Arial" w:cs="Arial"/>
          <w:b w:val="0"/>
          <w:bCs/>
          <w:caps w:val="0"/>
          <w:sz w:val="20"/>
        </w:rPr>
      </w:pPr>
      <w:r w:rsidRPr="00CA31C8">
        <w:rPr>
          <w:rFonts w:ascii="Arial" w:hAnsi="Arial" w:cs="Arial"/>
          <w:b w:val="0"/>
          <w:bCs/>
          <w:caps w:val="0"/>
          <w:sz w:val="20"/>
        </w:rPr>
        <w:t>Learning a language involves more than just memorizing vocabulary; it also requires mastering its grammar. According to Ellis (2009), this mastery occurs through both explicit learning, such as studying grammar rules, and implicit learning, which involves naturally picking up patterns through exposure.</w:t>
      </w:r>
    </w:p>
    <w:p w14:paraId="46F238F3" w14:textId="051A2CFD" w:rsidR="00CA31C8" w:rsidRPr="00F176F3" w:rsidRDefault="00CA31C8" w:rsidP="00CA31C8">
      <w:pPr>
        <w:pStyle w:val="AbstHead"/>
        <w:jc w:val="both"/>
        <w:rPr>
          <w:rFonts w:ascii="Arial" w:hAnsi="Arial" w:cs="Arial"/>
          <w:b w:val="0"/>
          <w:bCs/>
          <w:caps w:val="0"/>
          <w:sz w:val="20"/>
        </w:rPr>
      </w:pPr>
      <w:r w:rsidRPr="00CA31C8">
        <w:rPr>
          <w:rFonts w:ascii="Arial" w:hAnsi="Arial" w:cs="Arial"/>
          <w:b w:val="0"/>
          <w:bCs/>
          <w:caps w:val="0"/>
          <w:sz w:val="20"/>
        </w:rPr>
        <w:t>Gamez (2015) supported this perspective by demonstrating that classroom-based learning, where students engage with structured language input, significantly enhances grammatical competence. Achieving a balance between conscious practice and natural absorption is essential for becoming truly proficient in a language.</w:t>
      </w:r>
    </w:p>
    <w:p w14:paraId="6214CBFF" w14:textId="77777777" w:rsidR="00F176F3" w:rsidRPr="00F176F3" w:rsidRDefault="00F176F3" w:rsidP="00F176F3">
      <w:pPr>
        <w:pStyle w:val="AbstHead"/>
        <w:jc w:val="both"/>
        <w:rPr>
          <w:rFonts w:ascii="Arial" w:hAnsi="Arial" w:cs="Arial"/>
          <w:caps w:val="0"/>
          <w:sz w:val="20"/>
        </w:rPr>
      </w:pPr>
      <w:r w:rsidRPr="00F176F3">
        <w:rPr>
          <w:rFonts w:ascii="Arial" w:hAnsi="Arial" w:cs="Arial"/>
          <w:caps w:val="0"/>
          <w:sz w:val="20"/>
        </w:rPr>
        <w:t>Reading Strategies and Grammatical Competence</w:t>
      </w:r>
    </w:p>
    <w:p w14:paraId="76EE4754" w14:textId="0460DFC9" w:rsidR="00DF5F50" w:rsidRPr="00DF5F50" w:rsidRDefault="00DF5F50" w:rsidP="00DF5F50">
      <w:pPr>
        <w:pStyle w:val="AbstHead"/>
        <w:jc w:val="both"/>
        <w:rPr>
          <w:rFonts w:ascii="Arial" w:hAnsi="Arial" w:cs="Arial"/>
          <w:b w:val="0"/>
          <w:bCs/>
          <w:caps w:val="0"/>
          <w:sz w:val="20"/>
        </w:rPr>
      </w:pPr>
      <w:r w:rsidRPr="00DF5F50">
        <w:rPr>
          <w:rFonts w:ascii="Arial" w:hAnsi="Arial" w:cs="Arial"/>
          <w:b w:val="0"/>
          <w:bCs/>
          <w:caps w:val="0"/>
          <w:sz w:val="20"/>
        </w:rPr>
        <w:t xml:space="preserve">Reading is not just about understanding the content; it also enhances our grammar skills. When we read, we are exposed to correct sentence structures and complex syntax, which gradually improves our grammatical competence. </w:t>
      </w:r>
      <w:proofErr w:type="spellStart"/>
      <w:r w:rsidRPr="00DF5F50">
        <w:rPr>
          <w:rFonts w:ascii="Arial" w:hAnsi="Arial" w:cs="Arial"/>
          <w:b w:val="0"/>
          <w:bCs/>
          <w:caps w:val="0"/>
          <w:sz w:val="20"/>
        </w:rPr>
        <w:t>Magogwe</w:t>
      </w:r>
      <w:proofErr w:type="spellEnd"/>
      <w:r w:rsidRPr="00DF5F50">
        <w:rPr>
          <w:rFonts w:ascii="Arial" w:hAnsi="Arial" w:cs="Arial"/>
          <w:b w:val="0"/>
          <w:bCs/>
          <w:caps w:val="0"/>
          <w:sz w:val="20"/>
        </w:rPr>
        <w:t xml:space="preserve"> (2013) found that students who </w:t>
      </w:r>
      <w:r w:rsidRPr="00DF5F50">
        <w:rPr>
          <w:rFonts w:ascii="Arial" w:hAnsi="Arial" w:cs="Arial"/>
          <w:b w:val="0"/>
          <w:bCs/>
          <w:caps w:val="0"/>
          <w:sz w:val="20"/>
        </w:rPr>
        <w:lastRenderedPageBreak/>
        <w:t>were more aware of their reading strategies developed better grammatical skills, likely because they paid closer attention to how sentences are constructed.</w:t>
      </w:r>
    </w:p>
    <w:p w14:paraId="2D477CAB" w14:textId="565DD848" w:rsidR="00F176F3" w:rsidRPr="00F176F3" w:rsidRDefault="00DF5F50" w:rsidP="00DF5F50">
      <w:pPr>
        <w:pStyle w:val="AbstHead"/>
        <w:jc w:val="both"/>
        <w:rPr>
          <w:rFonts w:ascii="Arial" w:hAnsi="Arial" w:cs="Arial"/>
          <w:b w:val="0"/>
          <w:bCs/>
          <w:caps w:val="0"/>
          <w:sz w:val="20"/>
        </w:rPr>
      </w:pPr>
      <w:r w:rsidRPr="00DF5F50">
        <w:rPr>
          <w:rFonts w:ascii="Arial" w:hAnsi="Arial" w:cs="Arial"/>
          <w:b w:val="0"/>
          <w:bCs/>
          <w:caps w:val="0"/>
          <w:sz w:val="20"/>
        </w:rPr>
        <w:t xml:space="preserve">Furthermore, Torres et al. (2021) expanded on this idea by demonstrating that cognitive strategies used during </w:t>
      </w:r>
      <w:r w:rsidRPr="00DF5F50">
        <w:rPr>
          <w:rFonts w:ascii="Arial" w:hAnsi="Arial" w:cs="Arial"/>
          <w:b w:val="0"/>
          <w:bCs/>
          <w:caps w:val="0"/>
          <w:sz w:val="20"/>
        </w:rPr>
        <w:t xml:space="preserve">reading </w:t>
      </w:r>
      <w:r w:rsidRPr="00DF5F50">
        <w:rPr>
          <w:rFonts w:ascii="Arial" w:hAnsi="Arial" w:cs="Arial"/>
          <w:b w:val="0"/>
          <w:bCs/>
          <w:caps w:val="0"/>
          <w:sz w:val="20"/>
        </w:rPr>
        <w:t>such as predicting and summarizing—contribute not only to comprehension but also to strengthening grammatical competence, especially in academic settings.</w:t>
      </w:r>
    </w:p>
    <w:p w14:paraId="5F8BBD68" w14:textId="3B1A3523" w:rsidR="007F7B32" w:rsidRDefault="00F176F3" w:rsidP="00441B6F">
      <w:pPr>
        <w:pStyle w:val="AbstHead"/>
        <w:spacing w:after="0"/>
        <w:jc w:val="both"/>
        <w:rPr>
          <w:rFonts w:ascii="Arial" w:hAnsi="Arial" w:cs="Arial"/>
        </w:rPr>
      </w:pPr>
      <w:r>
        <w:rPr>
          <w:rFonts w:ascii="Arial" w:hAnsi="Arial" w:cs="Arial"/>
        </w:rPr>
        <w:t xml:space="preserve">3. </w:t>
      </w:r>
      <w:r w:rsidR="002E2700">
        <w:rPr>
          <w:rFonts w:ascii="Arial" w:hAnsi="Arial" w:cs="Arial"/>
        </w:rPr>
        <w:t>METHODOLOGY</w:t>
      </w:r>
      <w:r w:rsidR="007F7B32">
        <w:rPr>
          <w:rFonts w:ascii="Arial" w:hAnsi="Arial" w:cs="Arial"/>
        </w:rPr>
        <w:t xml:space="preserve"> </w:t>
      </w:r>
    </w:p>
    <w:p w14:paraId="0EEE1E51" w14:textId="77777777" w:rsidR="00790ADA" w:rsidRPr="00FB3A86" w:rsidRDefault="00790ADA" w:rsidP="00441B6F">
      <w:pPr>
        <w:pStyle w:val="AbstHead"/>
        <w:spacing w:after="0"/>
        <w:jc w:val="both"/>
        <w:rPr>
          <w:rFonts w:ascii="Arial" w:hAnsi="Arial" w:cs="Arial"/>
        </w:rPr>
      </w:pPr>
    </w:p>
    <w:p w14:paraId="42CC52B9" w14:textId="011F55F9" w:rsidR="005C6AAC" w:rsidRDefault="00F176F3" w:rsidP="00441B6F">
      <w:pPr>
        <w:pStyle w:val="Body"/>
        <w:spacing w:after="0"/>
        <w:rPr>
          <w:rFonts w:ascii="Arial" w:hAnsi="Arial" w:cs="Arial"/>
          <w:b/>
          <w:bCs/>
          <w:sz w:val="22"/>
          <w:szCs w:val="22"/>
        </w:rPr>
      </w:pPr>
      <w:r>
        <w:rPr>
          <w:rFonts w:ascii="Arial" w:hAnsi="Arial" w:cs="Arial"/>
          <w:b/>
          <w:bCs/>
          <w:sz w:val="22"/>
          <w:szCs w:val="22"/>
        </w:rPr>
        <w:t>3</w:t>
      </w:r>
      <w:r w:rsidR="005C6AAC" w:rsidRPr="005806A4">
        <w:rPr>
          <w:rFonts w:ascii="Arial" w:hAnsi="Arial" w:cs="Arial"/>
          <w:b/>
          <w:bCs/>
          <w:sz w:val="22"/>
          <w:szCs w:val="22"/>
        </w:rPr>
        <w:t>.1 Participants</w:t>
      </w:r>
    </w:p>
    <w:p w14:paraId="5C827DF0" w14:textId="77777777" w:rsidR="00B75924" w:rsidRPr="005806A4" w:rsidRDefault="00B75924" w:rsidP="00441B6F">
      <w:pPr>
        <w:pStyle w:val="Body"/>
        <w:spacing w:after="0"/>
        <w:rPr>
          <w:rFonts w:ascii="Arial" w:hAnsi="Arial" w:cs="Arial"/>
          <w:b/>
          <w:bCs/>
          <w:sz w:val="22"/>
          <w:szCs w:val="22"/>
        </w:rPr>
      </w:pPr>
    </w:p>
    <w:p w14:paraId="09C0E048" w14:textId="77777777" w:rsidR="00D37116" w:rsidRDefault="00D37116" w:rsidP="00D37116">
      <w:pPr>
        <w:pStyle w:val="Body"/>
        <w:rPr>
          <w:rFonts w:ascii="Arial" w:hAnsi="Arial" w:cs="Arial"/>
        </w:rPr>
      </w:pPr>
      <w:bookmarkStart w:id="0" w:name="_Hlk198067627"/>
      <w:r w:rsidRPr="00D37116">
        <w:rPr>
          <w:rFonts w:ascii="Arial" w:hAnsi="Arial" w:cs="Arial"/>
        </w:rPr>
        <w:t xml:space="preserve">The total </w:t>
      </w:r>
      <w:bookmarkEnd w:id="0"/>
      <w:r w:rsidRPr="00D37116">
        <w:rPr>
          <w:rFonts w:ascii="Arial" w:hAnsi="Arial" w:cs="Arial"/>
        </w:rPr>
        <w:t>population of Grade 9 students for the school year 2024–2025 in Region XI is 3,512. The respondents were selected from public schools across various divisions within Region XI, specifically: 93 from Davao del Norte, 72 from Davao del Sur, 83 from Mati City, 72 from Davao Occidental, and 80 from Davao City. Using the RAOSOFT Sample Size Calculator, a total of 400 respondents voluntarily participated in this study. Students from other grade levels—such as Grades 7, 8, 10, 11, and 12—as well as those enrolled in private schools were excluded from the research.</w:t>
      </w:r>
    </w:p>
    <w:p w14:paraId="47298C29" w14:textId="3F3906A6" w:rsidR="00D37116" w:rsidRPr="00D37116" w:rsidRDefault="00D37116" w:rsidP="00D37116">
      <w:pPr>
        <w:pStyle w:val="Body"/>
        <w:rPr>
          <w:rFonts w:ascii="Arial" w:hAnsi="Arial" w:cs="Arial"/>
        </w:rPr>
      </w:pPr>
      <w:r w:rsidRPr="00D37116">
        <w:rPr>
          <w:rFonts w:ascii="Arial" w:hAnsi="Arial" w:cs="Arial"/>
        </w:rPr>
        <w:t>Grade 9 students were chosen as respondents because, according to Lopez (2021), this stage represents a critical period in their academic development as they face the challenges of high school. Moreover, the researcher is currently a public-school teacher who teaches Grade 9, which further justifies the focus on this level.</w:t>
      </w:r>
    </w:p>
    <w:p w14:paraId="1FF2E4DA" w14:textId="77777777" w:rsidR="00D37116" w:rsidRPr="00D37116" w:rsidRDefault="00D37116" w:rsidP="00D37116">
      <w:pPr>
        <w:pStyle w:val="Body"/>
        <w:rPr>
          <w:rFonts w:ascii="Arial" w:hAnsi="Arial" w:cs="Arial"/>
        </w:rPr>
      </w:pPr>
      <w:r w:rsidRPr="00D37116">
        <w:rPr>
          <w:rFonts w:ascii="Arial" w:hAnsi="Arial" w:cs="Arial"/>
        </w:rPr>
        <w:t>All participants in the study participated voluntarily and were not coerced in any way into answering the questionnaire. They willingly gave their time and effort to complete the research tool without any threats or intimidation. The researcher fully respected any participant’s decision not to take part in the study. It was clearly explained that there would be no penalties for those who chose not to participate, and that no legal rights or freedoms would be taken away due to their decision regarding participation in the research.</w:t>
      </w:r>
    </w:p>
    <w:p w14:paraId="44423E83" w14:textId="4C6EE85C" w:rsidR="00D37116" w:rsidRPr="00D37116" w:rsidRDefault="00D37116" w:rsidP="00D37116">
      <w:pPr>
        <w:pStyle w:val="Body"/>
        <w:rPr>
          <w:rFonts w:ascii="Arial" w:hAnsi="Arial" w:cs="Arial"/>
        </w:rPr>
      </w:pPr>
      <w:r w:rsidRPr="00D37116">
        <w:rPr>
          <w:rFonts w:ascii="Arial" w:hAnsi="Arial" w:cs="Arial"/>
        </w:rPr>
        <w:t>Stratified random sampling involves dividing the population into specific subgroups or strata based on characteristics such as age, gender, or income level</w:t>
      </w:r>
      <w:r w:rsidR="00E300A7">
        <w:rPr>
          <w:rFonts w:ascii="Arial" w:hAnsi="Arial" w:cs="Arial"/>
        </w:rPr>
        <w:t xml:space="preserve"> </w:t>
      </w:r>
      <w:r w:rsidRPr="00D37116">
        <w:rPr>
          <w:rFonts w:ascii="Arial" w:hAnsi="Arial" w:cs="Arial"/>
        </w:rPr>
        <w:t>and then randomly selecting samples from each subgroup. This method allows for a more accurate representation of the overall population because it ensures each subgroup is included in the sample. By reducing potential bias and ensuring proportional representation across different strata, researchers can draw more valid conclusions about the entire population (Cooper &amp; Schindler, 201</w:t>
      </w:r>
      <w:r w:rsidR="006C4E02">
        <w:rPr>
          <w:rFonts w:ascii="Arial" w:hAnsi="Arial" w:cs="Arial"/>
        </w:rPr>
        <w:t>9</w:t>
      </w:r>
      <w:r w:rsidRPr="00D37116">
        <w:rPr>
          <w:rFonts w:ascii="Arial" w:hAnsi="Arial" w:cs="Arial"/>
        </w:rPr>
        <w:t>).</w:t>
      </w:r>
    </w:p>
    <w:p w14:paraId="794918F4" w14:textId="55E964DA" w:rsidR="00D37116" w:rsidRDefault="00F176F3" w:rsidP="00441B6F">
      <w:pPr>
        <w:pStyle w:val="Body"/>
        <w:spacing w:after="0"/>
        <w:rPr>
          <w:rFonts w:ascii="Arial" w:hAnsi="Arial" w:cs="Arial"/>
          <w:b/>
          <w:bCs/>
          <w:sz w:val="22"/>
          <w:szCs w:val="22"/>
        </w:rPr>
      </w:pPr>
      <w:r>
        <w:rPr>
          <w:rFonts w:ascii="Arial" w:hAnsi="Arial" w:cs="Arial"/>
          <w:b/>
          <w:bCs/>
          <w:sz w:val="22"/>
          <w:szCs w:val="22"/>
        </w:rPr>
        <w:t>3</w:t>
      </w:r>
      <w:r w:rsidR="002E2700" w:rsidRPr="005806A4">
        <w:rPr>
          <w:rFonts w:ascii="Arial" w:hAnsi="Arial" w:cs="Arial"/>
          <w:b/>
          <w:bCs/>
          <w:sz w:val="22"/>
          <w:szCs w:val="22"/>
        </w:rPr>
        <w:t>.2 Instrument</w:t>
      </w:r>
    </w:p>
    <w:p w14:paraId="0F9A5A08" w14:textId="77777777" w:rsidR="00B75924" w:rsidRPr="005806A4" w:rsidRDefault="00B75924" w:rsidP="00441B6F">
      <w:pPr>
        <w:pStyle w:val="Body"/>
        <w:spacing w:after="0"/>
        <w:rPr>
          <w:rFonts w:ascii="Arial" w:hAnsi="Arial" w:cs="Arial"/>
          <w:b/>
          <w:bCs/>
          <w:sz w:val="22"/>
          <w:szCs w:val="22"/>
        </w:rPr>
      </w:pPr>
    </w:p>
    <w:p w14:paraId="601F07B1" w14:textId="536EEA35" w:rsidR="00B8364C" w:rsidRPr="00B8364C" w:rsidRDefault="00B8364C" w:rsidP="00B8364C">
      <w:pPr>
        <w:pStyle w:val="Body"/>
        <w:rPr>
          <w:rFonts w:ascii="Arial" w:hAnsi="Arial" w:cs="Arial"/>
        </w:rPr>
      </w:pPr>
      <w:r w:rsidRPr="00B8364C">
        <w:rPr>
          <w:rFonts w:ascii="Arial" w:hAnsi="Arial" w:cs="Arial"/>
        </w:rPr>
        <w:t xml:space="preserve">The researcher developed a questionnaire based on online references, which was translated and reviewed by the research adviser. To ensure reliability, the instrument was validated by six experts. It aimed to measure students’ language exposure, </w:t>
      </w:r>
      <w:r w:rsidR="00E300A7" w:rsidRPr="00E300A7">
        <w:rPr>
          <w:rFonts w:ascii="Arial" w:hAnsi="Arial" w:cs="Arial"/>
        </w:rPr>
        <w:t>language learning</w:t>
      </w:r>
      <w:r w:rsidR="00E300A7">
        <w:rPr>
          <w:rFonts w:ascii="Arial" w:hAnsi="Arial" w:cs="Arial"/>
        </w:rPr>
        <w:t>,</w:t>
      </w:r>
      <w:r w:rsidR="00813AFF">
        <w:rPr>
          <w:rFonts w:ascii="Arial" w:hAnsi="Arial" w:cs="Arial"/>
        </w:rPr>
        <w:t xml:space="preserve"> </w:t>
      </w:r>
      <w:r w:rsidRPr="00B8364C">
        <w:rPr>
          <w:rFonts w:ascii="Arial" w:hAnsi="Arial" w:cs="Arial"/>
        </w:rPr>
        <w:t>reading strategies</w:t>
      </w:r>
      <w:r w:rsidR="00E300A7">
        <w:rPr>
          <w:rFonts w:ascii="Arial" w:hAnsi="Arial" w:cs="Arial"/>
        </w:rPr>
        <w:t xml:space="preserve"> </w:t>
      </w:r>
      <w:r w:rsidRPr="00B8364C">
        <w:rPr>
          <w:rFonts w:ascii="Arial" w:hAnsi="Arial" w:cs="Arial"/>
        </w:rPr>
        <w:t>and grammatical competence, and was divided into four parts.</w:t>
      </w:r>
    </w:p>
    <w:p w14:paraId="6D802F35" w14:textId="524EB320" w:rsidR="00B8364C" w:rsidRPr="00B8364C" w:rsidRDefault="00B8364C" w:rsidP="00B8364C">
      <w:pPr>
        <w:pStyle w:val="Body"/>
        <w:rPr>
          <w:rFonts w:ascii="Arial" w:hAnsi="Arial" w:cs="Arial"/>
        </w:rPr>
      </w:pPr>
      <w:r w:rsidRPr="00B8364C">
        <w:rPr>
          <w:rFonts w:ascii="Arial" w:hAnsi="Arial" w:cs="Arial"/>
        </w:rPr>
        <w:t xml:space="preserve">The first part, Language Exposure, consisted of 23 items across four indicators: home, friends, school, and media (Magno et al., 2009). The second part, </w:t>
      </w:r>
      <w:r w:rsidR="002C2DFA" w:rsidRPr="002C2DFA">
        <w:rPr>
          <w:rFonts w:ascii="Arial" w:hAnsi="Arial" w:cs="Arial"/>
        </w:rPr>
        <w:t>Language Learning, had 80 items covering speaking, listening, reading, and writing skills (</w:t>
      </w:r>
      <w:proofErr w:type="spellStart"/>
      <w:r w:rsidR="002C2DFA" w:rsidRPr="002C2DFA">
        <w:rPr>
          <w:rFonts w:ascii="Arial" w:hAnsi="Arial" w:cs="Arial"/>
        </w:rPr>
        <w:t>Setiyadi</w:t>
      </w:r>
      <w:proofErr w:type="spellEnd"/>
      <w:r w:rsidR="002C2DFA" w:rsidRPr="002C2DFA">
        <w:rPr>
          <w:rFonts w:ascii="Arial" w:hAnsi="Arial" w:cs="Arial"/>
        </w:rPr>
        <w:t>, 2006)</w:t>
      </w:r>
      <w:r w:rsidR="002C2DFA">
        <w:rPr>
          <w:rFonts w:ascii="Arial" w:hAnsi="Arial" w:cs="Arial"/>
        </w:rPr>
        <w:t xml:space="preserve">. The third part, </w:t>
      </w:r>
      <w:r w:rsidRPr="00B8364C">
        <w:rPr>
          <w:rFonts w:ascii="Arial" w:hAnsi="Arial" w:cs="Arial"/>
        </w:rPr>
        <w:t>Reading Strategies, included 20 items addressing cognitive and metacognitive strategies (</w:t>
      </w:r>
      <w:proofErr w:type="spellStart"/>
      <w:r w:rsidRPr="00B8364C">
        <w:rPr>
          <w:rFonts w:ascii="Arial" w:hAnsi="Arial" w:cs="Arial"/>
        </w:rPr>
        <w:t>Semtin</w:t>
      </w:r>
      <w:proofErr w:type="spellEnd"/>
      <w:r w:rsidRPr="00B8364C">
        <w:rPr>
          <w:rFonts w:ascii="Arial" w:hAnsi="Arial" w:cs="Arial"/>
        </w:rPr>
        <w:t xml:space="preserve">, 2011; </w:t>
      </w:r>
      <w:proofErr w:type="spellStart"/>
      <w:r w:rsidRPr="00B8364C">
        <w:rPr>
          <w:rFonts w:ascii="Arial" w:hAnsi="Arial" w:cs="Arial"/>
        </w:rPr>
        <w:t>Maniam</w:t>
      </w:r>
      <w:proofErr w:type="spellEnd"/>
      <w:r w:rsidRPr="00B8364C">
        <w:rPr>
          <w:rFonts w:ascii="Arial" w:hAnsi="Arial" w:cs="Arial"/>
        </w:rPr>
        <w:t xml:space="preserve">, 2010). The fourth part, Grammatical Competence, included 100 items </w:t>
      </w:r>
      <w:r w:rsidRPr="00B8364C">
        <w:rPr>
          <w:rFonts w:ascii="Arial" w:hAnsi="Arial" w:cs="Arial"/>
        </w:rPr>
        <w:lastRenderedPageBreak/>
        <w:t>on prepositions, subject-verb agreement, verb aspects, modals, and voice (</w:t>
      </w:r>
      <w:proofErr w:type="spellStart"/>
      <w:r w:rsidRPr="00B8364C">
        <w:rPr>
          <w:rFonts w:ascii="Arial" w:hAnsi="Arial" w:cs="Arial"/>
        </w:rPr>
        <w:t>Balones</w:t>
      </w:r>
      <w:proofErr w:type="spellEnd"/>
      <w:r w:rsidRPr="00B8364C">
        <w:rPr>
          <w:rFonts w:ascii="Arial" w:hAnsi="Arial" w:cs="Arial"/>
        </w:rPr>
        <w:t xml:space="preserve"> &amp; </w:t>
      </w:r>
      <w:proofErr w:type="spellStart"/>
      <w:r w:rsidRPr="00B8364C">
        <w:rPr>
          <w:rFonts w:ascii="Arial" w:hAnsi="Arial" w:cs="Arial"/>
        </w:rPr>
        <w:t>Gempes</w:t>
      </w:r>
      <w:proofErr w:type="spellEnd"/>
      <w:r w:rsidRPr="00B8364C">
        <w:rPr>
          <w:rFonts w:ascii="Arial" w:hAnsi="Arial" w:cs="Arial"/>
        </w:rPr>
        <w:t>, 2022).</w:t>
      </w:r>
    </w:p>
    <w:p w14:paraId="10E1E555" w14:textId="3AB54FCE" w:rsidR="002E2700" w:rsidRDefault="00B8364C" w:rsidP="00B8364C">
      <w:pPr>
        <w:pStyle w:val="Body"/>
        <w:spacing w:after="0"/>
        <w:rPr>
          <w:rFonts w:ascii="Arial" w:hAnsi="Arial" w:cs="Arial"/>
        </w:rPr>
      </w:pPr>
      <w:r w:rsidRPr="00B8364C">
        <w:rPr>
          <w:rFonts w:ascii="Arial" w:hAnsi="Arial" w:cs="Arial"/>
        </w:rPr>
        <w:t>Items were rated on a five-point Likert scale: 4.20–5.00 (Very High), 3.40–4.19 (High), 2.60–3.39 (Moderate), 1.80–2.59 (Low), and 1.00–1.79 (Very Low). After validation, the instrument received an overall mean score of 4.50, indicating excellent validity. A pilot test with 30 students showed strong reliability, with Cronbach's alpha scores of .962 for the entire instrument, .927 for reading strategies, .953 for language learning, and .950 for grammatical competence. Revisions were made based on expert suggestions, and a statistician confirmed item reliability using Cronbach’s Alpha. The researcher then obtained approval from the Dean of the Professional Department to begin data collection.</w:t>
      </w:r>
    </w:p>
    <w:p w14:paraId="33571F0F" w14:textId="77777777" w:rsidR="00B8364C" w:rsidRDefault="00B8364C" w:rsidP="002E2700">
      <w:pPr>
        <w:pStyle w:val="Body"/>
        <w:spacing w:after="0"/>
        <w:rPr>
          <w:rFonts w:ascii="Arial" w:hAnsi="Arial" w:cs="Arial"/>
          <w:b/>
          <w:bCs/>
          <w:sz w:val="22"/>
          <w:szCs w:val="22"/>
        </w:rPr>
      </w:pPr>
    </w:p>
    <w:p w14:paraId="1F027870" w14:textId="606F9D73" w:rsidR="002E2700" w:rsidRDefault="00754DE2" w:rsidP="002E2700">
      <w:pPr>
        <w:pStyle w:val="Body"/>
        <w:spacing w:after="0"/>
        <w:rPr>
          <w:rFonts w:ascii="Arial" w:hAnsi="Arial" w:cs="Arial"/>
          <w:b/>
          <w:bCs/>
          <w:sz w:val="22"/>
          <w:szCs w:val="22"/>
        </w:rPr>
      </w:pPr>
      <w:r>
        <w:rPr>
          <w:rFonts w:ascii="Arial" w:hAnsi="Arial" w:cs="Arial"/>
          <w:b/>
          <w:bCs/>
          <w:sz w:val="22"/>
          <w:szCs w:val="22"/>
        </w:rPr>
        <w:t>3</w:t>
      </w:r>
      <w:r w:rsidR="002E2700" w:rsidRPr="005806A4">
        <w:rPr>
          <w:rFonts w:ascii="Arial" w:hAnsi="Arial" w:cs="Arial"/>
          <w:b/>
          <w:bCs/>
          <w:sz w:val="22"/>
          <w:szCs w:val="22"/>
        </w:rPr>
        <w:t>.3 Procedure and Design</w:t>
      </w:r>
    </w:p>
    <w:p w14:paraId="48E0F092" w14:textId="77777777" w:rsidR="00B75924" w:rsidRPr="005806A4" w:rsidRDefault="00B75924" w:rsidP="002E2700">
      <w:pPr>
        <w:pStyle w:val="Body"/>
        <w:spacing w:after="0"/>
        <w:rPr>
          <w:rFonts w:ascii="Arial" w:hAnsi="Arial" w:cs="Arial"/>
          <w:b/>
          <w:bCs/>
          <w:sz w:val="22"/>
          <w:szCs w:val="22"/>
        </w:rPr>
      </w:pPr>
    </w:p>
    <w:p w14:paraId="7AD23C39" w14:textId="4DE6D4C1" w:rsidR="00B8364C" w:rsidRPr="00B8364C" w:rsidRDefault="00B8364C" w:rsidP="00B8364C">
      <w:pPr>
        <w:pStyle w:val="Body"/>
        <w:rPr>
          <w:rFonts w:ascii="Arial" w:hAnsi="Arial" w:cs="Arial"/>
        </w:rPr>
      </w:pPr>
      <w:r w:rsidRPr="00B8364C">
        <w:rPr>
          <w:rFonts w:ascii="Arial" w:hAnsi="Arial" w:cs="Arial"/>
        </w:rPr>
        <w:t xml:space="preserve">This study utilized a non-experimental quantitative research design, employing Structural Equation Modeling (SEM) to examine the relationships among language exposure, </w:t>
      </w:r>
      <w:r w:rsidR="00E300A7" w:rsidRPr="00E300A7">
        <w:rPr>
          <w:rFonts w:ascii="Arial" w:hAnsi="Arial" w:cs="Arial"/>
        </w:rPr>
        <w:t>language learning</w:t>
      </w:r>
      <w:r w:rsidR="00E300A7">
        <w:rPr>
          <w:rFonts w:ascii="Arial" w:hAnsi="Arial" w:cs="Arial"/>
        </w:rPr>
        <w:t>,</w:t>
      </w:r>
      <w:r w:rsidR="002A2F19">
        <w:rPr>
          <w:rFonts w:ascii="Arial" w:hAnsi="Arial" w:cs="Arial"/>
        </w:rPr>
        <w:t xml:space="preserve"> </w:t>
      </w:r>
      <w:r w:rsidRPr="00B8364C">
        <w:rPr>
          <w:rFonts w:ascii="Arial" w:hAnsi="Arial" w:cs="Arial"/>
        </w:rPr>
        <w:t xml:space="preserve">reading strategies and grammatical competence. SEM was selected for its strength in analyzing complex interactions between exogenous variables, those that are directly measurable—and endogenous variables, which are identified based on their relationship with observed variables. According to Civelek (2018), SEM is more systematic and theoretically grounded compared to other statistical methods, making it suitable for testing hypotheses and theoretical models (Bollen &amp; Long, 1993; Hoyle &amp; Smith, 1994; Kline, 2016; Weston &amp; Gore, 2006). It not only relies on data but also integrates theoretical concepts to explore the underlying processes among variables. The SEM process followed five essential steps: model specification, identification, parameter estimation, model evaluation, and model modification (Kline, 2016; Hoyle, 1995; Byrne, 2013; Fan, 2003; Chen, 2007; </w:t>
      </w:r>
      <w:proofErr w:type="spellStart"/>
      <w:r w:rsidRPr="00B8364C">
        <w:rPr>
          <w:rFonts w:ascii="Arial" w:hAnsi="Arial" w:cs="Arial"/>
        </w:rPr>
        <w:t>Sherkey</w:t>
      </w:r>
      <w:proofErr w:type="spellEnd"/>
      <w:r w:rsidRPr="00B8364C">
        <w:rPr>
          <w:rFonts w:ascii="Arial" w:hAnsi="Arial" w:cs="Arial"/>
        </w:rPr>
        <w:t>, 2010; John, 2010; Wu, 2010; Park &amp; Shao, 2010).</w:t>
      </w:r>
    </w:p>
    <w:p w14:paraId="0CC806CF" w14:textId="77777777" w:rsidR="00B8364C" w:rsidRPr="00B8364C" w:rsidRDefault="00B8364C" w:rsidP="00B8364C">
      <w:pPr>
        <w:pStyle w:val="Body"/>
        <w:rPr>
          <w:rFonts w:ascii="Arial" w:hAnsi="Arial" w:cs="Arial"/>
        </w:rPr>
      </w:pPr>
      <w:r w:rsidRPr="00B8364C">
        <w:rPr>
          <w:rFonts w:ascii="Arial" w:hAnsi="Arial" w:cs="Arial"/>
        </w:rPr>
        <w:t>The data collection procedure began with the acquisition of permission to conduct the study. The researcher submitted formal letters requesting approval to the Senior Vice President for Academic Affairs of UM Main to carry out the study in Region XI. Upon approval, the validated questionnaire was administered and distributed to the target respondents. Following this, the completed instruments were collected, tabulated, and analyzed. The confidentiality of participants' responses was strictly observed, and data storage adhered to the five-year retention policy for future publication and research use.</w:t>
      </w:r>
    </w:p>
    <w:p w14:paraId="6761F8BD" w14:textId="3C3FDDE9" w:rsidR="00B8364C" w:rsidRPr="00B8364C" w:rsidRDefault="00B8364C" w:rsidP="00B8364C">
      <w:pPr>
        <w:pStyle w:val="Body"/>
        <w:rPr>
          <w:rFonts w:ascii="Arial" w:hAnsi="Arial" w:cs="Arial"/>
        </w:rPr>
      </w:pPr>
      <w:r w:rsidRPr="00B8364C">
        <w:rPr>
          <w:rFonts w:ascii="Arial" w:hAnsi="Arial" w:cs="Arial"/>
        </w:rPr>
        <w:t>The analysis and interpretation of data were conducted by a statistician using SEM, after which the researcher interpreted and discussed the findings. Various statistical tools were applied to analyze the data: the mean was used to describe students’ language exposure,</w:t>
      </w:r>
      <w:r w:rsidR="00E300A7" w:rsidRPr="00E300A7">
        <w:t xml:space="preserve"> </w:t>
      </w:r>
      <w:r w:rsidR="00E300A7" w:rsidRPr="00E300A7">
        <w:rPr>
          <w:rFonts w:ascii="Arial" w:hAnsi="Arial" w:cs="Arial"/>
        </w:rPr>
        <w:t>language learning</w:t>
      </w:r>
      <w:r w:rsidR="00E300A7">
        <w:rPr>
          <w:rFonts w:ascii="Arial" w:hAnsi="Arial" w:cs="Arial"/>
        </w:rPr>
        <w:t xml:space="preserve"> and </w:t>
      </w:r>
      <w:r w:rsidRPr="00B8364C">
        <w:rPr>
          <w:rFonts w:ascii="Arial" w:hAnsi="Arial" w:cs="Arial"/>
        </w:rPr>
        <w:t xml:space="preserve">reading strategies; standard deviation measured the dispersion of responses; Pearson r determined the strength and direction of relationships among the variables; and simple linear regression analysis evaluated the predictive influence of language exposure, </w:t>
      </w:r>
      <w:r w:rsidR="00E300A7" w:rsidRPr="00E300A7">
        <w:rPr>
          <w:rFonts w:ascii="Arial" w:hAnsi="Arial" w:cs="Arial"/>
        </w:rPr>
        <w:t xml:space="preserve">language learning </w:t>
      </w:r>
      <w:r w:rsidR="00E300A7">
        <w:rPr>
          <w:rFonts w:ascii="Arial" w:hAnsi="Arial" w:cs="Arial"/>
        </w:rPr>
        <w:t xml:space="preserve">and </w:t>
      </w:r>
      <w:r w:rsidRPr="00B8364C">
        <w:rPr>
          <w:rFonts w:ascii="Arial" w:hAnsi="Arial" w:cs="Arial"/>
        </w:rPr>
        <w:t>reading strategies</w:t>
      </w:r>
      <w:r w:rsidR="00E300A7">
        <w:rPr>
          <w:rFonts w:ascii="Arial" w:hAnsi="Arial" w:cs="Arial"/>
        </w:rPr>
        <w:t xml:space="preserve"> </w:t>
      </w:r>
      <w:r w:rsidRPr="00B8364C">
        <w:rPr>
          <w:rFonts w:ascii="Arial" w:hAnsi="Arial" w:cs="Arial"/>
        </w:rPr>
        <w:t>on grammatical competence.</w:t>
      </w:r>
    </w:p>
    <w:p w14:paraId="78421B17" w14:textId="34905702" w:rsidR="005806A4" w:rsidRDefault="00B8364C" w:rsidP="00B8364C">
      <w:pPr>
        <w:pStyle w:val="Body"/>
        <w:spacing w:after="0"/>
        <w:rPr>
          <w:rFonts w:ascii="Arial" w:hAnsi="Arial" w:cs="Arial"/>
        </w:rPr>
      </w:pPr>
      <w:r w:rsidRPr="00B8364C">
        <w:rPr>
          <w:rFonts w:ascii="Arial" w:hAnsi="Arial" w:cs="Arial"/>
        </w:rPr>
        <w:t>Throughout the entire research process, the researcher complied with ethical research standards and institutional protocols, especially concerning the management and protection of participant data. The study underwent review by the University of Mindanao Ethics Review Committee (UMERC), where all necessary documents—including the questionnaire and ethical forms—were submitted. Based on UMERC's feedback, Form 2.2 was revised once. The study received ethical clearance on April 15, 2024, with the reference number UMERC–2024-098. Ethical considerations such as participant consent, data confidentiality, and participant protection were strictly upheld.</w:t>
      </w:r>
    </w:p>
    <w:p w14:paraId="019A63E2" w14:textId="77777777" w:rsidR="00B8364C" w:rsidRDefault="00B8364C" w:rsidP="00B8364C">
      <w:pPr>
        <w:pStyle w:val="Body"/>
        <w:spacing w:after="0"/>
        <w:rPr>
          <w:rFonts w:ascii="Arial" w:hAnsi="Arial" w:cs="Arial"/>
        </w:rPr>
      </w:pPr>
    </w:p>
    <w:p w14:paraId="0D40C80E" w14:textId="2EA15ABA" w:rsidR="00902823" w:rsidRDefault="00754DE2" w:rsidP="00441B6F">
      <w:pPr>
        <w:pStyle w:val="Head1"/>
        <w:spacing w:after="0"/>
        <w:jc w:val="both"/>
        <w:rPr>
          <w:rFonts w:ascii="Arial" w:hAnsi="Arial" w:cs="Arial"/>
        </w:rPr>
      </w:pPr>
      <w:r>
        <w:rPr>
          <w:rFonts w:ascii="Arial" w:hAnsi="Arial" w:cs="Arial"/>
        </w:rPr>
        <w:lastRenderedPageBreak/>
        <w:t>4</w:t>
      </w:r>
      <w:r w:rsidR="00902823">
        <w:rPr>
          <w:rFonts w:ascii="Arial" w:hAnsi="Arial" w:cs="Arial"/>
        </w:rPr>
        <w:t xml:space="preserve">. </w:t>
      </w:r>
      <w:r w:rsidR="00000F8F">
        <w:rPr>
          <w:rFonts w:ascii="Arial" w:hAnsi="Arial" w:cs="Arial"/>
        </w:rPr>
        <w:t>results and discussion</w:t>
      </w:r>
    </w:p>
    <w:p w14:paraId="09477C0F" w14:textId="77777777" w:rsidR="00790ADA" w:rsidRPr="00FB3A86" w:rsidRDefault="00790ADA" w:rsidP="00441B6F">
      <w:pPr>
        <w:pStyle w:val="Head1"/>
        <w:spacing w:after="0"/>
        <w:jc w:val="both"/>
        <w:rPr>
          <w:rFonts w:ascii="Arial" w:hAnsi="Arial" w:cs="Arial"/>
        </w:rPr>
      </w:pPr>
    </w:p>
    <w:p w14:paraId="7FFE0495" w14:textId="77777777" w:rsidR="007F3E8F" w:rsidRDefault="007F3E8F" w:rsidP="00441B6F">
      <w:pPr>
        <w:pStyle w:val="Body"/>
        <w:spacing w:after="0"/>
        <w:rPr>
          <w:rFonts w:ascii="Arial" w:hAnsi="Arial" w:cs="Arial"/>
        </w:rPr>
      </w:pPr>
      <w:r w:rsidRPr="007F3E8F">
        <w:rPr>
          <w:rFonts w:ascii="Arial" w:hAnsi="Arial" w:cs="Arial"/>
        </w:rPr>
        <w:t xml:space="preserve">Table 1 presents the level of language exposure among students in public schools in Region XI. The overall mean score is 3.82, with a descriptive level of "high" and a standard deviation of 0.62. </w:t>
      </w:r>
    </w:p>
    <w:p w14:paraId="731129DC" w14:textId="54B3F752" w:rsidR="000442F5" w:rsidRDefault="000442F5" w:rsidP="000442F5">
      <w:pPr>
        <w:pStyle w:val="Body"/>
        <w:rPr>
          <w:rFonts w:ascii="Arial" w:hAnsi="Arial" w:cs="Arial"/>
        </w:rPr>
      </w:pPr>
      <w:r w:rsidRPr="000442F5">
        <w:rPr>
          <w:rFonts w:ascii="Arial" w:hAnsi="Arial" w:cs="Arial"/>
        </w:rPr>
        <w:t>Among the four indicators, school had the highest mean score of 4.01, with a descriptive level of high, and a standard deviation of 0.68, while the indicator home had the lowest mean score of 3.65, also with a descriptive level of high, and a standard deviation of 0.97. The results indicate that respondents frequently engage in Filipino language activities, and their classmates and teachers often speak in Filipino.</w:t>
      </w:r>
    </w:p>
    <w:p w14:paraId="59AE959A" w14:textId="77777777" w:rsidR="00366730" w:rsidRPr="00366730" w:rsidRDefault="00366730" w:rsidP="00366730">
      <w:pPr>
        <w:spacing w:before="100" w:beforeAutospacing="1" w:after="100" w:afterAutospacing="1"/>
        <w:contextualSpacing/>
        <w:jc w:val="both"/>
        <w:rPr>
          <w:rFonts w:ascii="Arial" w:hAnsi="Arial" w:cs="Arial"/>
          <w:b/>
          <w:bCs/>
          <w:lang w:val="en-PH" w:eastAsia="en-PH"/>
        </w:rPr>
      </w:pPr>
      <w:r w:rsidRPr="00366730">
        <w:rPr>
          <w:rFonts w:ascii="Arial" w:hAnsi="Arial" w:cs="Arial"/>
          <w:b/>
          <w:bCs/>
          <w:lang w:val="en-PH" w:eastAsia="en-PH"/>
        </w:rPr>
        <w:t>Table 1</w:t>
      </w:r>
    </w:p>
    <w:p w14:paraId="19AE0FC3" w14:textId="77777777" w:rsidR="00366730" w:rsidRPr="00366730" w:rsidRDefault="00366730" w:rsidP="00366730">
      <w:pPr>
        <w:spacing w:before="100" w:beforeAutospacing="1" w:after="100" w:afterAutospacing="1"/>
        <w:contextualSpacing/>
        <w:jc w:val="both"/>
        <w:rPr>
          <w:rFonts w:ascii="Arial" w:hAnsi="Arial" w:cs="Arial"/>
          <w:i/>
          <w:iCs/>
          <w:lang w:val="en-PH" w:eastAsia="en-PH"/>
        </w:rPr>
      </w:pPr>
      <w:r w:rsidRPr="00366730">
        <w:rPr>
          <w:rFonts w:ascii="Arial" w:hAnsi="Arial" w:cs="Arial"/>
          <w:i/>
          <w:iCs/>
          <w:lang w:val="en-PH" w:eastAsia="en-PH"/>
        </w:rPr>
        <w:t>Level of Language Exposure of Students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1048"/>
        <w:gridCol w:w="1076"/>
        <w:gridCol w:w="2139"/>
      </w:tblGrid>
      <w:tr w:rsidR="00366730" w:rsidRPr="00366730" w14:paraId="392AA6DF" w14:textId="77777777" w:rsidTr="00C42D78">
        <w:trPr>
          <w:trHeight w:val="300"/>
        </w:trPr>
        <w:tc>
          <w:tcPr>
            <w:tcW w:w="4497" w:type="dxa"/>
            <w:tcBorders>
              <w:top w:val="single" w:sz="4" w:space="0" w:color="auto"/>
              <w:bottom w:val="single" w:sz="4" w:space="0" w:color="auto"/>
            </w:tcBorders>
            <w:vAlign w:val="center"/>
          </w:tcPr>
          <w:p w14:paraId="459F6503" w14:textId="77777777" w:rsidR="00366730" w:rsidRPr="00366730" w:rsidRDefault="00366730" w:rsidP="00366730">
            <w:pPr>
              <w:spacing w:before="100" w:beforeAutospacing="1" w:after="100"/>
              <w:jc w:val="both"/>
              <w:rPr>
                <w:rFonts w:ascii="Arial" w:hAnsi="Arial" w:cs="Arial"/>
                <w:b/>
                <w:bCs/>
                <w:sz w:val="20"/>
                <w:szCs w:val="20"/>
                <w:lang w:eastAsia="en-PH"/>
              </w:rPr>
            </w:pPr>
            <w:r w:rsidRPr="00366730">
              <w:rPr>
                <w:rFonts w:ascii="Arial" w:hAnsi="Arial" w:cs="Arial"/>
                <w:b/>
                <w:bCs/>
                <w:sz w:val="20"/>
                <w:szCs w:val="20"/>
                <w:lang w:eastAsia="en-PH"/>
              </w:rPr>
              <w:t>Indicator</w:t>
            </w:r>
          </w:p>
        </w:tc>
        <w:tc>
          <w:tcPr>
            <w:tcW w:w="1133" w:type="dxa"/>
            <w:tcBorders>
              <w:top w:val="single" w:sz="4" w:space="0" w:color="auto"/>
              <w:bottom w:val="single" w:sz="4" w:space="0" w:color="auto"/>
            </w:tcBorders>
            <w:vAlign w:val="center"/>
          </w:tcPr>
          <w:p w14:paraId="0EF2EE46" w14:textId="77777777" w:rsidR="00366730" w:rsidRPr="00366730" w:rsidRDefault="00366730" w:rsidP="00366730">
            <w:pPr>
              <w:spacing w:before="100" w:beforeAutospacing="1" w:after="100"/>
              <w:jc w:val="both"/>
              <w:rPr>
                <w:rFonts w:ascii="Arial" w:hAnsi="Arial" w:cs="Arial"/>
                <w:b/>
                <w:bCs/>
                <w:sz w:val="20"/>
                <w:szCs w:val="20"/>
                <w:lang w:eastAsia="en-PH"/>
              </w:rPr>
            </w:pPr>
            <w:r w:rsidRPr="00366730">
              <w:rPr>
                <w:rFonts w:ascii="Arial" w:hAnsi="Arial" w:cs="Arial"/>
                <w:b/>
                <w:bCs/>
                <w:sz w:val="20"/>
                <w:szCs w:val="20"/>
                <w:lang w:eastAsia="en-PH"/>
              </w:rPr>
              <w:t>SD</w:t>
            </w:r>
          </w:p>
        </w:tc>
        <w:tc>
          <w:tcPr>
            <w:tcW w:w="1142" w:type="dxa"/>
            <w:tcBorders>
              <w:top w:val="single" w:sz="4" w:space="0" w:color="auto"/>
              <w:bottom w:val="single" w:sz="4" w:space="0" w:color="auto"/>
            </w:tcBorders>
            <w:vAlign w:val="center"/>
          </w:tcPr>
          <w:p w14:paraId="18ABA02A" w14:textId="77777777" w:rsidR="00366730" w:rsidRPr="00366730" w:rsidRDefault="00366730" w:rsidP="00366730">
            <w:pPr>
              <w:spacing w:before="100" w:beforeAutospacing="1" w:after="100"/>
              <w:jc w:val="both"/>
              <w:rPr>
                <w:rFonts w:ascii="Arial" w:hAnsi="Arial" w:cs="Arial"/>
                <w:b/>
                <w:bCs/>
                <w:sz w:val="20"/>
                <w:szCs w:val="20"/>
                <w:lang w:eastAsia="en-PH"/>
              </w:rPr>
            </w:pPr>
            <w:r w:rsidRPr="00366730">
              <w:rPr>
                <w:rFonts w:ascii="Arial" w:hAnsi="Arial" w:cs="Arial"/>
                <w:b/>
                <w:bCs/>
                <w:sz w:val="20"/>
                <w:szCs w:val="20"/>
                <w:lang w:eastAsia="en-PH"/>
              </w:rPr>
              <w:t>Mean</w:t>
            </w:r>
          </w:p>
        </w:tc>
        <w:tc>
          <w:tcPr>
            <w:tcW w:w="2300" w:type="dxa"/>
            <w:tcBorders>
              <w:top w:val="single" w:sz="4" w:space="0" w:color="auto"/>
              <w:bottom w:val="single" w:sz="4" w:space="0" w:color="auto"/>
            </w:tcBorders>
            <w:vAlign w:val="center"/>
          </w:tcPr>
          <w:p w14:paraId="0B2C2F99" w14:textId="77777777" w:rsidR="00366730" w:rsidRPr="00366730" w:rsidRDefault="00366730" w:rsidP="00366730">
            <w:pPr>
              <w:spacing w:before="100" w:beforeAutospacing="1" w:after="100"/>
              <w:jc w:val="both"/>
              <w:rPr>
                <w:rFonts w:ascii="Arial" w:hAnsi="Arial" w:cs="Arial"/>
                <w:b/>
                <w:bCs/>
                <w:sz w:val="20"/>
                <w:szCs w:val="20"/>
                <w:lang w:eastAsia="en-PH"/>
              </w:rPr>
            </w:pPr>
            <w:r w:rsidRPr="00366730">
              <w:rPr>
                <w:rFonts w:ascii="Arial" w:hAnsi="Arial" w:cs="Arial"/>
                <w:b/>
                <w:bCs/>
                <w:sz w:val="20"/>
                <w:szCs w:val="20"/>
                <w:lang w:eastAsia="en-PH"/>
              </w:rPr>
              <w:t>Descriptive Level</w:t>
            </w:r>
          </w:p>
        </w:tc>
      </w:tr>
      <w:tr w:rsidR="00366730" w:rsidRPr="00366730" w14:paraId="1103AB5C" w14:textId="77777777" w:rsidTr="00C42D78">
        <w:trPr>
          <w:trHeight w:val="300"/>
        </w:trPr>
        <w:tc>
          <w:tcPr>
            <w:tcW w:w="4497" w:type="dxa"/>
            <w:tcBorders>
              <w:top w:val="single" w:sz="4" w:space="0" w:color="auto"/>
            </w:tcBorders>
            <w:vAlign w:val="center"/>
          </w:tcPr>
          <w:p w14:paraId="34508BE2" w14:textId="77777777" w:rsidR="00366730" w:rsidRPr="00366730" w:rsidRDefault="00366730" w:rsidP="00366730">
            <w:pPr>
              <w:spacing w:before="100" w:beforeAutospacing="1" w:after="100"/>
              <w:rPr>
                <w:rFonts w:ascii="Arial" w:hAnsi="Arial" w:cs="Arial"/>
                <w:sz w:val="20"/>
                <w:szCs w:val="20"/>
                <w:lang w:eastAsia="en-PH"/>
              </w:rPr>
            </w:pPr>
            <w:r w:rsidRPr="00366730">
              <w:rPr>
                <w:rFonts w:ascii="Arial" w:hAnsi="Arial" w:cs="Arial"/>
                <w:sz w:val="20"/>
                <w:szCs w:val="20"/>
                <w:lang w:eastAsia="en-PH"/>
              </w:rPr>
              <w:t>Home</w:t>
            </w:r>
          </w:p>
        </w:tc>
        <w:tc>
          <w:tcPr>
            <w:tcW w:w="1133" w:type="dxa"/>
            <w:tcBorders>
              <w:top w:val="single" w:sz="4" w:space="0" w:color="auto"/>
            </w:tcBorders>
            <w:vAlign w:val="center"/>
          </w:tcPr>
          <w:p w14:paraId="111332E6" w14:textId="77777777" w:rsidR="00366730" w:rsidRPr="00366730" w:rsidRDefault="00366730" w:rsidP="00366730">
            <w:pPr>
              <w:spacing w:before="100" w:beforeAutospacing="1" w:after="100"/>
              <w:jc w:val="both"/>
              <w:rPr>
                <w:rFonts w:ascii="Arial" w:hAnsi="Arial" w:cs="Arial"/>
                <w:sz w:val="20"/>
                <w:szCs w:val="20"/>
                <w:lang w:eastAsia="en-PH"/>
              </w:rPr>
            </w:pPr>
            <w:r w:rsidRPr="00366730">
              <w:rPr>
                <w:rFonts w:ascii="Arial" w:hAnsi="Arial" w:cs="Arial"/>
                <w:sz w:val="20"/>
                <w:szCs w:val="20"/>
                <w:lang w:eastAsia="en-PH"/>
              </w:rPr>
              <w:t>0.97</w:t>
            </w:r>
          </w:p>
        </w:tc>
        <w:tc>
          <w:tcPr>
            <w:tcW w:w="1142" w:type="dxa"/>
            <w:tcBorders>
              <w:top w:val="single" w:sz="4" w:space="0" w:color="auto"/>
            </w:tcBorders>
            <w:vAlign w:val="center"/>
          </w:tcPr>
          <w:p w14:paraId="28945435" w14:textId="77777777" w:rsidR="00366730" w:rsidRPr="00366730" w:rsidRDefault="00366730" w:rsidP="00366730">
            <w:pPr>
              <w:spacing w:before="100" w:beforeAutospacing="1" w:after="100"/>
              <w:jc w:val="both"/>
              <w:rPr>
                <w:rFonts w:ascii="Arial" w:hAnsi="Arial" w:cs="Arial"/>
                <w:sz w:val="20"/>
                <w:szCs w:val="20"/>
                <w:lang w:eastAsia="en-PH"/>
              </w:rPr>
            </w:pPr>
            <w:r w:rsidRPr="00366730">
              <w:rPr>
                <w:rFonts w:ascii="Arial" w:hAnsi="Arial" w:cs="Arial"/>
                <w:sz w:val="20"/>
                <w:szCs w:val="20"/>
                <w:lang w:eastAsia="en-PH"/>
              </w:rPr>
              <w:t>3.65</w:t>
            </w:r>
          </w:p>
        </w:tc>
        <w:tc>
          <w:tcPr>
            <w:tcW w:w="2300" w:type="dxa"/>
            <w:tcBorders>
              <w:top w:val="single" w:sz="4" w:space="0" w:color="auto"/>
            </w:tcBorders>
            <w:vAlign w:val="center"/>
          </w:tcPr>
          <w:p w14:paraId="5D6F4700" w14:textId="77777777" w:rsidR="00366730" w:rsidRPr="00366730" w:rsidRDefault="00366730" w:rsidP="00366730">
            <w:pPr>
              <w:spacing w:before="100" w:beforeAutospacing="1" w:after="100"/>
              <w:jc w:val="both"/>
              <w:rPr>
                <w:rFonts w:ascii="Arial" w:hAnsi="Arial" w:cs="Arial"/>
                <w:sz w:val="20"/>
                <w:szCs w:val="20"/>
                <w:lang w:eastAsia="en-PH"/>
              </w:rPr>
            </w:pPr>
            <w:r w:rsidRPr="00366730">
              <w:rPr>
                <w:rFonts w:ascii="Arial" w:hAnsi="Arial" w:cs="Arial"/>
                <w:sz w:val="20"/>
                <w:szCs w:val="20"/>
                <w:lang w:eastAsia="en-PH"/>
              </w:rPr>
              <w:t>High</w:t>
            </w:r>
          </w:p>
        </w:tc>
      </w:tr>
      <w:tr w:rsidR="00366730" w:rsidRPr="00366730" w14:paraId="06AC30E9" w14:textId="77777777" w:rsidTr="00C42D78">
        <w:trPr>
          <w:trHeight w:val="300"/>
        </w:trPr>
        <w:tc>
          <w:tcPr>
            <w:tcW w:w="4497" w:type="dxa"/>
            <w:vAlign w:val="center"/>
          </w:tcPr>
          <w:p w14:paraId="54D1B286" w14:textId="77777777" w:rsidR="00366730" w:rsidRPr="00366730" w:rsidRDefault="00366730" w:rsidP="00366730">
            <w:pPr>
              <w:spacing w:before="100" w:beforeAutospacing="1" w:after="100"/>
              <w:rPr>
                <w:rFonts w:ascii="Arial" w:hAnsi="Arial" w:cs="Arial"/>
                <w:sz w:val="20"/>
                <w:szCs w:val="20"/>
                <w:lang w:eastAsia="en-PH"/>
              </w:rPr>
            </w:pPr>
            <w:r w:rsidRPr="00366730">
              <w:rPr>
                <w:rFonts w:ascii="Arial" w:hAnsi="Arial" w:cs="Arial"/>
                <w:sz w:val="20"/>
                <w:szCs w:val="20"/>
                <w:lang w:eastAsia="en-PH"/>
              </w:rPr>
              <w:t>Friends</w:t>
            </w:r>
          </w:p>
        </w:tc>
        <w:tc>
          <w:tcPr>
            <w:tcW w:w="1133" w:type="dxa"/>
            <w:vAlign w:val="center"/>
          </w:tcPr>
          <w:p w14:paraId="0BBAB12C" w14:textId="77777777" w:rsidR="00366730" w:rsidRPr="00366730" w:rsidRDefault="00366730" w:rsidP="00366730">
            <w:pPr>
              <w:spacing w:before="100" w:beforeAutospacing="1" w:after="100"/>
              <w:jc w:val="both"/>
              <w:rPr>
                <w:rFonts w:ascii="Arial" w:hAnsi="Arial" w:cs="Arial"/>
                <w:sz w:val="20"/>
                <w:szCs w:val="20"/>
                <w:lang w:eastAsia="en-PH"/>
              </w:rPr>
            </w:pPr>
            <w:r w:rsidRPr="00366730">
              <w:rPr>
                <w:rFonts w:ascii="Arial" w:hAnsi="Arial" w:cs="Arial"/>
                <w:sz w:val="20"/>
                <w:szCs w:val="20"/>
                <w:lang w:eastAsia="en-PH"/>
              </w:rPr>
              <w:t>0.96</w:t>
            </w:r>
          </w:p>
        </w:tc>
        <w:tc>
          <w:tcPr>
            <w:tcW w:w="1142" w:type="dxa"/>
            <w:vAlign w:val="center"/>
          </w:tcPr>
          <w:p w14:paraId="142BAD71" w14:textId="77777777" w:rsidR="00366730" w:rsidRPr="00366730" w:rsidRDefault="00366730" w:rsidP="00366730">
            <w:pPr>
              <w:spacing w:before="100" w:beforeAutospacing="1" w:after="100"/>
              <w:jc w:val="both"/>
              <w:rPr>
                <w:rFonts w:ascii="Arial" w:hAnsi="Arial" w:cs="Arial"/>
                <w:sz w:val="20"/>
                <w:szCs w:val="20"/>
                <w:lang w:eastAsia="en-PH"/>
              </w:rPr>
            </w:pPr>
            <w:r w:rsidRPr="00366730">
              <w:rPr>
                <w:rFonts w:ascii="Arial" w:hAnsi="Arial" w:cs="Arial"/>
                <w:sz w:val="20"/>
                <w:szCs w:val="20"/>
                <w:lang w:eastAsia="en-PH"/>
              </w:rPr>
              <w:t>3.66</w:t>
            </w:r>
          </w:p>
        </w:tc>
        <w:tc>
          <w:tcPr>
            <w:tcW w:w="2300" w:type="dxa"/>
            <w:vAlign w:val="center"/>
          </w:tcPr>
          <w:p w14:paraId="6AA99453" w14:textId="77777777" w:rsidR="00366730" w:rsidRPr="00366730" w:rsidRDefault="00366730" w:rsidP="00366730">
            <w:pPr>
              <w:spacing w:before="100" w:beforeAutospacing="1" w:after="100"/>
              <w:jc w:val="both"/>
              <w:rPr>
                <w:rFonts w:ascii="Arial" w:hAnsi="Arial" w:cs="Arial"/>
                <w:sz w:val="20"/>
                <w:szCs w:val="20"/>
                <w:lang w:eastAsia="en-PH"/>
              </w:rPr>
            </w:pPr>
            <w:r w:rsidRPr="00366730">
              <w:rPr>
                <w:rFonts w:ascii="Arial" w:hAnsi="Arial" w:cs="Arial"/>
                <w:sz w:val="20"/>
                <w:szCs w:val="20"/>
                <w:lang w:eastAsia="en-PH"/>
              </w:rPr>
              <w:t>High</w:t>
            </w:r>
          </w:p>
        </w:tc>
      </w:tr>
      <w:tr w:rsidR="00366730" w:rsidRPr="00366730" w14:paraId="2FB53B8E" w14:textId="77777777" w:rsidTr="00C42D78">
        <w:trPr>
          <w:trHeight w:val="300"/>
        </w:trPr>
        <w:tc>
          <w:tcPr>
            <w:tcW w:w="4497" w:type="dxa"/>
            <w:vAlign w:val="center"/>
          </w:tcPr>
          <w:p w14:paraId="16DD1EAF" w14:textId="77777777" w:rsidR="00366730" w:rsidRPr="00366730" w:rsidRDefault="00366730" w:rsidP="00366730">
            <w:pPr>
              <w:spacing w:before="100" w:beforeAutospacing="1" w:after="100"/>
              <w:rPr>
                <w:rFonts w:ascii="Arial" w:hAnsi="Arial" w:cs="Arial"/>
                <w:sz w:val="20"/>
                <w:szCs w:val="20"/>
                <w:lang w:eastAsia="en-PH"/>
              </w:rPr>
            </w:pPr>
            <w:r w:rsidRPr="00366730">
              <w:rPr>
                <w:rFonts w:ascii="Arial" w:hAnsi="Arial" w:cs="Arial"/>
                <w:sz w:val="20"/>
                <w:szCs w:val="20"/>
                <w:lang w:eastAsia="en-PH"/>
              </w:rPr>
              <w:t>School</w:t>
            </w:r>
          </w:p>
        </w:tc>
        <w:tc>
          <w:tcPr>
            <w:tcW w:w="1133" w:type="dxa"/>
            <w:vAlign w:val="center"/>
          </w:tcPr>
          <w:p w14:paraId="3BEED05A" w14:textId="77777777" w:rsidR="00366730" w:rsidRPr="00366730" w:rsidRDefault="00366730" w:rsidP="00366730">
            <w:pPr>
              <w:spacing w:before="100" w:beforeAutospacing="1" w:after="100"/>
              <w:jc w:val="both"/>
              <w:rPr>
                <w:rFonts w:ascii="Arial" w:hAnsi="Arial" w:cs="Arial"/>
                <w:sz w:val="20"/>
                <w:szCs w:val="20"/>
                <w:lang w:eastAsia="en-PH"/>
              </w:rPr>
            </w:pPr>
            <w:r w:rsidRPr="00366730">
              <w:rPr>
                <w:rFonts w:ascii="Arial" w:hAnsi="Arial" w:cs="Arial"/>
                <w:sz w:val="20"/>
                <w:szCs w:val="20"/>
                <w:lang w:eastAsia="en-PH"/>
              </w:rPr>
              <w:t>0.68</w:t>
            </w:r>
          </w:p>
        </w:tc>
        <w:tc>
          <w:tcPr>
            <w:tcW w:w="1142" w:type="dxa"/>
            <w:vAlign w:val="center"/>
          </w:tcPr>
          <w:p w14:paraId="53BBF00D" w14:textId="77777777" w:rsidR="00366730" w:rsidRPr="00366730" w:rsidRDefault="00366730" w:rsidP="00366730">
            <w:pPr>
              <w:spacing w:before="100" w:beforeAutospacing="1" w:after="100"/>
              <w:jc w:val="both"/>
              <w:rPr>
                <w:rFonts w:ascii="Arial" w:hAnsi="Arial" w:cs="Arial"/>
                <w:sz w:val="20"/>
                <w:szCs w:val="20"/>
                <w:lang w:eastAsia="en-PH"/>
              </w:rPr>
            </w:pPr>
            <w:r w:rsidRPr="00366730">
              <w:rPr>
                <w:rFonts w:ascii="Arial" w:hAnsi="Arial" w:cs="Arial"/>
                <w:sz w:val="20"/>
                <w:szCs w:val="20"/>
                <w:lang w:eastAsia="en-PH"/>
              </w:rPr>
              <w:t>4.01</w:t>
            </w:r>
          </w:p>
        </w:tc>
        <w:tc>
          <w:tcPr>
            <w:tcW w:w="2300" w:type="dxa"/>
            <w:vAlign w:val="center"/>
          </w:tcPr>
          <w:p w14:paraId="6BF4F704" w14:textId="77777777" w:rsidR="00366730" w:rsidRPr="00366730" w:rsidRDefault="00366730" w:rsidP="00366730">
            <w:pPr>
              <w:spacing w:before="100" w:beforeAutospacing="1" w:after="100"/>
              <w:jc w:val="both"/>
              <w:rPr>
                <w:rFonts w:ascii="Arial" w:hAnsi="Arial" w:cs="Arial"/>
                <w:sz w:val="20"/>
                <w:szCs w:val="20"/>
                <w:lang w:eastAsia="en-PH"/>
              </w:rPr>
            </w:pPr>
            <w:r w:rsidRPr="00366730">
              <w:rPr>
                <w:rFonts w:ascii="Arial" w:hAnsi="Arial" w:cs="Arial"/>
                <w:sz w:val="20"/>
                <w:szCs w:val="20"/>
                <w:lang w:eastAsia="en-PH"/>
              </w:rPr>
              <w:t>High</w:t>
            </w:r>
          </w:p>
        </w:tc>
      </w:tr>
      <w:tr w:rsidR="00366730" w:rsidRPr="00366730" w14:paraId="26C526E1" w14:textId="77777777" w:rsidTr="00C42D78">
        <w:trPr>
          <w:trHeight w:val="300"/>
        </w:trPr>
        <w:tc>
          <w:tcPr>
            <w:tcW w:w="4497" w:type="dxa"/>
            <w:vAlign w:val="center"/>
          </w:tcPr>
          <w:p w14:paraId="56BA8E07" w14:textId="77777777" w:rsidR="00366730" w:rsidRPr="00366730" w:rsidRDefault="00366730" w:rsidP="00366730">
            <w:pPr>
              <w:spacing w:before="100" w:beforeAutospacing="1" w:after="100"/>
              <w:rPr>
                <w:rFonts w:ascii="Arial" w:hAnsi="Arial" w:cs="Arial"/>
                <w:sz w:val="20"/>
                <w:szCs w:val="20"/>
                <w:lang w:eastAsia="en-PH"/>
              </w:rPr>
            </w:pPr>
            <w:r w:rsidRPr="00366730">
              <w:rPr>
                <w:rFonts w:ascii="Arial" w:hAnsi="Arial" w:cs="Arial"/>
                <w:sz w:val="20"/>
                <w:szCs w:val="20"/>
                <w:lang w:eastAsia="en-PH"/>
              </w:rPr>
              <w:t>Media</w:t>
            </w:r>
          </w:p>
        </w:tc>
        <w:tc>
          <w:tcPr>
            <w:tcW w:w="1133" w:type="dxa"/>
            <w:vAlign w:val="center"/>
          </w:tcPr>
          <w:p w14:paraId="4DE77B68" w14:textId="77777777" w:rsidR="00366730" w:rsidRPr="00366730" w:rsidRDefault="00366730" w:rsidP="00366730">
            <w:pPr>
              <w:spacing w:before="100" w:beforeAutospacing="1" w:after="100"/>
              <w:jc w:val="both"/>
              <w:rPr>
                <w:rFonts w:ascii="Arial" w:hAnsi="Arial" w:cs="Arial"/>
                <w:sz w:val="20"/>
                <w:szCs w:val="20"/>
                <w:lang w:eastAsia="en-PH"/>
              </w:rPr>
            </w:pPr>
            <w:r w:rsidRPr="00366730">
              <w:rPr>
                <w:rFonts w:ascii="Arial" w:hAnsi="Arial" w:cs="Arial"/>
                <w:sz w:val="20"/>
                <w:szCs w:val="20"/>
                <w:lang w:eastAsia="en-PH"/>
              </w:rPr>
              <w:t>0.63</w:t>
            </w:r>
          </w:p>
        </w:tc>
        <w:tc>
          <w:tcPr>
            <w:tcW w:w="1142" w:type="dxa"/>
            <w:vAlign w:val="center"/>
          </w:tcPr>
          <w:p w14:paraId="44762EF4" w14:textId="77777777" w:rsidR="00366730" w:rsidRPr="00366730" w:rsidRDefault="00366730" w:rsidP="00366730">
            <w:pPr>
              <w:spacing w:before="100" w:beforeAutospacing="1" w:after="100"/>
              <w:jc w:val="both"/>
              <w:rPr>
                <w:rFonts w:ascii="Arial" w:hAnsi="Arial" w:cs="Arial"/>
                <w:sz w:val="20"/>
                <w:szCs w:val="20"/>
                <w:lang w:eastAsia="en-PH"/>
              </w:rPr>
            </w:pPr>
            <w:r w:rsidRPr="00366730">
              <w:rPr>
                <w:rFonts w:ascii="Arial" w:hAnsi="Arial" w:cs="Arial"/>
                <w:sz w:val="20"/>
                <w:szCs w:val="20"/>
                <w:lang w:eastAsia="en-PH"/>
              </w:rPr>
              <w:t>3.95</w:t>
            </w:r>
          </w:p>
        </w:tc>
        <w:tc>
          <w:tcPr>
            <w:tcW w:w="2300" w:type="dxa"/>
            <w:vAlign w:val="center"/>
          </w:tcPr>
          <w:p w14:paraId="04F42F3F" w14:textId="77777777" w:rsidR="00366730" w:rsidRPr="00366730" w:rsidRDefault="00366730" w:rsidP="00366730">
            <w:pPr>
              <w:spacing w:before="100" w:beforeAutospacing="1" w:after="100"/>
              <w:jc w:val="both"/>
              <w:rPr>
                <w:rFonts w:ascii="Arial" w:hAnsi="Arial" w:cs="Arial"/>
                <w:sz w:val="20"/>
                <w:szCs w:val="20"/>
                <w:lang w:eastAsia="en-PH"/>
              </w:rPr>
            </w:pPr>
            <w:r w:rsidRPr="00366730">
              <w:rPr>
                <w:rFonts w:ascii="Arial" w:hAnsi="Arial" w:cs="Arial"/>
                <w:sz w:val="20"/>
                <w:szCs w:val="20"/>
                <w:lang w:eastAsia="en-PH"/>
              </w:rPr>
              <w:t>High</w:t>
            </w:r>
          </w:p>
        </w:tc>
      </w:tr>
      <w:tr w:rsidR="00366730" w:rsidRPr="00366730" w14:paraId="0B336C94" w14:textId="77777777" w:rsidTr="00C42D78">
        <w:trPr>
          <w:trHeight w:val="300"/>
        </w:trPr>
        <w:tc>
          <w:tcPr>
            <w:tcW w:w="4497" w:type="dxa"/>
            <w:tcBorders>
              <w:bottom w:val="single" w:sz="4" w:space="0" w:color="auto"/>
            </w:tcBorders>
            <w:vAlign w:val="center"/>
          </w:tcPr>
          <w:p w14:paraId="747158E8" w14:textId="77777777" w:rsidR="00366730" w:rsidRPr="00366730" w:rsidRDefault="00366730" w:rsidP="00366730">
            <w:pPr>
              <w:spacing w:before="100" w:beforeAutospacing="1" w:after="100"/>
              <w:jc w:val="both"/>
              <w:rPr>
                <w:rFonts w:ascii="Arial" w:hAnsi="Arial" w:cs="Arial"/>
                <w:b/>
                <w:bCs/>
                <w:sz w:val="20"/>
                <w:szCs w:val="20"/>
                <w:lang w:eastAsia="en-PH"/>
              </w:rPr>
            </w:pPr>
            <w:r w:rsidRPr="00366730">
              <w:rPr>
                <w:rFonts w:ascii="Arial" w:hAnsi="Arial" w:cs="Arial"/>
                <w:b/>
                <w:bCs/>
                <w:sz w:val="20"/>
                <w:szCs w:val="20"/>
                <w:lang w:eastAsia="en-PH"/>
              </w:rPr>
              <w:t>Overall</w:t>
            </w:r>
          </w:p>
        </w:tc>
        <w:tc>
          <w:tcPr>
            <w:tcW w:w="1133" w:type="dxa"/>
            <w:tcBorders>
              <w:bottom w:val="single" w:sz="4" w:space="0" w:color="auto"/>
            </w:tcBorders>
            <w:vAlign w:val="center"/>
          </w:tcPr>
          <w:p w14:paraId="3B6CADF3" w14:textId="77777777" w:rsidR="00366730" w:rsidRPr="00366730" w:rsidRDefault="00366730" w:rsidP="00366730">
            <w:pPr>
              <w:spacing w:before="100" w:beforeAutospacing="1" w:after="100"/>
              <w:jc w:val="both"/>
              <w:rPr>
                <w:rFonts w:ascii="Arial" w:hAnsi="Arial" w:cs="Arial"/>
                <w:b/>
                <w:bCs/>
                <w:sz w:val="20"/>
                <w:szCs w:val="20"/>
                <w:lang w:eastAsia="en-PH"/>
              </w:rPr>
            </w:pPr>
            <w:r w:rsidRPr="00366730">
              <w:rPr>
                <w:rFonts w:ascii="Arial" w:hAnsi="Arial" w:cs="Arial"/>
                <w:b/>
                <w:bCs/>
                <w:sz w:val="20"/>
                <w:szCs w:val="20"/>
                <w:lang w:eastAsia="en-PH"/>
              </w:rPr>
              <w:t>0.62</w:t>
            </w:r>
          </w:p>
        </w:tc>
        <w:tc>
          <w:tcPr>
            <w:tcW w:w="1142" w:type="dxa"/>
            <w:tcBorders>
              <w:bottom w:val="single" w:sz="4" w:space="0" w:color="auto"/>
            </w:tcBorders>
            <w:vAlign w:val="center"/>
          </w:tcPr>
          <w:p w14:paraId="535A0BE2" w14:textId="77777777" w:rsidR="00366730" w:rsidRPr="00366730" w:rsidRDefault="00366730" w:rsidP="00366730">
            <w:pPr>
              <w:spacing w:before="100" w:beforeAutospacing="1" w:after="100"/>
              <w:jc w:val="both"/>
              <w:rPr>
                <w:rFonts w:ascii="Arial" w:hAnsi="Arial" w:cs="Arial"/>
                <w:b/>
                <w:bCs/>
                <w:sz w:val="20"/>
                <w:szCs w:val="20"/>
                <w:lang w:eastAsia="en-PH"/>
              </w:rPr>
            </w:pPr>
            <w:r w:rsidRPr="00366730">
              <w:rPr>
                <w:rFonts w:ascii="Arial" w:hAnsi="Arial" w:cs="Arial"/>
                <w:b/>
                <w:bCs/>
                <w:sz w:val="20"/>
                <w:szCs w:val="20"/>
                <w:lang w:eastAsia="en-PH"/>
              </w:rPr>
              <w:t>3.82</w:t>
            </w:r>
          </w:p>
        </w:tc>
        <w:tc>
          <w:tcPr>
            <w:tcW w:w="2300" w:type="dxa"/>
            <w:tcBorders>
              <w:bottom w:val="single" w:sz="4" w:space="0" w:color="auto"/>
            </w:tcBorders>
            <w:vAlign w:val="center"/>
          </w:tcPr>
          <w:p w14:paraId="4086B751" w14:textId="77777777" w:rsidR="00366730" w:rsidRPr="00366730" w:rsidRDefault="00366730" w:rsidP="00366730">
            <w:pPr>
              <w:spacing w:before="100" w:beforeAutospacing="1" w:after="100"/>
              <w:jc w:val="both"/>
              <w:rPr>
                <w:rFonts w:ascii="Arial" w:hAnsi="Arial" w:cs="Arial"/>
                <w:b/>
                <w:bCs/>
                <w:sz w:val="20"/>
                <w:szCs w:val="20"/>
                <w:lang w:eastAsia="en-PH"/>
              </w:rPr>
            </w:pPr>
            <w:r w:rsidRPr="00366730">
              <w:rPr>
                <w:rFonts w:ascii="Arial" w:hAnsi="Arial" w:cs="Arial"/>
                <w:b/>
                <w:bCs/>
                <w:sz w:val="20"/>
                <w:szCs w:val="20"/>
                <w:lang w:eastAsia="en-PH"/>
              </w:rPr>
              <w:t>High</w:t>
            </w:r>
          </w:p>
        </w:tc>
      </w:tr>
    </w:tbl>
    <w:p w14:paraId="71255CA4" w14:textId="77777777" w:rsidR="00366730" w:rsidRPr="000442F5" w:rsidRDefault="00366730" w:rsidP="000442F5">
      <w:pPr>
        <w:pStyle w:val="Body"/>
        <w:rPr>
          <w:rFonts w:ascii="Arial" w:hAnsi="Arial" w:cs="Arial"/>
        </w:rPr>
      </w:pPr>
    </w:p>
    <w:p w14:paraId="3049E84C" w14:textId="6AD449AA" w:rsidR="00B8364C" w:rsidRPr="00B8364C" w:rsidRDefault="00B8364C" w:rsidP="00B8364C">
      <w:pPr>
        <w:pStyle w:val="Body"/>
        <w:rPr>
          <w:rFonts w:ascii="Arial" w:hAnsi="Arial" w:cs="Arial"/>
        </w:rPr>
      </w:pPr>
      <w:r w:rsidRPr="00B8364C">
        <w:rPr>
          <w:rFonts w:ascii="Arial" w:hAnsi="Arial" w:cs="Arial"/>
        </w:rPr>
        <w:t>The results indicate that students’ language exposure significantly influences their communicative competence across different contexts. However, communicative competence involves more than just knowing the language—it also requires the ability to use it appropriately in various social settings, both formal and informal. Language development extends beyond the classroom and is shaped by interactions in social and digital environments, which play a crucial role in enhancing students’ language and communication skills.</w:t>
      </w:r>
    </w:p>
    <w:p w14:paraId="280F7C55" w14:textId="1E618A52" w:rsidR="00A14259" w:rsidRDefault="00B8364C" w:rsidP="00B8364C">
      <w:pPr>
        <w:pStyle w:val="Body"/>
        <w:spacing w:after="0"/>
        <w:rPr>
          <w:rFonts w:ascii="Arial" w:hAnsi="Arial" w:cs="Arial"/>
        </w:rPr>
      </w:pPr>
      <w:r w:rsidRPr="00B8364C">
        <w:rPr>
          <w:rFonts w:ascii="Arial" w:hAnsi="Arial" w:cs="Arial"/>
        </w:rPr>
        <w:t>This finding aligns with Hart and Risley’s (1995) study, which emphasized that students perform better in language development when they engage in activities that strengthen their reading, writing, and speaking skills. However, without a language-rich home environment, such as regular reading or conversations, students struggle to reinforce and build upon what they learn in school. Similarly, Scheele et al. (2010) highlighted that home language exposure is vital for sustaining and improving the language skills gained at school. Cummins (2000) further supported this by asserting that consistent support at home, in addition to school, is essential for establishing a solid foundation for language learning.</w:t>
      </w:r>
    </w:p>
    <w:p w14:paraId="082F7665" w14:textId="77777777" w:rsidR="00B75924" w:rsidRDefault="00B75924" w:rsidP="00441B6F">
      <w:pPr>
        <w:pStyle w:val="Body"/>
        <w:spacing w:after="0"/>
        <w:rPr>
          <w:rFonts w:ascii="Arial" w:hAnsi="Arial" w:cs="Arial"/>
        </w:rPr>
      </w:pPr>
    </w:p>
    <w:p w14:paraId="71063ABF" w14:textId="67488A94" w:rsidR="00917A8F" w:rsidRPr="00917A8F" w:rsidRDefault="00917A8F" w:rsidP="00917A8F">
      <w:pPr>
        <w:pStyle w:val="Body"/>
        <w:spacing w:after="0"/>
        <w:rPr>
          <w:rFonts w:ascii="Arial" w:hAnsi="Arial" w:cs="Arial"/>
          <w:b/>
          <w:bCs/>
          <w:lang w:val="en-PH"/>
        </w:rPr>
      </w:pPr>
      <w:r w:rsidRPr="00917A8F">
        <w:rPr>
          <w:rFonts w:ascii="Arial" w:hAnsi="Arial" w:cs="Arial"/>
          <w:b/>
          <w:bCs/>
          <w:lang w:val="en-PH"/>
        </w:rPr>
        <w:t xml:space="preserve">Table </w:t>
      </w:r>
      <w:r>
        <w:rPr>
          <w:rFonts w:ascii="Arial" w:hAnsi="Arial" w:cs="Arial"/>
          <w:b/>
          <w:bCs/>
          <w:lang w:val="en-PH"/>
        </w:rPr>
        <w:t>2</w:t>
      </w:r>
    </w:p>
    <w:p w14:paraId="1708B56A" w14:textId="49514B25" w:rsidR="00917A8F" w:rsidRPr="00917A8F" w:rsidRDefault="00917A8F" w:rsidP="00917A8F">
      <w:pPr>
        <w:pStyle w:val="Body"/>
        <w:spacing w:after="0"/>
        <w:rPr>
          <w:rFonts w:ascii="Arial" w:hAnsi="Arial" w:cs="Arial"/>
          <w:i/>
          <w:iCs/>
          <w:lang w:val="en-PH"/>
        </w:rPr>
      </w:pPr>
      <w:r w:rsidRPr="00917A8F">
        <w:rPr>
          <w:rFonts w:ascii="Arial" w:hAnsi="Arial" w:cs="Arial"/>
          <w:i/>
          <w:iCs/>
          <w:lang w:val="en-PH"/>
        </w:rPr>
        <w:t xml:space="preserve">Level of Students' Language Learning </w:t>
      </w:r>
      <w:bookmarkStart w:id="1" w:name="_Hlk189770395"/>
    </w:p>
    <w:tbl>
      <w:tblPr>
        <w:tblW w:w="0" w:type="auto"/>
        <w:tblLook w:val="04A0" w:firstRow="1" w:lastRow="0" w:firstColumn="1" w:lastColumn="0" w:noHBand="0" w:noVBand="1"/>
      </w:tblPr>
      <w:tblGrid>
        <w:gridCol w:w="3945"/>
        <w:gridCol w:w="1048"/>
        <w:gridCol w:w="1076"/>
        <w:gridCol w:w="2139"/>
      </w:tblGrid>
      <w:tr w:rsidR="00917A8F" w:rsidRPr="00917A8F" w14:paraId="181644C4" w14:textId="77777777" w:rsidTr="00C42D78">
        <w:trPr>
          <w:trHeight w:val="300"/>
        </w:trPr>
        <w:tc>
          <w:tcPr>
            <w:tcW w:w="4497" w:type="dxa"/>
            <w:tcBorders>
              <w:top w:val="single" w:sz="4" w:space="0" w:color="auto"/>
              <w:bottom w:val="single" w:sz="4" w:space="0" w:color="auto"/>
            </w:tcBorders>
            <w:vAlign w:val="center"/>
          </w:tcPr>
          <w:p w14:paraId="44245915" w14:textId="77777777" w:rsidR="00917A8F" w:rsidRPr="00917A8F" w:rsidRDefault="00917A8F" w:rsidP="00917A8F">
            <w:pPr>
              <w:pStyle w:val="Body"/>
              <w:spacing w:after="0"/>
              <w:rPr>
                <w:rFonts w:ascii="Arial" w:hAnsi="Arial" w:cs="Arial"/>
                <w:b/>
                <w:bCs/>
                <w:lang w:val="en-PH"/>
              </w:rPr>
            </w:pPr>
            <w:r w:rsidRPr="00917A8F">
              <w:rPr>
                <w:rFonts w:ascii="Arial" w:hAnsi="Arial" w:cs="Arial"/>
                <w:b/>
                <w:bCs/>
                <w:lang w:val="en-PH"/>
              </w:rPr>
              <w:t>Indicator</w:t>
            </w:r>
          </w:p>
        </w:tc>
        <w:tc>
          <w:tcPr>
            <w:tcW w:w="1133" w:type="dxa"/>
            <w:tcBorders>
              <w:top w:val="single" w:sz="4" w:space="0" w:color="auto"/>
              <w:bottom w:val="single" w:sz="4" w:space="0" w:color="auto"/>
            </w:tcBorders>
            <w:vAlign w:val="center"/>
          </w:tcPr>
          <w:p w14:paraId="417A4F99" w14:textId="77777777" w:rsidR="00917A8F" w:rsidRPr="00917A8F" w:rsidRDefault="00917A8F" w:rsidP="00917A8F">
            <w:pPr>
              <w:pStyle w:val="Body"/>
              <w:spacing w:after="0"/>
              <w:rPr>
                <w:rFonts w:ascii="Arial" w:hAnsi="Arial" w:cs="Arial"/>
                <w:b/>
                <w:bCs/>
                <w:lang w:val="en-PH"/>
              </w:rPr>
            </w:pPr>
            <w:r w:rsidRPr="00917A8F">
              <w:rPr>
                <w:rFonts w:ascii="Arial" w:hAnsi="Arial" w:cs="Arial"/>
                <w:b/>
                <w:bCs/>
                <w:lang w:val="en-PH"/>
              </w:rPr>
              <w:t>SD</w:t>
            </w:r>
          </w:p>
        </w:tc>
        <w:tc>
          <w:tcPr>
            <w:tcW w:w="1142" w:type="dxa"/>
            <w:tcBorders>
              <w:top w:val="single" w:sz="4" w:space="0" w:color="auto"/>
              <w:bottom w:val="single" w:sz="4" w:space="0" w:color="auto"/>
            </w:tcBorders>
            <w:vAlign w:val="center"/>
          </w:tcPr>
          <w:p w14:paraId="0C4C79AD" w14:textId="77777777" w:rsidR="00917A8F" w:rsidRPr="00917A8F" w:rsidRDefault="00917A8F" w:rsidP="00917A8F">
            <w:pPr>
              <w:pStyle w:val="Body"/>
              <w:spacing w:after="0"/>
              <w:rPr>
                <w:rFonts w:ascii="Arial" w:hAnsi="Arial" w:cs="Arial"/>
                <w:b/>
                <w:bCs/>
                <w:lang w:val="en-PH"/>
              </w:rPr>
            </w:pPr>
            <w:r w:rsidRPr="00917A8F">
              <w:rPr>
                <w:rFonts w:ascii="Arial" w:hAnsi="Arial" w:cs="Arial"/>
                <w:b/>
                <w:bCs/>
                <w:lang w:val="en-PH"/>
              </w:rPr>
              <w:t>Mean</w:t>
            </w:r>
          </w:p>
        </w:tc>
        <w:tc>
          <w:tcPr>
            <w:tcW w:w="2300" w:type="dxa"/>
            <w:tcBorders>
              <w:top w:val="single" w:sz="4" w:space="0" w:color="auto"/>
              <w:bottom w:val="single" w:sz="4" w:space="0" w:color="auto"/>
            </w:tcBorders>
            <w:vAlign w:val="center"/>
          </w:tcPr>
          <w:p w14:paraId="6CE49432" w14:textId="77777777" w:rsidR="00917A8F" w:rsidRPr="00917A8F" w:rsidRDefault="00917A8F" w:rsidP="00917A8F">
            <w:pPr>
              <w:pStyle w:val="Body"/>
              <w:spacing w:after="0"/>
              <w:rPr>
                <w:rFonts w:ascii="Arial" w:hAnsi="Arial" w:cs="Arial"/>
                <w:b/>
                <w:bCs/>
                <w:lang w:val="en-PH"/>
              </w:rPr>
            </w:pPr>
            <w:r w:rsidRPr="00917A8F">
              <w:rPr>
                <w:rFonts w:ascii="Arial" w:hAnsi="Arial" w:cs="Arial"/>
                <w:b/>
                <w:bCs/>
                <w:lang w:val="en-PH"/>
              </w:rPr>
              <w:t>Descriptive Level</w:t>
            </w:r>
          </w:p>
        </w:tc>
      </w:tr>
      <w:tr w:rsidR="00917A8F" w:rsidRPr="00917A8F" w14:paraId="1001A268" w14:textId="77777777" w:rsidTr="00C42D78">
        <w:trPr>
          <w:trHeight w:val="300"/>
        </w:trPr>
        <w:tc>
          <w:tcPr>
            <w:tcW w:w="4497" w:type="dxa"/>
            <w:tcBorders>
              <w:top w:val="single" w:sz="4" w:space="0" w:color="auto"/>
            </w:tcBorders>
            <w:vAlign w:val="center"/>
          </w:tcPr>
          <w:p w14:paraId="2958DDC2" w14:textId="77777777" w:rsidR="00917A8F" w:rsidRPr="00917A8F" w:rsidRDefault="00917A8F" w:rsidP="00917A8F">
            <w:pPr>
              <w:pStyle w:val="Body"/>
              <w:spacing w:after="0"/>
              <w:rPr>
                <w:rFonts w:ascii="Arial" w:hAnsi="Arial" w:cs="Arial"/>
                <w:lang w:val="en-PH"/>
              </w:rPr>
            </w:pPr>
            <w:r w:rsidRPr="00917A8F">
              <w:rPr>
                <w:rFonts w:ascii="Arial" w:hAnsi="Arial" w:cs="Arial"/>
                <w:lang w:val="en-PH"/>
              </w:rPr>
              <w:t>Speaking</w:t>
            </w:r>
          </w:p>
        </w:tc>
        <w:tc>
          <w:tcPr>
            <w:tcW w:w="1133" w:type="dxa"/>
            <w:tcBorders>
              <w:top w:val="single" w:sz="4" w:space="0" w:color="auto"/>
            </w:tcBorders>
            <w:vAlign w:val="center"/>
          </w:tcPr>
          <w:p w14:paraId="51402B0D" w14:textId="77777777" w:rsidR="00917A8F" w:rsidRPr="00917A8F" w:rsidRDefault="00917A8F" w:rsidP="00917A8F">
            <w:pPr>
              <w:pStyle w:val="Body"/>
              <w:spacing w:after="0"/>
              <w:rPr>
                <w:rFonts w:ascii="Arial" w:hAnsi="Arial" w:cs="Arial"/>
                <w:lang w:val="en-PH"/>
              </w:rPr>
            </w:pPr>
            <w:r w:rsidRPr="00917A8F">
              <w:rPr>
                <w:rFonts w:ascii="Arial" w:hAnsi="Arial" w:cs="Arial"/>
                <w:lang w:val="en-PH"/>
              </w:rPr>
              <w:t>0.57</w:t>
            </w:r>
          </w:p>
        </w:tc>
        <w:tc>
          <w:tcPr>
            <w:tcW w:w="1142" w:type="dxa"/>
            <w:tcBorders>
              <w:top w:val="single" w:sz="4" w:space="0" w:color="auto"/>
            </w:tcBorders>
            <w:vAlign w:val="center"/>
          </w:tcPr>
          <w:p w14:paraId="25C067D1" w14:textId="77777777" w:rsidR="00917A8F" w:rsidRPr="00917A8F" w:rsidRDefault="00917A8F" w:rsidP="00917A8F">
            <w:pPr>
              <w:pStyle w:val="Body"/>
              <w:spacing w:after="0"/>
              <w:rPr>
                <w:rFonts w:ascii="Arial" w:hAnsi="Arial" w:cs="Arial"/>
                <w:lang w:val="en-PH"/>
              </w:rPr>
            </w:pPr>
            <w:r w:rsidRPr="00917A8F">
              <w:rPr>
                <w:rFonts w:ascii="Arial" w:hAnsi="Arial" w:cs="Arial"/>
                <w:lang w:val="en-PH"/>
              </w:rPr>
              <w:t>3.99</w:t>
            </w:r>
          </w:p>
        </w:tc>
        <w:tc>
          <w:tcPr>
            <w:tcW w:w="2300" w:type="dxa"/>
            <w:tcBorders>
              <w:top w:val="single" w:sz="4" w:space="0" w:color="auto"/>
            </w:tcBorders>
            <w:vAlign w:val="center"/>
          </w:tcPr>
          <w:p w14:paraId="615B8B73" w14:textId="77777777" w:rsidR="00917A8F" w:rsidRPr="00917A8F" w:rsidRDefault="00917A8F" w:rsidP="00917A8F">
            <w:pPr>
              <w:pStyle w:val="Body"/>
              <w:spacing w:after="0"/>
              <w:rPr>
                <w:rFonts w:ascii="Arial" w:hAnsi="Arial" w:cs="Arial"/>
                <w:lang w:val="en-PH"/>
              </w:rPr>
            </w:pPr>
            <w:r w:rsidRPr="00917A8F">
              <w:rPr>
                <w:rFonts w:ascii="Arial" w:hAnsi="Arial" w:cs="Arial"/>
                <w:lang w:val="en-PH"/>
              </w:rPr>
              <w:t>High</w:t>
            </w:r>
          </w:p>
        </w:tc>
      </w:tr>
      <w:tr w:rsidR="00917A8F" w:rsidRPr="00917A8F" w14:paraId="02DAAA11" w14:textId="77777777" w:rsidTr="00C42D78">
        <w:trPr>
          <w:trHeight w:val="300"/>
        </w:trPr>
        <w:tc>
          <w:tcPr>
            <w:tcW w:w="4497" w:type="dxa"/>
            <w:vAlign w:val="center"/>
          </w:tcPr>
          <w:p w14:paraId="29C02B47" w14:textId="77777777" w:rsidR="00917A8F" w:rsidRPr="00917A8F" w:rsidRDefault="00917A8F" w:rsidP="00917A8F">
            <w:pPr>
              <w:pStyle w:val="Body"/>
              <w:spacing w:after="0"/>
              <w:rPr>
                <w:rFonts w:ascii="Arial" w:hAnsi="Arial" w:cs="Arial"/>
                <w:lang w:val="en-PH"/>
              </w:rPr>
            </w:pPr>
            <w:r w:rsidRPr="00917A8F">
              <w:rPr>
                <w:rFonts w:ascii="Arial" w:hAnsi="Arial" w:cs="Arial"/>
                <w:lang w:val="en-PH"/>
              </w:rPr>
              <w:t>Listening</w:t>
            </w:r>
          </w:p>
        </w:tc>
        <w:tc>
          <w:tcPr>
            <w:tcW w:w="1133" w:type="dxa"/>
            <w:vAlign w:val="center"/>
          </w:tcPr>
          <w:p w14:paraId="4C48FECF" w14:textId="77777777" w:rsidR="00917A8F" w:rsidRPr="00917A8F" w:rsidRDefault="00917A8F" w:rsidP="00917A8F">
            <w:pPr>
              <w:pStyle w:val="Body"/>
              <w:spacing w:after="0"/>
              <w:rPr>
                <w:rFonts w:ascii="Arial" w:hAnsi="Arial" w:cs="Arial"/>
                <w:lang w:val="en-PH"/>
              </w:rPr>
            </w:pPr>
            <w:r w:rsidRPr="00917A8F">
              <w:rPr>
                <w:rFonts w:ascii="Arial" w:hAnsi="Arial" w:cs="Arial"/>
                <w:lang w:val="en-PH"/>
              </w:rPr>
              <w:t>0.60</w:t>
            </w:r>
          </w:p>
        </w:tc>
        <w:tc>
          <w:tcPr>
            <w:tcW w:w="1142" w:type="dxa"/>
            <w:vAlign w:val="center"/>
          </w:tcPr>
          <w:p w14:paraId="276437FF" w14:textId="77777777" w:rsidR="00917A8F" w:rsidRPr="00917A8F" w:rsidRDefault="00917A8F" w:rsidP="00917A8F">
            <w:pPr>
              <w:pStyle w:val="Body"/>
              <w:spacing w:after="0"/>
              <w:rPr>
                <w:rFonts w:ascii="Arial" w:hAnsi="Arial" w:cs="Arial"/>
                <w:lang w:val="en-PH"/>
              </w:rPr>
            </w:pPr>
            <w:r w:rsidRPr="00917A8F">
              <w:rPr>
                <w:rFonts w:ascii="Arial" w:hAnsi="Arial" w:cs="Arial"/>
                <w:lang w:val="en-PH"/>
              </w:rPr>
              <w:t>3.92</w:t>
            </w:r>
          </w:p>
        </w:tc>
        <w:tc>
          <w:tcPr>
            <w:tcW w:w="2300" w:type="dxa"/>
            <w:vAlign w:val="center"/>
          </w:tcPr>
          <w:p w14:paraId="4AC50196" w14:textId="77777777" w:rsidR="00917A8F" w:rsidRPr="00917A8F" w:rsidRDefault="00917A8F" w:rsidP="00917A8F">
            <w:pPr>
              <w:pStyle w:val="Body"/>
              <w:spacing w:after="0"/>
              <w:rPr>
                <w:rFonts w:ascii="Arial" w:hAnsi="Arial" w:cs="Arial"/>
                <w:lang w:val="en-PH"/>
              </w:rPr>
            </w:pPr>
            <w:r w:rsidRPr="00917A8F">
              <w:rPr>
                <w:rFonts w:ascii="Arial" w:hAnsi="Arial" w:cs="Arial"/>
                <w:lang w:val="en-PH"/>
              </w:rPr>
              <w:t>High</w:t>
            </w:r>
          </w:p>
        </w:tc>
      </w:tr>
      <w:tr w:rsidR="00917A8F" w:rsidRPr="00917A8F" w14:paraId="08842F35" w14:textId="77777777" w:rsidTr="00C42D78">
        <w:trPr>
          <w:trHeight w:val="300"/>
        </w:trPr>
        <w:tc>
          <w:tcPr>
            <w:tcW w:w="4497" w:type="dxa"/>
            <w:vAlign w:val="center"/>
          </w:tcPr>
          <w:p w14:paraId="19BB0819" w14:textId="77777777" w:rsidR="00917A8F" w:rsidRPr="00917A8F" w:rsidRDefault="00917A8F" w:rsidP="00917A8F">
            <w:pPr>
              <w:pStyle w:val="Body"/>
              <w:spacing w:after="0"/>
              <w:rPr>
                <w:rFonts w:ascii="Arial" w:hAnsi="Arial" w:cs="Arial"/>
                <w:lang w:val="en-PH"/>
              </w:rPr>
            </w:pPr>
            <w:r w:rsidRPr="00917A8F">
              <w:rPr>
                <w:rFonts w:ascii="Arial" w:hAnsi="Arial" w:cs="Arial"/>
                <w:lang w:val="en-PH"/>
              </w:rPr>
              <w:t>Reading</w:t>
            </w:r>
          </w:p>
        </w:tc>
        <w:tc>
          <w:tcPr>
            <w:tcW w:w="1133" w:type="dxa"/>
            <w:vAlign w:val="center"/>
          </w:tcPr>
          <w:p w14:paraId="37326A39" w14:textId="77777777" w:rsidR="00917A8F" w:rsidRPr="00917A8F" w:rsidRDefault="00917A8F" w:rsidP="00917A8F">
            <w:pPr>
              <w:pStyle w:val="Body"/>
              <w:spacing w:after="0"/>
              <w:rPr>
                <w:rFonts w:ascii="Arial" w:hAnsi="Arial" w:cs="Arial"/>
                <w:lang w:val="en-PH"/>
              </w:rPr>
            </w:pPr>
            <w:r w:rsidRPr="00917A8F">
              <w:rPr>
                <w:rFonts w:ascii="Arial" w:hAnsi="Arial" w:cs="Arial"/>
                <w:lang w:val="en-PH"/>
              </w:rPr>
              <w:t>0.55</w:t>
            </w:r>
          </w:p>
        </w:tc>
        <w:tc>
          <w:tcPr>
            <w:tcW w:w="1142" w:type="dxa"/>
            <w:vAlign w:val="center"/>
          </w:tcPr>
          <w:p w14:paraId="2421CD99" w14:textId="77777777" w:rsidR="00917A8F" w:rsidRPr="00917A8F" w:rsidRDefault="00917A8F" w:rsidP="00917A8F">
            <w:pPr>
              <w:pStyle w:val="Body"/>
              <w:spacing w:after="0"/>
              <w:rPr>
                <w:rFonts w:ascii="Arial" w:hAnsi="Arial" w:cs="Arial"/>
                <w:lang w:val="en-PH"/>
              </w:rPr>
            </w:pPr>
            <w:r w:rsidRPr="00917A8F">
              <w:rPr>
                <w:rFonts w:ascii="Arial" w:hAnsi="Arial" w:cs="Arial"/>
                <w:lang w:val="en-PH"/>
              </w:rPr>
              <w:t>4.01</w:t>
            </w:r>
          </w:p>
        </w:tc>
        <w:tc>
          <w:tcPr>
            <w:tcW w:w="2300" w:type="dxa"/>
            <w:vAlign w:val="center"/>
          </w:tcPr>
          <w:p w14:paraId="3FD92599" w14:textId="77777777" w:rsidR="00917A8F" w:rsidRPr="00917A8F" w:rsidRDefault="00917A8F" w:rsidP="00917A8F">
            <w:pPr>
              <w:pStyle w:val="Body"/>
              <w:spacing w:after="0"/>
              <w:rPr>
                <w:rFonts w:ascii="Arial" w:hAnsi="Arial" w:cs="Arial"/>
                <w:lang w:val="en-PH"/>
              </w:rPr>
            </w:pPr>
            <w:r w:rsidRPr="00917A8F">
              <w:rPr>
                <w:rFonts w:ascii="Arial" w:hAnsi="Arial" w:cs="Arial"/>
                <w:lang w:val="en-PH"/>
              </w:rPr>
              <w:t>High</w:t>
            </w:r>
          </w:p>
        </w:tc>
      </w:tr>
      <w:tr w:rsidR="00917A8F" w:rsidRPr="00917A8F" w14:paraId="55795B7F" w14:textId="77777777" w:rsidTr="00C42D78">
        <w:trPr>
          <w:trHeight w:val="300"/>
        </w:trPr>
        <w:tc>
          <w:tcPr>
            <w:tcW w:w="4497" w:type="dxa"/>
            <w:vAlign w:val="center"/>
          </w:tcPr>
          <w:p w14:paraId="5213C8D0" w14:textId="77777777" w:rsidR="00917A8F" w:rsidRPr="00917A8F" w:rsidRDefault="00917A8F" w:rsidP="00917A8F">
            <w:pPr>
              <w:pStyle w:val="Body"/>
              <w:spacing w:after="0"/>
              <w:rPr>
                <w:rFonts w:ascii="Arial" w:hAnsi="Arial" w:cs="Arial"/>
                <w:lang w:val="en-PH"/>
              </w:rPr>
            </w:pPr>
            <w:proofErr w:type="spellStart"/>
            <w:r w:rsidRPr="00917A8F">
              <w:rPr>
                <w:rFonts w:ascii="Arial" w:hAnsi="Arial" w:cs="Arial"/>
                <w:lang w:val="en-PH"/>
              </w:rPr>
              <w:t>Writting</w:t>
            </w:r>
            <w:proofErr w:type="spellEnd"/>
          </w:p>
        </w:tc>
        <w:tc>
          <w:tcPr>
            <w:tcW w:w="1133" w:type="dxa"/>
            <w:vAlign w:val="center"/>
          </w:tcPr>
          <w:p w14:paraId="5C0BB51E" w14:textId="77777777" w:rsidR="00917A8F" w:rsidRPr="00917A8F" w:rsidRDefault="00917A8F" w:rsidP="00917A8F">
            <w:pPr>
              <w:pStyle w:val="Body"/>
              <w:spacing w:after="0"/>
              <w:rPr>
                <w:rFonts w:ascii="Arial" w:hAnsi="Arial" w:cs="Arial"/>
                <w:lang w:val="en-PH"/>
              </w:rPr>
            </w:pPr>
            <w:r w:rsidRPr="00917A8F">
              <w:rPr>
                <w:rFonts w:ascii="Arial" w:hAnsi="Arial" w:cs="Arial"/>
                <w:lang w:val="en-PH"/>
              </w:rPr>
              <w:t>0.55</w:t>
            </w:r>
          </w:p>
        </w:tc>
        <w:tc>
          <w:tcPr>
            <w:tcW w:w="1142" w:type="dxa"/>
            <w:vAlign w:val="center"/>
          </w:tcPr>
          <w:p w14:paraId="48302CC5" w14:textId="77777777" w:rsidR="00917A8F" w:rsidRPr="00917A8F" w:rsidRDefault="00917A8F" w:rsidP="00917A8F">
            <w:pPr>
              <w:pStyle w:val="Body"/>
              <w:spacing w:after="0"/>
              <w:rPr>
                <w:rFonts w:ascii="Arial" w:hAnsi="Arial" w:cs="Arial"/>
                <w:lang w:val="en-PH"/>
              </w:rPr>
            </w:pPr>
            <w:r w:rsidRPr="00917A8F">
              <w:rPr>
                <w:rFonts w:ascii="Arial" w:hAnsi="Arial" w:cs="Arial"/>
                <w:lang w:val="en-PH"/>
              </w:rPr>
              <w:t>3.93</w:t>
            </w:r>
          </w:p>
        </w:tc>
        <w:tc>
          <w:tcPr>
            <w:tcW w:w="2300" w:type="dxa"/>
            <w:vAlign w:val="center"/>
          </w:tcPr>
          <w:p w14:paraId="7B32587B" w14:textId="77777777" w:rsidR="00917A8F" w:rsidRPr="00917A8F" w:rsidRDefault="00917A8F" w:rsidP="00917A8F">
            <w:pPr>
              <w:pStyle w:val="Body"/>
              <w:spacing w:after="0"/>
              <w:rPr>
                <w:rFonts w:ascii="Arial" w:hAnsi="Arial" w:cs="Arial"/>
                <w:lang w:val="en-PH"/>
              </w:rPr>
            </w:pPr>
            <w:r w:rsidRPr="00917A8F">
              <w:rPr>
                <w:rFonts w:ascii="Arial" w:hAnsi="Arial" w:cs="Arial"/>
                <w:lang w:val="en-PH"/>
              </w:rPr>
              <w:t>High</w:t>
            </w:r>
          </w:p>
        </w:tc>
      </w:tr>
      <w:tr w:rsidR="00917A8F" w:rsidRPr="00917A8F" w14:paraId="418206BF" w14:textId="77777777" w:rsidTr="00C42D78">
        <w:trPr>
          <w:trHeight w:val="300"/>
        </w:trPr>
        <w:tc>
          <w:tcPr>
            <w:tcW w:w="4497" w:type="dxa"/>
            <w:tcBorders>
              <w:bottom w:val="single" w:sz="4" w:space="0" w:color="auto"/>
            </w:tcBorders>
            <w:vAlign w:val="center"/>
          </w:tcPr>
          <w:p w14:paraId="2BB7F7DF" w14:textId="77777777" w:rsidR="00917A8F" w:rsidRPr="00917A8F" w:rsidRDefault="00917A8F" w:rsidP="00917A8F">
            <w:pPr>
              <w:pStyle w:val="Body"/>
              <w:spacing w:after="0"/>
              <w:rPr>
                <w:rFonts w:ascii="Arial" w:hAnsi="Arial" w:cs="Arial"/>
                <w:b/>
                <w:bCs/>
                <w:lang w:val="en-PH"/>
              </w:rPr>
            </w:pPr>
            <w:r w:rsidRPr="00917A8F">
              <w:rPr>
                <w:rFonts w:ascii="Arial" w:hAnsi="Arial" w:cs="Arial"/>
                <w:b/>
                <w:bCs/>
                <w:lang w:val="en-PH"/>
              </w:rPr>
              <w:t>Overall</w:t>
            </w:r>
          </w:p>
        </w:tc>
        <w:tc>
          <w:tcPr>
            <w:tcW w:w="1133" w:type="dxa"/>
            <w:tcBorders>
              <w:bottom w:val="single" w:sz="4" w:space="0" w:color="auto"/>
            </w:tcBorders>
            <w:vAlign w:val="center"/>
          </w:tcPr>
          <w:p w14:paraId="4BACEC98" w14:textId="77777777" w:rsidR="00917A8F" w:rsidRPr="00917A8F" w:rsidRDefault="00917A8F" w:rsidP="00917A8F">
            <w:pPr>
              <w:pStyle w:val="Body"/>
              <w:spacing w:after="0"/>
              <w:rPr>
                <w:rFonts w:ascii="Arial" w:hAnsi="Arial" w:cs="Arial"/>
                <w:b/>
                <w:bCs/>
                <w:lang w:val="en-PH"/>
              </w:rPr>
            </w:pPr>
            <w:r w:rsidRPr="00917A8F">
              <w:rPr>
                <w:rFonts w:ascii="Arial" w:hAnsi="Arial" w:cs="Arial"/>
                <w:b/>
                <w:bCs/>
                <w:lang w:val="en-PH"/>
              </w:rPr>
              <w:t>0.52</w:t>
            </w:r>
          </w:p>
        </w:tc>
        <w:tc>
          <w:tcPr>
            <w:tcW w:w="1142" w:type="dxa"/>
            <w:tcBorders>
              <w:bottom w:val="single" w:sz="4" w:space="0" w:color="auto"/>
            </w:tcBorders>
            <w:vAlign w:val="center"/>
          </w:tcPr>
          <w:p w14:paraId="43FD611B" w14:textId="77777777" w:rsidR="00917A8F" w:rsidRPr="00917A8F" w:rsidRDefault="00917A8F" w:rsidP="00917A8F">
            <w:pPr>
              <w:pStyle w:val="Body"/>
              <w:spacing w:after="0"/>
              <w:rPr>
                <w:rFonts w:ascii="Arial" w:hAnsi="Arial" w:cs="Arial"/>
                <w:b/>
                <w:bCs/>
                <w:lang w:val="en-PH"/>
              </w:rPr>
            </w:pPr>
            <w:r w:rsidRPr="00917A8F">
              <w:rPr>
                <w:rFonts w:ascii="Arial" w:hAnsi="Arial" w:cs="Arial"/>
                <w:b/>
                <w:bCs/>
                <w:lang w:val="en-PH"/>
              </w:rPr>
              <w:t>3.96</w:t>
            </w:r>
          </w:p>
        </w:tc>
        <w:tc>
          <w:tcPr>
            <w:tcW w:w="2300" w:type="dxa"/>
            <w:tcBorders>
              <w:bottom w:val="single" w:sz="4" w:space="0" w:color="auto"/>
            </w:tcBorders>
            <w:vAlign w:val="center"/>
          </w:tcPr>
          <w:p w14:paraId="6A831323" w14:textId="77777777" w:rsidR="00917A8F" w:rsidRPr="00917A8F" w:rsidRDefault="00917A8F" w:rsidP="00917A8F">
            <w:pPr>
              <w:pStyle w:val="Body"/>
              <w:spacing w:after="0"/>
              <w:rPr>
                <w:rFonts w:ascii="Arial" w:hAnsi="Arial" w:cs="Arial"/>
                <w:b/>
                <w:bCs/>
                <w:lang w:val="en-PH"/>
              </w:rPr>
            </w:pPr>
            <w:r w:rsidRPr="00917A8F">
              <w:rPr>
                <w:rFonts w:ascii="Arial" w:hAnsi="Arial" w:cs="Arial"/>
                <w:b/>
                <w:bCs/>
                <w:lang w:val="en-PH"/>
              </w:rPr>
              <w:t>High</w:t>
            </w:r>
          </w:p>
        </w:tc>
      </w:tr>
      <w:bookmarkEnd w:id="1"/>
    </w:tbl>
    <w:p w14:paraId="6638CF49" w14:textId="77777777" w:rsidR="00366730" w:rsidRDefault="00366730" w:rsidP="00441B6F">
      <w:pPr>
        <w:pStyle w:val="Body"/>
        <w:spacing w:after="0"/>
        <w:rPr>
          <w:rFonts w:ascii="Arial" w:hAnsi="Arial" w:cs="Arial"/>
        </w:rPr>
      </w:pPr>
    </w:p>
    <w:p w14:paraId="683735F1" w14:textId="10339559" w:rsidR="00A14259" w:rsidRDefault="00B75924" w:rsidP="00441B6F">
      <w:pPr>
        <w:pStyle w:val="Body"/>
        <w:spacing w:after="0"/>
        <w:rPr>
          <w:rFonts w:ascii="Arial" w:hAnsi="Arial" w:cs="Arial"/>
        </w:rPr>
      </w:pPr>
      <w:r w:rsidRPr="00B75924">
        <w:rPr>
          <w:rFonts w:ascii="Arial" w:hAnsi="Arial" w:cs="Arial"/>
        </w:rPr>
        <w:t xml:space="preserve">Table 2 presents the level of language learning among students in public schools in Region XI. The overall mean score was 3.96 with a descriptive level of high and a standard deviation </w:t>
      </w:r>
      <w:r w:rsidRPr="00B75924">
        <w:rPr>
          <w:rFonts w:ascii="Arial" w:hAnsi="Arial" w:cs="Arial"/>
        </w:rPr>
        <w:lastRenderedPageBreak/>
        <w:t>of 0.52. On the other hand, the indicator with the highest mean score was reading, with a mean of 4.01 and a standard deviation of 0.55. In contrast, the indicator listening had the lowest mean score of 3.92 and a standard deviation of 0.60. Both indicators had a descriptive level of high, indicating that the items being measured were frequently demonstrated by the students.</w:t>
      </w:r>
    </w:p>
    <w:p w14:paraId="21513CE1" w14:textId="76E4B92F" w:rsidR="00992482" w:rsidRPr="00992482" w:rsidRDefault="00992482" w:rsidP="00992482">
      <w:pPr>
        <w:pStyle w:val="Body"/>
        <w:rPr>
          <w:rFonts w:ascii="Arial" w:hAnsi="Arial" w:cs="Arial"/>
        </w:rPr>
      </w:pPr>
      <w:r w:rsidRPr="00992482">
        <w:rPr>
          <w:rFonts w:ascii="Arial" w:hAnsi="Arial" w:cs="Arial"/>
        </w:rPr>
        <w:t>Students' strong performance in reading can be attributed to their active engagement with language learning strategies, such as recognizing and repeating key vocabulary, consulting dictionaries to understand word meanings, and practicing conversations with peers and teachers. These practices not only enhance vocabulary acquisition but also bolster reading comprehension skills.</w:t>
      </w:r>
    </w:p>
    <w:p w14:paraId="4715B190" w14:textId="3FA12AD9" w:rsidR="00992482" w:rsidRPr="00992482" w:rsidRDefault="00992482" w:rsidP="00992482">
      <w:pPr>
        <w:pStyle w:val="Body"/>
        <w:rPr>
          <w:rFonts w:ascii="Arial" w:hAnsi="Arial" w:cs="Arial"/>
        </w:rPr>
      </w:pPr>
      <w:r w:rsidRPr="00992482">
        <w:rPr>
          <w:rFonts w:ascii="Arial" w:hAnsi="Arial" w:cs="Arial"/>
        </w:rPr>
        <w:t>Research consistently demonstrates that students with strong reading abilities tend to perform better academically. For instance, Bashir and Mattoo (2012) emphasized that effective reading habits are fundamental to academic success. Similarly, Bibi et al. (2020) found a significant positive association between students' study habits, including reading, and their academic achievement. Ehsan and Sultana (2020) also highlighted that reading habits significantly influence students' academic performance.</w:t>
      </w:r>
    </w:p>
    <w:p w14:paraId="2649C0D9" w14:textId="77777777" w:rsidR="00992482" w:rsidRPr="00992482" w:rsidRDefault="00992482" w:rsidP="00992482">
      <w:pPr>
        <w:pStyle w:val="Body"/>
        <w:rPr>
          <w:rFonts w:ascii="Arial" w:hAnsi="Arial" w:cs="Arial"/>
        </w:rPr>
      </w:pPr>
      <w:r w:rsidRPr="00992482">
        <w:rPr>
          <w:rFonts w:ascii="Arial" w:hAnsi="Arial" w:cs="Arial"/>
        </w:rPr>
        <w:t xml:space="preserve">Building upon these findings, the study by </w:t>
      </w:r>
      <w:proofErr w:type="spellStart"/>
      <w:r w:rsidRPr="00992482">
        <w:rPr>
          <w:rFonts w:ascii="Arial" w:hAnsi="Arial" w:cs="Arial"/>
        </w:rPr>
        <w:t>Aballe</w:t>
      </w:r>
      <w:proofErr w:type="spellEnd"/>
      <w:r w:rsidRPr="00992482">
        <w:rPr>
          <w:rFonts w:ascii="Arial" w:hAnsi="Arial" w:cs="Arial"/>
        </w:rPr>
        <w:t xml:space="preserve"> et al. (2024) underscores the pivotal role of vocabulary development in enhancing reading skills among elementary learners, further reinforcing the link between vocabulary knowledge and reading comprehension.</w:t>
      </w:r>
    </w:p>
    <w:p w14:paraId="04C8D122" w14:textId="77777777" w:rsidR="000442F5" w:rsidRPr="000442F5" w:rsidRDefault="000442F5" w:rsidP="000442F5">
      <w:pPr>
        <w:pStyle w:val="Body"/>
        <w:rPr>
          <w:rFonts w:ascii="Arial" w:hAnsi="Arial" w:cs="Arial"/>
        </w:rPr>
      </w:pPr>
      <w:r w:rsidRPr="000442F5">
        <w:rPr>
          <w:rFonts w:ascii="Arial" w:hAnsi="Arial" w:cs="Arial"/>
        </w:rPr>
        <w:t>Meanwhile, listening scored the lowest among all the indicators, a skill often overlooked in traditional teaching methods. However, it is crucial in the learning process, as strong listening skills enable students to effectively process information from various sources of knowledge.</w:t>
      </w:r>
    </w:p>
    <w:p w14:paraId="35BB32D7" w14:textId="21449FF9" w:rsidR="000442F5" w:rsidRPr="000442F5" w:rsidRDefault="000442F5" w:rsidP="000442F5">
      <w:pPr>
        <w:pStyle w:val="Body"/>
        <w:rPr>
          <w:rFonts w:ascii="Arial" w:hAnsi="Arial" w:cs="Arial"/>
        </w:rPr>
      </w:pPr>
      <w:r w:rsidRPr="000442F5">
        <w:rPr>
          <w:rFonts w:ascii="Arial" w:hAnsi="Arial" w:cs="Arial"/>
        </w:rPr>
        <w:t xml:space="preserve">The results are supported by </w:t>
      </w:r>
      <w:proofErr w:type="spellStart"/>
      <w:r w:rsidRPr="000442F5">
        <w:rPr>
          <w:rFonts w:ascii="Arial" w:hAnsi="Arial" w:cs="Arial"/>
        </w:rPr>
        <w:t>Napi</w:t>
      </w:r>
      <w:r w:rsidR="00214C22">
        <w:rPr>
          <w:rFonts w:ascii="Arial" w:hAnsi="Arial" w:cs="Arial"/>
        </w:rPr>
        <w:t>l</w:t>
      </w:r>
      <w:proofErr w:type="spellEnd"/>
      <w:r w:rsidR="00214C22">
        <w:rPr>
          <w:rFonts w:ascii="Arial" w:hAnsi="Arial" w:cs="Arial"/>
        </w:rPr>
        <w:t xml:space="preserve"> </w:t>
      </w:r>
      <w:r w:rsidRPr="000442F5">
        <w:rPr>
          <w:rFonts w:ascii="Arial" w:hAnsi="Arial" w:cs="Arial"/>
        </w:rPr>
        <w:t>and San Jose (2022), who affirm that students exhibit a high level of language learning, particularly in their confidence in their ability to learn and their recognition of the importance of language for success in higher education and their contribution to community development. This reflects the successful implementation of language teaching methods and demonstrates a high level of language learning among students, indicating an effective teaching system and successful learning outcomes (Dewi et al., 20</w:t>
      </w:r>
      <w:r w:rsidR="008B451A">
        <w:rPr>
          <w:rFonts w:ascii="Arial" w:hAnsi="Arial" w:cs="Arial"/>
        </w:rPr>
        <w:t>12</w:t>
      </w:r>
      <w:r w:rsidRPr="000442F5">
        <w:rPr>
          <w:rFonts w:ascii="Arial" w:hAnsi="Arial" w:cs="Arial"/>
        </w:rPr>
        <w:t xml:space="preserve">; Vodopija-Krstanović and </w:t>
      </w:r>
      <w:proofErr w:type="spellStart"/>
      <w:r w:rsidRPr="000442F5">
        <w:rPr>
          <w:rFonts w:ascii="Arial" w:hAnsi="Arial" w:cs="Arial"/>
        </w:rPr>
        <w:t>Marinac</w:t>
      </w:r>
      <w:proofErr w:type="spellEnd"/>
      <w:r w:rsidRPr="000442F5">
        <w:rPr>
          <w:rFonts w:ascii="Arial" w:hAnsi="Arial" w:cs="Arial"/>
        </w:rPr>
        <w:t>, 20</w:t>
      </w:r>
      <w:r w:rsidR="008B451A">
        <w:rPr>
          <w:rFonts w:ascii="Arial" w:hAnsi="Arial" w:cs="Arial"/>
        </w:rPr>
        <w:t>19</w:t>
      </w:r>
      <w:r w:rsidRPr="000442F5">
        <w:rPr>
          <w:rFonts w:ascii="Arial" w:hAnsi="Arial" w:cs="Arial"/>
        </w:rPr>
        <w:t>).</w:t>
      </w:r>
    </w:p>
    <w:p w14:paraId="5D7A06A7" w14:textId="699A3619" w:rsidR="00A14259" w:rsidRDefault="000442F5" w:rsidP="000442F5">
      <w:pPr>
        <w:pStyle w:val="Body"/>
        <w:spacing w:after="0"/>
        <w:rPr>
          <w:rFonts w:ascii="Arial" w:hAnsi="Arial" w:cs="Arial"/>
        </w:rPr>
      </w:pPr>
      <w:r w:rsidRPr="000442F5">
        <w:rPr>
          <w:rFonts w:ascii="Arial" w:hAnsi="Arial" w:cs="Arial"/>
        </w:rPr>
        <w:t>Although the results are high, it remains essential to continue efforts to improve listening and other aspects of language learning. The integration of additional activities and interventions can help students continuously enhance their language skills.</w:t>
      </w:r>
    </w:p>
    <w:p w14:paraId="5E2F938F" w14:textId="77777777" w:rsidR="00A14259" w:rsidRDefault="00A14259" w:rsidP="00441B6F">
      <w:pPr>
        <w:pStyle w:val="Body"/>
        <w:spacing w:after="0"/>
        <w:rPr>
          <w:rFonts w:ascii="Arial" w:hAnsi="Arial" w:cs="Arial"/>
        </w:rPr>
      </w:pPr>
    </w:p>
    <w:p w14:paraId="5B769033" w14:textId="45A5354A" w:rsidR="00AF4489" w:rsidRPr="00AF4489" w:rsidRDefault="00AF4489" w:rsidP="00AF4489">
      <w:pPr>
        <w:spacing w:before="100" w:beforeAutospacing="1" w:after="100" w:afterAutospacing="1"/>
        <w:contextualSpacing/>
        <w:jc w:val="both"/>
        <w:rPr>
          <w:rFonts w:ascii="Arial" w:hAnsi="Arial" w:cs="Arial"/>
          <w:b/>
          <w:bCs/>
          <w:lang w:val="en-PH" w:eastAsia="en-PH"/>
        </w:rPr>
      </w:pPr>
      <w:bookmarkStart w:id="2" w:name="_Hlk197476044"/>
      <w:r w:rsidRPr="00AF4489">
        <w:rPr>
          <w:rFonts w:ascii="Arial" w:hAnsi="Arial" w:cs="Arial"/>
          <w:b/>
          <w:bCs/>
          <w:lang w:val="en-PH" w:eastAsia="en-PH"/>
        </w:rPr>
        <w:t xml:space="preserve">Table </w:t>
      </w:r>
      <w:r>
        <w:rPr>
          <w:rFonts w:ascii="Arial" w:hAnsi="Arial" w:cs="Arial"/>
          <w:b/>
          <w:bCs/>
          <w:lang w:val="en-PH" w:eastAsia="en-PH"/>
        </w:rPr>
        <w:t>3</w:t>
      </w:r>
    </w:p>
    <w:p w14:paraId="6E86E584" w14:textId="23A9CC9C" w:rsidR="00AF4489" w:rsidRPr="00AF4489" w:rsidRDefault="00AF4489" w:rsidP="00AF4489">
      <w:pPr>
        <w:spacing w:before="100" w:beforeAutospacing="1" w:after="100" w:afterAutospacing="1"/>
        <w:contextualSpacing/>
        <w:jc w:val="both"/>
        <w:rPr>
          <w:rFonts w:ascii="Arial" w:hAnsi="Arial" w:cs="Arial"/>
          <w:i/>
          <w:iCs/>
          <w:lang w:val="en-PH" w:eastAsia="en-PH"/>
        </w:rPr>
      </w:pPr>
      <w:r w:rsidRPr="00AF4489">
        <w:rPr>
          <w:rFonts w:ascii="Arial" w:hAnsi="Arial" w:cs="Arial"/>
          <w:i/>
          <w:iCs/>
          <w:lang w:val="en-PH" w:eastAsia="en-PH"/>
        </w:rPr>
        <w:t xml:space="preserve">Level of </w:t>
      </w:r>
      <w:r w:rsidR="00E8703F">
        <w:rPr>
          <w:rFonts w:ascii="Arial" w:hAnsi="Arial" w:cs="Arial"/>
          <w:i/>
          <w:iCs/>
          <w:lang w:val="en-PH" w:eastAsia="en-PH"/>
        </w:rPr>
        <w:t xml:space="preserve">Student’s </w:t>
      </w:r>
      <w:r w:rsidRPr="00AF4489">
        <w:rPr>
          <w:rFonts w:ascii="Arial" w:hAnsi="Arial" w:cs="Arial"/>
          <w:i/>
          <w:iCs/>
          <w:lang w:val="en-PH" w:eastAsia="en-PH"/>
        </w:rPr>
        <w:t>Reading Strategies</w:t>
      </w: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6"/>
        <w:gridCol w:w="1048"/>
        <w:gridCol w:w="1072"/>
        <w:gridCol w:w="2112"/>
      </w:tblGrid>
      <w:tr w:rsidR="00AF4489" w:rsidRPr="00AF4489" w14:paraId="38551C52" w14:textId="77777777" w:rsidTr="00C42D78">
        <w:trPr>
          <w:trHeight w:val="332"/>
        </w:trPr>
        <w:tc>
          <w:tcPr>
            <w:tcW w:w="4675" w:type="dxa"/>
            <w:tcBorders>
              <w:top w:val="single" w:sz="4" w:space="0" w:color="auto"/>
              <w:bottom w:val="single" w:sz="4" w:space="0" w:color="auto"/>
            </w:tcBorders>
            <w:vAlign w:val="center"/>
          </w:tcPr>
          <w:p w14:paraId="481FF5DC" w14:textId="77777777" w:rsidR="00AF4489" w:rsidRPr="00AF4489" w:rsidRDefault="00AF4489" w:rsidP="00AF4489">
            <w:pPr>
              <w:spacing w:after="160" w:line="259" w:lineRule="auto"/>
              <w:jc w:val="center"/>
              <w:rPr>
                <w:rFonts w:ascii="Arial" w:hAnsi="Arial" w:cs="Arial"/>
                <w:b/>
                <w:sz w:val="20"/>
                <w:szCs w:val="20"/>
              </w:rPr>
            </w:pPr>
            <w:r w:rsidRPr="00AF4489">
              <w:rPr>
                <w:rFonts w:ascii="Arial" w:hAnsi="Arial" w:cs="Arial"/>
                <w:b/>
                <w:sz w:val="20"/>
                <w:szCs w:val="20"/>
              </w:rPr>
              <w:t>Indicator</w:t>
            </w:r>
          </w:p>
        </w:tc>
        <w:tc>
          <w:tcPr>
            <w:tcW w:w="1170" w:type="dxa"/>
            <w:tcBorders>
              <w:top w:val="single" w:sz="4" w:space="0" w:color="auto"/>
              <w:bottom w:val="single" w:sz="4" w:space="0" w:color="auto"/>
            </w:tcBorders>
            <w:vAlign w:val="center"/>
          </w:tcPr>
          <w:p w14:paraId="0D27CAF9" w14:textId="77777777" w:rsidR="00AF4489" w:rsidRPr="00AF4489" w:rsidRDefault="00AF4489" w:rsidP="00AF4489">
            <w:pPr>
              <w:spacing w:after="160" w:line="259" w:lineRule="auto"/>
              <w:jc w:val="center"/>
              <w:rPr>
                <w:rFonts w:ascii="Arial" w:hAnsi="Arial" w:cs="Arial"/>
                <w:b/>
                <w:sz w:val="20"/>
                <w:szCs w:val="20"/>
              </w:rPr>
            </w:pPr>
            <w:r w:rsidRPr="00AF4489">
              <w:rPr>
                <w:rFonts w:ascii="Arial" w:hAnsi="Arial" w:cs="Arial"/>
                <w:b/>
                <w:sz w:val="20"/>
                <w:szCs w:val="20"/>
              </w:rPr>
              <w:t>SD</w:t>
            </w:r>
          </w:p>
        </w:tc>
        <w:tc>
          <w:tcPr>
            <w:tcW w:w="1167" w:type="dxa"/>
            <w:tcBorders>
              <w:top w:val="single" w:sz="4" w:space="0" w:color="auto"/>
              <w:bottom w:val="single" w:sz="4" w:space="0" w:color="auto"/>
            </w:tcBorders>
            <w:vAlign w:val="center"/>
          </w:tcPr>
          <w:p w14:paraId="4AA261F6" w14:textId="77777777" w:rsidR="00AF4489" w:rsidRPr="00AF4489" w:rsidRDefault="00AF4489" w:rsidP="00AF4489">
            <w:pPr>
              <w:spacing w:after="160" w:line="259" w:lineRule="auto"/>
              <w:jc w:val="center"/>
              <w:rPr>
                <w:rFonts w:ascii="Arial" w:hAnsi="Arial" w:cs="Arial"/>
                <w:b/>
                <w:sz w:val="20"/>
                <w:szCs w:val="20"/>
              </w:rPr>
            </w:pPr>
            <w:r w:rsidRPr="00AF4489">
              <w:rPr>
                <w:rFonts w:ascii="Arial" w:hAnsi="Arial" w:cs="Arial"/>
                <w:b/>
                <w:sz w:val="20"/>
                <w:szCs w:val="20"/>
              </w:rPr>
              <w:t>Mean</w:t>
            </w:r>
          </w:p>
        </w:tc>
        <w:tc>
          <w:tcPr>
            <w:tcW w:w="2338" w:type="dxa"/>
            <w:tcBorders>
              <w:top w:val="single" w:sz="4" w:space="0" w:color="auto"/>
              <w:bottom w:val="single" w:sz="4" w:space="0" w:color="auto"/>
            </w:tcBorders>
            <w:vAlign w:val="center"/>
          </w:tcPr>
          <w:p w14:paraId="5294FA59" w14:textId="77777777" w:rsidR="00AF4489" w:rsidRPr="00AF4489" w:rsidRDefault="00AF4489" w:rsidP="00AF4489">
            <w:pPr>
              <w:spacing w:after="160" w:line="259" w:lineRule="auto"/>
              <w:jc w:val="center"/>
              <w:rPr>
                <w:rFonts w:ascii="Arial" w:hAnsi="Arial" w:cs="Arial"/>
                <w:b/>
                <w:sz w:val="20"/>
                <w:szCs w:val="20"/>
              </w:rPr>
            </w:pPr>
            <w:r w:rsidRPr="00AF4489">
              <w:rPr>
                <w:rFonts w:ascii="Arial" w:hAnsi="Arial" w:cs="Arial"/>
                <w:b/>
                <w:sz w:val="20"/>
                <w:szCs w:val="20"/>
              </w:rPr>
              <w:t>Descriptive Level</w:t>
            </w:r>
          </w:p>
        </w:tc>
      </w:tr>
      <w:tr w:rsidR="00AF4489" w:rsidRPr="00AF4489" w14:paraId="4AF87E16" w14:textId="77777777" w:rsidTr="00C42D78">
        <w:trPr>
          <w:trHeight w:val="576"/>
        </w:trPr>
        <w:tc>
          <w:tcPr>
            <w:tcW w:w="4675" w:type="dxa"/>
            <w:tcBorders>
              <w:top w:val="single" w:sz="4" w:space="0" w:color="auto"/>
            </w:tcBorders>
            <w:vAlign w:val="center"/>
          </w:tcPr>
          <w:p w14:paraId="342C5686" w14:textId="77777777" w:rsidR="00AF4489" w:rsidRPr="00AF4489" w:rsidRDefault="00AF4489" w:rsidP="00AF4489">
            <w:pPr>
              <w:spacing w:after="160" w:line="259" w:lineRule="auto"/>
              <w:jc w:val="both"/>
              <w:rPr>
                <w:rFonts w:ascii="Arial" w:hAnsi="Arial" w:cs="Arial"/>
                <w:sz w:val="20"/>
                <w:szCs w:val="20"/>
              </w:rPr>
            </w:pPr>
            <w:r w:rsidRPr="00AF4489">
              <w:rPr>
                <w:rFonts w:ascii="Arial" w:hAnsi="Arial" w:cs="Arial"/>
                <w:sz w:val="20"/>
                <w:szCs w:val="20"/>
              </w:rPr>
              <w:t>Cognitive</w:t>
            </w:r>
          </w:p>
        </w:tc>
        <w:tc>
          <w:tcPr>
            <w:tcW w:w="1170" w:type="dxa"/>
            <w:tcBorders>
              <w:top w:val="single" w:sz="4" w:space="0" w:color="auto"/>
            </w:tcBorders>
            <w:vAlign w:val="center"/>
          </w:tcPr>
          <w:p w14:paraId="24001944" w14:textId="77777777" w:rsidR="00AF4489" w:rsidRPr="00AF4489" w:rsidRDefault="00AF4489" w:rsidP="00AF4489">
            <w:pPr>
              <w:spacing w:after="160" w:line="259" w:lineRule="auto"/>
              <w:jc w:val="center"/>
              <w:rPr>
                <w:rFonts w:ascii="Arial" w:hAnsi="Arial" w:cs="Arial"/>
                <w:sz w:val="20"/>
                <w:szCs w:val="20"/>
              </w:rPr>
            </w:pPr>
            <w:r w:rsidRPr="00AF4489">
              <w:rPr>
                <w:rFonts w:ascii="Arial" w:hAnsi="Arial" w:cs="Arial"/>
                <w:sz w:val="20"/>
                <w:szCs w:val="20"/>
              </w:rPr>
              <w:t>0.52</w:t>
            </w:r>
          </w:p>
        </w:tc>
        <w:tc>
          <w:tcPr>
            <w:tcW w:w="1167" w:type="dxa"/>
            <w:tcBorders>
              <w:top w:val="single" w:sz="4" w:space="0" w:color="auto"/>
            </w:tcBorders>
            <w:vAlign w:val="center"/>
          </w:tcPr>
          <w:p w14:paraId="32D5FD3A" w14:textId="77777777" w:rsidR="00AF4489" w:rsidRPr="00AF4489" w:rsidRDefault="00AF4489" w:rsidP="00AF4489">
            <w:pPr>
              <w:spacing w:after="160" w:line="259" w:lineRule="auto"/>
              <w:jc w:val="center"/>
              <w:rPr>
                <w:rFonts w:ascii="Arial" w:hAnsi="Arial" w:cs="Arial"/>
                <w:sz w:val="20"/>
                <w:szCs w:val="20"/>
              </w:rPr>
            </w:pPr>
            <w:r w:rsidRPr="00AF4489">
              <w:rPr>
                <w:rFonts w:ascii="Arial" w:hAnsi="Arial" w:cs="Arial"/>
                <w:sz w:val="20"/>
                <w:szCs w:val="20"/>
              </w:rPr>
              <w:t>4.02</w:t>
            </w:r>
          </w:p>
        </w:tc>
        <w:tc>
          <w:tcPr>
            <w:tcW w:w="2338" w:type="dxa"/>
            <w:tcBorders>
              <w:top w:val="single" w:sz="4" w:space="0" w:color="auto"/>
            </w:tcBorders>
            <w:vAlign w:val="center"/>
          </w:tcPr>
          <w:p w14:paraId="56606466" w14:textId="77777777" w:rsidR="00AF4489" w:rsidRPr="00AF4489" w:rsidRDefault="00AF4489" w:rsidP="00AF4489">
            <w:pPr>
              <w:spacing w:after="160" w:line="259" w:lineRule="auto"/>
              <w:jc w:val="center"/>
              <w:rPr>
                <w:rFonts w:ascii="Arial" w:hAnsi="Arial" w:cs="Arial"/>
                <w:sz w:val="20"/>
                <w:szCs w:val="20"/>
              </w:rPr>
            </w:pPr>
            <w:r w:rsidRPr="00AF4489">
              <w:rPr>
                <w:rFonts w:ascii="Arial" w:hAnsi="Arial" w:cs="Arial"/>
                <w:sz w:val="20"/>
                <w:szCs w:val="20"/>
              </w:rPr>
              <w:t>High</w:t>
            </w:r>
          </w:p>
        </w:tc>
      </w:tr>
      <w:tr w:rsidR="00AF4489" w:rsidRPr="00AF4489" w14:paraId="57B14A07" w14:textId="77777777" w:rsidTr="00C42D78">
        <w:trPr>
          <w:trHeight w:val="576"/>
        </w:trPr>
        <w:tc>
          <w:tcPr>
            <w:tcW w:w="4675" w:type="dxa"/>
            <w:vAlign w:val="center"/>
          </w:tcPr>
          <w:p w14:paraId="3A09F473" w14:textId="77777777" w:rsidR="00AF4489" w:rsidRPr="00AF4489" w:rsidRDefault="00AF4489" w:rsidP="00AF4489">
            <w:pPr>
              <w:spacing w:after="160" w:line="259" w:lineRule="auto"/>
              <w:jc w:val="both"/>
              <w:rPr>
                <w:rFonts w:ascii="Arial" w:hAnsi="Arial" w:cs="Arial"/>
                <w:sz w:val="20"/>
                <w:szCs w:val="20"/>
              </w:rPr>
            </w:pPr>
            <w:r w:rsidRPr="00AF4489">
              <w:rPr>
                <w:rFonts w:ascii="Arial" w:hAnsi="Arial" w:cs="Arial"/>
                <w:sz w:val="20"/>
                <w:szCs w:val="20"/>
              </w:rPr>
              <w:t>Metacognitive</w:t>
            </w:r>
          </w:p>
        </w:tc>
        <w:tc>
          <w:tcPr>
            <w:tcW w:w="1170" w:type="dxa"/>
            <w:vAlign w:val="center"/>
          </w:tcPr>
          <w:p w14:paraId="2AF3AD2E" w14:textId="77777777" w:rsidR="00AF4489" w:rsidRPr="00AF4489" w:rsidRDefault="00AF4489" w:rsidP="00AF4489">
            <w:pPr>
              <w:spacing w:after="160" w:line="259" w:lineRule="auto"/>
              <w:jc w:val="center"/>
              <w:rPr>
                <w:rFonts w:ascii="Arial" w:hAnsi="Arial" w:cs="Arial"/>
                <w:sz w:val="20"/>
                <w:szCs w:val="20"/>
              </w:rPr>
            </w:pPr>
            <w:r w:rsidRPr="00AF4489">
              <w:rPr>
                <w:rFonts w:ascii="Arial" w:hAnsi="Arial" w:cs="Arial"/>
                <w:sz w:val="20"/>
                <w:szCs w:val="20"/>
              </w:rPr>
              <w:t>0.58</w:t>
            </w:r>
          </w:p>
        </w:tc>
        <w:tc>
          <w:tcPr>
            <w:tcW w:w="1167" w:type="dxa"/>
            <w:vAlign w:val="center"/>
          </w:tcPr>
          <w:p w14:paraId="61478989" w14:textId="77777777" w:rsidR="00AF4489" w:rsidRPr="00AF4489" w:rsidRDefault="00AF4489" w:rsidP="00AF4489">
            <w:pPr>
              <w:spacing w:after="160" w:line="259" w:lineRule="auto"/>
              <w:jc w:val="center"/>
              <w:rPr>
                <w:rFonts w:ascii="Arial" w:hAnsi="Arial" w:cs="Arial"/>
                <w:sz w:val="20"/>
                <w:szCs w:val="20"/>
              </w:rPr>
            </w:pPr>
            <w:r w:rsidRPr="00AF4489">
              <w:rPr>
                <w:rFonts w:ascii="Arial" w:hAnsi="Arial" w:cs="Arial"/>
                <w:sz w:val="20"/>
                <w:szCs w:val="20"/>
              </w:rPr>
              <w:t>4.00</w:t>
            </w:r>
          </w:p>
        </w:tc>
        <w:tc>
          <w:tcPr>
            <w:tcW w:w="2338" w:type="dxa"/>
            <w:vAlign w:val="center"/>
          </w:tcPr>
          <w:p w14:paraId="10744615" w14:textId="77777777" w:rsidR="00AF4489" w:rsidRPr="00AF4489" w:rsidRDefault="00AF4489" w:rsidP="00AF4489">
            <w:pPr>
              <w:spacing w:after="160" w:line="259" w:lineRule="auto"/>
              <w:jc w:val="center"/>
              <w:rPr>
                <w:rFonts w:ascii="Arial" w:hAnsi="Arial" w:cs="Arial"/>
                <w:sz w:val="20"/>
                <w:szCs w:val="20"/>
              </w:rPr>
            </w:pPr>
            <w:r w:rsidRPr="00AF4489">
              <w:rPr>
                <w:rFonts w:ascii="Arial" w:hAnsi="Arial" w:cs="Arial"/>
                <w:sz w:val="20"/>
                <w:szCs w:val="20"/>
              </w:rPr>
              <w:t>High</w:t>
            </w:r>
          </w:p>
        </w:tc>
      </w:tr>
      <w:tr w:rsidR="00AF4489" w:rsidRPr="00AF4489" w14:paraId="73A3AE4B" w14:textId="77777777" w:rsidTr="00C42D78">
        <w:trPr>
          <w:trHeight w:val="576"/>
        </w:trPr>
        <w:tc>
          <w:tcPr>
            <w:tcW w:w="4675" w:type="dxa"/>
            <w:tcBorders>
              <w:bottom w:val="single" w:sz="4" w:space="0" w:color="auto"/>
            </w:tcBorders>
            <w:vAlign w:val="center"/>
          </w:tcPr>
          <w:p w14:paraId="4771C370" w14:textId="77777777" w:rsidR="00AF4489" w:rsidRPr="00AF4489" w:rsidRDefault="00AF4489" w:rsidP="00AF4489">
            <w:pPr>
              <w:spacing w:after="160" w:line="259" w:lineRule="auto"/>
              <w:jc w:val="center"/>
              <w:rPr>
                <w:rFonts w:ascii="Arial" w:hAnsi="Arial" w:cs="Arial"/>
                <w:b/>
                <w:sz w:val="20"/>
                <w:szCs w:val="20"/>
              </w:rPr>
            </w:pPr>
            <w:r w:rsidRPr="00AF4489">
              <w:rPr>
                <w:rFonts w:ascii="Arial" w:hAnsi="Arial" w:cs="Arial"/>
                <w:b/>
                <w:sz w:val="20"/>
                <w:szCs w:val="20"/>
              </w:rPr>
              <w:t>Overall</w:t>
            </w:r>
          </w:p>
        </w:tc>
        <w:tc>
          <w:tcPr>
            <w:tcW w:w="1170" w:type="dxa"/>
            <w:tcBorders>
              <w:bottom w:val="single" w:sz="4" w:space="0" w:color="auto"/>
            </w:tcBorders>
            <w:vAlign w:val="center"/>
          </w:tcPr>
          <w:p w14:paraId="726371CE" w14:textId="77777777" w:rsidR="00AF4489" w:rsidRPr="00AF4489" w:rsidRDefault="00AF4489" w:rsidP="00AF4489">
            <w:pPr>
              <w:spacing w:after="160" w:line="259" w:lineRule="auto"/>
              <w:jc w:val="center"/>
              <w:rPr>
                <w:rFonts w:ascii="Arial" w:hAnsi="Arial" w:cs="Arial"/>
                <w:b/>
                <w:sz w:val="20"/>
                <w:szCs w:val="20"/>
              </w:rPr>
            </w:pPr>
            <w:r w:rsidRPr="00AF4489">
              <w:rPr>
                <w:rFonts w:ascii="Arial" w:hAnsi="Arial" w:cs="Arial"/>
                <w:b/>
                <w:sz w:val="20"/>
                <w:szCs w:val="20"/>
              </w:rPr>
              <w:t>0.51</w:t>
            </w:r>
          </w:p>
        </w:tc>
        <w:tc>
          <w:tcPr>
            <w:tcW w:w="1167" w:type="dxa"/>
            <w:tcBorders>
              <w:bottom w:val="single" w:sz="4" w:space="0" w:color="auto"/>
            </w:tcBorders>
            <w:vAlign w:val="center"/>
          </w:tcPr>
          <w:p w14:paraId="6C11EF08" w14:textId="77777777" w:rsidR="00AF4489" w:rsidRPr="00AF4489" w:rsidRDefault="00AF4489" w:rsidP="00AF4489">
            <w:pPr>
              <w:spacing w:after="160" w:line="259" w:lineRule="auto"/>
              <w:jc w:val="center"/>
              <w:rPr>
                <w:rFonts w:ascii="Arial" w:hAnsi="Arial" w:cs="Arial"/>
                <w:b/>
                <w:sz w:val="20"/>
                <w:szCs w:val="20"/>
              </w:rPr>
            </w:pPr>
            <w:r w:rsidRPr="00AF4489">
              <w:rPr>
                <w:rFonts w:ascii="Arial" w:hAnsi="Arial" w:cs="Arial"/>
                <w:b/>
                <w:sz w:val="20"/>
                <w:szCs w:val="20"/>
              </w:rPr>
              <w:t>4.01</w:t>
            </w:r>
          </w:p>
        </w:tc>
        <w:tc>
          <w:tcPr>
            <w:tcW w:w="2338" w:type="dxa"/>
            <w:tcBorders>
              <w:bottom w:val="single" w:sz="4" w:space="0" w:color="auto"/>
            </w:tcBorders>
            <w:vAlign w:val="center"/>
          </w:tcPr>
          <w:p w14:paraId="070C0836" w14:textId="77777777" w:rsidR="00AF4489" w:rsidRPr="00AF4489" w:rsidRDefault="00AF4489" w:rsidP="00AF4489">
            <w:pPr>
              <w:spacing w:after="160" w:line="259" w:lineRule="auto"/>
              <w:jc w:val="center"/>
              <w:rPr>
                <w:rFonts w:ascii="Arial" w:hAnsi="Arial" w:cs="Arial"/>
                <w:b/>
                <w:sz w:val="20"/>
                <w:szCs w:val="20"/>
              </w:rPr>
            </w:pPr>
            <w:r w:rsidRPr="00AF4489">
              <w:rPr>
                <w:rFonts w:ascii="Arial" w:hAnsi="Arial" w:cs="Arial"/>
                <w:b/>
                <w:sz w:val="20"/>
                <w:szCs w:val="20"/>
              </w:rPr>
              <w:t>High</w:t>
            </w:r>
          </w:p>
        </w:tc>
      </w:tr>
      <w:bookmarkEnd w:id="2"/>
    </w:tbl>
    <w:p w14:paraId="310B10D5" w14:textId="77777777" w:rsidR="000442F5" w:rsidRDefault="000442F5" w:rsidP="000442F5">
      <w:pPr>
        <w:pStyle w:val="Body"/>
        <w:spacing w:after="0"/>
        <w:rPr>
          <w:rFonts w:ascii="Arial" w:hAnsi="Arial" w:cs="Arial"/>
        </w:rPr>
      </w:pPr>
    </w:p>
    <w:p w14:paraId="2D226D0A" w14:textId="77777777" w:rsidR="00D21C8E" w:rsidRDefault="00D21C8E" w:rsidP="000442F5">
      <w:pPr>
        <w:pStyle w:val="Body"/>
        <w:rPr>
          <w:rFonts w:ascii="Arial" w:hAnsi="Arial" w:cs="Arial"/>
        </w:rPr>
      </w:pPr>
    </w:p>
    <w:p w14:paraId="09558688" w14:textId="77777777" w:rsidR="00D21C8E" w:rsidRDefault="00D21C8E" w:rsidP="000442F5">
      <w:pPr>
        <w:pStyle w:val="Body"/>
        <w:rPr>
          <w:rFonts w:ascii="Arial" w:hAnsi="Arial" w:cs="Arial"/>
        </w:rPr>
      </w:pPr>
      <w:r w:rsidRPr="00D21C8E">
        <w:rPr>
          <w:rFonts w:ascii="Arial" w:hAnsi="Arial" w:cs="Arial"/>
        </w:rPr>
        <w:lastRenderedPageBreak/>
        <w:t>Table 3 presents the level of reading strategies among students in public schools in Region XI. The overall mean score was 4.01 with a descriptive level of high, and a standard deviation of 0.51.</w:t>
      </w:r>
    </w:p>
    <w:p w14:paraId="2B8B64ED" w14:textId="19CDDAF4" w:rsidR="00B75924" w:rsidRDefault="00B75924" w:rsidP="000442F5">
      <w:pPr>
        <w:pStyle w:val="Body"/>
        <w:rPr>
          <w:rFonts w:ascii="Arial" w:hAnsi="Arial" w:cs="Arial"/>
        </w:rPr>
      </w:pPr>
      <w:r w:rsidRPr="00B75924">
        <w:rPr>
          <w:rFonts w:ascii="Arial" w:hAnsi="Arial" w:cs="Arial"/>
        </w:rPr>
        <w:t>On the other hand, the cognitive strategy indicator had a slightly higher mean score of 4.02 and a standard deviation of 0.52, compared to the metacognitive strategy indicator, which had a mean score of 4.0 and a standard deviation of 0.58. Both indicators had a descriptive level of high, indicating that the respondents agreed that they reread texts when they found them difficult to understand, tried to identify their weaknesses in reading tasks and evaluated how they could improve their reading proficiency.</w:t>
      </w:r>
    </w:p>
    <w:p w14:paraId="38BC8367" w14:textId="4200961B" w:rsidR="000442F5" w:rsidRPr="000442F5" w:rsidRDefault="000442F5" w:rsidP="000442F5">
      <w:pPr>
        <w:pStyle w:val="Body"/>
        <w:rPr>
          <w:rFonts w:ascii="Arial" w:hAnsi="Arial" w:cs="Arial"/>
        </w:rPr>
      </w:pPr>
      <w:r w:rsidRPr="000442F5">
        <w:rPr>
          <w:rFonts w:ascii="Arial" w:hAnsi="Arial" w:cs="Arial"/>
        </w:rPr>
        <w:t>Additionally, the level of strategy indicates that the respondents summarized key information and main ideas of the text and analyzed the relationships between the given reading texts. In fact, reading is not merely a mechanical process of recognizing words but a complex activity involving deep comprehension, analysis, and evaluation of texts.</w:t>
      </w:r>
    </w:p>
    <w:p w14:paraId="6B35AB59" w14:textId="53173061" w:rsidR="00E21DE7" w:rsidRDefault="00E21DE7" w:rsidP="000442F5">
      <w:pPr>
        <w:pStyle w:val="Body"/>
        <w:spacing w:after="0"/>
        <w:rPr>
          <w:rFonts w:ascii="Arial" w:hAnsi="Arial" w:cs="Arial"/>
        </w:rPr>
      </w:pPr>
      <w:r w:rsidRPr="00E21DE7">
        <w:rPr>
          <w:rFonts w:ascii="Arial" w:hAnsi="Arial" w:cs="Arial"/>
        </w:rPr>
        <w:t xml:space="preserve">The results are consistent with the findings of </w:t>
      </w:r>
      <w:r w:rsidR="0012252C">
        <w:rPr>
          <w:rFonts w:ascii="Arial" w:hAnsi="Arial" w:cs="Arial"/>
        </w:rPr>
        <w:t xml:space="preserve">Villaruz </w:t>
      </w:r>
      <w:r w:rsidRPr="00E21DE7">
        <w:rPr>
          <w:rFonts w:ascii="Arial" w:hAnsi="Arial" w:cs="Arial"/>
        </w:rPr>
        <w:t xml:space="preserve">and </w:t>
      </w:r>
      <w:proofErr w:type="spellStart"/>
      <w:r w:rsidR="0012252C">
        <w:rPr>
          <w:rFonts w:ascii="Arial" w:hAnsi="Arial" w:cs="Arial"/>
        </w:rPr>
        <w:t>Napil</w:t>
      </w:r>
      <w:proofErr w:type="spellEnd"/>
      <w:r>
        <w:rPr>
          <w:rFonts w:ascii="Arial" w:hAnsi="Arial" w:cs="Arial"/>
        </w:rPr>
        <w:t xml:space="preserve"> </w:t>
      </w:r>
      <w:r w:rsidRPr="00E21DE7">
        <w:rPr>
          <w:rFonts w:ascii="Arial" w:hAnsi="Arial" w:cs="Arial"/>
        </w:rPr>
        <w:t>(2022), which indicate that each reading strategy, including problem-solving, global</w:t>
      </w:r>
      <w:r w:rsidR="00EC5C48">
        <w:rPr>
          <w:rFonts w:ascii="Arial" w:hAnsi="Arial" w:cs="Arial"/>
        </w:rPr>
        <w:t xml:space="preserve"> </w:t>
      </w:r>
      <w:r w:rsidRPr="00E21DE7">
        <w:rPr>
          <w:rFonts w:ascii="Arial" w:hAnsi="Arial" w:cs="Arial"/>
        </w:rPr>
        <w:t>and reading support strategies, has a notable influence on students' overall motivation to read in the Filipino language. Additionally, these strategies show significant connections with various personality traits, such as openness to new experiences, conscientiousness, extroversion, agreeableness, and neuroticism. Furthermore, these personality traits themselves are closely associated with the overall motivation of students to engage in Filipino language reading.</w:t>
      </w:r>
    </w:p>
    <w:p w14:paraId="3F5B4C30" w14:textId="77777777" w:rsidR="00E21DE7" w:rsidRDefault="00E21DE7" w:rsidP="000442F5">
      <w:pPr>
        <w:pStyle w:val="Body"/>
        <w:spacing w:after="0"/>
        <w:rPr>
          <w:rFonts w:ascii="Arial" w:hAnsi="Arial" w:cs="Arial"/>
        </w:rPr>
      </w:pPr>
    </w:p>
    <w:p w14:paraId="30A93FDB" w14:textId="5BD3E644" w:rsidR="000442F5" w:rsidRDefault="000442F5" w:rsidP="000442F5">
      <w:pPr>
        <w:pStyle w:val="Body"/>
        <w:spacing w:after="0"/>
        <w:rPr>
          <w:rFonts w:ascii="Arial" w:hAnsi="Arial" w:cs="Arial"/>
        </w:rPr>
      </w:pPr>
      <w:r w:rsidRPr="000442F5">
        <w:rPr>
          <w:rFonts w:ascii="Arial" w:hAnsi="Arial" w:cs="Arial"/>
        </w:rPr>
        <w:t>Furthermore, the overall mean score of 4.01 indicates that students possess a strong ability to integrate both strategies in their reading, which improves their comprehension and analysis. Students with high proficiency in both cognitive and metacognitive strategies have a more solid foundation in reading and thus exhibit better academic performance (Eser, 20</w:t>
      </w:r>
      <w:r w:rsidR="005A6644">
        <w:rPr>
          <w:rFonts w:ascii="Arial" w:hAnsi="Arial" w:cs="Arial"/>
        </w:rPr>
        <w:t>21</w:t>
      </w:r>
      <w:r w:rsidRPr="000442F5">
        <w:rPr>
          <w:rFonts w:ascii="Arial" w:hAnsi="Arial" w:cs="Arial"/>
        </w:rPr>
        <w:t xml:space="preserve">; </w:t>
      </w:r>
      <w:proofErr w:type="spellStart"/>
      <w:r w:rsidRPr="000442F5">
        <w:rPr>
          <w:rFonts w:ascii="Arial" w:hAnsi="Arial" w:cs="Arial"/>
        </w:rPr>
        <w:t>Mesrabadi</w:t>
      </w:r>
      <w:proofErr w:type="spellEnd"/>
      <w:r w:rsidRPr="000442F5">
        <w:rPr>
          <w:rFonts w:ascii="Arial" w:hAnsi="Arial" w:cs="Arial"/>
        </w:rPr>
        <w:t>, Erfani, &amp; Adab, 20</w:t>
      </w:r>
      <w:r w:rsidR="005A6644">
        <w:rPr>
          <w:rFonts w:ascii="Arial" w:hAnsi="Arial" w:cs="Arial"/>
        </w:rPr>
        <w:t>21</w:t>
      </w:r>
      <w:r w:rsidRPr="000442F5">
        <w:rPr>
          <w:rFonts w:ascii="Arial" w:hAnsi="Arial" w:cs="Arial"/>
        </w:rPr>
        <w:t>). Training in both cognitive and metacognitive strategies provides a deeper and more comprehensive approach to learning how to read.</w:t>
      </w:r>
    </w:p>
    <w:p w14:paraId="126C8680" w14:textId="77777777" w:rsidR="000442F5" w:rsidRDefault="000442F5" w:rsidP="000442F5">
      <w:pPr>
        <w:pStyle w:val="Body"/>
        <w:spacing w:after="0"/>
        <w:rPr>
          <w:rFonts w:ascii="Arial" w:hAnsi="Arial" w:cs="Arial"/>
        </w:rPr>
      </w:pPr>
    </w:p>
    <w:p w14:paraId="600711EC" w14:textId="77777777" w:rsidR="00B751D7" w:rsidRPr="00B751D7" w:rsidRDefault="00B751D7" w:rsidP="00B751D7">
      <w:pPr>
        <w:pStyle w:val="Body"/>
        <w:rPr>
          <w:rFonts w:ascii="Arial" w:hAnsi="Arial" w:cs="Arial"/>
        </w:rPr>
      </w:pPr>
      <w:r w:rsidRPr="00B751D7">
        <w:rPr>
          <w:rFonts w:ascii="Arial" w:hAnsi="Arial" w:cs="Arial"/>
        </w:rPr>
        <w:t>Table 4 presents the grammatical competence of students in public schools in Region XI. The overall mean score was 4.29 with a descriptive level of very high and a standard deviation of 0.46.</w:t>
      </w:r>
    </w:p>
    <w:p w14:paraId="729C0E09" w14:textId="77777777" w:rsidR="00B751D7" w:rsidRDefault="00B751D7" w:rsidP="00B751D7">
      <w:pPr>
        <w:pStyle w:val="Body"/>
        <w:rPr>
          <w:rFonts w:ascii="Arial" w:hAnsi="Arial" w:cs="Arial"/>
        </w:rPr>
      </w:pPr>
      <w:r w:rsidRPr="00B751D7">
        <w:rPr>
          <w:rFonts w:ascii="Arial" w:hAnsi="Arial" w:cs="Arial"/>
        </w:rPr>
        <w:t>Among the four indicators, subject-verb agreement ranked the highest, with a mean score of 4.52 and a standard deviation of 0.45, described as highest, indicating that the skill is consistently demonstrated by the students. On the other hand, the aspect of the verb ranked lowest, with a mean score of 4.19 and a standard deviation of 0.61, and a descriptive level of high, meaning it is frequently demonstrated.</w:t>
      </w:r>
    </w:p>
    <w:p w14:paraId="21907A1C" w14:textId="77777777" w:rsidR="00AF4489" w:rsidRPr="00AF4489" w:rsidRDefault="00AF4489" w:rsidP="00AF4489">
      <w:pPr>
        <w:spacing w:before="100" w:beforeAutospacing="1" w:after="100" w:afterAutospacing="1"/>
        <w:contextualSpacing/>
        <w:jc w:val="both"/>
        <w:rPr>
          <w:rFonts w:ascii="Arial" w:hAnsi="Arial" w:cs="Arial"/>
          <w:b/>
          <w:bCs/>
          <w:lang w:val="en-PH" w:eastAsia="en-PH"/>
        </w:rPr>
      </w:pPr>
      <w:r w:rsidRPr="00AF4489">
        <w:rPr>
          <w:rFonts w:ascii="Arial" w:hAnsi="Arial" w:cs="Arial"/>
          <w:b/>
          <w:bCs/>
          <w:lang w:val="en-PH" w:eastAsia="en-PH"/>
        </w:rPr>
        <w:t>Table 4</w:t>
      </w:r>
    </w:p>
    <w:p w14:paraId="3EA947AF" w14:textId="77777777" w:rsidR="00AF4489" w:rsidRPr="00AF4489" w:rsidRDefault="00AF4489" w:rsidP="00AF4489">
      <w:pPr>
        <w:spacing w:before="100" w:beforeAutospacing="1" w:after="100" w:afterAutospacing="1"/>
        <w:contextualSpacing/>
        <w:jc w:val="both"/>
        <w:rPr>
          <w:rFonts w:ascii="Arial" w:hAnsi="Arial" w:cs="Arial"/>
          <w:i/>
          <w:iCs/>
          <w:lang w:val="en-PH" w:eastAsia="en-PH"/>
        </w:rPr>
      </w:pPr>
      <w:r w:rsidRPr="00AF4489">
        <w:rPr>
          <w:rFonts w:ascii="Arial" w:hAnsi="Arial" w:cs="Arial"/>
          <w:i/>
          <w:iCs/>
          <w:lang w:val="en-PH" w:eastAsia="en-PH"/>
        </w:rPr>
        <w:t>Level of Students' Grammatical Competence</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1"/>
        <w:gridCol w:w="1044"/>
        <w:gridCol w:w="1072"/>
        <w:gridCol w:w="2131"/>
      </w:tblGrid>
      <w:tr w:rsidR="00AF4489" w:rsidRPr="00AF4489" w14:paraId="1178B98E" w14:textId="77777777" w:rsidTr="00C42D78">
        <w:trPr>
          <w:trHeight w:val="300"/>
        </w:trPr>
        <w:tc>
          <w:tcPr>
            <w:tcW w:w="4497" w:type="dxa"/>
            <w:tcBorders>
              <w:top w:val="single" w:sz="4" w:space="0" w:color="auto"/>
              <w:bottom w:val="single" w:sz="4" w:space="0" w:color="auto"/>
            </w:tcBorders>
            <w:vAlign w:val="center"/>
          </w:tcPr>
          <w:p w14:paraId="7F2FD14C" w14:textId="77777777" w:rsidR="00AF4489" w:rsidRPr="00AF4489" w:rsidRDefault="00AF4489" w:rsidP="00AF4489">
            <w:pPr>
              <w:spacing w:before="100" w:beforeAutospacing="1" w:after="100"/>
              <w:jc w:val="both"/>
              <w:rPr>
                <w:rFonts w:ascii="Arial" w:hAnsi="Arial" w:cs="Arial"/>
                <w:b/>
                <w:bCs/>
                <w:sz w:val="20"/>
                <w:szCs w:val="20"/>
                <w:lang w:eastAsia="en-PH"/>
              </w:rPr>
            </w:pPr>
            <w:bookmarkStart w:id="3" w:name="_Hlk193150720"/>
            <w:r w:rsidRPr="00AF4489">
              <w:rPr>
                <w:rFonts w:ascii="Arial" w:hAnsi="Arial" w:cs="Arial"/>
                <w:b/>
                <w:bCs/>
                <w:sz w:val="20"/>
                <w:szCs w:val="20"/>
                <w:lang w:eastAsia="en-PH"/>
              </w:rPr>
              <w:t>Indicator</w:t>
            </w:r>
          </w:p>
        </w:tc>
        <w:tc>
          <w:tcPr>
            <w:tcW w:w="1133" w:type="dxa"/>
            <w:tcBorders>
              <w:top w:val="single" w:sz="4" w:space="0" w:color="auto"/>
              <w:bottom w:val="single" w:sz="4" w:space="0" w:color="auto"/>
            </w:tcBorders>
            <w:vAlign w:val="center"/>
          </w:tcPr>
          <w:p w14:paraId="687D50CF" w14:textId="77777777" w:rsidR="00AF4489" w:rsidRPr="00AF4489" w:rsidRDefault="00AF4489" w:rsidP="00AF4489">
            <w:pPr>
              <w:spacing w:before="100" w:beforeAutospacing="1" w:after="100"/>
              <w:jc w:val="both"/>
              <w:rPr>
                <w:rFonts w:ascii="Arial" w:hAnsi="Arial" w:cs="Arial"/>
                <w:b/>
                <w:bCs/>
                <w:sz w:val="20"/>
                <w:szCs w:val="20"/>
                <w:lang w:eastAsia="en-PH"/>
              </w:rPr>
            </w:pPr>
            <w:r w:rsidRPr="00AF4489">
              <w:rPr>
                <w:rFonts w:ascii="Arial" w:hAnsi="Arial" w:cs="Arial"/>
                <w:b/>
                <w:bCs/>
                <w:sz w:val="20"/>
                <w:szCs w:val="20"/>
                <w:lang w:eastAsia="en-PH"/>
              </w:rPr>
              <w:t>SD</w:t>
            </w:r>
          </w:p>
        </w:tc>
        <w:tc>
          <w:tcPr>
            <w:tcW w:w="1142" w:type="dxa"/>
            <w:tcBorders>
              <w:top w:val="single" w:sz="4" w:space="0" w:color="auto"/>
              <w:bottom w:val="single" w:sz="4" w:space="0" w:color="auto"/>
            </w:tcBorders>
            <w:vAlign w:val="center"/>
          </w:tcPr>
          <w:p w14:paraId="2A920D50" w14:textId="77777777" w:rsidR="00AF4489" w:rsidRPr="00AF4489" w:rsidRDefault="00AF4489" w:rsidP="00AF4489">
            <w:pPr>
              <w:spacing w:before="100" w:beforeAutospacing="1" w:after="100"/>
              <w:jc w:val="both"/>
              <w:rPr>
                <w:rFonts w:ascii="Arial" w:hAnsi="Arial" w:cs="Arial"/>
                <w:b/>
                <w:bCs/>
                <w:sz w:val="20"/>
                <w:szCs w:val="20"/>
                <w:lang w:eastAsia="en-PH"/>
              </w:rPr>
            </w:pPr>
            <w:r w:rsidRPr="00AF4489">
              <w:rPr>
                <w:rFonts w:ascii="Arial" w:hAnsi="Arial" w:cs="Arial"/>
                <w:b/>
                <w:bCs/>
                <w:sz w:val="20"/>
                <w:szCs w:val="20"/>
                <w:lang w:eastAsia="en-PH"/>
              </w:rPr>
              <w:t>Mean</w:t>
            </w:r>
          </w:p>
        </w:tc>
        <w:tc>
          <w:tcPr>
            <w:tcW w:w="2300" w:type="dxa"/>
            <w:tcBorders>
              <w:top w:val="single" w:sz="4" w:space="0" w:color="auto"/>
              <w:bottom w:val="single" w:sz="4" w:space="0" w:color="auto"/>
            </w:tcBorders>
            <w:vAlign w:val="center"/>
          </w:tcPr>
          <w:p w14:paraId="4015700F" w14:textId="77777777" w:rsidR="00AF4489" w:rsidRPr="00AF4489" w:rsidRDefault="00AF4489" w:rsidP="00AF4489">
            <w:pPr>
              <w:spacing w:before="100" w:beforeAutospacing="1" w:after="100"/>
              <w:jc w:val="both"/>
              <w:rPr>
                <w:rFonts w:ascii="Arial" w:hAnsi="Arial" w:cs="Arial"/>
                <w:b/>
                <w:bCs/>
                <w:sz w:val="20"/>
                <w:szCs w:val="20"/>
                <w:lang w:eastAsia="en-PH"/>
              </w:rPr>
            </w:pPr>
            <w:r w:rsidRPr="00AF4489">
              <w:rPr>
                <w:rFonts w:ascii="Arial" w:hAnsi="Arial" w:cs="Arial"/>
                <w:b/>
                <w:bCs/>
                <w:sz w:val="20"/>
                <w:szCs w:val="20"/>
                <w:lang w:eastAsia="en-PH"/>
              </w:rPr>
              <w:t>Descriptive Level</w:t>
            </w:r>
          </w:p>
        </w:tc>
      </w:tr>
      <w:tr w:rsidR="00AF4489" w:rsidRPr="00AF4489" w14:paraId="7469C428" w14:textId="77777777" w:rsidTr="00C42D78">
        <w:trPr>
          <w:trHeight w:val="300"/>
        </w:trPr>
        <w:tc>
          <w:tcPr>
            <w:tcW w:w="4497" w:type="dxa"/>
            <w:tcBorders>
              <w:top w:val="single" w:sz="4" w:space="0" w:color="auto"/>
            </w:tcBorders>
            <w:vAlign w:val="center"/>
          </w:tcPr>
          <w:p w14:paraId="5F7348B6" w14:textId="77777777" w:rsidR="00AF4489" w:rsidRPr="00AF4489" w:rsidRDefault="00AF4489" w:rsidP="00AF4489">
            <w:pPr>
              <w:spacing w:before="100" w:beforeAutospacing="1" w:after="100"/>
              <w:rPr>
                <w:rFonts w:ascii="Arial" w:hAnsi="Arial" w:cs="Arial"/>
                <w:sz w:val="20"/>
                <w:szCs w:val="20"/>
                <w:lang w:eastAsia="en-PH"/>
              </w:rPr>
            </w:pPr>
            <w:r w:rsidRPr="00AF4489">
              <w:rPr>
                <w:rFonts w:ascii="Arial" w:hAnsi="Arial" w:cs="Arial"/>
                <w:sz w:val="20"/>
                <w:szCs w:val="20"/>
                <w:lang w:eastAsia="en-PH"/>
              </w:rPr>
              <w:t>Prepositions</w:t>
            </w:r>
          </w:p>
        </w:tc>
        <w:tc>
          <w:tcPr>
            <w:tcW w:w="1133" w:type="dxa"/>
            <w:tcBorders>
              <w:top w:val="single" w:sz="4" w:space="0" w:color="auto"/>
            </w:tcBorders>
            <w:vAlign w:val="center"/>
          </w:tcPr>
          <w:p w14:paraId="64B95CEF" w14:textId="77777777" w:rsidR="00AF4489" w:rsidRPr="00AF4489" w:rsidRDefault="00AF4489" w:rsidP="00AF4489">
            <w:pPr>
              <w:spacing w:before="100" w:beforeAutospacing="1" w:after="100"/>
              <w:jc w:val="both"/>
              <w:rPr>
                <w:rFonts w:ascii="Arial" w:hAnsi="Arial" w:cs="Arial"/>
                <w:sz w:val="20"/>
                <w:szCs w:val="20"/>
                <w:lang w:eastAsia="en-PH"/>
              </w:rPr>
            </w:pPr>
            <w:r w:rsidRPr="00AF4489">
              <w:rPr>
                <w:rFonts w:ascii="Arial" w:hAnsi="Arial" w:cs="Arial"/>
                <w:sz w:val="20"/>
                <w:szCs w:val="20"/>
                <w:lang w:eastAsia="en-PH"/>
              </w:rPr>
              <w:t>0.55</w:t>
            </w:r>
          </w:p>
        </w:tc>
        <w:tc>
          <w:tcPr>
            <w:tcW w:w="1142" w:type="dxa"/>
            <w:tcBorders>
              <w:top w:val="single" w:sz="4" w:space="0" w:color="auto"/>
            </w:tcBorders>
            <w:vAlign w:val="center"/>
          </w:tcPr>
          <w:p w14:paraId="362F2F77" w14:textId="77777777" w:rsidR="00AF4489" w:rsidRPr="00AF4489" w:rsidRDefault="00AF4489" w:rsidP="00AF4489">
            <w:pPr>
              <w:spacing w:before="100" w:beforeAutospacing="1" w:after="100"/>
              <w:jc w:val="both"/>
              <w:rPr>
                <w:rFonts w:ascii="Arial" w:hAnsi="Arial" w:cs="Arial"/>
                <w:sz w:val="20"/>
                <w:szCs w:val="20"/>
                <w:lang w:eastAsia="en-PH"/>
              </w:rPr>
            </w:pPr>
            <w:r w:rsidRPr="00AF4489">
              <w:rPr>
                <w:rFonts w:ascii="Arial" w:hAnsi="Arial" w:cs="Arial"/>
                <w:sz w:val="20"/>
                <w:szCs w:val="20"/>
                <w:lang w:eastAsia="en-PH"/>
              </w:rPr>
              <w:t>4.30</w:t>
            </w:r>
          </w:p>
        </w:tc>
        <w:tc>
          <w:tcPr>
            <w:tcW w:w="2300" w:type="dxa"/>
            <w:tcBorders>
              <w:top w:val="single" w:sz="4" w:space="0" w:color="auto"/>
            </w:tcBorders>
            <w:vAlign w:val="center"/>
          </w:tcPr>
          <w:p w14:paraId="4B3CBE9F" w14:textId="77777777" w:rsidR="00AF4489" w:rsidRPr="00AF4489" w:rsidRDefault="00AF4489" w:rsidP="00AF4489">
            <w:pPr>
              <w:spacing w:before="100" w:beforeAutospacing="1" w:after="100"/>
              <w:jc w:val="both"/>
              <w:rPr>
                <w:rFonts w:ascii="Arial" w:hAnsi="Arial" w:cs="Arial"/>
                <w:sz w:val="20"/>
                <w:szCs w:val="20"/>
                <w:lang w:eastAsia="en-PH"/>
              </w:rPr>
            </w:pPr>
            <w:r w:rsidRPr="00AF4489">
              <w:rPr>
                <w:rFonts w:ascii="Arial" w:hAnsi="Arial" w:cs="Arial"/>
                <w:sz w:val="20"/>
                <w:szCs w:val="20"/>
                <w:lang w:eastAsia="en-PH"/>
              </w:rPr>
              <w:t>Very High</w:t>
            </w:r>
          </w:p>
        </w:tc>
      </w:tr>
      <w:tr w:rsidR="00AF4489" w:rsidRPr="00AF4489" w14:paraId="736224D7" w14:textId="77777777" w:rsidTr="00C42D78">
        <w:trPr>
          <w:trHeight w:val="300"/>
        </w:trPr>
        <w:tc>
          <w:tcPr>
            <w:tcW w:w="4497" w:type="dxa"/>
            <w:vAlign w:val="center"/>
          </w:tcPr>
          <w:p w14:paraId="1897300A" w14:textId="77777777" w:rsidR="00AF4489" w:rsidRPr="00AF4489" w:rsidRDefault="00AF4489" w:rsidP="00AF4489">
            <w:pPr>
              <w:spacing w:before="100" w:beforeAutospacing="1" w:after="100"/>
              <w:rPr>
                <w:rFonts w:ascii="Arial" w:hAnsi="Arial" w:cs="Arial"/>
                <w:sz w:val="20"/>
                <w:szCs w:val="20"/>
                <w:lang w:eastAsia="en-PH"/>
              </w:rPr>
            </w:pPr>
            <w:r w:rsidRPr="00AF4489">
              <w:rPr>
                <w:rFonts w:ascii="Arial" w:hAnsi="Arial" w:cs="Arial"/>
                <w:sz w:val="20"/>
                <w:szCs w:val="20"/>
                <w:lang w:eastAsia="en-PH"/>
              </w:rPr>
              <w:t>Subject Verb-Agreement</w:t>
            </w:r>
          </w:p>
        </w:tc>
        <w:tc>
          <w:tcPr>
            <w:tcW w:w="1133" w:type="dxa"/>
            <w:vAlign w:val="center"/>
          </w:tcPr>
          <w:p w14:paraId="7B1AACB2" w14:textId="77777777" w:rsidR="00AF4489" w:rsidRPr="00AF4489" w:rsidRDefault="00AF4489" w:rsidP="00AF4489">
            <w:pPr>
              <w:spacing w:before="100" w:beforeAutospacing="1" w:after="100"/>
              <w:jc w:val="both"/>
              <w:rPr>
                <w:rFonts w:ascii="Arial" w:hAnsi="Arial" w:cs="Arial"/>
                <w:sz w:val="20"/>
                <w:szCs w:val="20"/>
                <w:lang w:eastAsia="en-PH"/>
              </w:rPr>
            </w:pPr>
            <w:r w:rsidRPr="00AF4489">
              <w:rPr>
                <w:rFonts w:ascii="Arial" w:hAnsi="Arial" w:cs="Arial"/>
                <w:sz w:val="20"/>
                <w:szCs w:val="20"/>
                <w:lang w:eastAsia="en-PH"/>
              </w:rPr>
              <w:t>0.45</w:t>
            </w:r>
          </w:p>
        </w:tc>
        <w:tc>
          <w:tcPr>
            <w:tcW w:w="1142" w:type="dxa"/>
            <w:vAlign w:val="center"/>
          </w:tcPr>
          <w:p w14:paraId="49602A4A" w14:textId="77777777" w:rsidR="00AF4489" w:rsidRPr="00AF4489" w:rsidRDefault="00AF4489" w:rsidP="00AF4489">
            <w:pPr>
              <w:spacing w:before="100" w:beforeAutospacing="1" w:after="100"/>
              <w:jc w:val="both"/>
              <w:rPr>
                <w:rFonts w:ascii="Arial" w:hAnsi="Arial" w:cs="Arial"/>
                <w:sz w:val="20"/>
                <w:szCs w:val="20"/>
                <w:lang w:eastAsia="en-PH"/>
              </w:rPr>
            </w:pPr>
            <w:r w:rsidRPr="00AF4489">
              <w:rPr>
                <w:rFonts w:ascii="Arial" w:hAnsi="Arial" w:cs="Arial"/>
                <w:sz w:val="20"/>
                <w:szCs w:val="20"/>
                <w:lang w:eastAsia="en-PH"/>
              </w:rPr>
              <w:t>4.52</w:t>
            </w:r>
          </w:p>
        </w:tc>
        <w:tc>
          <w:tcPr>
            <w:tcW w:w="2300" w:type="dxa"/>
            <w:vAlign w:val="center"/>
          </w:tcPr>
          <w:p w14:paraId="09433C04" w14:textId="77777777" w:rsidR="00AF4489" w:rsidRPr="00AF4489" w:rsidRDefault="00AF4489" w:rsidP="00AF4489">
            <w:pPr>
              <w:spacing w:before="100" w:beforeAutospacing="1" w:after="100"/>
              <w:jc w:val="both"/>
              <w:rPr>
                <w:rFonts w:ascii="Arial" w:hAnsi="Arial" w:cs="Arial"/>
                <w:sz w:val="20"/>
                <w:szCs w:val="20"/>
                <w:lang w:eastAsia="en-PH"/>
              </w:rPr>
            </w:pPr>
            <w:r w:rsidRPr="00AF4489">
              <w:rPr>
                <w:rFonts w:ascii="Arial" w:hAnsi="Arial" w:cs="Arial"/>
                <w:sz w:val="20"/>
                <w:szCs w:val="20"/>
                <w:lang w:eastAsia="en-PH"/>
              </w:rPr>
              <w:t>Very High</w:t>
            </w:r>
          </w:p>
        </w:tc>
      </w:tr>
      <w:tr w:rsidR="00AF4489" w:rsidRPr="00AF4489" w14:paraId="140FAFBF" w14:textId="77777777" w:rsidTr="00C42D78">
        <w:trPr>
          <w:trHeight w:val="300"/>
        </w:trPr>
        <w:tc>
          <w:tcPr>
            <w:tcW w:w="4497" w:type="dxa"/>
            <w:vAlign w:val="center"/>
          </w:tcPr>
          <w:p w14:paraId="172C3F93" w14:textId="77777777" w:rsidR="00AF4489" w:rsidRPr="00AF4489" w:rsidRDefault="00AF4489" w:rsidP="00AF4489">
            <w:pPr>
              <w:spacing w:before="100" w:beforeAutospacing="1" w:after="100"/>
              <w:rPr>
                <w:rFonts w:ascii="Arial" w:hAnsi="Arial" w:cs="Arial"/>
                <w:sz w:val="20"/>
                <w:szCs w:val="20"/>
                <w:lang w:eastAsia="en-PH"/>
              </w:rPr>
            </w:pPr>
            <w:r w:rsidRPr="00AF4489">
              <w:rPr>
                <w:rFonts w:ascii="Arial" w:hAnsi="Arial" w:cs="Arial"/>
                <w:sz w:val="20"/>
                <w:szCs w:val="20"/>
                <w:lang w:eastAsia="en-PH"/>
              </w:rPr>
              <w:t>Verb Aspects</w:t>
            </w:r>
          </w:p>
        </w:tc>
        <w:tc>
          <w:tcPr>
            <w:tcW w:w="1133" w:type="dxa"/>
            <w:vAlign w:val="center"/>
          </w:tcPr>
          <w:p w14:paraId="178F9A6F" w14:textId="77777777" w:rsidR="00AF4489" w:rsidRPr="00AF4489" w:rsidRDefault="00AF4489" w:rsidP="00AF4489">
            <w:pPr>
              <w:spacing w:before="100" w:beforeAutospacing="1" w:after="100"/>
              <w:jc w:val="both"/>
              <w:rPr>
                <w:rFonts w:ascii="Arial" w:hAnsi="Arial" w:cs="Arial"/>
                <w:sz w:val="20"/>
                <w:szCs w:val="20"/>
                <w:lang w:eastAsia="en-PH"/>
              </w:rPr>
            </w:pPr>
            <w:r w:rsidRPr="00AF4489">
              <w:rPr>
                <w:rFonts w:ascii="Arial" w:hAnsi="Arial" w:cs="Arial"/>
                <w:sz w:val="20"/>
                <w:szCs w:val="20"/>
                <w:lang w:eastAsia="en-PH"/>
              </w:rPr>
              <w:t>0.61</w:t>
            </w:r>
          </w:p>
        </w:tc>
        <w:tc>
          <w:tcPr>
            <w:tcW w:w="1142" w:type="dxa"/>
            <w:vAlign w:val="center"/>
          </w:tcPr>
          <w:p w14:paraId="7B24585B" w14:textId="77777777" w:rsidR="00AF4489" w:rsidRPr="00AF4489" w:rsidRDefault="00AF4489" w:rsidP="00AF4489">
            <w:pPr>
              <w:spacing w:before="100" w:beforeAutospacing="1" w:after="100"/>
              <w:jc w:val="both"/>
              <w:rPr>
                <w:rFonts w:ascii="Arial" w:hAnsi="Arial" w:cs="Arial"/>
                <w:sz w:val="20"/>
                <w:szCs w:val="20"/>
                <w:lang w:eastAsia="en-PH"/>
              </w:rPr>
            </w:pPr>
            <w:r w:rsidRPr="00AF4489">
              <w:rPr>
                <w:rFonts w:ascii="Arial" w:hAnsi="Arial" w:cs="Arial"/>
                <w:sz w:val="20"/>
                <w:szCs w:val="20"/>
                <w:lang w:eastAsia="en-PH"/>
              </w:rPr>
              <w:t>4.19</w:t>
            </w:r>
          </w:p>
        </w:tc>
        <w:tc>
          <w:tcPr>
            <w:tcW w:w="2300" w:type="dxa"/>
            <w:vAlign w:val="center"/>
          </w:tcPr>
          <w:p w14:paraId="3C5E9890" w14:textId="77777777" w:rsidR="00AF4489" w:rsidRPr="00AF4489" w:rsidRDefault="00AF4489" w:rsidP="00AF4489">
            <w:pPr>
              <w:spacing w:before="100" w:beforeAutospacing="1" w:after="100"/>
              <w:jc w:val="both"/>
              <w:rPr>
                <w:rFonts w:ascii="Arial" w:hAnsi="Arial" w:cs="Arial"/>
                <w:sz w:val="20"/>
                <w:szCs w:val="20"/>
                <w:lang w:eastAsia="en-PH"/>
              </w:rPr>
            </w:pPr>
            <w:r w:rsidRPr="00AF4489">
              <w:rPr>
                <w:rFonts w:ascii="Arial" w:hAnsi="Arial" w:cs="Arial"/>
                <w:sz w:val="20"/>
                <w:szCs w:val="20"/>
                <w:lang w:eastAsia="en-PH"/>
              </w:rPr>
              <w:t>High</w:t>
            </w:r>
          </w:p>
        </w:tc>
      </w:tr>
      <w:tr w:rsidR="00AF4489" w:rsidRPr="00AF4489" w14:paraId="7680EA98" w14:textId="77777777" w:rsidTr="00C42D78">
        <w:trPr>
          <w:trHeight w:val="300"/>
        </w:trPr>
        <w:tc>
          <w:tcPr>
            <w:tcW w:w="4497" w:type="dxa"/>
            <w:vAlign w:val="center"/>
          </w:tcPr>
          <w:p w14:paraId="38D5E749" w14:textId="77777777" w:rsidR="00AF4489" w:rsidRPr="00AF4489" w:rsidRDefault="00AF4489" w:rsidP="00AF4489">
            <w:pPr>
              <w:spacing w:before="100" w:beforeAutospacing="1" w:after="100"/>
              <w:rPr>
                <w:rFonts w:ascii="Arial" w:hAnsi="Arial" w:cs="Arial"/>
                <w:sz w:val="20"/>
                <w:szCs w:val="20"/>
                <w:lang w:eastAsia="en-PH"/>
              </w:rPr>
            </w:pPr>
            <w:r w:rsidRPr="00AF4489">
              <w:rPr>
                <w:rFonts w:ascii="Arial" w:hAnsi="Arial" w:cs="Arial"/>
                <w:sz w:val="20"/>
                <w:szCs w:val="20"/>
                <w:lang w:eastAsia="en-PH"/>
              </w:rPr>
              <w:t xml:space="preserve">Modal </w:t>
            </w:r>
          </w:p>
        </w:tc>
        <w:tc>
          <w:tcPr>
            <w:tcW w:w="1133" w:type="dxa"/>
            <w:vAlign w:val="center"/>
          </w:tcPr>
          <w:p w14:paraId="0116BE81" w14:textId="77777777" w:rsidR="00AF4489" w:rsidRPr="00AF4489" w:rsidRDefault="00AF4489" w:rsidP="00AF4489">
            <w:pPr>
              <w:spacing w:before="100" w:beforeAutospacing="1" w:after="100"/>
              <w:jc w:val="both"/>
              <w:rPr>
                <w:rFonts w:ascii="Arial" w:hAnsi="Arial" w:cs="Arial"/>
                <w:sz w:val="20"/>
                <w:szCs w:val="20"/>
                <w:lang w:eastAsia="en-PH"/>
              </w:rPr>
            </w:pPr>
            <w:r w:rsidRPr="00AF4489">
              <w:rPr>
                <w:rFonts w:ascii="Arial" w:hAnsi="Arial" w:cs="Arial"/>
                <w:sz w:val="20"/>
                <w:szCs w:val="20"/>
                <w:lang w:eastAsia="en-PH"/>
              </w:rPr>
              <w:t>0.64</w:t>
            </w:r>
          </w:p>
        </w:tc>
        <w:tc>
          <w:tcPr>
            <w:tcW w:w="1142" w:type="dxa"/>
            <w:vAlign w:val="center"/>
          </w:tcPr>
          <w:p w14:paraId="60970C50" w14:textId="77777777" w:rsidR="00AF4489" w:rsidRPr="00AF4489" w:rsidRDefault="00AF4489" w:rsidP="00AF4489">
            <w:pPr>
              <w:spacing w:before="100" w:beforeAutospacing="1" w:after="100"/>
              <w:jc w:val="both"/>
              <w:rPr>
                <w:rFonts w:ascii="Arial" w:hAnsi="Arial" w:cs="Arial"/>
                <w:sz w:val="20"/>
                <w:szCs w:val="20"/>
                <w:lang w:eastAsia="en-PH"/>
              </w:rPr>
            </w:pPr>
            <w:r w:rsidRPr="00AF4489">
              <w:rPr>
                <w:rFonts w:ascii="Arial" w:hAnsi="Arial" w:cs="Arial"/>
                <w:sz w:val="20"/>
                <w:szCs w:val="20"/>
                <w:lang w:eastAsia="en-PH"/>
              </w:rPr>
              <w:t>4.22</w:t>
            </w:r>
          </w:p>
        </w:tc>
        <w:tc>
          <w:tcPr>
            <w:tcW w:w="2300" w:type="dxa"/>
            <w:vAlign w:val="center"/>
          </w:tcPr>
          <w:p w14:paraId="1DC054C6" w14:textId="77777777" w:rsidR="00AF4489" w:rsidRPr="00AF4489" w:rsidRDefault="00AF4489" w:rsidP="00AF4489">
            <w:pPr>
              <w:spacing w:before="100" w:beforeAutospacing="1" w:after="100"/>
              <w:jc w:val="both"/>
              <w:rPr>
                <w:rFonts w:ascii="Arial" w:hAnsi="Arial" w:cs="Arial"/>
                <w:sz w:val="20"/>
                <w:szCs w:val="20"/>
                <w:lang w:eastAsia="en-PH"/>
              </w:rPr>
            </w:pPr>
            <w:r w:rsidRPr="00AF4489">
              <w:rPr>
                <w:rFonts w:ascii="Arial" w:hAnsi="Arial" w:cs="Arial"/>
                <w:sz w:val="20"/>
                <w:szCs w:val="20"/>
                <w:lang w:eastAsia="en-PH"/>
              </w:rPr>
              <w:t>Very High</w:t>
            </w:r>
          </w:p>
        </w:tc>
      </w:tr>
      <w:tr w:rsidR="00AF4489" w:rsidRPr="00AF4489" w14:paraId="5F5093B5" w14:textId="77777777" w:rsidTr="00C42D78">
        <w:trPr>
          <w:trHeight w:val="300"/>
        </w:trPr>
        <w:tc>
          <w:tcPr>
            <w:tcW w:w="4497" w:type="dxa"/>
            <w:vAlign w:val="center"/>
          </w:tcPr>
          <w:p w14:paraId="4AB4D20A" w14:textId="77777777" w:rsidR="00AF4489" w:rsidRPr="00AF4489" w:rsidRDefault="00AF4489" w:rsidP="00AF4489">
            <w:pPr>
              <w:spacing w:before="100" w:beforeAutospacing="1" w:after="100"/>
              <w:rPr>
                <w:rFonts w:ascii="Arial" w:hAnsi="Arial" w:cs="Arial"/>
                <w:sz w:val="20"/>
                <w:szCs w:val="20"/>
                <w:lang w:eastAsia="en-PH"/>
              </w:rPr>
            </w:pPr>
            <w:r w:rsidRPr="00AF4489">
              <w:rPr>
                <w:rFonts w:ascii="Arial" w:hAnsi="Arial" w:cs="Arial"/>
                <w:sz w:val="20"/>
                <w:szCs w:val="20"/>
                <w:lang w:eastAsia="en-PH"/>
              </w:rPr>
              <w:t>Passive Voice</w:t>
            </w:r>
          </w:p>
        </w:tc>
        <w:tc>
          <w:tcPr>
            <w:tcW w:w="1133" w:type="dxa"/>
            <w:vAlign w:val="center"/>
          </w:tcPr>
          <w:p w14:paraId="15EA9730" w14:textId="77777777" w:rsidR="00AF4489" w:rsidRPr="00AF4489" w:rsidRDefault="00AF4489" w:rsidP="00AF4489">
            <w:pPr>
              <w:spacing w:before="100" w:beforeAutospacing="1" w:after="100"/>
              <w:jc w:val="both"/>
              <w:rPr>
                <w:rFonts w:ascii="Arial" w:hAnsi="Arial" w:cs="Arial"/>
                <w:sz w:val="20"/>
                <w:szCs w:val="20"/>
                <w:lang w:eastAsia="en-PH"/>
              </w:rPr>
            </w:pPr>
            <w:r w:rsidRPr="00AF4489">
              <w:rPr>
                <w:rFonts w:ascii="Arial" w:hAnsi="Arial" w:cs="Arial"/>
                <w:sz w:val="20"/>
                <w:szCs w:val="20"/>
                <w:lang w:eastAsia="en-PH"/>
              </w:rPr>
              <w:t>0.60</w:t>
            </w:r>
          </w:p>
        </w:tc>
        <w:tc>
          <w:tcPr>
            <w:tcW w:w="1142" w:type="dxa"/>
            <w:vAlign w:val="center"/>
          </w:tcPr>
          <w:p w14:paraId="63B6BFD6" w14:textId="77777777" w:rsidR="00AF4489" w:rsidRPr="00AF4489" w:rsidRDefault="00AF4489" w:rsidP="00AF4489">
            <w:pPr>
              <w:spacing w:before="100" w:beforeAutospacing="1" w:after="100"/>
              <w:jc w:val="both"/>
              <w:rPr>
                <w:rFonts w:ascii="Arial" w:hAnsi="Arial" w:cs="Arial"/>
                <w:sz w:val="20"/>
                <w:szCs w:val="20"/>
                <w:lang w:eastAsia="en-PH"/>
              </w:rPr>
            </w:pPr>
            <w:r w:rsidRPr="00AF4489">
              <w:rPr>
                <w:rFonts w:ascii="Arial" w:hAnsi="Arial" w:cs="Arial"/>
                <w:sz w:val="20"/>
                <w:szCs w:val="20"/>
                <w:lang w:eastAsia="en-PH"/>
              </w:rPr>
              <w:t>4.21</w:t>
            </w:r>
          </w:p>
        </w:tc>
        <w:tc>
          <w:tcPr>
            <w:tcW w:w="2300" w:type="dxa"/>
            <w:vAlign w:val="center"/>
          </w:tcPr>
          <w:p w14:paraId="74EA65CE" w14:textId="77777777" w:rsidR="00AF4489" w:rsidRPr="00AF4489" w:rsidRDefault="00AF4489" w:rsidP="00AF4489">
            <w:pPr>
              <w:spacing w:before="100" w:beforeAutospacing="1" w:after="100"/>
              <w:jc w:val="both"/>
              <w:rPr>
                <w:rFonts w:ascii="Arial" w:hAnsi="Arial" w:cs="Arial"/>
                <w:sz w:val="20"/>
                <w:szCs w:val="20"/>
                <w:lang w:eastAsia="en-PH"/>
              </w:rPr>
            </w:pPr>
            <w:r w:rsidRPr="00AF4489">
              <w:rPr>
                <w:rFonts w:ascii="Arial" w:hAnsi="Arial" w:cs="Arial"/>
                <w:sz w:val="20"/>
                <w:szCs w:val="20"/>
                <w:lang w:eastAsia="en-PH"/>
              </w:rPr>
              <w:t>Very High</w:t>
            </w:r>
          </w:p>
        </w:tc>
      </w:tr>
      <w:tr w:rsidR="00AF4489" w:rsidRPr="00AF4489" w14:paraId="111A54A0" w14:textId="77777777" w:rsidTr="00C42D78">
        <w:trPr>
          <w:trHeight w:val="300"/>
        </w:trPr>
        <w:tc>
          <w:tcPr>
            <w:tcW w:w="4497" w:type="dxa"/>
            <w:tcBorders>
              <w:bottom w:val="single" w:sz="4" w:space="0" w:color="auto"/>
            </w:tcBorders>
            <w:vAlign w:val="center"/>
          </w:tcPr>
          <w:p w14:paraId="313F7AF8" w14:textId="77777777" w:rsidR="00AF4489" w:rsidRPr="00AF4489" w:rsidRDefault="00AF4489" w:rsidP="00AF4489">
            <w:pPr>
              <w:spacing w:before="100" w:beforeAutospacing="1" w:after="100"/>
              <w:jc w:val="both"/>
              <w:rPr>
                <w:rFonts w:ascii="Arial" w:hAnsi="Arial" w:cs="Arial"/>
                <w:b/>
                <w:bCs/>
                <w:sz w:val="20"/>
                <w:szCs w:val="20"/>
                <w:lang w:eastAsia="en-PH"/>
              </w:rPr>
            </w:pPr>
            <w:r w:rsidRPr="00AF4489">
              <w:rPr>
                <w:rFonts w:ascii="Arial" w:hAnsi="Arial" w:cs="Arial"/>
                <w:b/>
                <w:bCs/>
                <w:sz w:val="20"/>
                <w:szCs w:val="20"/>
                <w:lang w:eastAsia="en-PH"/>
              </w:rPr>
              <w:t>Overall</w:t>
            </w:r>
          </w:p>
        </w:tc>
        <w:tc>
          <w:tcPr>
            <w:tcW w:w="1133" w:type="dxa"/>
            <w:tcBorders>
              <w:bottom w:val="single" w:sz="4" w:space="0" w:color="auto"/>
            </w:tcBorders>
            <w:vAlign w:val="center"/>
          </w:tcPr>
          <w:p w14:paraId="6B5D4B5E" w14:textId="77777777" w:rsidR="00AF4489" w:rsidRPr="00AF4489" w:rsidRDefault="00AF4489" w:rsidP="00AF4489">
            <w:pPr>
              <w:spacing w:before="100" w:beforeAutospacing="1" w:after="100"/>
              <w:jc w:val="both"/>
              <w:rPr>
                <w:rFonts w:ascii="Arial" w:hAnsi="Arial" w:cs="Arial"/>
                <w:b/>
                <w:bCs/>
                <w:sz w:val="20"/>
                <w:szCs w:val="20"/>
                <w:lang w:eastAsia="en-PH"/>
              </w:rPr>
            </w:pPr>
            <w:r w:rsidRPr="00AF4489">
              <w:rPr>
                <w:rFonts w:ascii="Arial" w:hAnsi="Arial" w:cs="Arial"/>
                <w:b/>
                <w:bCs/>
                <w:sz w:val="20"/>
                <w:szCs w:val="20"/>
                <w:lang w:eastAsia="en-PH"/>
              </w:rPr>
              <w:t>0.46</w:t>
            </w:r>
          </w:p>
        </w:tc>
        <w:tc>
          <w:tcPr>
            <w:tcW w:w="1142" w:type="dxa"/>
            <w:tcBorders>
              <w:bottom w:val="single" w:sz="4" w:space="0" w:color="auto"/>
            </w:tcBorders>
            <w:vAlign w:val="center"/>
          </w:tcPr>
          <w:p w14:paraId="752135BA" w14:textId="77777777" w:rsidR="00AF4489" w:rsidRPr="00AF4489" w:rsidRDefault="00AF4489" w:rsidP="00AF4489">
            <w:pPr>
              <w:spacing w:before="100" w:beforeAutospacing="1" w:after="100"/>
              <w:jc w:val="both"/>
              <w:rPr>
                <w:rFonts w:ascii="Arial" w:hAnsi="Arial" w:cs="Arial"/>
                <w:b/>
                <w:bCs/>
                <w:sz w:val="20"/>
                <w:szCs w:val="20"/>
                <w:lang w:eastAsia="en-PH"/>
              </w:rPr>
            </w:pPr>
            <w:r w:rsidRPr="00AF4489">
              <w:rPr>
                <w:rFonts w:ascii="Arial" w:hAnsi="Arial" w:cs="Arial"/>
                <w:b/>
                <w:bCs/>
                <w:sz w:val="20"/>
                <w:szCs w:val="20"/>
                <w:lang w:eastAsia="en-PH"/>
              </w:rPr>
              <w:t>4.29</w:t>
            </w:r>
          </w:p>
        </w:tc>
        <w:tc>
          <w:tcPr>
            <w:tcW w:w="2300" w:type="dxa"/>
            <w:tcBorders>
              <w:bottom w:val="single" w:sz="4" w:space="0" w:color="auto"/>
            </w:tcBorders>
            <w:vAlign w:val="center"/>
          </w:tcPr>
          <w:p w14:paraId="16172605" w14:textId="77777777" w:rsidR="00AF4489" w:rsidRPr="00AF4489" w:rsidRDefault="00AF4489" w:rsidP="00AF4489">
            <w:pPr>
              <w:spacing w:before="100" w:beforeAutospacing="1" w:after="100"/>
              <w:jc w:val="both"/>
              <w:rPr>
                <w:rFonts w:ascii="Arial" w:hAnsi="Arial" w:cs="Arial"/>
                <w:b/>
                <w:bCs/>
                <w:sz w:val="20"/>
                <w:szCs w:val="20"/>
                <w:lang w:eastAsia="en-PH"/>
              </w:rPr>
            </w:pPr>
            <w:r w:rsidRPr="00AF4489">
              <w:rPr>
                <w:rFonts w:ascii="Arial" w:hAnsi="Arial" w:cs="Arial"/>
                <w:sz w:val="20"/>
                <w:szCs w:val="20"/>
                <w:lang w:eastAsia="en-PH"/>
              </w:rPr>
              <w:t xml:space="preserve">Very High </w:t>
            </w:r>
          </w:p>
        </w:tc>
      </w:tr>
      <w:bookmarkEnd w:id="3"/>
    </w:tbl>
    <w:p w14:paraId="7BDFE677" w14:textId="77777777" w:rsidR="00AF4489" w:rsidRPr="00B751D7" w:rsidRDefault="00AF4489" w:rsidP="00B751D7">
      <w:pPr>
        <w:pStyle w:val="Body"/>
        <w:rPr>
          <w:rFonts w:ascii="Arial" w:hAnsi="Arial" w:cs="Arial"/>
        </w:rPr>
      </w:pPr>
    </w:p>
    <w:p w14:paraId="18C15824" w14:textId="5796E8B1" w:rsidR="00B751D7" w:rsidRPr="00B751D7" w:rsidRDefault="00B751D7" w:rsidP="00B751D7">
      <w:pPr>
        <w:pStyle w:val="Body"/>
        <w:rPr>
          <w:rFonts w:ascii="Arial" w:hAnsi="Arial" w:cs="Arial"/>
        </w:rPr>
      </w:pPr>
      <w:r w:rsidRPr="00B751D7">
        <w:rPr>
          <w:rFonts w:ascii="Arial" w:hAnsi="Arial" w:cs="Arial"/>
        </w:rPr>
        <w:lastRenderedPageBreak/>
        <w:t xml:space="preserve">The high level of grammatical competence among the students clearly indicates that they possess sufficient understanding of basic grammatical rules and are capable of applying them in constructing more complex sentences. </w:t>
      </w:r>
      <w:proofErr w:type="spellStart"/>
      <w:r w:rsidRPr="00B751D7">
        <w:rPr>
          <w:rFonts w:ascii="Arial" w:hAnsi="Arial" w:cs="Arial"/>
        </w:rPr>
        <w:t>Bardovi-Harlig</w:t>
      </w:r>
      <w:proofErr w:type="spellEnd"/>
      <w:r w:rsidRPr="00B751D7">
        <w:rPr>
          <w:rFonts w:ascii="Arial" w:hAnsi="Arial" w:cs="Arial"/>
        </w:rPr>
        <w:t xml:space="preserve"> (</w:t>
      </w:r>
      <w:r>
        <w:rPr>
          <w:rFonts w:ascii="Arial" w:hAnsi="Arial" w:cs="Arial"/>
        </w:rPr>
        <w:t>1999</w:t>
      </w:r>
      <w:r w:rsidRPr="00B751D7">
        <w:rPr>
          <w:rFonts w:ascii="Arial" w:hAnsi="Arial" w:cs="Arial"/>
        </w:rPr>
        <w:t>) affirmed that students learn grammar more effectively when exposed to comprehensible materials that are relevant to their lives, and that well-taught grammar can serve as a foundation that enhances the overall learning experience. It provides clear guidance on correct language usage, boosts confidence, and opens up more opportunities for deeper understanding and effective communication.</w:t>
      </w:r>
    </w:p>
    <w:p w14:paraId="79A2BFDF" w14:textId="717EA59F" w:rsidR="00B751D7" w:rsidRPr="00B751D7" w:rsidRDefault="00B751D7" w:rsidP="00B751D7">
      <w:pPr>
        <w:pStyle w:val="Body"/>
        <w:rPr>
          <w:rFonts w:ascii="Arial" w:hAnsi="Arial" w:cs="Arial"/>
        </w:rPr>
      </w:pPr>
      <w:r w:rsidRPr="00B751D7">
        <w:rPr>
          <w:rFonts w:ascii="Arial" w:hAnsi="Arial" w:cs="Arial"/>
        </w:rPr>
        <w:t xml:space="preserve">Subject-verb agreement emerged as the highest among the indicators, which was supported by </w:t>
      </w:r>
      <w:proofErr w:type="spellStart"/>
      <w:r w:rsidRPr="00B751D7">
        <w:rPr>
          <w:rFonts w:ascii="Arial" w:hAnsi="Arial" w:cs="Arial"/>
        </w:rPr>
        <w:t>Balones</w:t>
      </w:r>
      <w:proofErr w:type="spellEnd"/>
      <w:r w:rsidRPr="00B751D7">
        <w:rPr>
          <w:rFonts w:ascii="Arial" w:hAnsi="Arial" w:cs="Arial"/>
        </w:rPr>
        <w:t xml:space="preserve"> and </w:t>
      </w:r>
      <w:proofErr w:type="spellStart"/>
      <w:r w:rsidRPr="00B751D7">
        <w:rPr>
          <w:rFonts w:ascii="Arial" w:hAnsi="Arial" w:cs="Arial"/>
        </w:rPr>
        <w:t>Gempes</w:t>
      </w:r>
      <w:proofErr w:type="spellEnd"/>
      <w:r w:rsidRPr="00B751D7">
        <w:rPr>
          <w:rFonts w:ascii="Arial" w:hAnsi="Arial" w:cs="Arial"/>
        </w:rPr>
        <w:t xml:space="preserve"> (20</w:t>
      </w:r>
      <w:r>
        <w:rPr>
          <w:rFonts w:ascii="Arial" w:hAnsi="Arial" w:cs="Arial"/>
        </w:rPr>
        <w:t>22</w:t>
      </w:r>
      <w:r w:rsidRPr="00B751D7">
        <w:rPr>
          <w:rFonts w:ascii="Arial" w:hAnsi="Arial" w:cs="Arial"/>
        </w:rPr>
        <w:t>). This finding aligns with Chomsky’s Transformational-Generative Grammar theory of language acquisition, which posits that humans possess an innate ability to comprehend and use language in a flexible manner—an attribute that highlights the uniqueness of human communication skills.</w:t>
      </w:r>
    </w:p>
    <w:p w14:paraId="27708291" w14:textId="2EE361B0" w:rsidR="000442F5" w:rsidRDefault="00B751D7" w:rsidP="00B751D7">
      <w:pPr>
        <w:pStyle w:val="Body"/>
        <w:spacing w:after="0"/>
        <w:rPr>
          <w:rFonts w:ascii="Arial" w:hAnsi="Arial" w:cs="Arial"/>
        </w:rPr>
      </w:pPr>
      <w:r w:rsidRPr="00B751D7">
        <w:rPr>
          <w:rFonts w:ascii="Arial" w:hAnsi="Arial" w:cs="Arial"/>
        </w:rPr>
        <w:t xml:space="preserve">This was further supported by </w:t>
      </w:r>
      <w:proofErr w:type="spellStart"/>
      <w:r w:rsidRPr="00B751D7">
        <w:rPr>
          <w:rFonts w:ascii="Arial" w:hAnsi="Arial" w:cs="Arial"/>
        </w:rPr>
        <w:t>Lutviana</w:t>
      </w:r>
      <w:proofErr w:type="spellEnd"/>
      <w:r w:rsidRPr="00B751D7">
        <w:rPr>
          <w:rFonts w:ascii="Arial" w:hAnsi="Arial" w:cs="Arial"/>
        </w:rPr>
        <w:t xml:space="preserve"> (20</w:t>
      </w:r>
      <w:r>
        <w:rPr>
          <w:rFonts w:ascii="Arial" w:hAnsi="Arial" w:cs="Arial"/>
        </w:rPr>
        <w:t>20</w:t>
      </w:r>
      <w:r w:rsidRPr="00B751D7">
        <w:rPr>
          <w:rFonts w:ascii="Arial" w:hAnsi="Arial" w:cs="Arial"/>
        </w:rPr>
        <w:t>), who emphasized that improving grammatical competence significantly contributes to higher scores in writing, as grammar forms the foundation of effective communication. Students with weak gramma</w:t>
      </w:r>
      <w:r w:rsidR="00EC5C48">
        <w:rPr>
          <w:rFonts w:ascii="Arial" w:hAnsi="Arial" w:cs="Arial"/>
        </w:rPr>
        <w:t>tical competence</w:t>
      </w:r>
      <w:r w:rsidRPr="00B751D7">
        <w:rPr>
          <w:rFonts w:ascii="Arial" w:hAnsi="Arial" w:cs="Arial"/>
        </w:rPr>
        <w:t xml:space="preserve"> often struggle to express their ideas clearly and coherently, which can negatively impact the quality of their writing. Conversely, those with strong gramma</w:t>
      </w:r>
      <w:r w:rsidR="00EC5C48">
        <w:rPr>
          <w:rFonts w:ascii="Arial" w:hAnsi="Arial" w:cs="Arial"/>
        </w:rPr>
        <w:t>tical competence</w:t>
      </w:r>
      <w:r w:rsidRPr="00B751D7">
        <w:rPr>
          <w:rFonts w:ascii="Arial" w:hAnsi="Arial" w:cs="Arial"/>
        </w:rPr>
        <w:t xml:space="preserve"> are better able to organize their thoughts, utilize various sentence structures, and convey their messages clearly. This competence not only improves their writing but also increases their confidence and capability as writers. Thus, mastering grammar is a crucial step toward writing excellence and academic success.</w:t>
      </w:r>
    </w:p>
    <w:p w14:paraId="3B28CD15" w14:textId="77777777" w:rsidR="000442F5" w:rsidRDefault="000442F5" w:rsidP="000442F5">
      <w:pPr>
        <w:pStyle w:val="Body"/>
        <w:spacing w:after="0"/>
        <w:rPr>
          <w:rFonts w:ascii="Arial" w:hAnsi="Arial" w:cs="Arial"/>
        </w:rPr>
      </w:pPr>
    </w:p>
    <w:p w14:paraId="7D358EB8" w14:textId="4B65AE1A" w:rsidR="00B751D7" w:rsidRDefault="00EB4521" w:rsidP="00441B6F">
      <w:pPr>
        <w:pStyle w:val="Body"/>
        <w:spacing w:after="0"/>
        <w:rPr>
          <w:rFonts w:ascii="Arial" w:hAnsi="Arial" w:cs="Arial"/>
        </w:rPr>
      </w:pPr>
      <w:r w:rsidRPr="00EB4521">
        <w:rPr>
          <w:rFonts w:ascii="Arial" w:hAnsi="Arial" w:cs="Arial"/>
        </w:rPr>
        <w:t xml:space="preserve">The significant relationship between language exposure and the grammatical competence of students is shown in Table 5, with a total </w:t>
      </w:r>
      <w:proofErr w:type="spellStart"/>
      <w:r w:rsidRPr="00EB4521">
        <w:rPr>
          <w:rFonts w:ascii="Arial" w:hAnsi="Arial" w:cs="Arial"/>
        </w:rPr>
        <w:t>r-value</w:t>
      </w:r>
      <w:proofErr w:type="spellEnd"/>
      <w:r w:rsidRPr="00EB4521">
        <w:rPr>
          <w:rFonts w:ascii="Arial" w:hAnsi="Arial" w:cs="Arial"/>
        </w:rPr>
        <w:t xml:space="preserve"> of .018 and a p-value lower than the .05 level of significance set in this study. Therefore, the null hypothesis—which states that there is no significant relationship between language exposure and the grammatical competence of students—is rejected.</w:t>
      </w:r>
    </w:p>
    <w:p w14:paraId="260020EB" w14:textId="77777777" w:rsidR="007E5514" w:rsidRDefault="007E5514" w:rsidP="00441B6F">
      <w:pPr>
        <w:pStyle w:val="Body"/>
        <w:spacing w:after="0"/>
        <w:rPr>
          <w:rFonts w:ascii="Arial" w:hAnsi="Arial" w:cs="Arial"/>
        </w:rPr>
      </w:pPr>
    </w:p>
    <w:p w14:paraId="7A81BDA4" w14:textId="77777777" w:rsidR="008D08C6" w:rsidRPr="008D08C6" w:rsidRDefault="008D08C6" w:rsidP="008D08C6">
      <w:pPr>
        <w:pStyle w:val="Body"/>
        <w:spacing w:after="0"/>
        <w:rPr>
          <w:rFonts w:ascii="Arial" w:hAnsi="Arial" w:cs="Arial"/>
          <w:b/>
          <w:bCs/>
          <w:lang w:val="en-PH"/>
        </w:rPr>
      </w:pPr>
      <w:r w:rsidRPr="008D08C6">
        <w:rPr>
          <w:rFonts w:ascii="Arial" w:hAnsi="Arial" w:cs="Arial"/>
          <w:b/>
          <w:bCs/>
          <w:lang w:val="en-PH"/>
        </w:rPr>
        <w:t>Table 5</w:t>
      </w:r>
    </w:p>
    <w:p w14:paraId="5E5529BF" w14:textId="77777777" w:rsidR="008D08C6" w:rsidRPr="008D08C6" w:rsidRDefault="008D08C6" w:rsidP="008D08C6">
      <w:pPr>
        <w:pStyle w:val="Body"/>
        <w:spacing w:after="0"/>
        <w:rPr>
          <w:rFonts w:ascii="Arial" w:hAnsi="Arial" w:cs="Arial"/>
          <w:i/>
          <w:iCs/>
          <w:lang w:val="en-PH"/>
        </w:rPr>
      </w:pPr>
      <w:r w:rsidRPr="008D08C6">
        <w:rPr>
          <w:rFonts w:ascii="Arial" w:hAnsi="Arial" w:cs="Arial"/>
          <w:i/>
          <w:iCs/>
          <w:lang w:val="en-PH"/>
        </w:rPr>
        <w:t>Correlation Between Language Exposure and Grammatical Competence</w:t>
      </w:r>
      <w:bookmarkStart w:id="4" w:name="_Hlk183203170"/>
      <w:r w:rsidRPr="008D08C6">
        <w:rPr>
          <w:rFonts w:ascii="Arial" w:hAnsi="Arial" w:cs="Arial"/>
          <w:i/>
          <w:iCs/>
          <w:lang w:val="en-PH"/>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4"/>
        <w:gridCol w:w="1217"/>
        <w:gridCol w:w="1338"/>
        <w:gridCol w:w="1135"/>
        <w:gridCol w:w="1026"/>
        <w:gridCol w:w="1115"/>
        <w:gridCol w:w="1143"/>
      </w:tblGrid>
      <w:tr w:rsidR="008D08C6" w:rsidRPr="008D08C6" w14:paraId="66BA81E4" w14:textId="77777777" w:rsidTr="00C42D78">
        <w:trPr>
          <w:trHeight w:val="432"/>
        </w:trPr>
        <w:tc>
          <w:tcPr>
            <w:tcW w:w="1282" w:type="dxa"/>
            <w:vMerge w:val="restart"/>
            <w:tcBorders>
              <w:top w:val="single" w:sz="4" w:space="0" w:color="auto"/>
            </w:tcBorders>
            <w:vAlign w:val="center"/>
          </w:tcPr>
          <w:p w14:paraId="042F7741"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 xml:space="preserve">Language Exposure </w:t>
            </w:r>
          </w:p>
        </w:tc>
        <w:tc>
          <w:tcPr>
            <w:tcW w:w="7628" w:type="dxa"/>
            <w:gridSpan w:val="6"/>
            <w:tcBorders>
              <w:top w:val="single" w:sz="4" w:space="0" w:color="auto"/>
              <w:bottom w:val="single" w:sz="4" w:space="0" w:color="auto"/>
            </w:tcBorders>
            <w:vAlign w:val="center"/>
          </w:tcPr>
          <w:p w14:paraId="2BFEBD8D"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Grammatical Competence</w:t>
            </w:r>
          </w:p>
        </w:tc>
      </w:tr>
      <w:tr w:rsidR="008D08C6" w:rsidRPr="008D08C6" w14:paraId="17F01EAE" w14:textId="77777777" w:rsidTr="00C42D78">
        <w:trPr>
          <w:trHeight w:val="432"/>
        </w:trPr>
        <w:tc>
          <w:tcPr>
            <w:tcW w:w="1282" w:type="dxa"/>
            <w:vMerge/>
            <w:vAlign w:val="center"/>
          </w:tcPr>
          <w:p w14:paraId="1C160676" w14:textId="77777777" w:rsidR="008D08C6" w:rsidRPr="008D08C6" w:rsidRDefault="008D08C6" w:rsidP="008D08C6">
            <w:pPr>
              <w:pStyle w:val="Body"/>
              <w:spacing w:after="0"/>
              <w:rPr>
                <w:rFonts w:ascii="Arial" w:hAnsi="Arial" w:cs="Arial"/>
                <w:sz w:val="20"/>
                <w:szCs w:val="20"/>
              </w:rPr>
            </w:pPr>
          </w:p>
        </w:tc>
        <w:tc>
          <w:tcPr>
            <w:tcW w:w="1177" w:type="dxa"/>
            <w:tcBorders>
              <w:top w:val="single" w:sz="4" w:space="0" w:color="auto"/>
              <w:bottom w:val="single" w:sz="4" w:space="0" w:color="auto"/>
            </w:tcBorders>
            <w:vAlign w:val="center"/>
          </w:tcPr>
          <w:p w14:paraId="14028F4C"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Preposition</w:t>
            </w:r>
          </w:p>
        </w:tc>
        <w:tc>
          <w:tcPr>
            <w:tcW w:w="1431" w:type="dxa"/>
            <w:tcBorders>
              <w:top w:val="single" w:sz="4" w:space="0" w:color="auto"/>
              <w:bottom w:val="single" w:sz="4" w:space="0" w:color="auto"/>
            </w:tcBorders>
            <w:vAlign w:val="center"/>
          </w:tcPr>
          <w:p w14:paraId="41401374"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Subject Verb-Agreement</w:t>
            </w:r>
          </w:p>
        </w:tc>
        <w:tc>
          <w:tcPr>
            <w:tcW w:w="1271" w:type="dxa"/>
            <w:tcBorders>
              <w:top w:val="single" w:sz="4" w:space="0" w:color="auto"/>
              <w:bottom w:val="single" w:sz="4" w:space="0" w:color="auto"/>
            </w:tcBorders>
            <w:vAlign w:val="center"/>
          </w:tcPr>
          <w:p w14:paraId="52370F7F"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Verb Aspects</w:t>
            </w:r>
          </w:p>
        </w:tc>
        <w:tc>
          <w:tcPr>
            <w:tcW w:w="1199" w:type="dxa"/>
            <w:tcBorders>
              <w:top w:val="single" w:sz="4" w:space="0" w:color="auto"/>
              <w:bottom w:val="single" w:sz="4" w:space="0" w:color="auto"/>
            </w:tcBorders>
            <w:vAlign w:val="center"/>
          </w:tcPr>
          <w:p w14:paraId="255A6A7B"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Modal</w:t>
            </w:r>
          </w:p>
        </w:tc>
        <w:tc>
          <w:tcPr>
            <w:tcW w:w="1244" w:type="dxa"/>
            <w:tcBorders>
              <w:top w:val="single" w:sz="4" w:space="0" w:color="auto"/>
              <w:bottom w:val="single" w:sz="4" w:space="0" w:color="auto"/>
            </w:tcBorders>
            <w:vAlign w:val="center"/>
          </w:tcPr>
          <w:p w14:paraId="18B3C761"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Passive Voice</w:t>
            </w:r>
          </w:p>
        </w:tc>
        <w:tc>
          <w:tcPr>
            <w:tcW w:w="1306" w:type="dxa"/>
            <w:tcBorders>
              <w:top w:val="single" w:sz="4" w:space="0" w:color="auto"/>
              <w:bottom w:val="single" w:sz="4" w:space="0" w:color="auto"/>
            </w:tcBorders>
            <w:vAlign w:val="center"/>
          </w:tcPr>
          <w:p w14:paraId="43F48DC9"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Overall</w:t>
            </w:r>
          </w:p>
        </w:tc>
      </w:tr>
      <w:tr w:rsidR="008D08C6" w:rsidRPr="008D08C6" w14:paraId="3DAC501F" w14:textId="77777777" w:rsidTr="00C42D78">
        <w:trPr>
          <w:trHeight w:val="432"/>
        </w:trPr>
        <w:tc>
          <w:tcPr>
            <w:tcW w:w="1282" w:type="dxa"/>
            <w:vAlign w:val="center"/>
          </w:tcPr>
          <w:p w14:paraId="71D5B7B3"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Home</w:t>
            </w:r>
          </w:p>
        </w:tc>
        <w:tc>
          <w:tcPr>
            <w:tcW w:w="1177" w:type="dxa"/>
            <w:tcBorders>
              <w:top w:val="single" w:sz="4" w:space="0" w:color="auto"/>
            </w:tcBorders>
          </w:tcPr>
          <w:p w14:paraId="2EF53A9A"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-.066</w:t>
            </w:r>
          </w:p>
          <w:p w14:paraId="10D5E111"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.187</w:t>
            </w:r>
          </w:p>
        </w:tc>
        <w:tc>
          <w:tcPr>
            <w:tcW w:w="1431" w:type="dxa"/>
            <w:tcBorders>
              <w:top w:val="single" w:sz="4" w:space="0" w:color="auto"/>
            </w:tcBorders>
          </w:tcPr>
          <w:p w14:paraId="782808B6"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-.056</w:t>
            </w:r>
          </w:p>
          <w:p w14:paraId="32E32F85"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.268</w:t>
            </w:r>
          </w:p>
        </w:tc>
        <w:tc>
          <w:tcPr>
            <w:tcW w:w="1271" w:type="dxa"/>
            <w:tcBorders>
              <w:top w:val="single" w:sz="4" w:space="0" w:color="auto"/>
            </w:tcBorders>
          </w:tcPr>
          <w:p w14:paraId="50A2CF77"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-.123</w:t>
            </w:r>
            <w:r w:rsidRPr="008D08C6">
              <w:rPr>
                <w:rFonts w:ascii="Arial" w:hAnsi="Arial" w:cs="Arial"/>
                <w:sz w:val="20"/>
                <w:szCs w:val="20"/>
                <w:vertAlign w:val="superscript"/>
              </w:rPr>
              <w:t>*</w:t>
            </w:r>
          </w:p>
          <w:p w14:paraId="10FDF362"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.014</w:t>
            </w:r>
          </w:p>
        </w:tc>
        <w:tc>
          <w:tcPr>
            <w:tcW w:w="1199" w:type="dxa"/>
            <w:tcBorders>
              <w:top w:val="single" w:sz="4" w:space="0" w:color="auto"/>
            </w:tcBorders>
          </w:tcPr>
          <w:p w14:paraId="796EA055"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-.130</w:t>
            </w:r>
            <w:r w:rsidRPr="008D08C6">
              <w:rPr>
                <w:rFonts w:ascii="Arial" w:hAnsi="Arial" w:cs="Arial"/>
                <w:sz w:val="20"/>
                <w:szCs w:val="20"/>
                <w:vertAlign w:val="superscript"/>
              </w:rPr>
              <w:t>**</w:t>
            </w:r>
          </w:p>
          <w:p w14:paraId="2409E3C0"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.009</w:t>
            </w:r>
          </w:p>
        </w:tc>
        <w:tc>
          <w:tcPr>
            <w:tcW w:w="1244" w:type="dxa"/>
            <w:tcBorders>
              <w:top w:val="single" w:sz="4" w:space="0" w:color="auto"/>
            </w:tcBorders>
          </w:tcPr>
          <w:p w14:paraId="2A7314CB"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-.180</w:t>
            </w:r>
            <w:r w:rsidRPr="008D08C6">
              <w:rPr>
                <w:rFonts w:ascii="Arial" w:hAnsi="Arial" w:cs="Arial"/>
                <w:sz w:val="20"/>
                <w:szCs w:val="20"/>
                <w:vertAlign w:val="superscript"/>
              </w:rPr>
              <w:t>**</w:t>
            </w:r>
          </w:p>
          <w:p w14:paraId="1BF173A2"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.000</w:t>
            </w:r>
          </w:p>
        </w:tc>
        <w:tc>
          <w:tcPr>
            <w:tcW w:w="1306" w:type="dxa"/>
            <w:tcBorders>
              <w:top w:val="single" w:sz="4" w:space="0" w:color="auto"/>
            </w:tcBorders>
          </w:tcPr>
          <w:p w14:paraId="18EDD70F"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-.142</w:t>
            </w:r>
            <w:r w:rsidRPr="008D08C6">
              <w:rPr>
                <w:rFonts w:ascii="Arial" w:hAnsi="Arial" w:cs="Arial"/>
                <w:b/>
                <w:sz w:val="20"/>
                <w:szCs w:val="20"/>
                <w:vertAlign w:val="superscript"/>
              </w:rPr>
              <w:t>**</w:t>
            </w:r>
          </w:p>
          <w:p w14:paraId="77601FAE"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.004</w:t>
            </w:r>
          </w:p>
        </w:tc>
      </w:tr>
      <w:tr w:rsidR="008D08C6" w:rsidRPr="008D08C6" w14:paraId="33C35DD9" w14:textId="77777777" w:rsidTr="00C42D78">
        <w:trPr>
          <w:trHeight w:val="432"/>
        </w:trPr>
        <w:tc>
          <w:tcPr>
            <w:tcW w:w="1282" w:type="dxa"/>
            <w:vAlign w:val="center"/>
          </w:tcPr>
          <w:p w14:paraId="168A7D1F"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Friend</w:t>
            </w:r>
          </w:p>
        </w:tc>
        <w:tc>
          <w:tcPr>
            <w:tcW w:w="1177" w:type="dxa"/>
          </w:tcPr>
          <w:p w14:paraId="59EEC927"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-.042</w:t>
            </w:r>
          </w:p>
          <w:p w14:paraId="38A7D488"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.404</w:t>
            </w:r>
          </w:p>
        </w:tc>
        <w:tc>
          <w:tcPr>
            <w:tcW w:w="1431" w:type="dxa"/>
          </w:tcPr>
          <w:p w14:paraId="19912672"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.024</w:t>
            </w:r>
          </w:p>
          <w:p w14:paraId="707CB05D"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.633</w:t>
            </w:r>
          </w:p>
        </w:tc>
        <w:tc>
          <w:tcPr>
            <w:tcW w:w="1271" w:type="dxa"/>
          </w:tcPr>
          <w:p w14:paraId="7A86CE87"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-.025</w:t>
            </w:r>
          </w:p>
          <w:p w14:paraId="20ADFCDE"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.621</w:t>
            </w:r>
          </w:p>
        </w:tc>
        <w:tc>
          <w:tcPr>
            <w:tcW w:w="1199" w:type="dxa"/>
          </w:tcPr>
          <w:p w14:paraId="4DCA92CF"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-.062</w:t>
            </w:r>
          </w:p>
          <w:p w14:paraId="6F6EF7F2"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.219</w:t>
            </w:r>
          </w:p>
        </w:tc>
        <w:tc>
          <w:tcPr>
            <w:tcW w:w="1244" w:type="dxa"/>
          </w:tcPr>
          <w:p w14:paraId="0F2AFC92"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-.109</w:t>
            </w:r>
            <w:r w:rsidRPr="008D08C6">
              <w:rPr>
                <w:rFonts w:ascii="Arial" w:hAnsi="Arial" w:cs="Arial"/>
                <w:sz w:val="20"/>
                <w:szCs w:val="20"/>
                <w:vertAlign w:val="superscript"/>
              </w:rPr>
              <w:t>*</w:t>
            </w:r>
          </w:p>
          <w:p w14:paraId="7F28380A"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.030</w:t>
            </w:r>
          </w:p>
        </w:tc>
        <w:tc>
          <w:tcPr>
            <w:tcW w:w="1306" w:type="dxa"/>
          </w:tcPr>
          <w:p w14:paraId="44FAD104"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-.057</w:t>
            </w:r>
          </w:p>
          <w:p w14:paraId="65316A2E"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.253</w:t>
            </w:r>
          </w:p>
        </w:tc>
      </w:tr>
      <w:tr w:rsidR="008D08C6" w:rsidRPr="008D08C6" w14:paraId="57C1C201" w14:textId="77777777" w:rsidTr="00C42D78">
        <w:trPr>
          <w:trHeight w:val="432"/>
        </w:trPr>
        <w:tc>
          <w:tcPr>
            <w:tcW w:w="1282" w:type="dxa"/>
            <w:vAlign w:val="center"/>
          </w:tcPr>
          <w:p w14:paraId="68F42053"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School</w:t>
            </w:r>
          </w:p>
        </w:tc>
        <w:tc>
          <w:tcPr>
            <w:tcW w:w="1177" w:type="dxa"/>
          </w:tcPr>
          <w:p w14:paraId="78890FD4"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.029</w:t>
            </w:r>
          </w:p>
          <w:p w14:paraId="3D3125A3"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.558</w:t>
            </w:r>
          </w:p>
        </w:tc>
        <w:tc>
          <w:tcPr>
            <w:tcW w:w="1431" w:type="dxa"/>
          </w:tcPr>
          <w:p w14:paraId="217DAE2A"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-.048</w:t>
            </w:r>
          </w:p>
          <w:p w14:paraId="6D8F53D4"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.340</w:t>
            </w:r>
          </w:p>
        </w:tc>
        <w:tc>
          <w:tcPr>
            <w:tcW w:w="1271" w:type="dxa"/>
          </w:tcPr>
          <w:p w14:paraId="2E8FCC4D"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-.048</w:t>
            </w:r>
          </w:p>
          <w:p w14:paraId="5D9D692F"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.340</w:t>
            </w:r>
          </w:p>
        </w:tc>
        <w:tc>
          <w:tcPr>
            <w:tcW w:w="1199" w:type="dxa"/>
          </w:tcPr>
          <w:p w14:paraId="7AD9074A"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-.102</w:t>
            </w:r>
            <w:r w:rsidRPr="008D08C6">
              <w:rPr>
                <w:rFonts w:ascii="Arial" w:hAnsi="Arial" w:cs="Arial"/>
                <w:sz w:val="20"/>
                <w:szCs w:val="20"/>
                <w:vertAlign w:val="superscript"/>
              </w:rPr>
              <w:t>*</w:t>
            </w:r>
          </w:p>
          <w:p w14:paraId="72F98C34"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.042</w:t>
            </w:r>
          </w:p>
        </w:tc>
        <w:tc>
          <w:tcPr>
            <w:tcW w:w="1244" w:type="dxa"/>
          </w:tcPr>
          <w:p w14:paraId="6A849D80"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-.101</w:t>
            </w:r>
            <w:r w:rsidRPr="008D08C6">
              <w:rPr>
                <w:rFonts w:ascii="Arial" w:hAnsi="Arial" w:cs="Arial"/>
                <w:sz w:val="20"/>
                <w:szCs w:val="20"/>
                <w:vertAlign w:val="superscript"/>
              </w:rPr>
              <w:t>*</w:t>
            </w:r>
          </w:p>
          <w:p w14:paraId="7C9B2604"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.043</w:t>
            </w:r>
          </w:p>
        </w:tc>
        <w:tc>
          <w:tcPr>
            <w:tcW w:w="1306" w:type="dxa"/>
          </w:tcPr>
          <w:p w14:paraId="670E6495"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-.070</w:t>
            </w:r>
          </w:p>
          <w:p w14:paraId="2E358F28"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.165</w:t>
            </w:r>
          </w:p>
        </w:tc>
      </w:tr>
      <w:tr w:rsidR="008D08C6" w:rsidRPr="008D08C6" w14:paraId="3293FCD6" w14:textId="77777777" w:rsidTr="00C42D78">
        <w:trPr>
          <w:trHeight w:val="432"/>
        </w:trPr>
        <w:tc>
          <w:tcPr>
            <w:tcW w:w="1282" w:type="dxa"/>
            <w:vAlign w:val="center"/>
          </w:tcPr>
          <w:p w14:paraId="3F3C7D5A"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Media</w:t>
            </w:r>
          </w:p>
        </w:tc>
        <w:tc>
          <w:tcPr>
            <w:tcW w:w="1177" w:type="dxa"/>
          </w:tcPr>
          <w:p w14:paraId="0EA1A922"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-.024</w:t>
            </w:r>
          </w:p>
          <w:p w14:paraId="6AE2431C"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.629</w:t>
            </w:r>
          </w:p>
        </w:tc>
        <w:tc>
          <w:tcPr>
            <w:tcW w:w="1431" w:type="dxa"/>
          </w:tcPr>
          <w:p w14:paraId="05356723"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-.086</w:t>
            </w:r>
          </w:p>
          <w:p w14:paraId="6CC254CC"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.085</w:t>
            </w:r>
          </w:p>
        </w:tc>
        <w:tc>
          <w:tcPr>
            <w:tcW w:w="1271" w:type="dxa"/>
          </w:tcPr>
          <w:p w14:paraId="763C00F4"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-.002</w:t>
            </w:r>
          </w:p>
          <w:p w14:paraId="76FD91BD"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.968</w:t>
            </w:r>
          </w:p>
        </w:tc>
        <w:tc>
          <w:tcPr>
            <w:tcW w:w="1199" w:type="dxa"/>
          </w:tcPr>
          <w:p w14:paraId="78CCFEA9"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-.092</w:t>
            </w:r>
          </w:p>
          <w:p w14:paraId="6B529519"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.065</w:t>
            </w:r>
          </w:p>
        </w:tc>
        <w:tc>
          <w:tcPr>
            <w:tcW w:w="1244" w:type="dxa"/>
          </w:tcPr>
          <w:p w14:paraId="5A2EDC16"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-.115</w:t>
            </w:r>
            <w:r w:rsidRPr="008D08C6">
              <w:rPr>
                <w:rFonts w:ascii="Arial" w:hAnsi="Arial" w:cs="Arial"/>
                <w:sz w:val="20"/>
                <w:szCs w:val="20"/>
                <w:vertAlign w:val="superscript"/>
              </w:rPr>
              <w:t>*</w:t>
            </w:r>
          </w:p>
          <w:p w14:paraId="52BE2982" w14:textId="77777777" w:rsidR="008D08C6" w:rsidRPr="008D08C6" w:rsidRDefault="008D08C6" w:rsidP="008D08C6">
            <w:pPr>
              <w:pStyle w:val="Body"/>
              <w:spacing w:after="0"/>
              <w:rPr>
                <w:rFonts w:ascii="Arial" w:hAnsi="Arial" w:cs="Arial"/>
                <w:sz w:val="20"/>
                <w:szCs w:val="20"/>
              </w:rPr>
            </w:pPr>
            <w:r w:rsidRPr="008D08C6">
              <w:rPr>
                <w:rFonts w:ascii="Arial" w:hAnsi="Arial" w:cs="Arial"/>
                <w:sz w:val="20"/>
                <w:szCs w:val="20"/>
              </w:rPr>
              <w:t>.021</w:t>
            </w:r>
          </w:p>
        </w:tc>
        <w:tc>
          <w:tcPr>
            <w:tcW w:w="1306" w:type="dxa"/>
          </w:tcPr>
          <w:p w14:paraId="644B412F"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-.079</w:t>
            </w:r>
          </w:p>
          <w:p w14:paraId="36108390"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.116</w:t>
            </w:r>
          </w:p>
        </w:tc>
      </w:tr>
      <w:tr w:rsidR="008D08C6" w:rsidRPr="008D08C6" w14:paraId="5B6C47FD" w14:textId="77777777" w:rsidTr="00C42D78">
        <w:trPr>
          <w:trHeight w:val="432"/>
        </w:trPr>
        <w:tc>
          <w:tcPr>
            <w:tcW w:w="1282" w:type="dxa"/>
            <w:tcBorders>
              <w:bottom w:val="single" w:sz="4" w:space="0" w:color="auto"/>
            </w:tcBorders>
            <w:vAlign w:val="center"/>
          </w:tcPr>
          <w:p w14:paraId="72576931"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Overall</w:t>
            </w:r>
          </w:p>
        </w:tc>
        <w:tc>
          <w:tcPr>
            <w:tcW w:w="1177" w:type="dxa"/>
            <w:tcBorders>
              <w:bottom w:val="single" w:sz="4" w:space="0" w:color="auto"/>
            </w:tcBorders>
          </w:tcPr>
          <w:p w14:paraId="1E6B79A2"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-.037</w:t>
            </w:r>
          </w:p>
          <w:p w14:paraId="1C260702"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.459</w:t>
            </w:r>
          </w:p>
        </w:tc>
        <w:tc>
          <w:tcPr>
            <w:tcW w:w="1431" w:type="dxa"/>
            <w:tcBorders>
              <w:bottom w:val="single" w:sz="4" w:space="0" w:color="auto"/>
            </w:tcBorders>
          </w:tcPr>
          <w:p w14:paraId="79E79251"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-.049</w:t>
            </w:r>
          </w:p>
          <w:p w14:paraId="43E52F47"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.324</w:t>
            </w:r>
          </w:p>
        </w:tc>
        <w:tc>
          <w:tcPr>
            <w:tcW w:w="1271" w:type="dxa"/>
            <w:tcBorders>
              <w:bottom w:val="single" w:sz="4" w:space="0" w:color="auto"/>
            </w:tcBorders>
          </w:tcPr>
          <w:p w14:paraId="4A538864"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-.072</w:t>
            </w:r>
          </w:p>
          <w:p w14:paraId="01A436C1"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.149</w:t>
            </w:r>
          </w:p>
        </w:tc>
        <w:tc>
          <w:tcPr>
            <w:tcW w:w="1199" w:type="dxa"/>
            <w:tcBorders>
              <w:bottom w:val="single" w:sz="4" w:space="0" w:color="auto"/>
            </w:tcBorders>
          </w:tcPr>
          <w:p w14:paraId="13D53619"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-.129</w:t>
            </w:r>
            <w:r w:rsidRPr="008D08C6">
              <w:rPr>
                <w:rFonts w:ascii="Arial" w:hAnsi="Arial" w:cs="Arial"/>
                <w:b/>
                <w:sz w:val="20"/>
                <w:szCs w:val="20"/>
                <w:vertAlign w:val="superscript"/>
              </w:rPr>
              <w:t>**</w:t>
            </w:r>
          </w:p>
          <w:p w14:paraId="75892875"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.010</w:t>
            </w:r>
          </w:p>
        </w:tc>
        <w:tc>
          <w:tcPr>
            <w:tcW w:w="1244" w:type="dxa"/>
            <w:tcBorders>
              <w:bottom w:val="single" w:sz="4" w:space="0" w:color="auto"/>
            </w:tcBorders>
          </w:tcPr>
          <w:p w14:paraId="29E211DF"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-.171</w:t>
            </w:r>
            <w:r w:rsidRPr="008D08C6">
              <w:rPr>
                <w:rFonts w:ascii="Arial" w:hAnsi="Arial" w:cs="Arial"/>
                <w:b/>
                <w:sz w:val="20"/>
                <w:szCs w:val="20"/>
                <w:vertAlign w:val="superscript"/>
              </w:rPr>
              <w:t>**</w:t>
            </w:r>
          </w:p>
          <w:p w14:paraId="60D44F88"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.001</w:t>
            </w:r>
          </w:p>
        </w:tc>
        <w:tc>
          <w:tcPr>
            <w:tcW w:w="1306" w:type="dxa"/>
            <w:tcBorders>
              <w:bottom w:val="single" w:sz="4" w:space="0" w:color="auto"/>
            </w:tcBorders>
          </w:tcPr>
          <w:p w14:paraId="4BFC0519"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-.118</w:t>
            </w:r>
            <w:r w:rsidRPr="008D08C6">
              <w:rPr>
                <w:rFonts w:ascii="Arial" w:hAnsi="Arial" w:cs="Arial"/>
                <w:b/>
                <w:sz w:val="20"/>
                <w:szCs w:val="20"/>
                <w:vertAlign w:val="superscript"/>
              </w:rPr>
              <w:t>*</w:t>
            </w:r>
          </w:p>
          <w:p w14:paraId="1E5C711E" w14:textId="77777777" w:rsidR="008D08C6" w:rsidRPr="008D08C6" w:rsidRDefault="008D08C6" w:rsidP="008D08C6">
            <w:pPr>
              <w:pStyle w:val="Body"/>
              <w:spacing w:after="0"/>
              <w:rPr>
                <w:rFonts w:ascii="Arial" w:hAnsi="Arial" w:cs="Arial"/>
                <w:b/>
                <w:sz w:val="20"/>
                <w:szCs w:val="20"/>
              </w:rPr>
            </w:pPr>
            <w:r w:rsidRPr="008D08C6">
              <w:rPr>
                <w:rFonts w:ascii="Arial" w:hAnsi="Arial" w:cs="Arial"/>
                <w:b/>
                <w:sz w:val="20"/>
                <w:szCs w:val="20"/>
              </w:rPr>
              <w:t>.018</w:t>
            </w:r>
          </w:p>
        </w:tc>
      </w:tr>
      <w:bookmarkEnd w:id="4"/>
    </w:tbl>
    <w:p w14:paraId="57090106" w14:textId="77777777" w:rsidR="00EB4521" w:rsidRDefault="00EB4521" w:rsidP="00441B6F">
      <w:pPr>
        <w:pStyle w:val="Body"/>
        <w:spacing w:after="0"/>
        <w:rPr>
          <w:rFonts w:ascii="Arial" w:hAnsi="Arial" w:cs="Arial"/>
        </w:rPr>
      </w:pPr>
    </w:p>
    <w:p w14:paraId="06EB8A83" w14:textId="77777777" w:rsidR="00EB04A2" w:rsidRDefault="00EB04A2" w:rsidP="00EB04A2">
      <w:pPr>
        <w:jc w:val="both"/>
        <w:rPr>
          <w:rFonts w:ascii="Arial" w:hAnsi="Arial" w:cs="Arial"/>
        </w:rPr>
      </w:pPr>
      <w:r w:rsidRPr="00EB04A2">
        <w:rPr>
          <w:rFonts w:ascii="Arial" w:hAnsi="Arial" w:cs="Arial"/>
        </w:rPr>
        <w:t xml:space="preserve">It can be inferred that there is a weak and negative relationship between the first exogenous variable and the endogenous variable, which means that excessive language exposure at home does not always contribute positively to language learning. The use of informal language at home (such as slang or non-standard expressions) results in limited opportunities to develop formal grammatical competence. If language exposure at home showed a negative </w:t>
      </w:r>
      <w:r w:rsidRPr="00EB04A2">
        <w:rPr>
          <w:rFonts w:ascii="Arial" w:hAnsi="Arial" w:cs="Arial"/>
        </w:rPr>
        <w:lastRenderedPageBreak/>
        <w:t>correlation with grammatical competence, this suggests that higher exposure to language in the home may be associated with a lower level of grammatical competence. The resulting p-value of .018 is lower than the tabular value of .05; therefore, the relationship is significant, and the hypothesis is rejected.</w:t>
      </w:r>
    </w:p>
    <w:p w14:paraId="0C183A88" w14:textId="77777777" w:rsidR="00EB04A2" w:rsidRDefault="00EB04A2" w:rsidP="00EB04A2">
      <w:pPr>
        <w:jc w:val="both"/>
        <w:rPr>
          <w:rFonts w:ascii="Arial" w:hAnsi="Arial" w:cs="Arial"/>
        </w:rPr>
      </w:pPr>
    </w:p>
    <w:p w14:paraId="084764DA" w14:textId="152D7618" w:rsidR="00C06513" w:rsidRDefault="00C06513" w:rsidP="00EB04A2">
      <w:pPr>
        <w:jc w:val="both"/>
        <w:rPr>
          <w:rFonts w:ascii="Arial" w:hAnsi="Arial" w:cs="Arial"/>
        </w:rPr>
      </w:pPr>
      <w:r w:rsidRPr="00C06513">
        <w:rPr>
          <w:rFonts w:ascii="Arial" w:hAnsi="Arial" w:cs="Arial"/>
        </w:rPr>
        <w:t xml:space="preserve">This result is supported by Ellis (2008), who found that the significant relationship between language exposure and grammatical competence aids in the development of implicit grammatical knowledge— the ability to use correct grammatical structures without direct or formal instruction. Frequent listening and reading enhance natural acquisition of grammatical rules, as implicit learning occurs through real-life usage and interaction, making understanding and use of grammar more automatic. Additionally, while language exposure is important, the context and quality of that exposure must also be considered. Greater exposure from informal sources such as home and media may negatively impact students’ grammatical competence. Therefore, it is essential to have a balanced exposure to both formal and informal language environments to enhance students’ overall grammatical proficiency (Bahrani 2012; Sim 2012; </w:t>
      </w:r>
      <w:proofErr w:type="spellStart"/>
      <w:r w:rsidRPr="00C06513">
        <w:rPr>
          <w:rFonts w:ascii="Arial" w:hAnsi="Arial" w:cs="Arial"/>
        </w:rPr>
        <w:t>Nekoueizadeh</w:t>
      </w:r>
      <w:proofErr w:type="spellEnd"/>
      <w:r w:rsidRPr="00C06513">
        <w:rPr>
          <w:rFonts w:ascii="Arial" w:hAnsi="Arial" w:cs="Arial"/>
        </w:rPr>
        <w:t xml:space="preserve"> 2012).</w:t>
      </w:r>
    </w:p>
    <w:p w14:paraId="0938C44D" w14:textId="77777777" w:rsidR="00EB04A2" w:rsidRPr="00C06513" w:rsidRDefault="00EB04A2" w:rsidP="00EB04A2">
      <w:pPr>
        <w:jc w:val="both"/>
        <w:rPr>
          <w:rFonts w:ascii="Arial" w:hAnsi="Arial" w:cs="Arial"/>
        </w:rPr>
      </w:pPr>
    </w:p>
    <w:p w14:paraId="2609D618" w14:textId="289BC78D" w:rsidR="00EB4521" w:rsidRDefault="00C06513" w:rsidP="00C06513">
      <w:pPr>
        <w:pStyle w:val="Body"/>
        <w:spacing w:after="0"/>
        <w:rPr>
          <w:rFonts w:ascii="Arial" w:hAnsi="Arial" w:cs="Arial"/>
        </w:rPr>
      </w:pPr>
      <w:r w:rsidRPr="00C06513">
        <w:rPr>
          <w:rFonts w:ascii="Arial" w:hAnsi="Arial" w:cs="Arial"/>
        </w:rPr>
        <w:t>This result is further supported by the study of Salas and Legaspi (2021), conducted among sixth-grade students in a Catholic school in Bacolod City, which revealed that despite high levels of language exposure from various sources such as home, peers, school, and media, students’ gramm</w:t>
      </w:r>
      <w:r w:rsidR="00EC5C48">
        <w:rPr>
          <w:rFonts w:ascii="Arial" w:hAnsi="Arial" w:cs="Arial"/>
        </w:rPr>
        <w:t xml:space="preserve">atical competence </w:t>
      </w:r>
      <w:r w:rsidRPr="00C06513">
        <w:rPr>
          <w:rFonts w:ascii="Arial" w:hAnsi="Arial" w:cs="Arial"/>
        </w:rPr>
        <w:t xml:space="preserve">remained low. The results highlight the complexity of the relationship between language exposure and grammatical </w:t>
      </w:r>
      <w:r w:rsidR="00EC5C48">
        <w:rPr>
          <w:rFonts w:ascii="Arial" w:hAnsi="Arial" w:cs="Arial"/>
        </w:rPr>
        <w:t>competence</w:t>
      </w:r>
      <w:r w:rsidRPr="00C06513">
        <w:rPr>
          <w:rFonts w:ascii="Arial" w:hAnsi="Arial" w:cs="Arial"/>
        </w:rPr>
        <w:t xml:space="preserve">. Using a descriptive-correlational research design with 137 participants, the study found that the amount of exposure does not guarantee grammatical </w:t>
      </w:r>
      <w:r w:rsidR="00EC5C48">
        <w:rPr>
          <w:rFonts w:ascii="Arial" w:hAnsi="Arial" w:cs="Arial"/>
        </w:rPr>
        <w:t>skills</w:t>
      </w:r>
      <w:r w:rsidRPr="00C06513">
        <w:rPr>
          <w:rFonts w:ascii="Arial" w:hAnsi="Arial" w:cs="Arial"/>
        </w:rPr>
        <w:t xml:space="preserve"> development. This indicates that the quality of exposure, instructional methods, and individual learner differences are also important. Hence, a more comprehensive approach to language instruction is necessary, considering not only the quantity but also the context and quality of language use.</w:t>
      </w:r>
    </w:p>
    <w:p w14:paraId="57B5EF5E" w14:textId="77777777" w:rsidR="00C06513" w:rsidRDefault="00C06513" w:rsidP="00C06513">
      <w:pPr>
        <w:pStyle w:val="Body"/>
        <w:spacing w:after="0"/>
        <w:rPr>
          <w:rFonts w:ascii="Arial" w:hAnsi="Arial" w:cs="Arial"/>
        </w:rPr>
      </w:pPr>
    </w:p>
    <w:p w14:paraId="627DD5EE" w14:textId="7994F178" w:rsidR="0063741A" w:rsidRPr="0063741A" w:rsidRDefault="0063741A" w:rsidP="0063741A">
      <w:pPr>
        <w:pStyle w:val="Body"/>
        <w:contextualSpacing/>
        <w:rPr>
          <w:rFonts w:ascii="Arial" w:hAnsi="Arial" w:cs="Arial"/>
          <w:b/>
          <w:bCs/>
          <w:lang w:val="en-PH"/>
        </w:rPr>
      </w:pPr>
      <w:r w:rsidRPr="0063741A">
        <w:rPr>
          <w:rFonts w:ascii="Arial" w:hAnsi="Arial" w:cs="Arial"/>
          <w:b/>
          <w:bCs/>
          <w:lang w:val="en-PH"/>
        </w:rPr>
        <w:t>Table 6</w:t>
      </w:r>
    </w:p>
    <w:p w14:paraId="1084E47B" w14:textId="77777777" w:rsidR="0063741A" w:rsidRPr="0063741A" w:rsidRDefault="0063741A" w:rsidP="0063741A">
      <w:pPr>
        <w:pStyle w:val="Body"/>
        <w:contextualSpacing/>
        <w:rPr>
          <w:rFonts w:ascii="Arial" w:hAnsi="Arial" w:cs="Arial"/>
          <w:i/>
          <w:iCs/>
          <w:lang w:val="en-PH"/>
        </w:rPr>
      </w:pPr>
      <w:r w:rsidRPr="0063741A">
        <w:rPr>
          <w:rFonts w:ascii="Arial" w:hAnsi="Arial" w:cs="Arial"/>
          <w:i/>
          <w:iCs/>
          <w:lang w:val="en-PH"/>
        </w:rPr>
        <w:t>Significant Correlation Between Language Learning and Grammatical Competence</w:t>
      </w:r>
    </w:p>
    <w:tbl>
      <w:tblPr>
        <w:tblW w:w="9072" w:type="dxa"/>
        <w:tblLook w:val="04A0" w:firstRow="1" w:lastRow="0" w:firstColumn="1" w:lastColumn="0" w:noHBand="0" w:noVBand="1"/>
      </w:tblPr>
      <w:tblGrid>
        <w:gridCol w:w="1446"/>
        <w:gridCol w:w="1263"/>
        <w:gridCol w:w="1420"/>
        <w:gridCol w:w="1292"/>
        <w:gridCol w:w="1250"/>
        <w:gridCol w:w="1506"/>
        <w:gridCol w:w="895"/>
      </w:tblGrid>
      <w:tr w:rsidR="0063741A" w:rsidRPr="0063741A" w14:paraId="72196BDF" w14:textId="77777777" w:rsidTr="00071761">
        <w:trPr>
          <w:trHeight w:val="432"/>
        </w:trPr>
        <w:tc>
          <w:tcPr>
            <w:tcW w:w="1451" w:type="dxa"/>
            <w:vMerge w:val="restart"/>
            <w:tcBorders>
              <w:top w:val="single" w:sz="4" w:space="0" w:color="auto"/>
            </w:tcBorders>
            <w:vAlign w:val="center"/>
          </w:tcPr>
          <w:p w14:paraId="553DEE11" w14:textId="77777777" w:rsidR="0063741A" w:rsidRPr="0063741A" w:rsidRDefault="0063741A" w:rsidP="0063741A">
            <w:pPr>
              <w:pStyle w:val="Body"/>
              <w:contextualSpacing/>
              <w:rPr>
                <w:rFonts w:ascii="Arial" w:hAnsi="Arial" w:cs="Arial"/>
                <w:b/>
              </w:rPr>
            </w:pPr>
            <w:r w:rsidRPr="0063741A">
              <w:rPr>
                <w:rFonts w:ascii="Arial" w:hAnsi="Arial" w:cs="Arial"/>
                <w:b/>
              </w:rPr>
              <w:t xml:space="preserve">Language Learning </w:t>
            </w:r>
          </w:p>
        </w:tc>
        <w:tc>
          <w:tcPr>
            <w:tcW w:w="7621" w:type="dxa"/>
            <w:gridSpan w:val="6"/>
            <w:tcBorders>
              <w:top w:val="single" w:sz="4" w:space="0" w:color="auto"/>
              <w:bottom w:val="single" w:sz="4" w:space="0" w:color="auto"/>
            </w:tcBorders>
            <w:vAlign w:val="center"/>
          </w:tcPr>
          <w:p w14:paraId="43E2E289" w14:textId="77777777" w:rsidR="0063741A" w:rsidRPr="0063741A" w:rsidRDefault="0063741A" w:rsidP="0063741A">
            <w:pPr>
              <w:pStyle w:val="Body"/>
              <w:contextualSpacing/>
              <w:rPr>
                <w:rFonts w:ascii="Arial" w:hAnsi="Arial" w:cs="Arial"/>
                <w:b/>
              </w:rPr>
            </w:pPr>
            <w:r w:rsidRPr="0063741A">
              <w:rPr>
                <w:rFonts w:ascii="Arial" w:hAnsi="Arial" w:cs="Arial"/>
                <w:b/>
              </w:rPr>
              <w:t>Grammatical Competence</w:t>
            </w:r>
          </w:p>
        </w:tc>
      </w:tr>
      <w:tr w:rsidR="0063741A" w:rsidRPr="0063741A" w14:paraId="02FA39F5" w14:textId="77777777" w:rsidTr="00071761">
        <w:trPr>
          <w:trHeight w:val="432"/>
        </w:trPr>
        <w:tc>
          <w:tcPr>
            <w:tcW w:w="1451" w:type="dxa"/>
            <w:vMerge/>
            <w:vAlign w:val="center"/>
          </w:tcPr>
          <w:p w14:paraId="544C3C80" w14:textId="77777777" w:rsidR="0063741A" w:rsidRPr="0063741A" w:rsidRDefault="0063741A" w:rsidP="0063741A">
            <w:pPr>
              <w:pStyle w:val="Body"/>
              <w:contextualSpacing/>
              <w:rPr>
                <w:rFonts w:ascii="Arial" w:hAnsi="Arial" w:cs="Arial"/>
              </w:rPr>
            </w:pPr>
          </w:p>
        </w:tc>
        <w:tc>
          <w:tcPr>
            <w:tcW w:w="1264" w:type="dxa"/>
            <w:tcBorders>
              <w:top w:val="single" w:sz="4" w:space="0" w:color="auto"/>
              <w:bottom w:val="single" w:sz="4" w:space="0" w:color="auto"/>
            </w:tcBorders>
            <w:vAlign w:val="center"/>
          </w:tcPr>
          <w:p w14:paraId="0BB9E953" w14:textId="77777777" w:rsidR="0063741A" w:rsidRPr="0063741A" w:rsidRDefault="0063741A" w:rsidP="0063741A">
            <w:pPr>
              <w:pStyle w:val="Body"/>
              <w:contextualSpacing/>
              <w:rPr>
                <w:rFonts w:ascii="Arial" w:hAnsi="Arial" w:cs="Arial"/>
              </w:rPr>
            </w:pPr>
            <w:r w:rsidRPr="0063741A">
              <w:rPr>
                <w:rFonts w:ascii="Arial" w:hAnsi="Arial" w:cs="Arial"/>
              </w:rPr>
              <w:t>Preposition</w:t>
            </w:r>
          </w:p>
        </w:tc>
        <w:tc>
          <w:tcPr>
            <w:tcW w:w="1424" w:type="dxa"/>
            <w:tcBorders>
              <w:top w:val="single" w:sz="4" w:space="0" w:color="auto"/>
              <w:bottom w:val="single" w:sz="4" w:space="0" w:color="auto"/>
            </w:tcBorders>
            <w:vAlign w:val="center"/>
          </w:tcPr>
          <w:p w14:paraId="7638BB10" w14:textId="77777777" w:rsidR="0063741A" w:rsidRPr="0063741A" w:rsidRDefault="0063741A" w:rsidP="0063741A">
            <w:pPr>
              <w:pStyle w:val="Body"/>
              <w:contextualSpacing/>
              <w:rPr>
                <w:rFonts w:ascii="Arial" w:hAnsi="Arial" w:cs="Arial"/>
              </w:rPr>
            </w:pPr>
            <w:r w:rsidRPr="0063741A">
              <w:rPr>
                <w:rFonts w:ascii="Arial" w:hAnsi="Arial" w:cs="Arial"/>
              </w:rPr>
              <w:t>Subject Verb-Agreement</w:t>
            </w:r>
          </w:p>
        </w:tc>
        <w:tc>
          <w:tcPr>
            <w:tcW w:w="1298" w:type="dxa"/>
            <w:tcBorders>
              <w:top w:val="single" w:sz="4" w:space="0" w:color="auto"/>
              <w:bottom w:val="single" w:sz="4" w:space="0" w:color="auto"/>
            </w:tcBorders>
            <w:vAlign w:val="center"/>
          </w:tcPr>
          <w:p w14:paraId="796D5191" w14:textId="77777777" w:rsidR="0063741A" w:rsidRPr="0063741A" w:rsidRDefault="0063741A" w:rsidP="0063741A">
            <w:pPr>
              <w:pStyle w:val="Body"/>
              <w:contextualSpacing/>
              <w:rPr>
                <w:rFonts w:ascii="Arial" w:hAnsi="Arial" w:cs="Arial"/>
              </w:rPr>
            </w:pPr>
            <w:r w:rsidRPr="0063741A">
              <w:rPr>
                <w:rFonts w:ascii="Arial" w:hAnsi="Arial" w:cs="Arial"/>
              </w:rPr>
              <w:t>Verb Aspects</w:t>
            </w:r>
          </w:p>
        </w:tc>
        <w:tc>
          <w:tcPr>
            <w:tcW w:w="1258" w:type="dxa"/>
            <w:tcBorders>
              <w:top w:val="single" w:sz="4" w:space="0" w:color="auto"/>
              <w:bottom w:val="single" w:sz="4" w:space="0" w:color="auto"/>
            </w:tcBorders>
            <w:vAlign w:val="center"/>
          </w:tcPr>
          <w:p w14:paraId="71DF1225" w14:textId="77777777" w:rsidR="0063741A" w:rsidRPr="0063741A" w:rsidRDefault="0063741A" w:rsidP="0063741A">
            <w:pPr>
              <w:pStyle w:val="Body"/>
              <w:contextualSpacing/>
              <w:rPr>
                <w:rFonts w:ascii="Arial" w:hAnsi="Arial" w:cs="Arial"/>
              </w:rPr>
            </w:pPr>
            <w:r w:rsidRPr="0063741A">
              <w:rPr>
                <w:rFonts w:ascii="Arial" w:hAnsi="Arial" w:cs="Arial"/>
              </w:rPr>
              <w:t>Modal</w:t>
            </w:r>
          </w:p>
        </w:tc>
        <w:tc>
          <w:tcPr>
            <w:tcW w:w="1516" w:type="dxa"/>
            <w:tcBorders>
              <w:top w:val="single" w:sz="4" w:space="0" w:color="auto"/>
              <w:bottom w:val="single" w:sz="4" w:space="0" w:color="auto"/>
            </w:tcBorders>
            <w:vAlign w:val="center"/>
          </w:tcPr>
          <w:p w14:paraId="15C819FE" w14:textId="77777777" w:rsidR="0063741A" w:rsidRPr="0063741A" w:rsidRDefault="0063741A" w:rsidP="0063741A">
            <w:pPr>
              <w:pStyle w:val="Body"/>
              <w:contextualSpacing/>
              <w:rPr>
                <w:rFonts w:ascii="Arial" w:hAnsi="Arial" w:cs="Arial"/>
              </w:rPr>
            </w:pPr>
            <w:r w:rsidRPr="0063741A">
              <w:rPr>
                <w:rFonts w:ascii="Arial" w:hAnsi="Arial" w:cs="Arial"/>
              </w:rPr>
              <w:t>Passive Voice</w:t>
            </w:r>
          </w:p>
        </w:tc>
        <w:tc>
          <w:tcPr>
            <w:tcW w:w="861" w:type="dxa"/>
            <w:tcBorders>
              <w:top w:val="single" w:sz="4" w:space="0" w:color="auto"/>
              <w:bottom w:val="single" w:sz="4" w:space="0" w:color="auto"/>
            </w:tcBorders>
            <w:vAlign w:val="center"/>
          </w:tcPr>
          <w:p w14:paraId="3899E530" w14:textId="77777777" w:rsidR="0063741A" w:rsidRPr="0063741A" w:rsidRDefault="0063741A" w:rsidP="0063741A">
            <w:pPr>
              <w:pStyle w:val="Body"/>
              <w:contextualSpacing/>
              <w:rPr>
                <w:rFonts w:ascii="Arial" w:hAnsi="Arial" w:cs="Arial"/>
                <w:b/>
              </w:rPr>
            </w:pPr>
            <w:r w:rsidRPr="0063741A">
              <w:rPr>
                <w:rFonts w:ascii="Arial" w:hAnsi="Arial" w:cs="Arial"/>
                <w:b/>
              </w:rPr>
              <w:t>Overall</w:t>
            </w:r>
          </w:p>
        </w:tc>
      </w:tr>
      <w:tr w:rsidR="0063741A" w:rsidRPr="0063741A" w14:paraId="01BDC7DF" w14:textId="77777777" w:rsidTr="00071761">
        <w:trPr>
          <w:trHeight w:val="432"/>
        </w:trPr>
        <w:tc>
          <w:tcPr>
            <w:tcW w:w="1451" w:type="dxa"/>
            <w:vAlign w:val="center"/>
          </w:tcPr>
          <w:p w14:paraId="548E2579" w14:textId="77777777" w:rsidR="0063741A" w:rsidRPr="0063741A" w:rsidRDefault="0063741A" w:rsidP="0063741A">
            <w:pPr>
              <w:pStyle w:val="Body"/>
              <w:contextualSpacing/>
              <w:rPr>
                <w:rFonts w:ascii="Arial" w:hAnsi="Arial" w:cs="Arial"/>
              </w:rPr>
            </w:pPr>
            <w:r w:rsidRPr="0063741A">
              <w:rPr>
                <w:rFonts w:ascii="Arial" w:hAnsi="Arial" w:cs="Arial"/>
              </w:rPr>
              <w:t>Speaking</w:t>
            </w:r>
          </w:p>
        </w:tc>
        <w:tc>
          <w:tcPr>
            <w:tcW w:w="1264" w:type="dxa"/>
            <w:tcBorders>
              <w:top w:val="single" w:sz="4" w:space="0" w:color="auto"/>
            </w:tcBorders>
          </w:tcPr>
          <w:p w14:paraId="6C407902" w14:textId="77777777" w:rsidR="0063741A" w:rsidRPr="0063741A" w:rsidRDefault="0063741A" w:rsidP="0063741A">
            <w:pPr>
              <w:pStyle w:val="Body"/>
              <w:contextualSpacing/>
              <w:rPr>
                <w:rFonts w:ascii="Arial" w:hAnsi="Arial" w:cs="Arial"/>
              </w:rPr>
            </w:pPr>
            <w:r w:rsidRPr="0063741A">
              <w:rPr>
                <w:rFonts w:ascii="Arial" w:hAnsi="Arial" w:cs="Arial"/>
              </w:rPr>
              <w:t>.003</w:t>
            </w:r>
          </w:p>
          <w:p w14:paraId="006F41B5" w14:textId="77777777" w:rsidR="0063741A" w:rsidRPr="0063741A" w:rsidRDefault="0063741A" w:rsidP="0063741A">
            <w:pPr>
              <w:pStyle w:val="Body"/>
              <w:contextualSpacing/>
              <w:rPr>
                <w:rFonts w:ascii="Arial" w:hAnsi="Arial" w:cs="Arial"/>
              </w:rPr>
            </w:pPr>
            <w:r w:rsidRPr="0063741A">
              <w:rPr>
                <w:rFonts w:ascii="Arial" w:hAnsi="Arial" w:cs="Arial"/>
              </w:rPr>
              <w:t>.956</w:t>
            </w:r>
          </w:p>
        </w:tc>
        <w:tc>
          <w:tcPr>
            <w:tcW w:w="1424" w:type="dxa"/>
            <w:tcBorders>
              <w:top w:val="single" w:sz="4" w:space="0" w:color="auto"/>
            </w:tcBorders>
          </w:tcPr>
          <w:p w14:paraId="47387985" w14:textId="77777777" w:rsidR="0063741A" w:rsidRPr="0063741A" w:rsidRDefault="0063741A" w:rsidP="0063741A">
            <w:pPr>
              <w:pStyle w:val="Body"/>
              <w:contextualSpacing/>
              <w:rPr>
                <w:rFonts w:ascii="Arial" w:hAnsi="Arial" w:cs="Arial"/>
              </w:rPr>
            </w:pPr>
            <w:r w:rsidRPr="0063741A">
              <w:rPr>
                <w:rFonts w:ascii="Arial" w:hAnsi="Arial" w:cs="Arial"/>
              </w:rPr>
              <w:t>.039</w:t>
            </w:r>
          </w:p>
          <w:p w14:paraId="5C9AC912" w14:textId="77777777" w:rsidR="0063741A" w:rsidRPr="0063741A" w:rsidRDefault="0063741A" w:rsidP="0063741A">
            <w:pPr>
              <w:pStyle w:val="Body"/>
              <w:contextualSpacing/>
              <w:rPr>
                <w:rFonts w:ascii="Arial" w:hAnsi="Arial" w:cs="Arial"/>
              </w:rPr>
            </w:pPr>
            <w:r w:rsidRPr="0063741A">
              <w:rPr>
                <w:rFonts w:ascii="Arial" w:hAnsi="Arial" w:cs="Arial"/>
              </w:rPr>
              <w:t>.439</w:t>
            </w:r>
          </w:p>
        </w:tc>
        <w:tc>
          <w:tcPr>
            <w:tcW w:w="1298" w:type="dxa"/>
            <w:tcBorders>
              <w:top w:val="single" w:sz="4" w:space="0" w:color="auto"/>
            </w:tcBorders>
          </w:tcPr>
          <w:p w14:paraId="3920901B" w14:textId="77777777" w:rsidR="0063741A" w:rsidRPr="0063741A" w:rsidRDefault="0063741A" w:rsidP="0063741A">
            <w:pPr>
              <w:pStyle w:val="Body"/>
              <w:contextualSpacing/>
              <w:rPr>
                <w:rFonts w:ascii="Arial" w:hAnsi="Arial" w:cs="Arial"/>
              </w:rPr>
            </w:pPr>
            <w:r w:rsidRPr="0063741A">
              <w:rPr>
                <w:rFonts w:ascii="Arial" w:hAnsi="Arial" w:cs="Arial"/>
              </w:rPr>
              <w:t>-.054</w:t>
            </w:r>
          </w:p>
          <w:p w14:paraId="31452A1C" w14:textId="77777777" w:rsidR="0063741A" w:rsidRPr="0063741A" w:rsidRDefault="0063741A" w:rsidP="0063741A">
            <w:pPr>
              <w:pStyle w:val="Body"/>
              <w:contextualSpacing/>
              <w:rPr>
                <w:rFonts w:ascii="Arial" w:hAnsi="Arial" w:cs="Arial"/>
              </w:rPr>
            </w:pPr>
            <w:r w:rsidRPr="0063741A">
              <w:rPr>
                <w:rFonts w:ascii="Arial" w:hAnsi="Arial" w:cs="Arial"/>
              </w:rPr>
              <w:t>.277</w:t>
            </w:r>
          </w:p>
        </w:tc>
        <w:tc>
          <w:tcPr>
            <w:tcW w:w="1258" w:type="dxa"/>
            <w:tcBorders>
              <w:top w:val="single" w:sz="4" w:space="0" w:color="auto"/>
            </w:tcBorders>
          </w:tcPr>
          <w:p w14:paraId="456D46E5" w14:textId="77777777" w:rsidR="0063741A" w:rsidRPr="0063741A" w:rsidRDefault="0063741A" w:rsidP="0063741A">
            <w:pPr>
              <w:pStyle w:val="Body"/>
              <w:contextualSpacing/>
              <w:rPr>
                <w:rFonts w:ascii="Arial" w:hAnsi="Arial" w:cs="Arial"/>
              </w:rPr>
            </w:pPr>
            <w:r w:rsidRPr="0063741A">
              <w:rPr>
                <w:rFonts w:ascii="Arial" w:hAnsi="Arial" w:cs="Arial"/>
              </w:rPr>
              <w:t>-.104</w:t>
            </w:r>
            <w:r w:rsidRPr="0063741A">
              <w:rPr>
                <w:rFonts w:ascii="Arial" w:hAnsi="Arial" w:cs="Arial"/>
                <w:vertAlign w:val="superscript"/>
              </w:rPr>
              <w:t>*</w:t>
            </w:r>
          </w:p>
          <w:p w14:paraId="0C45870D" w14:textId="77777777" w:rsidR="0063741A" w:rsidRPr="0063741A" w:rsidRDefault="0063741A" w:rsidP="0063741A">
            <w:pPr>
              <w:pStyle w:val="Body"/>
              <w:contextualSpacing/>
              <w:rPr>
                <w:rFonts w:ascii="Arial" w:hAnsi="Arial" w:cs="Arial"/>
              </w:rPr>
            </w:pPr>
            <w:r w:rsidRPr="0063741A">
              <w:rPr>
                <w:rFonts w:ascii="Arial" w:hAnsi="Arial" w:cs="Arial"/>
              </w:rPr>
              <w:t>.038</w:t>
            </w:r>
          </w:p>
        </w:tc>
        <w:tc>
          <w:tcPr>
            <w:tcW w:w="1516" w:type="dxa"/>
            <w:tcBorders>
              <w:top w:val="single" w:sz="4" w:space="0" w:color="auto"/>
            </w:tcBorders>
          </w:tcPr>
          <w:p w14:paraId="625AB89D" w14:textId="77777777" w:rsidR="0063741A" w:rsidRPr="0063741A" w:rsidRDefault="0063741A" w:rsidP="0063741A">
            <w:pPr>
              <w:pStyle w:val="Body"/>
              <w:contextualSpacing/>
              <w:rPr>
                <w:rFonts w:ascii="Arial" w:hAnsi="Arial" w:cs="Arial"/>
              </w:rPr>
            </w:pPr>
            <w:r w:rsidRPr="0063741A">
              <w:rPr>
                <w:rFonts w:ascii="Arial" w:hAnsi="Arial" w:cs="Arial"/>
              </w:rPr>
              <w:t>-.155</w:t>
            </w:r>
            <w:r w:rsidRPr="0063741A">
              <w:rPr>
                <w:rFonts w:ascii="Arial" w:hAnsi="Arial" w:cs="Arial"/>
                <w:vertAlign w:val="superscript"/>
              </w:rPr>
              <w:t>**</w:t>
            </w:r>
          </w:p>
          <w:p w14:paraId="4D695665" w14:textId="77777777" w:rsidR="0063741A" w:rsidRPr="0063741A" w:rsidRDefault="0063741A" w:rsidP="0063741A">
            <w:pPr>
              <w:pStyle w:val="Body"/>
              <w:contextualSpacing/>
              <w:rPr>
                <w:rFonts w:ascii="Arial" w:hAnsi="Arial" w:cs="Arial"/>
              </w:rPr>
            </w:pPr>
            <w:r w:rsidRPr="0063741A">
              <w:rPr>
                <w:rFonts w:ascii="Arial" w:hAnsi="Arial" w:cs="Arial"/>
              </w:rPr>
              <w:t>.002</w:t>
            </w:r>
          </w:p>
        </w:tc>
        <w:tc>
          <w:tcPr>
            <w:tcW w:w="861" w:type="dxa"/>
            <w:tcBorders>
              <w:top w:val="single" w:sz="4" w:space="0" w:color="auto"/>
            </w:tcBorders>
          </w:tcPr>
          <w:p w14:paraId="5D244817" w14:textId="77777777" w:rsidR="0063741A" w:rsidRPr="0063741A" w:rsidRDefault="0063741A" w:rsidP="0063741A">
            <w:pPr>
              <w:pStyle w:val="Body"/>
              <w:contextualSpacing/>
              <w:rPr>
                <w:rFonts w:ascii="Arial" w:hAnsi="Arial" w:cs="Arial"/>
                <w:b/>
              </w:rPr>
            </w:pPr>
            <w:r w:rsidRPr="0063741A">
              <w:rPr>
                <w:rFonts w:ascii="Arial" w:hAnsi="Arial" w:cs="Arial"/>
                <w:b/>
              </w:rPr>
              <w:t>-.075</w:t>
            </w:r>
          </w:p>
          <w:p w14:paraId="53EE8DAB" w14:textId="77777777" w:rsidR="0063741A" w:rsidRPr="0063741A" w:rsidRDefault="0063741A" w:rsidP="0063741A">
            <w:pPr>
              <w:pStyle w:val="Body"/>
              <w:contextualSpacing/>
              <w:rPr>
                <w:rFonts w:ascii="Arial" w:hAnsi="Arial" w:cs="Arial"/>
                <w:b/>
              </w:rPr>
            </w:pPr>
            <w:r w:rsidRPr="0063741A">
              <w:rPr>
                <w:rFonts w:ascii="Arial" w:hAnsi="Arial" w:cs="Arial"/>
                <w:b/>
              </w:rPr>
              <w:t>.132</w:t>
            </w:r>
          </w:p>
        </w:tc>
      </w:tr>
      <w:tr w:rsidR="0063741A" w:rsidRPr="0063741A" w14:paraId="3BA29067" w14:textId="77777777" w:rsidTr="00071761">
        <w:trPr>
          <w:trHeight w:val="432"/>
        </w:trPr>
        <w:tc>
          <w:tcPr>
            <w:tcW w:w="1451" w:type="dxa"/>
            <w:vAlign w:val="center"/>
          </w:tcPr>
          <w:p w14:paraId="68A954F4" w14:textId="77777777" w:rsidR="0063741A" w:rsidRPr="0063741A" w:rsidRDefault="0063741A" w:rsidP="0063741A">
            <w:pPr>
              <w:pStyle w:val="Body"/>
              <w:contextualSpacing/>
              <w:rPr>
                <w:rFonts w:ascii="Arial" w:hAnsi="Arial" w:cs="Arial"/>
              </w:rPr>
            </w:pPr>
            <w:r w:rsidRPr="0063741A">
              <w:rPr>
                <w:rFonts w:ascii="Arial" w:hAnsi="Arial" w:cs="Arial"/>
              </w:rPr>
              <w:t>Listening</w:t>
            </w:r>
          </w:p>
        </w:tc>
        <w:tc>
          <w:tcPr>
            <w:tcW w:w="1264" w:type="dxa"/>
          </w:tcPr>
          <w:p w14:paraId="432D1585" w14:textId="77777777" w:rsidR="0063741A" w:rsidRPr="0063741A" w:rsidRDefault="0063741A" w:rsidP="0063741A">
            <w:pPr>
              <w:pStyle w:val="Body"/>
              <w:contextualSpacing/>
              <w:rPr>
                <w:rFonts w:ascii="Arial" w:hAnsi="Arial" w:cs="Arial"/>
              </w:rPr>
            </w:pPr>
            <w:r w:rsidRPr="0063741A">
              <w:rPr>
                <w:rFonts w:ascii="Arial" w:hAnsi="Arial" w:cs="Arial"/>
              </w:rPr>
              <w:t>.001</w:t>
            </w:r>
          </w:p>
          <w:p w14:paraId="339F69FB" w14:textId="77777777" w:rsidR="0063741A" w:rsidRPr="0063741A" w:rsidRDefault="0063741A" w:rsidP="0063741A">
            <w:pPr>
              <w:pStyle w:val="Body"/>
              <w:contextualSpacing/>
              <w:rPr>
                <w:rFonts w:ascii="Arial" w:hAnsi="Arial" w:cs="Arial"/>
              </w:rPr>
            </w:pPr>
            <w:r w:rsidRPr="0063741A">
              <w:rPr>
                <w:rFonts w:ascii="Arial" w:hAnsi="Arial" w:cs="Arial"/>
              </w:rPr>
              <w:t>.988</w:t>
            </w:r>
          </w:p>
        </w:tc>
        <w:tc>
          <w:tcPr>
            <w:tcW w:w="1424" w:type="dxa"/>
          </w:tcPr>
          <w:p w14:paraId="05B193C9" w14:textId="77777777" w:rsidR="0063741A" w:rsidRPr="0063741A" w:rsidRDefault="0063741A" w:rsidP="0063741A">
            <w:pPr>
              <w:pStyle w:val="Body"/>
              <w:contextualSpacing/>
              <w:rPr>
                <w:rFonts w:ascii="Arial" w:hAnsi="Arial" w:cs="Arial"/>
              </w:rPr>
            </w:pPr>
            <w:r w:rsidRPr="0063741A">
              <w:rPr>
                <w:rFonts w:ascii="Arial" w:hAnsi="Arial" w:cs="Arial"/>
              </w:rPr>
              <w:t>-.050</w:t>
            </w:r>
          </w:p>
          <w:p w14:paraId="087F3215" w14:textId="77777777" w:rsidR="0063741A" w:rsidRPr="0063741A" w:rsidRDefault="0063741A" w:rsidP="0063741A">
            <w:pPr>
              <w:pStyle w:val="Body"/>
              <w:contextualSpacing/>
              <w:rPr>
                <w:rFonts w:ascii="Arial" w:hAnsi="Arial" w:cs="Arial"/>
              </w:rPr>
            </w:pPr>
            <w:r w:rsidRPr="0063741A">
              <w:rPr>
                <w:rFonts w:ascii="Arial" w:hAnsi="Arial" w:cs="Arial"/>
              </w:rPr>
              <w:t>.323</w:t>
            </w:r>
          </w:p>
        </w:tc>
        <w:tc>
          <w:tcPr>
            <w:tcW w:w="1298" w:type="dxa"/>
          </w:tcPr>
          <w:p w14:paraId="12B0FB9D" w14:textId="77777777" w:rsidR="0063741A" w:rsidRPr="0063741A" w:rsidRDefault="0063741A" w:rsidP="0063741A">
            <w:pPr>
              <w:pStyle w:val="Body"/>
              <w:contextualSpacing/>
              <w:rPr>
                <w:rFonts w:ascii="Arial" w:hAnsi="Arial" w:cs="Arial"/>
              </w:rPr>
            </w:pPr>
            <w:r w:rsidRPr="0063741A">
              <w:rPr>
                <w:rFonts w:ascii="Arial" w:hAnsi="Arial" w:cs="Arial"/>
              </w:rPr>
              <w:t>-.092</w:t>
            </w:r>
          </w:p>
          <w:p w14:paraId="2AB1816A" w14:textId="77777777" w:rsidR="0063741A" w:rsidRPr="0063741A" w:rsidRDefault="0063741A" w:rsidP="0063741A">
            <w:pPr>
              <w:pStyle w:val="Body"/>
              <w:contextualSpacing/>
              <w:rPr>
                <w:rFonts w:ascii="Arial" w:hAnsi="Arial" w:cs="Arial"/>
              </w:rPr>
            </w:pPr>
            <w:r w:rsidRPr="0063741A">
              <w:rPr>
                <w:rFonts w:ascii="Arial" w:hAnsi="Arial" w:cs="Arial"/>
              </w:rPr>
              <w:t>.065</w:t>
            </w:r>
          </w:p>
        </w:tc>
        <w:tc>
          <w:tcPr>
            <w:tcW w:w="1258" w:type="dxa"/>
          </w:tcPr>
          <w:p w14:paraId="76BE8F01" w14:textId="77777777" w:rsidR="0063741A" w:rsidRPr="0063741A" w:rsidRDefault="0063741A" w:rsidP="0063741A">
            <w:pPr>
              <w:pStyle w:val="Body"/>
              <w:contextualSpacing/>
              <w:rPr>
                <w:rFonts w:ascii="Arial" w:hAnsi="Arial" w:cs="Arial"/>
              </w:rPr>
            </w:pPr>
            <w:r w:rsidRPr="0063741A">
              <w:rPr>
                <w:rFonts w:ascii="Arial" w:hAnsi="Arial" w:cs="Arial"/>
              </w:rPr>
              <w:t>-.123</w:t>
            </w:r>
            <w:r w:rsidRPr="0063741A">
              <w:rPr>
                <w:rFonts w:ascii="Arial" w:hAnsi="Arial" w:cs="Arial"/>
                <w:vertAlign w:val="superscript"/>
              </w:rPr>
              <w:t>*</w:t>
            </w:r>
          </w:p>
          <w:p w14:paraId="07810EDB" w14:textId="77777777" w:rsidR="0063741A" w:rsidRPr="0063741A" w:rsidRDefault="0063741A" w:rsidP="0063741A">
            <w:pPr>
              <w:pStyle w:val="Body"/>
              <w:contextualSpacing/>
              <w:rPr>
                <w:rFonts w:ascii="Arial" w:hAnsi="Arial" w:cs="Arial"/>
              </w:rPr>
            </w:pPr>
            <w:r w:rsidRPr="0063741A">
              <w:rPr>
                <w:rFonts w:ascii="Arial" w:hAnsi="Arial" w:cs="Arial"/>
              </w:rPr>
              <w:t>.014</w:t>
            </w:r>
          </w:p>
        </w:tc>
        <w:tc>
          <w:tcPr>
            <w:tcW w:w="1516" w:type="dxa"/>
          </w:tcPr>
          <w:p w14:paraId="7D2393D6" w14:textId="77777777" w:rsidR="0063741A" w:rsidRPr="0063741A" w:rsidRDefault="0063741A" w:rsidP="0063741A">
            <w:pPr>
              <w:pStyle w:val="Body"/>
              <w:contextualSpacing/>
              <w:rPr>
                <w:rFonts w:ascii="Arial" w:hAnsi="Arial" w:cs="Arial"/>
              </w:rPr>
            </w:pPr>
            <w:r w:rsidRPr="0063741A">
              <w:rPr>
                <w:rFonts w:ascii="Arial" w:hAnsi="Arial" w:cs="Arial"/>
              </w:rPr>
              <w:t>-.189</w:t>
            </w:r>
            <w:r w:rsidRPr="0063741A">
              <w:rPr>
                <w:rFonts w:ascii="Arial" w:hAnsi="Arial" w:cs="Arial"/>
                <w:vertAlign w:val="superscript"/>
              </w:rPr>
              <w:t>**</w:t>
            </w:r>
          </w:p>
          <w:p w14:paraId="58EB865B" w14:textId="77777777" w:rsidR="0063741A" w:rsidRPr="0063741A" w:rsidRDefault="0063741A" w:rsidP="0063741A">
            <w:pPr>
              <w:pStyle w:val="Body"/>
              <w:contextualSpacing/>
              <w:rPr>
                <w:rFonts w:ascii="Arial" w:hAnsi="Arial" w:cs="Arial"/>
              </w:rPr>
            </w:pPr>
            <w:r w:rsidRPr="0063741A">
              <w:rPr>
                <w:rFonts w:ascii="Arial" w:hAnsi="Arial" w:cs="Arial"/>
              </w:rPr>
              <w:t>.000</w:t>
            </w:r>
          </w:p>
        </w:tc>
        <w:tc>
          <w:tcPr>
            <w:tcW w:w="861" w:type="dxa"/>
          </w:tcPr>
          <w:p w14:paraId="5E8E3696" w14:textId="77777777" w:rsidR="0063741A" w:rsidRPr="0063741A" w:rsidRDefault="0063741A" w:rsidP="0063741A">
            <w:pPr>
              <w:pStyle w:val="Body"/>
              <w:contextualSpacing/>
              <w:rPr>
                <w:rFonts w:ascii="Arial" w:hAnsi="Arial" w:cs="Arial"/>
                <w:b/>
              </w:rPr>
            </w:pPr>
            <w:r w:rsidRPr="0063741A">
              <w:rPr>
                <w:rFonts w:ascii="Arial" w:hAnsi="Arial" w:cs="Arial"/>
                <w:b/>
              </w:rPr>
              <w:t>-.117</w:t>
            </w:r>
            <w:r w:rsidRPr="0063741A">
              <w:rPr>
                <w:rFonts w:ascii="Arial" w:hAnsi="Arial" w:cs="Arial"/>
                <w:b/>
                <w:vertAlign w:val="superscript"/>
              </w:rPr>
              <w:t>*</w:t>
            </w:r>
          </w:p>
          <w:p w14:paraId="10D0F70E" w14:textId="77777777" w:rsidR="0063741A" w:rsidRPr="0063741A" w:rsidRDefault="0063741A" w:rsidP="0063741A">
            <w:pPr>
              <w:pStyle w:val="Body"/>
              <w:contextualSpacing/>
              <w:rPr>
                <w:rFonts w:ascii="Arial" w:hAnsi="Arial" w:cs="Arial"/>
                <w:b/>
              </w:rPr>
            </w:pPr>
            <w:r w:rsidRPr="0063741A">
              <w:rPr>
                <w:rFonts w:ascii="Arial" w:hAnsi="Arial" w:cs="Arial"/>
                <w:b/>
              </w:rPr>
              <w:t>.019</w:t>
            </w:r>
          </w:p>
        </w:tc>
      </w:tr>
      <w:tr w:rsidR="0063741A" w:rsidRPr="0063741A" w14:paraId="1DFA6CE3" w14:textId="77777777" w:rsidTr="00071761">
        <w:trPr>
          <w:trHeight w:val="432"/>
        </w:trPr>
        <w:tc>
          <w:tcPr>
            <w:tcW w:w="1451" w:type="dxa"/>
            <w:vAlign w:val="center"/>
          </w:tcPr>
          <w:p w14:paraId="668AA1B9" w14:textId="77777777" w:rsidR="0063741A" w:rsidRPr="0063741A" w:rsidRDefault="0063741A" w:rsidP="0063741A">
            <w:pPr>
              <w:pStyle w:val="Body"/>
              <w:contextualSpacing/>
              <w:rPr>
                <w:rFonts w:ascii="Arial" w:hAnsi="Arial" w:cs="Arial"/>
              </w:rPr>
            </w:pPr>
            <w:r w:rsidRPr="0063741A">
              <w:rPr>
                <w:rFonts w:ascii="Arial" w:hAnsi="Arial" w:cs="Arial"/>
              </w:rPr>
              <w:t>Reading</w:t>
            </w:r>
          </w:p>
        </w:tc>
        <w:tc>
          <w:tcPr>
            <w:tcW w:w="1264" w:type="dxa"/>
          </w:tcPr>
          <w:p w14:paraId="6F6B1C08" w14:textId="77777777" w:rsidR="0063741A" w:rsidRPr="0063741A" w:rsidRDefault="0063741A" w:rsidP="0063741A">
            <w:pPr>
              <w:pStyle w:val="Body"/>
              <w:contextualSpacing/>
              <w:rPr>
                <w:rFonts w:ascii="Arial" w:hAnsi="Arial" w:cs="Arial"/>
              </w:rPr>
            </w:pPr>
            <w:r w:rsidRPr="0063741A">
              <w:rPr>
                <w:rFonts w:ascii="Arial" w:hAnsi="Arial" w:cs="Arial"/>
              </w:rPr>
              <w:t>.010</w:t>
            </w:r>
          </w:p>
          <w:p w14:paraId="7B1F5956" w14:textId="77777777" w:rsidR="0063741A" w:rsidRPr="0063741A" w:rsidRDefault="0063741A" w:rsidP="0063741A">
            <w:pPr>
              <w:pStyle w:val="Body"/>
              <w:contextualSpacing/>
              <w:rPr>
                <w:rFonts w:ascii="Arial" w:hAnsi="Arial" w:cs="Arial"/>
              </w:rPr>
            </w:pPr>
            <w:r w:rsidRPr="0063741A">
              <w:rPr>
                <w:rFonts w:ascii="Arial" w:hAnsi="Arial" w:cs="Arial"/>
              </w:rPr>
              <w:t>.841</w:t>
            </w:r>
          </w:p>
        </w:tc>
        <w:tc>
          <w:tcPr>
            <w:tcW w:w="1424" w:type="dxa"/>
          </w:tcPr>
          <w:p w14:paraId="7CB330F3" w14:textId="77777777" w:rsidR="0063741A" w:rsidRPr="0063741A" w:rsidRDefault="0063741A" w:rsidP="0063741A">
            <w:pPr>
              <w:pStyle w:val="Body"/>
              <w:contextualSpacing/>
              <w:rPr>
                <w:rFonts w:ascii="Arial" w:hAnsi="Arial" w:cs="Arial"/>
              </w:rPr>
            </w:pPr>
            <w:r w:rsidRPr="0063741A">
              <w:rPr>
                <w:rFonts w:ascii="Arial" w:hAnsi="Arial" w:cs="Arial"/>
              </w:rPr>
              <w:t>-.012</w:t>
            </w:r>
          </w:p>
          <w:p w14:paraId="0169CC19" w14:textId="77777777" w:rsidR="0063741A" w:rsidRPr="0063741A" w:rsidRDefault="0063741A" w:rsidP="0063741A">
            <w:pPr>
              <w:pStyle w:val="Body"/>
              <w:contextualSpacing/>
              <w:rPr>
                <w:rFonts w:ascii="Arial" w:hAnsi="Arial" w:cs="Arial"/>
              </w:rPr>
            </w:pPr>
            <w:r w:rsidRPr="0063741A">
              <w:rPr>
                <w:rFonts w:ascii="Arial" w:hAnsi="Arial" w:cs="Arial"/>
              </w:rPr>
              <w:t>.803</w:t>
            </w:r>
          </w:p>
        </w:tc>
        <w:tc>
          <w:tcPr>
            <w:tcW w:w="1298" w:type="dxa"/>
          </w:tcPr>
          <w:p w14:paraId="52C78B43" w14:textId="77777777" w:rsidR="0063741A" w:rsidRPr="0063741A" w:rsidRDefault="0063741A" w:rsidP="0063741A">
            <w:pPr>
              <w:pStyle w:val="Body"/>
              <w:contextualSpacing/>
              <w:rPr>
                <w:rFonts w:ascii="Arial" w:hAnsi="Arial" w:cs="Arial"/>
              </w:rPr>
            </w:pPr>
            <w:r w:rsidRPr="0063741A">
              <w:rPr>
                <w:rFonts w:ascii="Arial" w:hAnsi="Arial" w:cs="Arial"/>
              </w:rPr>
              <w:t>-.074</w:t>
            </w:r>
          </w:p>
          <w:p w14:paraId="4C365B50" w14:textId="77777777" w:rsidR="0063741A" w:rsidRPr="0063741A" w:rsidRDefault="0063741A" w:rsidP="0063741A">
            <w:pPr>
              <w:pStyle w:val="Body"/>
              <w:contextualSpacing/>
              <w:rPr>
                <w:rFonts w:ascii="Arial" w:hAnsi="Arial" w:cs="Arial"/>
              </w:rPr>
            </w:pPr>
            <w:r w:rsidRPr="0063741A">
              <w:rPr>
                <w:rFonts w:ascii="Arial" w:hAnsi="Arial" w:cs="Arial"/>
              </w:rPr>
              <w:t>.140</w:t>
            </w:r>
          </w:p>
        </w:tc>
        <w:tc>
          <w:tcPr>
            <w:tcW w:w="1258" w:type="dxa"/>
          </w:tcPr>
          <w:p w14:paraId="5C59E66D" w14:textId="77777777" w:rsidR="0063741A" w:rsidRPr="0063741A" w:rsidRDefault="0063741A" w:rsidP="0063741A">
            <w:pPr>
              <w:pStyle w:val="Body"/>
              <w:contextualSpacing/>
              <w:rPr>
                <w:rFonts w:ascii="Arial" w:hAnsi="Arial" w:cs="Arial"/>
              </w:rPr>
            </w:pPr>
            <w:r w:rsidRPr="0063741A">
              <w:rPr>
                <w:rFonts w:ascii="Arial" w:hAnsi="Arial" w:cs="Arial"/>
              </w:rPr>
              <w:t>-.074</w:t>
            </w:r>
          </w:p>
          <w:p w14:paraId="7FE9BFAE" w14:textId="77777777" w:rsidR="0063741A" w:rsidRPr="0063741A" w:rsidRDefault="0063741A" w:rsidP="0063741A">
            <w:pPr>
              <w:pStyle w:val="Body"/>
              <w:contextualSpacing/>
              <w:rPr>
                <w:rFonts w:ascii="Arial" w:hAnsi="Arial" w:cs="Arial"/>
              </w:rPr>
            </w:pPr>
            <w:r w:rsidRPr="0063741A">
              <w:rPr>
                <w:rFonts w:ascii="Arial" w:hAnsi="Arial" w:cs="Arial"/>
              </w:rPr>
              <w:t>.138</w:t>
            </w:r>
          </w:p>
        </w:tc>
        <w:tc>
          <w:tcPr>
            <w:tcW w:w="1516" w:type="dxa"/>
          </w:tcPr>
          <w:p w14:paraId="456B7F7B" w14:textId="77777777" w:rsidR="0063741A" w:rsidRPr="0063741A" w:rsidRDefault="0063741A" w:rsidP="0063741A">
            <w:pPr>
              <w:pStyle w:val="Body"/>
              <w:contextualSpacing/>
              <w:rPr>
                <w:rFonts w:ascii="Arial" w:hAnsi="Arial" w:cs="Arial"/>
              </w:rPr>
            </w:pPr>
            <w:r w:rsidRPr="0063741A">
              <w:rPr>
                <w:rFonts w:ascii="Arial" w:hAnsi="Arial" w:cs="Arial"/>
              </w:rPr>
              <w:t>-.169</w:t>
            </w:r>
            <w:r w:rsidRPr="0063741A">
              <w:rPr>
                <w:rFonts w:ascii="Arial" w:hAnsi="Arial" w:cs="Arial"/>
                <w:vertAlign w:val="superscript"/>
              </w:rPr>
              <w:t>**</w:t>
            </w:r>
          </w:p>
          <w:p w14:paraId="48066288" w14:textId="77777777" w:rsidR="0063741A" w:rsidRPr="0063741A" w:rsidRDefault="0063741A" w:rsidP="0063741A">
            <w:pPr>
              <w:pStyle w:val="Body"/>
              <w:contextualSpacing/>
              <w:rPr>
                <w:rFonts w:ascii="Arial" w:hAnsi="Arial" w:cs="Arial"/>
              </w:rPr>
            </w:pPr>
            <w:r w:rsidRPr="0063741A">
              <w:rPr>
                <w:rFonts w:ascii="Arial" w:hAnsi="Arial" w:cs="Arial"/>
              </w:rPr>
              <w:t>.001</w:t>
            </w:r>
          </w:p>
        </w:tc>
        <w:tc>
          <w:tcPr>
            <w:tcW w:w="861" w:type="dxa"/>
          </w:tcPr>
          <w:p w14:paraId="37FED4DF" w14:textId="77777777" w:rsidR="0063741A" w:rsidRPr="0063741A" w:rsidRDefault="0063741A" w:rsidP="0063741A">
            <w:pPr>
              <w:pStyle w:val="Body"/>
              <w:contextualSpacing/>
              <w:rPr>
                <w:rFonts w:ascii="Arial" w:hAnsi="Arial" w:cs="Arial"/>
                <w:b/>
              </w:rPr>
            </w:pPr>
            <w:r w:rsidRPr="0063741A">
              <w:rPr>
                <w:rFonts w:ascii="Arial" w:hAnsi="Arial" w:cs="Arial"/>
                <w:b/>
              </w:rPr>
              <w:t>-.084</w:t>
            </w:r>
          </w:p>
          <w:p w14:paraId="46394435" w14:textId="77777777" w:rsidR="0063741A" w:rsidRPr="0063741A" w:rsidRDefault="0063741A" w:rsidP="0063741A">
            <w:pPr>
              <w:pStyle w:val="Body"/>
              <w:contextualSpacing/>
              <w:rPr>
                <w:rFonts w:ascii="Arial" w:hAnsi="Arial" w:cs="Arial"/>
                <w:b/>
              </w:rPr>
            </w:pPr>
            <w:r w:rsidRPr="0063741A">
              <w:rPr>
                <w:rFonts w:ascii="Arial" w:hAnsi="Arial" w:cs="Arial"/>
                <w:b/>
              </w:rPr>
              <w:t>.093</w:t>
            </w:r>
          </w:p>
        </w:tc>
      </w:tr>
      <w:tr w:rsidR="0063741A" w:rsidRPr="0063741A" w14:paraId="58896599" w14:textId="77777777" w:rsidTr="00071761">
        <w:trPr>
          <w:trHeight w:val="432"/>
        </w:trPr>
        <w:tc>
          <w:tcPr>
            <w:tcW w:w="1451" w:type="dxa"/>
            <w:vAlign w:val="center"/>
          </w:tcPr>
          <w:p w14:paraId="2B300CD2" w14:textId="77777777" w:rsidR="0063741A" w:rsidRPr="0063741A" w:rsidRDefault="0063741A" w:rsidP="0063741A">
            <w:pPr>
              <w:pStyle w:val="Body"/>
              <w:contextualSpacing/>
              <w:rPr>
                <w:rFonts w:ascii="Arial" w:hAnsi="Arial" w:cs="Arial"/>
              </w:rPr>
            </w:pPr>
            <w:r w:rsidRPr="0063741A">
              <w:rPr>
                <w:rFonts w:ascii="Arial" w:hAnsi="Arial" w:cs="Arial"/>
              </w:rPr>
              <w:t>Writing</w:t>
            </w:r>
          </w:p>
        </w:tc>
        <w:tc>
          <w:tcPr>
            <w:tcW w:w="1264" w:type="dxa"/>
          </w:tcPr>
          <w:p w14:paraId="6D688B49" w14:textId="77777777" w:rsidR="0063741A" w:rsidRPr="0063741A" w:rsidRDefault="0063741A" w:rsidP="0063741A">
            <w:pPr>
              <w:pStyle w:val="Body"/>
              <w:contextualSpacing/>
              <w:rPr>
                <w:rFonts w:ascii="Arial" w:hAnsi="Arial" w:cs="Arial"/>
              </w:rPr>
            </w:pPr>
            <w:r w:rsidRPr="0063741A">
              <w:rPr>
                <w:rFonts w:ascii="Arial" w:hAnsi="Arial" w:cs="Arial"/>
              </w:rPr>
              <w:t>-.015</w:t>
            </w:r>
          </w:p>
          <w:p w14:paraId="5EB455CC" w14:textId="77777777" w:rsidR="0063741A" w:rsidRPr="0063741A" w:rsidRDefault="0063741A" w:rsidP="0063741A">
            <w:pPr>
              <w:pStyle w:val="Body"/>
              <w:contextualSpacing/>
              <w:rPr>
                <w:rFonts w:ascii="Arial" w:hAnsi="Arial" w:cs="Arial"/>
              </w:rPr>
            </w:pPr>
            <w:r w:rsidRPr="0063741A">
              <w:rPr>
                <w:rFonts w:ascii="Arial" w:hAnsi="Arial" w:cs="Arial"/>
              </w:rPr>
              <w:t>.772</w:t>
            </w:r>
          </w:p>
        </w:tc>
        <w:tc>
          <w:tcPr>
            <w:tcW w:w="1424" w:type="dxa"/>
          </w:tcPr>
          <w:p w14:paraId="474C4AB3" w14:textId="77777777" w:rsidR="0063741A" w:rsidRPr="0063741A" w:rsidRDefault="0063741A" w:rsidP="0063741A">
            <w:pPr>
              <w:pStyle w:val="Body"/>
              <w:contextualSpacing/>
              <w:rPr>
                <w:rFonts w:ascii="Arial" w:hAnsi="Arial" w:cs="Arial"/>
              </w:rPr>
            </w:pPr>
            <w:r w:rsidRPr="0063741A">
              <w:rPr>
                <w:rFonts w:ascii="Arial" w:hAnsi="Arial" w:cs="Arial"/>
              </w:rPr>
              <w:t>-.006</w:t>
            </w:r>
          </w:p>
          <w:p w14:paraId="54DA9BD4" w14:textId="77777777" w:rsidR="0063741A" w:rsidRPr="0063741A" w:rsidRDefault="0063741A" w:rsidP="0063741A">
            <w:pPr>
              <w:pStyle w:val="Body"/>
              <w:contextualSpacing/>
              <w:rPr>
                <w:rFonts w:ascii="Arial" w:hAnsi="Arial" w:cs="Arial"/>
              </w:rPr>
            </w:pPr>
            <w:r w:rsidRPr="0063741A">
              <w:rPr>
                <w:rFonts w:ascii="Arial" w:hAnsi="Arial" w:cs="Arial"/>
              </w:rPr>
              <w:t>.905</w:t>
            </w:r>
          </w:p>
        </w:tc>
        <w:tc>
          <w:tcPr>
            <w:tcW w:w="1298" w:type="dxa"/>
          </w:tcPr>
          <w:p w14:paraId="6198F5F2" w14:textId="77777777" w:rsidR="0063741A" w:rsidRPr="0063741A" w:rsidRDefault="0063741A" w:rsidP="0063741A">
            <w:pPr>
              <w:pStyle w:val="Body"/>
              <w:contextualSpacing/>
              <w:rPr>
                <w:rFonts w:ascii="Arial" w:hAnsi="Arial" w:cs="Arial"/>
              </w:rPr>
            </w:pPr>
            <w:r w:rsidRPr="0063741A">
              <w:rPr>
                <w:rFonts w:ascii="Arial" w:hAnsi="Arial" w:cs="Arial"/>
              </w:rPr>
              <w:t>-.098</w:t>
            </w:r>
          </w:p>
          <w:p w14:paraId="44202E43" w14:textId="77777777" w:rsidR="0063741A" w:rsidRPr="0063741A" w:rsidRDefault="0063741A" w:rsidP="0063741A">
            <w:pPr>
              <w:pStyle w:val="Body"/>
              <w:contextualSpacing/>
              <w:rPr>
                <w:rFonts w:ascii="Arial" w:hAnsi="Arial" w:cs="Arial"/>
              </w:rPr>
            </w:pPr>
            <w:r w:rsidRPr="0063741A">
              <w:rPr>
                <w:rFonts w:ascii="Arial" w:hAnsi="Arial" w:cs="Arial"/>
              </w:rPr>
              <w:t>.051</w:t>
            </w:r>
          </w:p>
        </w:tc>
        <w:tc>
          <w:tcPr>
            <w:tcW w:w="1258" w:type="dxa"/>
          </w:tcPr>
          <w:p w14:paraId="219BA904" w14:textId="77777777" w:rsidR="0063741A" w:rsidRPr="0063741A" w:rsidRDefault="0063741A" w:rsidP="0063741A">
            <w:pPr>
              <w:pStyle w:val="Body"/>
              <w:contextualSpacing/>
              <w:rPr>
                <w:rFonts w:ascii="Arial" w:hAnsi="Arial" w:cs="Arial"/>
              </w:rPr>
            </w:pPr>
            <w:r w:rsidRPr="0063741A">
              <w:rPr>
                <w:rFonts w:ascii="Arial" w:hAnsi="Arial" w:cs="Arial"/>
              </w:rPr>
              <w:t>-.092</w:t>
            </w:r>
          </w:p>
          <w:p w14:paraId="6BAFCEC6" w14:textId="77777777" w:rsidR="0063741A" w:rsidRPr="0063741A" w:rsidRDefault="0063741A" w:rsidP="0063741A">
            <w:pPr>
              <w:pStyle w:val="Body"/>
              <w:contextualSpacing/>
              <w:rPr>
                <w:rFonts w:ascii="Arial" w:hAnsi="Arial" w:cs="Arial"/>
              </w:rPr>
            </w:pPr>
            <w:r w:rsidRPr="0063741A">
              <w:rPr>
                <w:rFonts w:ascii="Arial" w:hAnsi="Arial" w:cs="Arial"/>
              </w:rPr>
              <w:t>.065</w:t>
            </w:r>
          </w:p>
        </w:tc>
        <w:tc>
          <w:tcPr>
            <w:tcW w:w="1516" w:type="dxa"/>
          </w:tcPr>
          <w:p w14:paraId="529C7757" w14:textId="77777777" w:rsidR="0063741A" w:rsidRPr="0063741A" w:rsidRDefault="0063741A" w:rsidP="0063741A">
            <w:pPr>
              <w:pStyle w:val="Body"/>
              <w:contextualSpacing/>
              <w:rPr>
                <w:rFonts w:ascii="Arial" w:hAnsi="Arial" w:cs="Arial"/>
              </w:rPr>
            </w:pPr>
            <w:r w:rsidRPr="0063741A">
              <w:rPr>
                <w:rFonts w:ascii="Arial" w:hAnsi="Arial" w:cs="Arial"/>
              </w:rPr>
              <w:t>-.192</w:t>
            </w:r>
            <w:r w:rsidRPr="0063741A">
              <w:rPr>
                <w:rFonts w:ascii="Arial" w:hAnsi="Arial" w:cs="Arial"/>
                <w:vertAlign w:val="superscript"/>
              </w:rPr>
              <w:t>**</w:t>
            </w:r>
          </w:p>
          <w:p w14:paraId="579B36B8" w14:textId="77777777" w:rsidR="0063741A" w:rsidRPr="0063741A" w:rsidRDefault="0063741A" w:rsidP="0063741A">
            <w:pPr>
              <w:pStyle w:val="Body"/>
              <w:contextualSpacing/>
              <w:rPr>
                <w:rFonts w:ascii="Arial" w:hAnsi="Arial" w:cs="Arial"/>
              </w:rPr>
            </w:pPr>
            <w:r w:rsidRPr="0063741A">
              <w:rPr>
                <w:rFonts w:ascii="Arial" w:hAnsi="Arial" w:cs="Arial"/>
              </w:rPr>
              <w:t>.000</w:t>
            </w:r>
          </w:p>
        </w:tc>
        <w:tc>
          <w:tcPr>
            <w:tcW w:w="861" w:type="dxa"/>
          </w:tcPr>
          <w:p w14:paraId="788F232E" w14:textId="77777777" w:rsidR="0063741A" w:rsidRPr="0063741A" w:rsidRDefault="0063741A" w:rsidP="0063741A">
            <w:pPr>
              <w:pStyle w:val="Body"/>
              <w:contextualSpacing/>
              <w:rPr>
                <w:rFonts w:ascii="Arial" w:hAnsi="Arial" w:cs="Arial"/>
                <w:b/>
              </w:rPr>
            </w:pPr>
            <w:r w:rsidRPr="0063741A">
              <w:rPr>
                <w:rFonts w:ascii="Arial" w:hAnsi="Arial" w:cs="Arial"/>
                <w:b/>
              </w:rPr>
              <w:t>-.106</w:t>
            </w:r>
            <w:r w:rsidRPr="0063741A">
              <w:rPr>
                <w:rFonts w:ascii="Arial" w:hAnsi="Arial" w:cs="Arial"/>
                <w:b/>
                <w:vertAlign w:val="superscript"/>
              </w:rPr>
              <w:t>*</w:t>
            </w:r>
          </w:p>
          <w:p w14:paraId="2645A2F5" w14:textId="77777777" w:rsidR="0063741A" w:rsidRPr="0063741A" w:rsidRDefault="0063741A" w:rsidP="0063741A">
            <w:pPr>
              <w:pStyle w:val="Body"/>
              <w:contextualSpacing/>
              <w:rPr>
                <w:rFonts w:ascii="Arial" w:hAnsi="Arial" w:cs="Arial"/>
                <w:b/>
              </w:rPr>
            </w:pPr>
            <w:r w:rsidRPr="0063741A">
              <w:rPr>
                <w:rFonts w:ascii="Arial" w:hAnsi="Arial" w:cs="Arial"/>
                <w:b/>
              </w:rPr>
              <w:t>.034</w:t>
            </w:r>
          </w:p>
        </w:tc>
      </w:tr>
      <w:tr w:rsidR="0063741A" w:rsidRPr="0063741A" w14:paraId="6F72F3EB" w14:textId="77777777" w:rsidTr="00071761">
        <w:trPr>
          <w:trHeight w:val="864"/>
        </w:trPr>
        <w:tc>
          <w:tcPr>
            <w:tcW w:w="1451" w:type="dxa"/>
            <w:tcBorders>
              <w:bottom w:val="single" w:sz="4" w:space="0" w:color="auto"/>
            </w:tcBorders>
            <w:vAlign w:val="center"/>
          </w:tcPr>
          <w:p w14:paraId="2A0B7B32" w14:textId="77777777" w:rsidR="0063741A" w:rsidRPr="0063741A" w:rsidRDefault="0063741A" w:rsidP="0063741A">
            <w:pPr>
              <w:pStyle w:val="Body"/>
              <w:contextualSpacing/>
              <w:rPr>
                <w:rFonts w:ascii="Arial" w:hAnsi="Arial" w:cs="Arial"/>
                <w:b/>
              </w:rPr>
            </w:pPr>
            <w:r w:rsidRPr="0063741A">
              <w:rPr>
                <w:rFonts w:ascii="Arial" w:hAnsi="Arial" w:cs="Arial"/>
                <w:b/>
              </w:rPr>
              <w:t>Overall</w:t>
            </w:r>
          </w:p>
        </w:tc>
        <w:tc>
          <w:tcPr>
            <w:tcW w:w="1264" w:type="dxa"/>
            <w:tcBorders>
              <w:bottom w:val="single" w:sz="4" w:space="0" w:color="auto"/>
            </w:tcBorders>
          </w:tcPr>
          <w:p w14:paraId="1581F420" w14:textId="77777777" w:rsidR="0063741A" w:rsidRPr="0063741A" w:rsidRDefault="0063741A" w:rsidP="0063741A">
            <w:pPr>
              <w:pStyle w:val="Body"/>
              <w:contextualSpacing/>
              <w:rPr>
                <w:rFonts w:ascii="Arial" w:hAnsi="Arial" w:cs="Arial"/>
                <w:b/>
              </w:rPr>
            </w:pPr>
            <w:r w:rsidRPr="0063741A">
              <w:rPr>
                <w:rFonts w:ascii="Arial" w:hAnsi="Arial" w:cs="Arial"/>
                <w:b/>
              </w:rPr>
              <w:t>.000</w:t>
            </w:r>
          </w:p>
          <w:p w14:paraId="357F23A0" w14:textId="77777777" w:rsidR="0063741A" w:rsidRPr="0063741A" w:rsidRDefault="0063741A" w:rsidP="0063741A">
            <w:pPr>
              <w:pStyle w:val="Body"/>
              <w:contextualSpacing/>
              <w:rPr>
                <w:rFonts w:ascii="Arial" w:hAnsi="Arial" w:cs="Arial"/>
                <w:b/>
              </w:rPr>
            </w:pPr>
            <w:r w:rsidRPr="0063741A">
              <w:rPr>
                <w:rFonts w:ascii="Arial" w:hAnsi="Arial" w:cs="Arial"/>
                <w:b/>
              </w:rPr>
              <w:t>.997</w:t>
            </w:r>
          </w:p>
        </w:tc>
        <w:tc>
          <w:tcPr>
            <w:tcW w:w="1424" w:type="dxa"/>
            <w:tcBorders>
              <w:bottom w:val="single" w:sz="4" w:space="0" w:color="auto"/>
            </w:tcBorders>
          </w:tcPr>
          <w:p w14:paraId="69868D36" w14:textId="77777777" w:rsidR="0063741A" w:rsidRPr="0063741A" w:rsidRDefault="0063741A" w:rsidP="0063741A">
            <w:pPr>
              <w:pStyle w:val="Body"/>
              <w:contextualSpacing/>
              <w:rPr>
                <w:rFonts w:ascii="Arial" w:hAnsi="Arial" w:cs="Arial"/>
                <w:b/>
              </w:rPr>
            </w:pPr>
            <w:r w:rsidRPr="0063741A">
              <w:rPr>
                <w:rFonts w:ascii="Arial" w:hAnsi="Arial" w:cs="Arial"/>
                <w:b/>
              </w:rPr>
              <w:t>-.009</w:t>
            </w:r>
          </w:p>
          <w:p w14:paraId="69E43385" w14:textId="77777777" w:rsidR="0063741A" w:rsidRPr="0063741A" w:rsidRDefault="0063741A" w:rsidP="0063741A">
            <w:pPr>
              <w:pStyle w:val="Body"/>
              <w:contextualSpacing/>
              <w:rPr>
                <w:rFonts w:ascii="Arial" w:hAnsi="Arial" w:cs="Arial"/>
                <w:b/>
              </w:rPr>
            </w:pPr>
            <w:r w:rsidRPr="0063741A">
              <w:rPr>
                <w:rFonts w:ascii="Arial" w:hAnsi="Arial" w:cs="Arial"/>
                <w:b/>
              </w:rPr>
              <w:t>.864</w:t>
            </w:r>
          </w:p>
        </w:tc>
        <w:tc>
          <w:tcPr>
            <w:tcW w:w="1298" w:type="dxa"/>
            <w:tcBorders>
              <w:bottom w:val="single" w:sz="4" w:space="0" w:color="auto"/>
            </w:tcBorders>
          </w:tcPr>
          <w:p w14:paraId="72996C86" w14:textId="77777777" w:rsidR="0063741A" w:rsidRPr="0063741A" w:rsidRDefault="0063741A" w:rsidP="0063741A">
            <w:pPr>
              <w:pStyle w:val="Body"/>
              <w:contextualSpacing/>
              <w:rPr>
                <w:rFonts w:ascii="Arial" w:hAnsi="Arial" w:cs="Arial"/>
                <w:b/>
              </w:rPr>
            </w:pPr>
            <w:r w:rsidRPr="0063741A">
              <w:rPr>
                <w:rFonts w:ascii="Arial" w:hAnsi="Arial" w:cs="Arial"/>
                <w:b/>
              </w:rPr>
              <w:t>-.088</w:t>
            </w:r>
          </w:p>
          <w:p w14:paraId="02E55083" w14:textId="77777777" w:rsidR="0063741A" w:rsidRPr="0063741A" w:rsidRDefault="0063741A" w:rsidP="0063741A">
            <w:pPr>
              <w:pStyle w:val="Body"/>
              <w:contextualSpacing/>
              <w:rPr>
                <w:rFonts w:ascii="Arial" w:hAnsi="Arial" w:cs="Arial"/>
                <w:b/>
              </w:rPr>
            </w:pPr>
            <w:r w:rsidRPr="0063741A">
              <w:rPr>
                <w:rFonts w:ascii="Arial" w:hAnsi="Arial" w:cs="Arial"/>
                <w:b/>
              </w:rPr>
              <w:t>.080</w:t>
            </w:r>
          </w:p>
        </w:tc>
        <w:tc>
          <w:tcPr>
            <w:tcW w:w="1258" w:type="dxa"/>
            <w:tcBorders>
              <w:bottom w:val="single" w:sz="4" w:space="0" w:color="auto"/>
            </w:tcBorders>
          </w:tcPr>
          <w:p w14:paraId="324E6092" w14:textId="77777777" w:rsidR="0063741A" w:rsidRPr="0063741A" w:rsidRDefault="0063741A" w:rsidP="0063741A">
            <w:pPr>
              <w:pStyle w:val="Body"/>
              <w:contextualSpacing/>
              <w:rPr>
                <w:rFonts w:ascii="Arial" w:hAnsi="Arial" w:cs="Arial"/>
                <w:b/>
              </w:rPr>
            </w:pPr>
            <w:r w:rsidRPr="0063741A">
              <w:rPr>
                <w:rFonts w:ascii="Arial" w:hAnsi="Arial" w:cs="Arial"/>
                <w:b/>
              </w:rPr>
              <w:t>-.110</w:t>
            </w:r>
            <w:r w:rsidRPr="0063741A">
              <w:rPr>
                <w:rFonts w:ascii="Arial" w:hAnsi="Arial" w:cs="Arial"/>
                <w:b/>
                <w:vertAlign w:val="superscript"/>
              </w:rPr>
              <w:t>*</w:t>
            </w:r>
          </w:p>
          <w:p w14:paraId="03DB969D" w14:textId="77777777" w:rsidR="0063741A" w:rsidRPr="0063741A" w:rsidRDefault="0063741A" w:rsidP="0063741A">
            <w:pPr>
              <w:pStyle w:val="Body"/>
              <w:contextualSpacing/>
              <w:rPr>
                <w:rFonts w:ascii="Arial" w:hAnsi="Arial" w:cs="Arial"/>
                <w:b/>
              </w:rPr>
            </w:pPr>
            <w:r w:rsidRPr="0063741A">
              <w:rPr>
                <w:rFonts w:ascii="Arial" w:hAnsi="Arial" w:cs="Arial"/>
                <w:b/>
              </w:rPr>
              <w:t>.029</w:t>
            </w:r>
          </w:p>
        </w:tc>
        <w:tc>
          <w:tcPr>
            <w:tcW w:w="1516" w:type="dxa"/>
            <w:tcBorders>
              <w:bottom w:val="single" w:sz="4" w:space="0" w:color="auto"/>
            </w:tcBorders>
          </w:tcPr>
          <w:p w14:paraId="1A2DB9CA" w14:textId="77777777" w:rsidR="0063741A" w:rsidRPr="0063741A" w:rsidRDefault="0063741A" w:rsidP="0063741A">
            <w:pPr>
              <w:pStyle w:val="Body"/>
              <w:contextualSpacing/>
              <w:rPr>
                <w:rFonts w:ascii="Arial" w:hAnsi="Arial" w:cs="Arial"/>
                <w:b/>
              </w:rPr>
            </w:pPr>
            <w:r w:rsidRPr="0063741A">
              <w:rPr>
                <w:rFonts w:ascii="Arial" w:hAnsi="Arial" w:cs="Arial"/>
                <w:b/>
              </w:rPr>
              <w:t>-.194</w:t>
            </w:r>
            <w:r w:rsidRPr="0063741A">
              <w:rPr>
                <w:rFonts w:ascii="Arial" w:hAnsi="Arial" w:cs="Arial"/>
                <w:b/>
                <w:vertAlign w:val="superscript"/>
              </w:rPr>
              <w:t>**</w:t>
            </w:r>
          </w:p>
          <w:p w14:paraId="673D2910" w14:textId="77777777" w:rsidR="0063741A" w:rsidRPr="0063741A" w:rsidRDefault="0063741A" w:rsidP="0063741A">
            <w:pPr>
              <w:pStyle w:val="Body"/>
              <w:contextualSpacing/>
              <w:rPr>
                <w:rFonts w:ascii="Arial" w:hAnsi="Arial" w:cs="Arial"/>
                <w:b/>
              </w:rPr>
            </w:pPr>
            <w:r w:rsidRPr="0063741A">
              <w:rPr>
                <w:rFonts w:ascii="Arial" w:hAnsi="Arial" w:cs="Arial"/>
                <w:b/>
              </w:rPr>
              <w:t>.000</w:t>
            </w:r>
          </w:p>
        </w:tc>
        <w:tc>
          <w:tcPr>
            <w:tcW w:w="861" w:type="dxa"/>
            <w:tcBorders>
              <w:bottom w:val="single" w:sz="4" w:space="0" w:color="auto"/>
            </w:tcBorders>
          </w:tcPr>
          <w:p w14:paraId="305D2ADF" w14:textId="77777777" w:rsidR="0063741A" w:rsidRPr="0063741A" w:rsidRDefault="0063741A" w:rsidP="0063741A">
            <w:pPr>
              <w:pStyle w:val="Body"/>
              <w:contextualSpacing/>
              <w:rPr>
                <w:rFonts w:ascii="Arial" w:hAnsi="Arial" w:cs="Arial"/>
                <w:b/>
              </w:rPr>
            </w:pPr>
            <w:r w:rsidRPr="0063741A">
              <w:rPr>
                <w:rFonts w:ascii="Arial" w:hAnsi="Arial" w:cs="Arial"/>
                <w:b/>
              </w:rPr>
              <w:t>-.106</w:t>
            </w:r>
            <w:r w:rsidRPr="0063741A">
              <w:rPr>
                <w:rFonts w:ascii="Arial" w:hAnsi="Arial" w:cs="Arial"/>
                <w:b/>
                <w:vertAlign w:val="superscript"/>
              </w:rPr>
              <w:t>*</w:t>
            </w:r>
          </w:p>
          <w:p w14:paraId="0142819C" w14:textId="77777777" w:rsidR="0063741A" w:rsidRPr="0063741A" w:rsidRDefault="0063741A" w:rsidP="0063741A">
            <w:pPr>
              <w:pStyle w:val="Body"/>
              <w:contextualSpacing/>
              <w:rPr>
                <w:rFonts w:ascii="Arial" w:hAnsi="Arial" w:cs="Arial"/>
                <w:b/>
              </w:rPr>
            </w:pPr>
            <w:r w:rsidRPr="0063741A">
              <w:rPr>
                <w:rFonts w:ascii="Arial" w:hAnsi="Arial" w:cs="Arial"/>
                <w:b/>
              </w:rPr>
              <w:t>.035</w:t>
            </w:r>
          </w:p>
        </w:tc>
      </w:tr>
    </w:tbl>
    <w:p w14:paraId="2607632A" w14:textId="77777777" w:rsidR="0063741A" w:rsidRDefault="0063741A" w:rsidP="00DB5311">
      <w:pPr>
        <w:pStyle w:val="Body"/>
        <w:spacing w:after="0"/>
        <w:rPr>
          <w:rFonts w:ascii="Arial" w:hAnsi="Arial" w:cs="Arial"/>
        </w:rPr>
      </w:pPr>
    </w:p>
    <w:p w14:paraId="6D7DF44F" w14:textId="77777777" w:rsidR="00BF558D" w:rsidRDefault="00BF558D" w:rsidP="00DB5311">
      <w:pPr>
        <w:pStyle w:val="Body"/>
        <w:spacing w:after="0"/>
        <w:rPr>
          <w:rFonts w:ascii="Arial" w:hAnsi="Arial" w:cs="Arial"/>
        </w:rPr>
      </w:pPr>
      <w:r w:rsidRPr="00BF558D">
        <w:rPr>
          <w:rFonts w:ascii="Arial" w:hAnsi="Arial" w:cs="Arial"/>
        </w:rPr>
        <w:t xml:space="preserve">Table 6 presents the results of the analysis regarding the relationship between language learning and the grammatical competence of students. According to the stated hypothesis, the </w:t>
      </w:r>
      <w:r w:rsidRPr="00BF558D">
        <w:rPr>
          <w:rFonts w:ascii="Arial" w:hAnsi="Arial" w:cs="Arial"/>
        </w:rPr>
        <w:lastRenderedPageBreak/>
        <w:t xml:space="preserve">relationship was examined at the 0.05 level of significance. The overall </w:t>
      </w:r>
      <w:proofErr w:type="spellStart"/>
      <w:r w:rsidRPr="00BF558D">
        <w:rPr>
          <w:rFonts w:ascii="Arial" w:hAnsi="Arial" w:cs="Arial"/>
        </w:rPr>
        <w:t>r-value</w:t>
      </w:r>
      <w:proofErr w:type="spellEnd"/>
      <w:r w:rsidRPr="00BF558D">
        <w:rPr>
          <w:rFonts w:ascii="Arial" w:hAnsi="Arial" w:cs="Arial"/>
        </w:rPr>
        <w:t xml:space="preserve"> of .035 with a p-value lower than 0.05 indicates that the null hypothesis is rejected.</w:t>
      </w:r>
    </w:p>
    <w:p w14:paraId="20D72623" w14:textId="77777777" w:rsidR="00BF558D" w:rsidRDefault="00BF558D" w:rsidP="00DB5311">
      <w:pPr>
        <w:pStyle w:val="Body"/>
        <w:spacing w:after="0"/>
        <w:rPr>
          <w:rFonts w:ascii="Arial" w:hAnsi="Arial" w:cs="Arial"/>
        </w:rPr>
      </w:pPr>
    </w:p>
    <w:p w14:paraId="593D07D0" w14:textId="141265C6" w:rsidR="00C06513" w:rsidRPr="00543754" w:rsidRDefault="00DB5311" w:rsidP="00DB5311">
      <w:pPr>
        <w:pStyle w:val="Body"/>
        <w:spacing w:after="0"/>
        <w:rPr>
          <w:rFonts w:ascii="Arial" w:hAnsi="Arial" w:cs="Arial"/>
        </w:rPr>
      </w:pPr>
      <w:r w:rsidRPr="00543754">
        <w:rPr>
          <w:rFonts w:ascii="Arial" w:hAnsi="Arial" w:cs="Arial"/>
        </w:rPr>
        <w:t>It can be inferred that there is a weak and negative correlation between the third exogenous variable and the endogenous variable, suggesting that as language learning increases, grammatical competence decreases. The resulting p-value of .035 is lower than the tabular value of .05; therefore, the relationship is statistically significant, and the hypothesis is rejected.</w:t>
      </w:r>
    </w:p>
    <w:p w14:paraId="5D7D0F07" w14:textId="77777777" w:rsidR="00C06513" w:rsidRPr="00543754" w:rsidRDefault="00C06513" w:rsidP="00C06513">
      <w:pPr>
        <w:pStyle w:val="Body"/>
        <w:spacing w:after="0"/>
        <w:rPr>
          <w:rFonts w:ascii="Arial" w:hAnsi="Arial" w:cs="Arial"/>
        </w:rPr>
      </w:pPr>
    </w:p>
    <w:p w14:paraId="0DF6EA9A" w14:textId="51F236F0" w:rsidR="00DB5311" w:rsidRPr="00DB5311" w:rsidRDefault="00DB5311" w:rsidP="00DB5311">
      <w:pPr>
        <w:pStyle w:val="Body"/>
        <w:rPr>
          <w:rFonts w:ascii="Arial" w:hAnsi="Arial" w:cs="Arial"/>
        </w:rPr>
      </w:pPr>
      <w:r w:rsidRPr="00DB5311">
        <w:rPr>
          <w:rFonts w:ascii="Arial" w:hAnsi="Arial" w:cs="Arial"/>
        </w:rPr>
        <w:t xml:space="preserve">Therefore, Swain’s (1995) Output Hypothesis confirms that there is a significant relationship between language learning and grammatical competence, where listening and reading alone are not sufficient to achieve a high level of grammatical </w:t>
      </w:r>
      <w:r w:rsidR="0063741A">
        <w:rPr>
          <w:rFonts w:ascii="Arial" w:hAnsi="Arial" w:cs="Arial"/>
        </w:rPr>
        <w:t>competence</w:t>
      </w:r>
      <w:r w:rsidRPr="00DB5311">
        <w:rPr>
          <w:rFonts w:ascii="Arial" w:hAnsi="Arial" w:cs="Arial"/>
        </w:rPr>
        <w:t>. To develop grammatical ability, it is essential to actively use the language through speaking and writing, as it is in this process that learners become aware of their errors, which leads to deeper understanding of grammatical rules.</w:t>
      </w:r>
    </w:p>
    <w:p w14:paraId="5492E0CC" w14:textId="77777777" w:rsidR="00DB5311" w:rsidRPr="00DB5311" w:rsidRDefault="00DB5311" w:rsidP="00DB5311">
      <w:pPr>
        <w:pStyle w:val="Body"/>
        <w:rPr>
          <w:rFonts w:ascii="Arial" w:hAnsi="Arial" w:cs="Arial"/>
        </w:rPr>
      </w:pPr>
      <w:r w:rsidRPr="00DB5311">
        <w:rPr>
          <w:rFonts w:ascii="Arial" w:hAnsi="Arial" w:cs="Arial"/>
        </w:rPr>
        <w:t>Furthermore, Akbarov et al. (2010) affirmed that responses or feedback help correct mistakes and further strengthen grammatical competence. Through the continuous use of language in actual communication, the use of grammar becomes more automatic and accurate in verbal exchanges.</w:t>
      </w:r>
    </w:p>
    <w:p w14:paraId="6740D04A" w14:textId="69591FA5" w:rsidR="00D33E3B" w:rsidRDefault="00D33E3B" w:rsidP="00D33E3B">
      <w:pPr>
        <w:pStyle w:val="Body"/>
        <w:rPr>
          <w:rFonts w:ascii="Arial" w:hAnsi="Arial" w:cs="Arial"/>
        </w:rPr>
      </w:pPr>
      <w:r w:rsidRPr="00D33E3B">
        <w:rPr>
          <w:rFonts w:ascii="Arial" w:hAnsi="Arial" w:cs="Arial"/>
        </w:rPr>
        <w:t xml:space="preserve">Table 7 presents the results of the analysis regarding the relationship between the second exogenous variable—reading strategies—and the endogenous variable—students’ grammatical competence, which was examined at the 0.05 level of significance. The overall </w:t>
      </w:r>
      <w:proofErr w:type="spellStart"/>
      <w:r w:rsidRPr="00D33E3B">
        <w:rPr>
          <w:rFonts w:ascii="Arial" w:hAnsi="Arial" w:cs="Arial"/>
        </w:rPr>
        <w:t>r-value</w:t>
      </w:r>
      <w:proofErr w:type="spellEnd"/>
      <w:r w:rsidRPr="00D33E3B">
        <w:rPr>
          <w:rFonts w:ascii="Arial" w:hAnsi="Arial" w:cs="Arial"/>
        </w:rPr>
        <w:t xml:space="preserve"> of .037 with a p-value lower than 0.05 indicates that the null hypothesis is rejected.</w:t>
      </w:r>
    </w:p>
    <w:p w14:paraId="39455F6B" w14:textId="321E333C" w:rsidR="00F456B3" w:rsidRDefault="00F456B3" w:rsidP="00D33E3B">
      <w:pPr>
        <w:pStyle w:val="Body"/>
        <w:rPr>
          <w:rFonts w:ascii="Arial" w:hAnsi="Arial" w:cs="Arial"/>
        </w:rPr>
      </w:pPr>
      <w:r w:rsidRPr="00F456B3">
        <w:rPr>
          <w:rFonts w:ascii="Arial" w:hAnsi="Arial" w:cs="Arial"/>
        </w:rPr>
        <w:t>It can be inferred that there is a weak and negative relationship between the second exogenous variable and the endogenous variable, suggesting that as the use of cognitive and metacognitive reading strategies increases, grammatical competence decreases. Since the resulting p-value of .037 is lower than the tabular value of .05, the correlation is considered significant, and the hypothesis is therefore rejected.</w:t>
      </w:r>
    </w:p>
    <w:p w14:paraId="004CFF9F" w14:textId="0A40F1D4" w:rsidR="00E2014F" w:rsidRPr="00E2014F" w:rsidRDefault="00E2014F" w:rsidP="00E2014F">
      <w:pPr>
        <w:spacing w:before="100" w:beforeAutospacing="1" w:after="100" w:afterAutospacing="1"/>
        <w:contextualSpacing/>
        <w:jc w:val="both"/>
        <w:rPr>
          <w:rFonts w:ascii="Arial" w:hAnsi="Arial" w:cs="Arial"/>
          <w:b/>
          <w:bCs/>
          <w:lang w:val="en-PH" w:eastAsia="en-PH"/>
        </w:rPr>
      </w:pPr>
      <w:r w:rsidRPr="00E2014F">
        <w:rPr>
          <w:rFonts w:ascii="Arial" w:hAnsi="Arial" w:cs="Arial"/>
          <w:b/>
          <w:bCs/>
          <w:lang w:val="en-PH" w:eastAsia="en-PH"/>
        </w:rPr>
        <w:t xml:space="preserve">Table </w:t>
      </w:r>
      <w:r>
        <w:rPr>
          <w:rFonts w:ascii="Arial" w:hAnsi="Arial" w:cs="Arial"/>
          <w:b/>
          <w:bCs/>
          <w:lang w:val="en-PH" w:eastAsia="en-PH"/>
        </w:rPr>
        <w:t>7</w:t>
      </w:r>
    </w:p>
    <w:p w14:paraId="24F72046" w14:textId="3560709D" w:rsidR="00E2014F" w:rsidRPr="00E2014F" w:rsidRDefault="00E2014F" w:rsidP="00E2014F">
      <w:pPr>
        <w:spacing w:before="100" w:beforeAutospacing="1" w:after="100" w:afterAutospacing="1"/>
        <w:contextualSpacing/>
        <w:jc w:val="both"/>
        <w:rPr>
          <w:rFonts w:ascii="Arial" w:hAnsi="Arial" w:cs="Arial"/>
          <w:i/>
          <w:iCs/>
          <w:lang w:val="en-PH" w:eastAsia="en-PH"/>
        </w:rPr>
      </w:pPr>
      <w:r w:rsidRPr="00E2014F">
        <w:rPr>
          <w:rFonts w:ascii="Arial" w:hAnsi="Arial" w:cs="Arial"/>
          <w:i/>
          <w:iCs/>
          <w:lang w:val="en-PH" w:eastAsia="en-PH"/>
        </w:rPr>
        <w:t xml:space="preserve">Significant Correlation Between Reading Strategies and Grammatical </w:t>
      </w:r>
      <w:r w:rsidR="00383518">
        <w:rPr>
          <w:rFonts w:ascii="Arial" w:hAnsi="Arial" w:cs="Arial"/>
          <w:i/>
          <w:iCs/>
          <w:lang w:val="en-PH" w:eastAsia="en-PH"/>
        </w:rPr>
        <w:t>Competence</w:t>
      </w:r>
    </w:p>
    <w:tbl>
      <w:tblPr>
        <w:tblStyle w:val="TableGrid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1"/>
        <w:gridCol w:w="1317"/>
        <w:gridCol w:w="1280"/>
        <w:gridCol w:w="1062"/>
        <w:gridCol w:w="980"/>
        <w:gridCol w:w="1050"/>
        <w:gridCol w:w="1048"/>
      </w:tblGrid>
      <w:tr w:rsidR="00E2014F" w:rsidRPr="00E2014F" w14:paraId="1FC9F2FF" w14:textId="77777777" w:rsidTr="00C42D78">
        <w:trPr>
          <w:trHeight w:val="432"/>
        </w:trPr>
        <w:tc>
          <w:tcPr>
            <w:tcW w:w="1510" w:type="dxa"/>
            <w:vMerge w:val="restart"/>
            <w:tcBorders>
              <w:top w:val="single" w:sz="4" w:space="0" w:color="auto"/>
            </w:tcBorders>
            <w:vAlign w:val="center"/>
          </w:tcPr>
          <w:p w14:paraId="379DE909" w14:textId="77777777" w:rsidR="00E2014F" w:rsidRPr="00E2014F" w:rsidRDefault="00E2014F" w:rsidP="00E2014F">
            <w:pPr>
              <w:spacing w:after="160" w:line="259" w:lineRule="auto"/>
              <w:jc w:val="center"/>
              <w:rPr>
                <w:rFonts w:ascii="Arial" w:hAnsi="Arial" w:cs="Arial"/>
                <w:b/>
                <w:sz w:val="20"/>
                <w:szCs w:val="20"/>
              </w:rPr>
            </w:pPr>
            <w:r w:rsidRPr="00E2014F">
              <w:rPr>
                <w:rFonts w:ascii="Arial" w:hAnsi="Arial" w:cs="Arial"/>
                <w:b/>
                <w:sz w:val="20"/>
                <w:szCs w:val="20"/>
              </w:rPr>
              <w:t>Reading Strategies</w:t>
            </w:r>
          </w:p>
        </w:tc>
        <w:tc>
          <w:tcPr>
            <w:tcW w:w="7840" w:type="dxa"/>
            <w:gridSpan w:val="6"/>
            <w:tcBorders>
              <w:top w:val="single" w:sz="4" w:space="0" w:color="auto"/>
              <w:bottom w:val="single" w:sz="4" w:space="0" w:color="auto"/>
            </w:tcBorders>
            <w:vAlign w:val="center"/>
          </w:tcPr>
          <w:p w14:paraId="4001CAB2" w14:textId="4B469499" w:rsidR="00E2014F" w:rsidRPr="00E2014F" w:rsidRDefault="00795F5B" w:rsidP="00E2014F">
            <w:pPr>
              <w:spacing w:after="160" w:line="259" w:lineRule="auto"/>
              <w:jc w:val="center"/>
              <w:rPr>
                <w:rFonts w:ascii="Arial" w:hAnsi="Arial" w:cs="Arial"/>
                <w:b/>
                <w:sz w:val="20"/>
                <w:szCs w:val="20"/>
              </w:rPr>
            </w:pPr>
            <w:r>
              <w:rPr>
                <w:rFonts w:ascii="Arial" w:hAnsi="Arial" w:cs="Arial"/>
                <w:b/>
                <w:sz w:val="20"/>
                <w:szCs w:val="20"/>
              </w:rPr>
              <w:t>Grammatical</w:t>
            </w:r>
            <w:r w:rsidR="00E2014F" w:rsidRPr="00E2014F">
              <w:rPr>
                <w:rFonts w:ascii="Arial" w:hAnsi="Arial" w:cs="Arial"/>
                <w:b/>
                <w:sz w:val="20"/>
                <w:szCs w:val="20"/>
              </w:rPr>
              <w:t xml:space="preserve"> Competence </w:t>
            </w:r>
          </w:p>
        </w:tc>
      </w:tr>
      <w:tr w:rsidR="00E2014F" w:rsidRPr="00E2014F" w14:paraId="0EDC6120" w14:textId="77777777" w:rsidTr="00C42D78">
        <w:trPr>
          <w:trHeight w:val="432"/>
        </w:trPr>
        <w:tc>
          <w:tcPr>
            <w:tcW w:w="1510" w:type="dxa"/>
            <w:vMerge/>
            <w:vAlign w:val="center"/>
          </w:tcPr>
          <w:p w14:paraId="217BDC6F" w14:textId="77777777" w:rsidR="00E2014F" w:rsidRPr="00E2014F" w:rsidRDefault="00E2014F" w:rsidP="00E2014F">
            <w:pPr>
              <w:spacing w:after="160" w:line="259" w:lineRule="auto"/>
              <w:jc w:val="center"/>
              <w:rPr>
                <w:rFonts w:ascii="Arial" w:hAnsi="Arial" w:cs="Arial"/>
                <w:sz w:val="20"/>
                <w:szCs w:val="20"/>
              </w:rPr>
            </w:pPr>
          </w:p>
        </w:tc>
        <w:tc>
          <w:tcPr>
            <w:tcW w:w="1249" w:type="dxa"/>
            <w:tcBorders>
              <w:top w:val="single" w:sz="4" w:space="0" w:color="auto"/>
              <w:bottom w:val="single" w:sz="4" w:space="0" w:color="auto"/>
            </w:tcBorders>
            <w:vAlign w:val="center"/>
          </w:tcPr>
          <w:p w14:paraId="27C43FDB" w14:textId="77777777" w:rsidR="00E2014F" w:rsidRPr="00E2014F" w:rsidRDefault="00E2014F" w:rsidP="00E2014F">
            <w:pPr>
              <w:spacing w:after="160" w:line="259" w:lineRule="auto"/>
              <w:jc w:val="center"/>
              <w:rPr>
                <w:rFonts w:ascii="Arial" w:hAnsi="Arial" w:cs="Arial"/>
                <w:sz w:val="20"/>
                <w:szCs w:val="20"/>
              </w:rPr>
            </w:pPr>
            <w:r w:rsidRPr="00E2014F">
              <w:rPr>
                <w:rFonts w:ascii="Arial" w:hAnsi="Arial" w:cs="Arial"/>
                <w:sz w:val="20"/>
                <w:szCs w:val="20"/>
              </w:rPr>
              <w:t>Prepositions</w:t>
            </w:r>
          </w:p>
        </w:tc>
        <w:tc>
          <w:tcPr>
            <w:tcW w:w="1431" w:type="dxa"/>
            <w:tcBorders>
              <w:top w:val="single" w:sz="4" w:space="0" w:color="auto"/>
              <w:bottom w:val="single" w:sz="4" w:space="0" w:color="auto"/>
            </w:tcBorders>
            <w:vAlign w:val="center"/>
          </w:tcPr>
          <w:p w14:paraId="2ED26A82" w14:textId="77777777" w:rsidR="00E2014F" w:rsidRPr="00E2014F" w:rsidRDefault="00E2014F" w:rsidP="00E2014F">
            <w:pPr>
              <w:spacing w:after="160" w:line="259" w:lineRule="auto"/>
              <w:jc w:val="center"/>
              <w:rPr>
                <w:rFonts w:ascii="Arial" w:hAnsi="Arial" w:cs="Arial"/>
                <w:sz w:val="20"/>
                <w:szCs w:val="20"/>
              </w:rPr>
            </w:pPr>
            <w:r w:rsidRPr="00E2014F">
              <w:rPr>
                <w:rFonts w:ascii="Arial" w:hAnsi="Arial" w:cs="Arial"/>
                <w:sz w:val="20"/>
                <w:szCs w:val="20"/>
              </w:rPr>
              <w:t>Subject Verb-Agreement</w:t>
            </w:r>
          </w:p>
        </w:tc>
        <w:tc>
          <w:tcPr>
            <w:tcW w:w="1301" w:type="dxa"/>
            <w:tcBorders>
              <w:top w:val="single" w:sz="4" w:space="0" w:color="auto"/>
              <w:bottom w:val="single" w:sz="4" w:space="0" w:color="auto"/>
            </w:tcBorders>
            <w:vAlign w:val="center"/>
          </w:tcPr>
          <w:p w14:paraId="594CCEAC" w14:textId="77777777" w:rsidR="00E2014F" w:rsidRPr="00E2014F" w:rsidRDefault="00E2014F" w:rsidP="00E2014F">
            <w:pPr>
              <w:spacing w:after="160" w:line="259" w:lineRule="auto"/>
              <w:jc w:val="center"/>
              <w:rPr>
                <w:rFonts w:ascii="Arial" w:hAnsi="Arial" w:cs="Arial"/>
                <w:sz w:val="20"/>
                <w:szCs w:val="20"/>
              </w:rPr>
            </w:pPr>
            <w:r w:rsidRPr="00E2014F">
              <w:rPr>
                <w:rFonts w:ascii="Arial" w:hAnsi="Arial" w:cs="Arial"/>
                <w:sz w:val="20"/>
                <w:szCs w:val="20"/>
              </w:rPr>
              <w:t>Verb Aspects</w:t>
            </w:r>
          </w:p>
        </w:tc>
        <w:tc>
          <w:tcPr>
            <w:tcW w:w="1253" w:type="dxa"/>
            <w:tcBorders>
              <w:top w:val="single" w:sz="4" w:space="0" w:color="auto"/>
              <w:bottom w:val="single" w:sz="4" w:space="0" w:color="auto"/>
            </w:tcBorders>
            <w:vAlign w:val="center"/>
          </w:tcPr>
          <w:p w14:paraId="72A18754" w14:textId="77777777" w:rsidR="00E2014F" w:rsidRPr="00E2014F" w:rsidRDefault="00E2014F" w:rsidP="00E2014F">
            <w:pPr>
              <w:spacing w:after="160" w:line="259" w:lineRule="auto"/>
              <w:jc w:val="center"/>
              <w:rPr>
                <w:rFonts w:ascii="Arial" w:hAnsi="Arial" w:cs="Arial"/>
                <w:sz w:val="20"/>
                <w:szCs w:val="20"/>
              </w:rPr>
            </w:pPr>
            <w:r w:rsidRPr="00E2014F">
              <w:rPr>
                <w:rFonts w:ascii="Arial" w:hAnsi="Arial" w:cs="Arial"/>
                <w:sz w:val="20"/>
                <w:szCs w:val="20"/>
              </w:rPr>
              <w:t>Modal</w:t>
            </w:r>
          </w:p>
        </w:tc>
        <w:tc>
          <w:tcPr>
            <w:tcW w:w="1286" w:type="dxa"/>
            <w:tcBorders>
              <w:top w:val="single" w:sz="4" w:space="0" w:color="auto"/>
              <w:bottom w:val="single" w:sz="4" w:space="0" w:color="auto"/>
            </w:tcBorders>
            <w:vAlign w:val="center"/>
          </w:tcPr>
          <w:p w14:paraId="39D1A278" w14:textId="77777777" w:rsidR="00E2014F" w:rsidRPr="00E2014F" w:rsidRDefault="00E2014F" w:rsidP="00E2014F">
            <w:pPr>
              <w:spacing w:after="160" w:line="259" w:lineRule="auto"/>
              <w:jc w:val="center"/>
              <w:rPr>
                <w:rFonts w:ascii="Arial" w:hAnsi="Arial" w:cs="Arial"/>
                <w:sz w:val="20"/>
                <w:szCs w:val="20"/>
              </w:rPr>
            </w:pPr>
            <w:r w:rsidRPr="00E2014F">
              <w:rPr>
                <w:rFonts w:ascii="Arial" w:hAnsi="Arial" w:cs="Arial"/>
                <w:sz w:val="20"/>
                <w:szCs w:val="20"/>
              </w:rPr>
              <w:t>Passive Voice</w:t>
            </w:r>
          </w:p>
        </w:tc>
        <w:tc>
          <w:tcPr>
            <w:tcW w:w="1320" w:type="dxa"/>
            <w:tcBorders>
              <w:top w:val="single" w:sz="4" w:space="0" w:color="auto"/>
              <w:bottom w:val="single" w:sz="4" w:space="0" w:color="auto"/>
            </w:tcBorders>
            <w:vAlign w:val="center"/>
          </w:tcPr>
          <w:p w14:paraId="3A52A04C" w14:textId="77777777" w:rsidR="00E2014F" w:rsidRPr="00E2014F" w:rsidRDefault="00E2014F" w:rsidP="00E2014F">
            <w:pPr>
              <w:spacing w:after="160" w:line="259" w:lineRule="auto"/>
              <w:jc w:val="center"/>
              <w:rPr>
                <w:rFonts w:ascii="Arial" w:hAnsi="Arial" w:cs="Arial"/>
                <w:b/>
                <w:sz w:val="20"/>
                <w:szCs w:val="20"/>
              </w:rPr>
            </w:pPr>
            <w:r w:rsidRPr="00E2014F">
              <w:rPr>
                <w:rFonts w:ascii="Arial" w:hAnsi="Arial" w:cs="Arial"/>
                <w:b/>
                <w:sz w:val="20"/>
                <w:szCs w:val="20"/>
              </w:rPr>
              <w:t>Overall</w:t>
            </w:r>
          </w:p>
        </w:tc>
      </w:tr>
      <w:tr w:rsidR="00E2014F" w:rsidRPr="00E2014F" w14:paraId="5FA42B81" w14:textId="77777777" w:rsidTr="00C42D78">
        <w:trPr>
          <w:trHeight w:val="432"/>
        </w:trPr>
        <w:tc>
          <w:tcPr>
            <w:tcW w:w="1510" w:type="dxa"/>
            <w:vAlign w:val="center"/>
          </w:tcPr>
          <w:p w14:paraId="3786B01D" w14:textId="77777777" w:rsidR="00E2014F" w:rsidRPr="00E2014F" w:rsidRDefault="00E2014F" w:rsidP="00E2014F">
            <w:pPr>
              <w:spacing w:after="160" w:line="259" w:lineRule="auto"/>
              <w:jc w:val="both"/>
              <w:rPr>
                <w:rFonts w:ascii="Arial" w:hAnsi="Arial" w:cs="Arial"/>
                <w:sz w:val="20"/>
                <w:szCs w:val="20"/>
              </w:rPr>
            </w:pPr>
            <w:r w:rsidRPr="00E2014F">
              <w:rPr>
                <w:rFonts w:ascii="Arial" w:hAnsi="Arial" w:cs="Arial"/>
                <w:sz w:val="20"/>
                <w:szCs w:val="20"/>
              </w:rPr>
              <w:t>Cognitive</w:t>
            </w:r>
          </w:p>
        </w:tc>
        <w:tc>
          <w:tcPr>
            <w:tcW w:w="1249" w:type="dxa"/>
            <w:tcBorders>
              <w:top w:val="single" w:sz="4" w:space="0" w:color="auto"/>
            </w:tcBorders>
          </w:tcPr>
          <w:p w14:paraId="451F17CF"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.008</w:t>
            </w:r>
          </w:p>
          <w:p w14:paraId="54E140C8" w14:textId="77777777" w:rsidR="00E2014F" w:rsidRPr="00E2014F" w:rsidRDefault="00E2014F" w:rsidP="00E2014F">
            <w:pPr>
              <w:autoSpaceDE w:val="0"/>
              <w:autoSpaceDN w:val="0"/>
              <w:adjustRightInd w:val="0"/>
              <w:spacing w:after="120" w:line="320" w:lineRule="atLeast"/>
              <w:ind w:left="60" w:right="60"/>
              <w:jc w:val="center"/>
              <w:rPr>
                <w:rFonts w:ascii="Arial" w:hAnsi="Arial" w:cs="Arial"/>
                <w:color w:val="000000"/>
                <w:sz w:val="20"/>
                <w:szCs w:val="20"/>
              </w:rPr>
            </w:pPr>
            <w:r w:rsidRPr="00E2014F">
              <w:rPr>
                <w:rFonts w:ascii="Arial" w:hAnsi="Arial" w:cs="Arial"/>
                <w:color w:val="000000"/>
                <w:sz w:val="20"/>
                <w:szCs w:val="20"/>
              </w:rPr>
              <w:t>.866</w:t>
            </w:r>
          </w:p>
        </w:tc>
        <w:tc>
          <w:tcPr>
            <w:tcW w:w="1431" w:type="dxa"/>
            <w:tcBorders>
              <w:top w:val="single" w:sz="4" w:space="0" w:color="auto"/>
            </w:tcBorders>
          </w:tcPr>
          <w:p w14:paraId="607F17AA"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-.002</w:t>
            </w:r>
          </w:p>
          <w:p w14:paraId="06BBBAE4"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.973</w:t>
            </w:r>
          </w:p>
        </w:tc>
        <w:tc>
          <w:tcPr>
            <w:tcW w:w="1301" w:type="dxa"/>
            <w:tcBorders>
              <w:top w:val="single" w:sz="4" w:space="0" w:color="auto"/>
            </w:tcBorders>
          </w:tcPr>
          <w:p w14:paraId="6AFD600B"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-.042</w:t>
            </w:r>
          </w:p>
          <w:p w14:paraId="155A6E13"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.403</w:t>
            </w:r>
          </w:p>
        </w:tc>
        <w:tc>
          <w:tcPr>
            <w:tcW w:w="1253" w:type="dxa"/>
            <w:tcBorders>
              <w:top w:val="single" w:sz="4" w:space="0" w:color="auto"/>
            </w:tcBorders>
          </w:tcPr>
          <w:p w14:paraId="493D8DEB"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-.117</w:t>
            </w:r>
            <w:r w:rsidRPr="00E2014F">
              <w:rPr>
                <w:rFonts w:ascii="Arial" w:hAnsi="Arial" w:cs="Arial"/>
                <w:color w:val="000000"/>
                <w:sz w:val="20"/>
                <w:szCs w:val="20"/>
                <w:vertAlign w:val="superscript"/>
              </w:rPr>
              <w:t>*</w:t>
            </w:r>
          </w:p>
          <w:p w14:paraId="597A40FE"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.019</w:t>
            </w:r>
          </w:p>
        </w:tc>
        <w:tc>
          <w:tcPr>
            <w:tcW w:w="1286" w:type="dxa"/>
            <w:tcBorders>
              <w:top w:val="single" w:sz="4" w:space="0" w:color="auto"/>
            </w:tcBorders>
          </w:tcPr>
          <w:p w14:paraId="421C3B32"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-.187</w:t>
            </w:r>
            <w:r w:rsidRPr="00E2014F">
              <w:rPr>
                <w:rFonts w:ascii="Arial" w:hAnsi="Arial" w:cs="Arial"/>
                <w:color w:val="000000"/>
                <w:sz w:val="20"/>
                <w:szCs w:val="20"/>
                <w:vertAlign w:val="superscript"/>
              </w:rPr>
              <w:t>**</w:t>
            </w:r>
          </w:p>
          <w:p w14:paraId="5017CEB8"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.000</w:t>
            </w:r>
          </w:p>
        </w:tc>
        <w:tc>
          <w:tcPr>
            <w:tcW w:w="1320" w:type="dxa"/>
            <w:tcBorders>
              <w:top w:val="single" w:sz="4" w:space="0" w:color="auto"/>
            </w:tcBorders>
          </w:tcPr>
          <w:p w14:paraId="3C6255B7"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b/>
                <w:color w:val="000000"/>
                <w:sz w:val="20"/>
                <w:szCs w:val="20"/>
              </w:rPr>
            </w:pPr>
            <w:r w:rsidRPr="00E2014F">
              <w:rPr>
                <w:rFonts w:ascii="Arial" w:hAnsi="Arial" w:cs="Arial"/>
                <w:b/>
                <w:color w:val="000000"/>
                <w:sz w:val="20"/>
                <w:szCs w:val="20"/>
              </w:rPr>
              <w:t>-.090</w:t>
            </w:r>
          </w:p>
          <w:p w14:paraId="237F2466"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b/>
                <w:color w:val="000000"/>
                <w:sz w:val="20"/>
                <w:szCs w:val="20"/>
              </w:rPr>
            </w:pPr>
            <w:r w:rsidRPr="00E2014F">
              <w:rPr>
                <w:rFonts w:ascii="Arial" w:hAnsi="Arial" w:cs="Arial"/>
                <w:b/>
                <w:color w:val="000000"/>
                <w:sz w:val="20"/>
                <w:szCs w:val="20"/>
              </w:rPr>
              <w:t>.071</w:t>
            </w:r>
          </w:p>
        </w:tc>
      </w:tr>
      <w:tr w:rsidR="00E2014F" w:rsidRPr="00E2014F" w14:paraId="4520FB30" w14:textId="77777777" w:rsidTr="00C42D78">
        <w:trPr>
          <w:trHeight w:val="432"/>
        </w:trPr>
        <w:tc>
          <w:tcPr>
            <w:tcW w:w="1510" w:type="dxa"/>
            <w:vAlign w:val="center"/>
          </w:tcPr>
          <w:p w14:paraId="3825D486" w14:textId="77777777" w:rsidR="00E2014F" w:rsidRPr="00E2014F" w:rsidRDefault="00E2014F" w:rsidP="00E2014F">
            <w:pPr>
              <w:spacing w:after="160" w:line="259" w:lineRule="auto"/>
              <w:jc w:val="both"/>
              <w:rPr>
                <w:rFonts w:ascii="Arial" w:hAnsi="Arial" w:cs="Arial"/>
                <w:sz w:val="20"/>
                <w:szCs w:val="20"/>
              </w:rPr>
            </w:pPr>
            <w:r w:rsidRPr="00E2014F">
              <w:rPr>
                <w:rFonts w:ascii="Arial" w:hAnsi="Arial" w:cs="Arial"/>
                <w:sz w:val="20"/>
                <w:szCs w:val="20"/>
              </w:rPr>
              <w:t>Metacognitive</w:t>
            </w:r>
          </w:p>
        </w:tc>
        <w:tc>
          <w:tcPr>
            <w:tcW w:w="1249" w:type="dxa"/>
          </w:tcPr>
          <w:p w14:paraId="1E56D84C"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-.045</w:t>
            </w:r>
          </w:p>
          <w:p w14:paraId="04B49742" w14:textId="77777777" w:rsidR="00E2014F" w:rsidRPr="00E2014F" w:rsidRDefault="00E2014F" w:rsidP="00E2014F">
            <w:pPr>
              <w:autoSpaceDE w:val="0"/>
              <w:autoSpaceDN w:val="0"/>
              <w:adjustRightInd w:val="0"/>
              <w:spacing w:after="120" w:line="320" w:lineRule="atLeast"/>
              <w:ind w:left="60" w:right="60"/>
              <w:jc w:val="center"/>
              <w:rPr>
                <w:rFonts w:ascii="Arial" w:hAnsi="Arial" w:cs="Arial"/>
                <w:color w:val="000000"/>
                <w:sz w:val="20"/>
                <w:szCs w:val="20"/>
              </w:rPr>
            </w:pPr>
            <w:r w:rsidRPr="00E2014F">
              <w:rPr>
                <w:rFonts w:ascii="Arial" w:hAnsi="Arial" w:cs="Arial"/>
                <w:color w:val="000000"/>
                <w:sz w:val="20"/>
                <w:szCs w:val="20"/>
              </w:rPr>
              <w:t>.371</w:t>
            </w:r>
          </w:p>
        </w:tc>
        <w:tc>
          <w:tcPr>
            <w:tcW w:w="1431" w:type="dxa"/>
          </w:tcPr>
          <w:p w14:paraId="1F1B6292"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-.004</w:t>
            </w:r>
          </w:p>
          <w:p w14:paraId="78A1393A"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.931</w:t>
            </w:r>
          </w:p>
        </w:tc>
        <w:tc>
          <w:tcPr>
            <w:tcW w:w="1301" w:type="dxa"/>
          </w:tcPr>
          <w:p w14:paraId="5C1D5D21"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-.037</w:t>
            </w:r>
          </w:p>
          <w:p w14:paraId="6D8AACF4"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.455</w:t>
            </w:r>
          </w:p>
        </w:tc>
        <w:tc>
          <w:tcPr>
            <w:tcW w:w="1253" w:type="dxa"/>
          </w:tcPr>
          <w:p w14:paraId="7C19F10B"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-.132</w:t>
            </w:r>
            <w:r w:rsidRPr="00E2014F">
              <w:rPr>
                <w:rFonts w:ascii="Arial" w:hAnsi="Arial" w:cs="Arial"/>
                <w:color w:val="000000"/>
                <w:sz w:val="20"/>
                <w:szCs w:val="20"/>
                <w:vertAlign w:val="superscript"/>
              </w:rPr>
              <w:t>**</w:t>
            </w:r>
          </w:p>
          <w:p w14:paraId="0A411C20"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.008</w:t>
            </w:r>
          </w:p>
        </w:tc>
        <w:tc>
          <w:tcPr>
            <w:tcW w:w="1286" w:type="dxa"/>
          </w:tcPr>
          <w:p w14:paraId="7EE0A51A"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-.165</w:t>
            </w:r>
            <w:r w:rsidRPr="00E2014F">
              <w:rPr>
                <w:rFonts w:ascii="Arial" w:hAnsi="Arial" w:cs="Arial"/>
                <w:color w:val="000000"/>
                <w:sz w:val="20"/>
                <w:szCs w:val="20"/>
                <w:vertAlign w:val="superscript"/>
              </w:rPr>
              <w:t>**</w:t>
            </w:r>
          </w:p>
          <w:p w14:paraId="0B2AE077"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color w:val="000000"/>
                <w:sz w:val="20"/>
                <w:szCs w:val="20"/>
              </w:rPr>
            </w:pPr>
            <w:r w:rsidRPr="00E2014F">
              <w:rPr>
                <w:rFonts w:ascii="Arial" w:hAnsi="Arial" w:cs="Arial"/>
                <w:color w:val="000000"/>
                <w:sz w:val="20"/>
                <w:szCs w:val="20"/>
              </w:rPr>
              <w:t>.001</w:t>
            </w:r>
          </w:p>
        </w:tc>
        <w:tc>
          <w:tcPr>
            <w:tcW w:w="1320" w:type="dxa"/>
          </w:tcPr>
          <w:p w14:paraId="06F1FF30"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b/>
                <w:color w:val="000000"/>
                <w:sz w:val="20"/>
                <w:szCs w:val="20"/>
              </w:rPr>
            </w:pPr>
            <w:r w:rsidRPr="00E2014F">
              <w:rPr>
                <w:rFonts w:ascii="Arial" w:hAnsi="Arial" w:cs="Arial"/>
                <w:b/>
                <w:color w:val="000000"/>
                <w:sz w:val="20"/>
                <w:szCs w:val="20"/>
              </w:rPr>
              <w:t>-.101</w:t>
            </w:r>
            <w:r w:rsidRPr="00E2014F">
              <w:rPr>
                <w:rFonts w:ascii="Arial" w:hAnsi="Arial" w:cs="Arial"/>
                <w:b/>
                <w:color w:val="000000"/>
                <w:sz w:val="20"/>
                <w:szCs w:val="20"/>
                <w:vertAlign w:val="superscript"/>
              </w:rPr>
              <w:t>*</w:t>
            </w:r>
          </w:p>
          <w:p w14:paraId="0CD792A2"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b/>
                <w:color w:val="000000"/>
                <w:sz w:val="20"/>
                <w:szCs w:val="20"/>
              </w:rPr>
            </w:pPr>
            <w:r w:rsidRPr="00E2014F">
              <w:rPr>
                <w:rFonts w:ascii="Arial" w:hAnsi="Arial" w:cs="Arial"/>
                <w:b/>
                <w:color w:val="000000"/>
                <w:sz w:val="20"/>
                <w:szCs w:val="20"/>
              </w:rPr>
              <w:t>.043</w:t>
            </w:r>
          </w:p>
        </w:tc>
      </w:tr>
      <w:tr w:rsidR="00E2014F" w:rsidRPr="00E2014F" w14:paraId="1B0FD3EC" w14:textId="77777777" w:rsidTr="00C42D78">
        <w:trPr>
          <w:trHeight w:val="432"/>
        </w:trPr>
        <w:tc>
          <w:tcPr>
            <w:tcW w:w="1510" w:type="dxa"/>
            <w:tcBorders>
              <w:bottom w:val="single" w:sz="4" w:space="0" w:color="auto"/>
            </w:tcBorders>
            <w:vAlign w:val="center"/>
          </w:tcPr>
          <w:p w14:paraId="1D512BF8" w14:textId="77777777" w:rsidR="00E2014F" w:rsidRPr="00E2014F" w:rsidRDefault="00E2014F" w:rsidP="00E2014F">
            <w:pPr>
              <w:spacing w:after="160" w:line="259" w:lineRule="auto"/>
              <w:jc w:val="center"/>
              <w:rPr>
                <w:rFonts w:ascii="Arial" w:hAnsi="Arial" w:cs="Arial"/>
                <w:b/>
                <w:sz w:val="20"/>
                <w:szCs w:val="20"/>
              </w:rPr>
            </w:pPr>
            <w:r w:rsidRPr="00E2014F">
              <w:rPr>
                <w:rFonts w:ascii="Arial" w:hAnsi="Arial" w:cs="Arial"/>
                <w:b/>
                <w:sz w:val="20"/>
                <w:szCs w:val="20"/>
              </w:rPr>
              <w:t>Overall</w:t>
            </w:r>
          </w:p>
        </w:tc>
        <w:tc>
          <w:tcPr>
            <w:tcW w:w="1249" w:type="dxa"/>
            <w:tcBorders>
              <w:bottom w:val="single" w:sz="4" w:space="0" w:color="auto"/>
            </w:tcBorders>
          </w:tcPr>
          <w:p w14:paraId="4E10802A"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b/>
                <w:color w:val="000000"/>
                <w:sz w:val="20"/>
                <w:szCs w:val="20"/>
              </w:rPr>
            </w:pPr>
            <w:r w:rsidRPr="00E2014F">
              <w:rPr>
                <w:rFonts w:ascii="Arial" w:hAnsi="Arial" w:cs="Arial"/>
                <w:b/>
                <w:color w:val="000000"/>
                <w:sz w:val="20"/>
                <w:szCs w:val="20"/>
              </w:rPr>
              <w:t>-.021</w:t>
            </w:r>
          </w:p>
          <w:p w14:paraId="6A11B880"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b/>
                <w:color w:val="000000"/>
                <w:sz w:val="20"/>
                <w:szCs w:val="20"/>
              </w:rPr>
            </w:pPr>
            <w:r w:rsidRPr="00E2014F">
              <w:rPr>
                <w:rFonts w:ascii="Arial" w:hAnsi="Arial" w:cs="Arial"/>
                <w:b/>
                <w:color w:val="000000"/>
                <w:sz w:val="20"/>
                <w:szCs w:val="20"/>
              </w:rPr>
              <w:t>.673</w:t>
            </w:r>
          </w:p>
        </w:tc>
        <w:tc>
          <w:tcPr>
            <w:tcW w:w="1431" w:type="dxa"/>
            <w:tcBorders>
              <w:bottom w:val="single" w:sz="4" w:space="0" w:color="auto"/>
            </w:tcBorders>
          </w:tcPr>
          <w:p w14:paraId="44E00042"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b/>
                <w:color w:val="000000"/>
                <w:sz w:val="20"/>
                <w:szCs w:val="20"/>
              </w:rPr>
            </w:pPr>
            <w:r w:rsidRPr="00E2014F">
              <w:rPr>
                <w:rFonts w:ascii="Arial" w:hAnsi="Arial" w:cs="Arial"/>
                <w:b/>
                <w:color w:val="000000"/>
                <w:sz w:val="20"/>
                <w:szCs w:val="20"/>
              </w:rPr>
              <w:t>-.003</w:t>
            </w:r>
          </w:p>
          <w:p w14:paraId="6076C42F"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b/>
                <w:color w:val="000000"/>
                <w:sz w:val="20"/>
                <w:szCs w:val="20"/>
              </w:rPr>
            </w:pPr>
            <w:r w:rsidRPr="00E2014F">
              <w:rPr>
                <w:rFonts w:ascii="Arial" w:hAnsi="Arial" w:cs="Arial"/>
                <w:b/>
                <w:color w:val="000000"/>
                <w:sz w:val="20"/>
                <w:szCs w:val="20"/>
              </w:rPr>
              <w:t>.947</w:t>
            </w:r>
          </w:p>
        </w:tc>
        <w:tc>
          <w:tcPr>
            <w:tcW w:w="1301" w:type="dxa"/>
            <w:tcBorders>
              <w:bottom w:val="single" w:sz="4" w:space="0" w:color="auto"/>
            </w:tcBorders>
          </w:tcPr>
          <w:p w14:paraId="4751219B"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b/>
                <w:color w:val="000000"/>
                <w:sz w:val="20"/>
                <w:szCs w:val="20"/>
              </w:rPr>
            </w:pPr>
            <w:r w:rsidRPr="00E2014F">
              <w:rPr>
                <w:rFonts w:ascii="Arial" w:hAnsi="Arial" w:cs="Arial"/>
                <w:b/>
                <w:color w:val="000000"/>
                <w:sz w:val="20"/>
                <w:szCs w:val="20"/>
              </w:rPr>
              <w:t>-.043</w:t>
            </w:r>
          </w:p>
          <w:p w14:paraId="0E830BAE"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b/>
                <w:color w:val="000000"/>
                <w:sz w:val="20"/>
                <w:szCs w:val="20"/>
              </w:rPr>
            </w:pPr>
            <w:r w:rsidRPr="00E2014F">
              <w:rPr>
                <w:rFonts w:ascii="Arial" w:hAnsi="Arial" w:cs="Arial"/>
                <w:b/>
                <w:color w:val="000000"/>
                <w:sz w:val="20"/>
                <w:szCs w:val="20"/>
              </w:rPr>
              <w:t>.392</w:t>
            </w:r>
          </w:p>
        </w:tc>
        <w:tc>
          <w:tcPr>
            <w:tcW w:w="1253" w:type="dxa"/>
            <w:tcBorders>
              <w:bottom w:val="single" w:sz="4" w:space="0" w:color="auto"/>
            </w:tcBorders>
          </w:tcPr>
          <w:p w14:paraId="5463D9EB"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b/>
                <w:color w:val="000000"/>
                <w:sz w:val="20"/>
                <w:szCs w:val="20"/>
              </w:rPr>
            </w:pPr>
            <w:r w:rsidRPr="00E2014F">
              <w:rPr>
                <w:rFonts w:ascii="Arial" w:hAnsi="Arial" w:cs="Arial"/>
                <w:b/>
                <w:color w:val="000000"/>
                <w:sz w:val="20"/>
                <w:szCs w:val="20"/>
              </w:rPr>
              <w:t>-.136</w:t>
            </w:r>
            <w:r w:rsidRPr="00E2014F">
              <w:rPr>
                <w:rFonts w:ascii="Arial" w:hAnsi="Arial" w:cs="Arial"/>
                <w:b/>
                <w:color w:val="000000"/>
                <w:sz w:val="20"/>
                <w:szCs w:val="20"/>
                <w:vertAlign w:val="superscript"/>
              </w:rPr>
              <w:t>**</w:t>
            </w:r>
          </w:p>
          <w:p w14:paraId="15ABDFB2"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b/>
                <w:color w:val="000000"/>
                <w:sz w:val="20"/>
                <w:szCs w:val="20"/>
              </w:rPr>
            </w:pPr>
            <w:r w:rsidRPr="00E2014F">
              <w:rPr>
                <w:rFonts w:ascii="Arial" w:hAnsi="Arial" w:cs="Arial"/>
                <w:b/>
                <w:color w:val="000000"/>
                <w:sz w:val="20"/>
                <w:szCs w:val="20"/>
              </w:rPr>
              <w:t>.007</w:t>
            </w:r>
          </w:p>
        </w:tc>
        <w:tc>
          <w:tcPr>
            <w:tcW w:w="1286" w:type="dxa"/>
            <w:tcBorders>
              <w:bottom w:val="single" w:sz="4" w:space="0" w:color="auto"/>
            </w:tcBorders>
          </w:tcPr>
          <w:p w14:paraId="7DB16289"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b/>
                <w:color w:val="000000"/>
                <w:sz w:val="20"/>
                <w:szCs w:val="20"/>
              </w:rPr>
            </w:pPr>
            <w:r w:rsidRPr="00E2014F">
              <w:rPr>
                <w:rFonts w:ascii="Arial" w:hAnsi="Arial" w:cs="Arial"/>
                <w:b/>
                <w:color w:val="000000"/>
                <w:sz w:val="20"/>
                <w:szCs w:val="20"/>
              </w:rPr>
              <w:t>-.190</w:t>
            </w:r>
            <w:r w:rsidRPr="00E2014F">
              <w:rPr>
                <w:rFonts w:ascii="Arial" w:hAnsi="Arial" w:cs="Arial"/>
                <w:b/>
                <w:color w:val="000000"/>
                <w:sz w:val="20"/>
                <w:szCs w:val="20"/>
                <w:vertAlign w:val="superscript"/>
              </w:rPr>
              <w:t>**</w:t>
            </w:r>
          </w:p>
          <w:p w14:paraId="191E2ECA"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b/>
                <w:color w:val="000000"/>
                <w:sz w:val="20"/>
                <w:szCs w:val="20"/>
              </w:rPr>
            </w:pPr>
            <w:r w:rsidRPr="00E2014F">
              <w:rPr>
                <w:rFonts w:ascii="Arial" w:hAnsi="Arial" w:cs="Arial"/>
                <w:b/>
                <w:color w:val="000000"/>
                <w:sz w:val="20"/>
                <w:szCs w:val="20"/>
              </w:rPr>
              <w:t>.000</w:t>
            </w:r>
          </w:p>
        </w:tc>
        <w:tc>
          <w:tcPr>
            <w:tcW w:w="1320" w:type="dxa"/>
            <w:tcBorders>
              <w:bottom w:val="single" w:sz="4" w:space="0" w:color="auto"/>
            </w:tcBorders>
          </w:tcPr>
          <w:p w14:paraId="35F5A92A"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b/>
                <w:color w:val="000000"/>
                <w:sz w:val="20"/>
                <w:szCs w:val="20"/>
              </w:rPr>
            </w:pPr>
            <w:r w:rsidRPr="00E2014F">
              <w:rPr>
                <w:rFonts w:ascii="Arial" w:hAnsi="Arial" w:cs="Arial"/>
                <w:b/>
                <w:color w:val="000000"/>
                <w:sz w:val="20"/>
                <w:szCs w:val="20"/>
              </w:rPr>
              <w:t>-.104</w:t>
            </w:r>
            <w:r w:rsidRPr="00E2014F">
              <w:rPr>
                <w:rFonts w:ascii="Arial" w:hAnsi="Arial" w:cs="Arial"/>
                <w:b/>
                <w:color w:val="000000"/>
                <w:sz w:val="20"/>
                <w:szCs w:val="20"/>
                <w:vertAlign w:val="superscript"/>
              </w:rPr>
              <w:t>*</w:t>
            </w:r>
          </w:p>
          <w:p w14:paraId="2C67896D" w14:textId="77777777" w:rsidR="00E2014F" w:rsidRPr="00E2014F" w:rsidRDefault="00E2014F" w:rsidP="00E2014F">
            <w:pPr>
              <w:autoSpaceDE w:val="0"/>
              <w:autoSpaceDN w:val="0"/>
              <w:adjustRightInd w:val="0"/>
              <w:spacing w:after="160" w:line="320" w:lineRule="atLeast"/>
              <w:ind w:left="60" w:right="60"/>
              <w:jc w:val="center"/>
              <w:rPr>
                <w:rFonts w:ascii="Arial" w:hAnsi="Arial" w:cs="Arial"/>
                <w:b/>
                <w:color w:val="000000"/>
                <w:sz w:val="20"/>
                <w:szCs w:val="20"/>
              </w:rPr>
            </w:pPr>
            <w:r w:rsidRPr="00E2014F">
              <w:rPr>
                <w:rFonts w:ascii="Arial" w:hAnsi="Arial" w:cs="Arial"/>
                <w:b/>
                <w:color w:val="000000"/>
                <w:sz w:val="20"/>
                <w:szCs w:val="20"/>
              </w:rPr>
              <w:t>.037</w:t>
            </w:r>
          </w:p>
        </w:tc>
      </w:tr>
    </w:tbl>
    <w:p w14:paraId="029A96B4" w14:textId="77777777" w:rsidR="008D08C6" w:rsidRPr="00D33E3B" w:rsidRDefault="008D08C6" w:rsidP="00D33E3B">
      <w:pPr>
        <w:pStyle w:val="Body"/>
        <w:rPr>
          <w:rFonts w:ascii="Arial" w:hAnsi="Arial" w:cs="Arial"/>
        </w:rPr>
      </w:pPr>
    </w:p>
    <w:p w14:paraId="53E3A81C" w14:textId="0E8B8ADA" w:rsidR="00D33E3B" w:rsidRPr="00D33E3B" w:rsidRDefault="00D33E3B" w:rsidP="00D33E3B">
      <w:pPr>
        <w:pStyle w:val="Body"/>
        <w:rPr>
          <w:rFonts w:ascii="Arial" w:hAnsi="Arial" w:cs="Arial"/>
        </w:rPr>
      </w:pPr>
      <w:r w:rsidRPr="00D33E3B">
        <w:rPr>
          <w:rFonts w:ascii="Arial" w:hAnsi="Arial" w:cs="Arial"/>
        </w:rPr>
        <w:t>The results confirm the findings of Zhang and Wu (</w:t>
      </w:r>
      <w:r w:rsidR="00A6296B">
        <w:rPr>
          <w:rFonts w:ascii="Arial" w:hAnsi="Arial" w:cs="Arial"/>
        </w:rPr>
        <w:t>2009</w:t>
      </w:r>
      <w:r w:rsidRPr="00D33E3B">
        <w:rPr>
          <w:rFonts w:ascii="Arial" w:hAnsi="Arial" w:cs="Arial"/>
        </w:rPr>
        <w:t xml:space="preserve">) and </w:t>
      </w:r>
      <w:proofErr w:type="spellStart"/>
      <w:r w:rsidRPr="00D33E3B">
        <w:rPr>
          <w:rFonts w:ascii="Arial" w:hAnsi="Arial" w:cs="Arial"/>
        </w:rPr>
        <w:t>Pamuji</w:t>
      </w:r>
      <w:proofErr w:type="spellEnd"/>
      <w:r w:rsidRPr="00D33E3B">
        <w:rPr>
          <w:rFonts w:ascii="Arial" w:hAnsi="Arial" w:cs="Arial"/>
        </w:rPr>
        <w:t xml:space="preserve"> et al. (2017) regarding the use of reading strategies, which help students identify and internalize grammatical </w:t>
      </w:r>
      <w:r w:rsidR="0005127F">
        <w:rPr>
          <w:rFonts w:ascii="Arial" w:hAnsi="Arial" w:cs="Arial"/>
        </w:rPr>
        <w:t>competence</w:t>
      </w:r>
      <w:r w:rsidRPr="00D33E3B">
        <w:rPr>
          <w:rFonts w:ascii="Arial" w:hAnsi="Arial" w:cs="Arial"/>
        </w:rPr>
        <w:t xml:space="preserve">, leading to more accurate and appropriate language use. It was found that students who employ metacognitive reading strategies such as predicting, inferring, and monitoring their own comprehension tend to have greater grammatical awareness and stronger language skills. These strategies also enhance awareness and regulation of one’s own learning process. The study by </w:t>
      </w:r>
      <w:proofErr w:type="spellStart"/>
      <w:r w:rsidRPr="00D33E3B">
        <w:rPr>
          <w:rFonts w:ascii="Arial" w:hAnsi="Arial" w:cs="Arial"/>
        </w:rPr>
        <w:t>Pamuji</w:t>
      </w:r>
      <w:proofErr w:type="spellEnd"/>
      <w:r w:rsidRPr="00D33E3B">
        <w:rPr>
          <w:rFonts w:ascii="Arial" w:hAnsi="Arial" w:cs="Arial"/>
        </w:rPr>
        <w:t xml:space="preserve"> et al. (2017) similarly shows that reading aids students in recognizing and internalizing grammatical </w:t>
      </w:r>
      <w:r w:rsidR="0005127F">
        <w:rPr>
          <w:rFonts w:ascii="Arial" w:hAnsi="Arial" w:cs="Arial"/>
        </w:rPr>
        <w:t>competence</w:t>
      </w:r>
      <w:r w:rsidRPr="00D33E3B">
        <w:rPr>
          <w:rFonts w:ascii="Arial" w:hAnsi="Arial" w:cs="Arial"/>
        </w:rPr>
        <w:t>, resulting in more precise and effective language use.</w:t>
      </w:r>
    </w:p>
    <w:p w14:paraId="652E7C8E" w14:textId="6C95BCFE" w:rsidR="00DB5311" w:rsidRPr="00DB5311" w:rsidRDefault="00D33E3B" w:rsidP="00D33E3B">
      <w:pPr>
        <w:pStyle w:val="Body"/>
        <w:rPr>
          <w:rFonts w:ascii="Arial" w:hAnsi="Arial" w:cs="Arial"/>
        </w:rPr>
      </w:pPr>
      <w:r w:rsidRPr="00D33E3B">
        <w:rPr>
          <w:rFonts w:ascii="Arial" w:hAnsi="Arial" w:cs="Arial"/>
        </w:rPr>
        <w:t xml:space="preserve">The findings are further supported by the study of Siregar et al. (2020), which examined the relationship between the use of reading strategies and students’ reading comprehension. It revealed that even though students use various reading strategies, these have little effect on their ability to understand texts, as indicated by the very weak correlation (r = 0.033). This suggests that merely using reading strategies is not sufficient to improve comprehension, nor does it necessarily enhance grammatical competence. This could be due to a lack of grammatical </w:t>
      </w:r>
      <w:r w:rsidR="0063741A">
        <w:rPr>
          <w:rFonts w:ascii="Arial" w:hAnsi="Arial" w:cs="Arial"/>
        </w:rPr>
        <w:t>competence</w:t>
      </w:r>
      <w:r w:rsidRPr="00D33E3B">
        <w:rPr>
          <w:rFonts w:ascii="Arial" w:hAnsi="Arial" w:cs="Arial"/>
        </w:rPr>
        <w:t xml:space="preserve"> or the incorrect use of strategies. The study shows that a higher use of reading strategies does not always lead to better outcomes, especially if not supported by a solid linguistic foundation.</w:t>
      </w:r>
    </w:p>
    <w:p w14:paraId="36B9E30B" w14:textId="0E86D9BE" w:rsidR="00D33E3B" w:rsidRPr="00D33E3B" w:rsidRDefault="00D33E3B" w:rsidP="00D33E3B">
      <w:pPr>
        <w:pStyle w:val="Body"/>
        <w:rPr>
          <w:rFonts w:ascii="Arial" w:hAnsi="Arial" w:cs="Arial"/>
        </w:rPr>
      </w:pPr>
      <w:r w:rsidRPr="00D33E3B">
        <w:rPr>
          <w:rFonts w:ascii="Arial" w:hAnsi="Arial" w:cs="Arial"/>
        </w:rPr>
        <w:t>Three models were developed to determine the most optimal model for students’ grammatical competence. These models were evaluated using the provided fit indices, which served as the basis for accepting or rejecting the model.</w:t>
      </w:r>
    </w:p>
    <w:p w14:paraId="1255C867" w14:textId="77777777" w:rsidR="007E5514" w:rsidRPr="007E5514" w:rsidRDefault="007E5514" w:rsidP="007E5514">
      <w:pPr>
        <w:pStyle w:val="Body"/>
        <w:contextualSpacing/>
        <w:rPr>
          <w:rFonts w:ascii="Arial" w:hAnsi="Arial" w:cs="Arial"/>
          <w:b/>
          <w:lang w:val="en-PH"/>
        </w:rPr>
      </w:pPr>
      <w:r w:rsidRPr="007E5514">
        <w:rPr>
          <w:rFonts w:ascii="Arial" w:hAnsi="Arial" w:cs="Arial"/>
          <w:b/>
          <w:lang w:val="en-PH"/>
        </w:rPr>
        <w:t>Table 8</w:t>
      </w:r>
    </w:p>
    <w:p w14:paraId="7FF5D00F" w14:textId="77777777" w:rsidR="007E5514" w:rsidRPr="007E5514" w:rsidRDefault="007E5514" w:rsidP="007E5514">
      <w:pPr>
        <w:pStyle w:val="Body"/>
        <w:contextualSpacing/>
        <w:rPr>
          <w:rFonts w:ascii="Arial" w:hAnsi="Arial" w:cs="Arial"/>
          <w:b/>
          <w:lang w:val="en-PH"/>
        </w:rPr>
      </w:pPr>
      <w:r w:rsidRPr="007E5514">
        <w:rPr>
          <w:rFonts w:ascii="Arial" w:hAnsi="Arial" w:cs="Arial"/>
          <w:i/>
          <w:lang w:val="en-PH"/>
        </w:rPr>
        <w:t>Summary of Goodness of Fit Measures of the Three Developed Models</w:t>
      </w:r>
    </w:p>
    <w:tbl>
      <w:tblPr>
        <w:tblW w:w="8499" w:type="dxa"/>
        <w:tblLayout w:type="fixed"/>
        <w:tblLook w:val="04A0" w:firstRow="1" w:lastRow="0" w:firstColumn="1" w:lastColumn="0" w:noHBand="0" w:noVBand="1"/>
      </w:tblPr>
      <w:tblGrid>
        <w:gridCol w:w="882"/>
        <w:gridCol w:w="1134"/>
        <w:gridCol w:w="1136"/>
        <w:gridCol w:w="825"/>
        <w:gridCol w:w="874"/>
        <w:gridCol w:w="875"/>
        <w:gridCol w:w="875"/>
        <w:gridCol w:w="962"/>
        <w:gridCol w:w="936"/>
      </w:tblGrid>
      <w:tr w:rsidR="007E5514" w:rsidRPr="007E5514" w14:paraId="0D294DF5" w14:textId="77777777" w:rsidTr="007E5514">
        <w:trPr>
          <w:trHeight w:val="1132"/>
        </w:trPr>
        <w:tc>
          <w:tcPr>
            <w:tcW w:w="882" w:type="dxa"/>
            <w:tcBorders>
              <w:top w:val="single" w:sz="4" w:space="0" w:color="auto"/>
              <w:bottom w:val="single" w:sz="4" w:space="0" w:color="auto"/>
            </w:tcBorders>
            <w:shd w:val="clear" w:color="auto" w:fill="auto"/>
          </w:tcPr>
          <w:p w14:paraId="143BDBF1" w14:textId="77777777" w:rsidR="007E5514" w:rsidRPr="007E5514" w:rsidRDefault="007E5514" w:rsidP="007E5514">
            <w:pPr>
              <w:pStyle w:val="Body"/>
              <w:rPr>
                <w:rFonts w:ascii="Arial" w:hAnsi="Arial" w:cs="Arial"/>
                <w:b/>
                <w:lang w:val="en-PH"/>
              </w:rPr>
            </w:pPr>
          </w:p>
          <w:p w14:paraId="57717634" w14:textId="77777777" w:rsidR="007E5514" w:rsidRPr="007E5514" w:rsidRDefault="007E5514" w:rsidP="007E5514">
            <w:pPr>
              <w:pStyle w:val="Body"/>
              <w:rPr>
                <w:rFonts w:ascii="Arial" w:hAnsi="Arial" w:cs="Arial"/>
                <w:b/>
                <w:lang w:val="en-PH"/>
              </w:rPr>
            </w:pPr>
            <w:r w:rsidRPr="007E5514">
              <w:rPr>
                <w:rFonts w:ascii="Arial" w:hAnsi="Arial" w:cs="Arial"/>
                <w:b/>
                <w:lang w:val="en-PH"/>
              </w:rPr>
              <w:t>Model</w:t>
            </w:r>
          </w:p>
        </w:tc>
        <w:tc>
          <w:tcPr>
            <w:tcW w:w="1134" w:type="dxa"/>
            <w:tcBorders>
              <w:top w:val="single" w:sz="4" w:space="0" w:color="auto"/>
              <w:bottom w:val="single" w:sz="4" w:space="0" w:color="auto"/>
            </w:tcBorders>
            <w:shd w:val="clear" w:color="auto" w:fill="auto"/>
          </w:tcPr>
          <w:p w14:paraId="36D097EF" w14:textId="77777777" w:rsidR="007E5514" w:rsidRPr="007E5514" w:rsidRDefault="007E5514" w:rsidP="007E5514">
            <w:pPr>
              <w:pStyle w:val="Body"/>
              <w:rPr>
                <w:rFonts w:ascii="Arial" w:hAnsi="Arial" w:cs="Arial"/>
                <w:b/>
                <w:lang w:val="en-PH"/>
              </w:rPr>
            </w:pPr>
            <w:r w:rsidRPr="007E5514">
              <w:rPr>
                <w:rFonts w:ascii="Arial" w:hAnsi="Arial" w:cs="Arial"/>
                <w:b/>
                <w:lang w:val="en-PH"/>
              </w:rPr>
              <w:t>P-value</w:t>
            </w:r>
          </w:p>
          <w:p w14:paraId="7B618D01" w14:textId="77777777" w:rsidR="007E5514" w:rsidRPr="007E5514" w:rsidRDefault="007E5514" w:rsidP="007E5514">
            <w:pPr>
              <w:pStyle w:val="Body"/>
              <w:rPr>
                <w:rFonts w:ascii="Arial" w:hAnsi="Arial" w:cs="Arial"/>
                <w:b/>
                <w:lang w:val="en-PH"/>
              </w:rPr>
            </w:pPr>
            <w:r w:rsidRPr="007E5514">
              <w:rPr>
                <w:rFonts w:ascii="Arial" w:hAnsi="Arial" w:cs="Arial"/>
                <w:b/>
                <w:lang w:val="en-PH"/>
              </w:rPr>
              <w:t>(&gt;0.05)</w:t>
            </w:r>
          </w:p>
        </w:tc>
        <w:tc>
          <w:tcPr>
            <w:tcW w:w="1136" w:type="dxa"/>
            <w:tcBorders>
              <w:top w:val="single" w:sz="4" w:space="0" w:color="auto"/>
              <w:bottom w:val="single" w:sz="4" w:space="0" w:color="auto"/>
            </w:tcBorders>
            <w:shd w:val="clear" w:color="auto" w:fill="auto"/>
          </w:tcPr>
          <w:p w14:paraId="686B4FC1" w14:textId="77777777" w:rsidR="007E5514" w:rsidRPr="007E5514" w:rsidRDefault="007E5514" w:rsidP="007E5514">
            <w:pPr>
              <w:pStyle w:val="Body"/>
              <w:rPr>
                <w:rFonts w:ascii="Arial" w:hAnsi="Arial" w:cs="Arial"/>
                <w:b/>
                <w:lang w:val="en-PH"/>
              </w:rPr>
            </w:pPr>
            <w:r w:rsidRPr="007E5514">
              <w:rPr>
                <w:rFonts w:ascii="Arial" w:hAnsi="Arial" w:cs="Arial"/>
                <w:b/>
                <w:lang w:val="en-PH"/>
              </w:rPr>
              <w:t>CMIN / DF</w:t>
            </w:r>
          </w:p>
          <w:p w14:paraId="77DF8AA2" w14:textId="77777777" w:rsidR="007E5514" w:rsidRPr="007E5514" w:rsidRDefault="007E5514" w:rsidP="007E5514">
            <w:pPr>
              <w:pStyle w:val="Body"/>
              <w:rPr>
                <w:rFonts w:ascii="Arial" w:hAnsi="Arial" w:cs="Arial"/>
                <w:b/>
                <w:lang w:val="en-PH"/>
              </w:rPr>
            </w:pPr>
            <w:r w:rsidRPr="007E5514">
              <w:rPr>
                <w:rFonts w:ascii="Arial" w:hAnsi="Arial" w:cs="Arial"/>
                <w:b/>
                <w:lang w:val="en-PH"/>
              </w:rPr>
              <w:t>(0&lt;value&lt;2)</w:t>
            </w:r>
          </w:p>
        </w:tc>
        <w:tc>
          <w:tcPr>
            <w:tcW w:w="825" w:type="dxa"/>
            <w:tcBorders>
              <w:top w:val="single" w:sz="4" w:space="0" w:color="auto"/>
              <w:bottom w:val="single" w:sz="4" w:space="0" w:color="auto"/>
            </w:tcBorders>
            <w:shd w:val="clear" w:color="auto" w:fill="auto"/>
          </w:tcPr>
          <w:p w14:paraId="55D65BCA" w14:textId="77777777" w:rsidR="007E5514" w:rsidRPr="007E5514" w:rsidRDefault="007E5514" w:rsidP="007E5514">
            <w:pPr>
              <w:pStyle w:val="Body"/>
              <w:rPr>
                <w:rFonts w:ascii="Arial" w:hAnsi="Arial" w:cs="Arial"/>
                <w:b/>
                <w:lang w:val="en-PH"/>
              </w:rPr>
            </w:pPr>
            <w:r w:rsidRPr="007E5514">
              <w:rPr>
                <w:rFonts w:ascii="Arial" w:hAnsi="Arial" w:cs="Arial"/>
                <w:b/>
                <w:lang w:val="en-PH"/>
              </w:rPr>
              <w:t>GFI</w:t>
            </w:r>
          </w:p>
          <w:p w14:paraId="1B8C46CD" w14:textId="77777777" w:rsidR="007E5514" w:rsidRPr="007E5514" w:rsidRDefault="007E5514" w:rsidP="007E5514">
            <w:pPr>
              <w:pStyle w:val="Body"/>
              <w:rPr>
                <w:rFonts w:ascii="Arial" w:hAnsi="Arial" w:cs="Arial"/>
                <w:b/>
                <w:lang w:val="en-PH"/>
              </w:rPr>
            </w:pPr>
            <w:r w:rsidRPr="007E5514">
              <w:rPr>
                <w:rFonts w:ascii="Arial" w:hAnsi="Arial" w:cs="Arial"/>
                <w:b/>
                <w:lang w:val="en-PH"/>
              </w:rPr>
              <w:t>(&gt;0.95)</w:t>
            </w:r>
          </w:p>
        </w:tc>
        <w:tc>
          <w:tcPr>
            <w:tcW w:w="874" w:type="dxa"/>
            <w:tcBorders>
              <w:top w:val="single" w:sz="4" w:space="0" w:color="auto"/>
              <w:bottom w:val="single" w:sz="4" w:space="0" w:color="auto"/>
            </w:tcBorders>
            <w:shd w:val="clear" w:color="auto" w:fill="auto"/>
          </w:tcPr>
          <w:p w14:paraId="6F84E7F5" w14:textId="77777777" w:rsidR="007E5514" w:rsidRPr="007E5514" w:rsidRDefault="007E5514" w:rsidP="007E5514">
            <w:pPr>
              <w:pStyle w:val="Body"/>
              <w:rPr>
                <w:rFonts w:ascii="Arial" w:hAnsi="Arial" w:cs="Arial"/>
                <w:b/>
                <w:lang w:val="en-PH"/>
              </w:rPr>
            </w:pPr>
            <w:r w:rsidRPr="007E5514">
              <w:rPr>
                <w:rFonts w:ascii="Arial" w:hAnsi="Arial" w:cs="Arial"/>
                <w:b/>
                <w:lang w:val="en-PH"/>
              </w:rPr>
              <w:t>CFI</w:t>
            </w:r>
          </w:p>
          <w:p w14:paraId="58C398C4" w14:textId="77777777" w:rsidR="007E5514" w:rsidRPr="007E5514" w:rsidRDefault="007E5514" w:rsidP="007E5514">
            <w:pPr>
              <w:pStyle w:val="Body"/>
              <w:rPr>
                <w:rFonts w:ascii="Arial" w:hAnsi="Arial" w:cs="Arial"/>
                <w:b/>
                <w:lang w:val="en-PH"/>
              </w:rPr>
            </w:pPr>
            <w:r w:rsidRPr="007E5514">
              <w:rPr>
                <w:rFonts w:ascii="Arial" w:hAnsi="Arial" w:cs="Arial"/>
                <w:b/>
                <w:lang w:val="en-PH"/>
              </w:rPr>
              <w:t>(&gt;0.95)</w:t>
            </w:r>
          </w:p>
        </w:tc>
        <w:tc>
          <w:tcPr>
            <w:tcW w:w="875" w:type="dxa"/>
            <w:tcBorders>
              <w:top w:val="single" w:sz="4" w:space="0" w:color="auto"/>
              <w:bottom w:val="single" w:sz="4" w:space="0" w:color="auto"/>
            </w:tcBorders>
            <w:shd w:val="clear" w:color="auto" w:fill="auto"/>
          </w:tcPr>
          <w:p w14:paraId="62C86D4B" w14:textId="77777777" w:rsidR="007E5514" w:rsidRPr="007E5514" w:rsidRDefault="007E5514" w:rsidP="007E5514">
            <w:pPr>
              <w:pStyle w:val="Body"/>
              <w:rPr>
                <w:rFonts w:ascii="Arial" w:hAnsi="Arial" w:cs="Arial"/>
                <w:b/>
                <w:lang w:val="en-PH"/>
              </w:rPr>
            </w:pPr>
            <w:r w:rsidRPr="007E5514">
              <w:rPr>
                <w:rFonts w:ascii="Arial" w:hAnsi="Arial" w:cs="Arial"/>
                <w:b/>
                <w:lang w:val="en-PH"/>
              </w:rPr>
              <w:t>NFI</w:t>
            </w:r>
          </w:p>
          <w:p w14:paraId="3E15CB22" w14:textId="77777777" w:rsidR="007E5514" w:rsidRPr="007E5514" w:rsidRDefault="007E5514" w:rsidP="007E5514">
            <w:pPr>
              <w:pStyle w:val="Body"/>
              <w:rPr>
                <w:rFonts w:ascii="Arial" w:hAnsi="Arial" w:cs="Arial"/>
                <w:b/>
                <w:lang w:val="en-PH"/>
              </w:rPr>
            </w:pPr>
            <w:r w:rsidRPr="007E5514">
              <w:rPr>
                <w:rFonts w:ascii="Arial" w:hAnsi="Arial" w:cs="Arial"/>
                <w:b/>
                <w:lang w:val="en-PH"/>
              </w:rPr>
              <w:t>(&gt;0.95)</w:t>
            </w:r>
          </w:p>
        </w:tc>
        <w:tc>
          <w:tcPr>
            <w:tcW w:w="875" w:type="dxa"/>
            <w:tcBorders>
              <w:top w:val="single" w:sz="4" w:space="0" w:color="auto"/>
              <w:bottom w:val="single" w:sz="4" w:space="0" w:color="auto"/>
            </w:tcBorders>
            <w:shd w:val="clear" w:color="auto" w:fill="auto"/>
          </w:tcPr>
          <w:p w14:paraId="651EBEFA" w14:textId="77777777" w:rsidR="007E5514" w:rsidRPr="007E5514" w:rsidRDefault="007E5514" w:rsidP="007E5514">
            <w:pPr>
              <w:pStyle w:val="Body"/>
              <w:rPr>
                <w:rFonts w:ascii="Arial" w:hAnsi="Arial" w:cs="Arial"/>
                <w:b/>
                <w:lang w:val="en-PH"/>
              </w:rPr>
            </w:pPr>
            <w:r w:rsidRPr="007E5514">
              <w:rPr>
                <w:rFonts w:ascii="Arial" w:hAnsi="Arial" w:cs="Arial"/>
                <w:b/>
                <w:lang w:val="en-PH"/>
              </w:rPr>
              <w:t>TLI</w:t>
            </w:r>
          </w:p>
          <w:p w14:paraId="67915EAD" w14:textId="77777777" w:rsidR="007E5514" w:rsidRPr="007E5514" w:rsidRDefault="007E5514" w:rsidP="007E5514">
            <w:pPr>
              <w:pStyle w:val="Body"/>
              <w:rPr>
                <w:rFonts w:ascii="Arial" w:hAnsi="Arial" w:cs="Arial"/>
                <w:b/>
                <w:lang w:val="en-PH"/>
              </w:rPr>
            </w:pPr>
            <w:r w:rsidRPr="007E5514">
              <w:rPr>
                <w:rFonts w:ascii="Arial" w:hAnsi="Arial" w:cs="Arial"/>
                <w:b/>
                <w:lang w:val="en-PH"/>
              </w:rPr>
              <w:t>(&gt;0.95)</w:t>
            </w:r>
          </w:p>
        </w:tc>
        <w:tc>
          <w:tcPr>
            <w:tcW w:w="962" w:type="dxa"/>
            <w:tcBorders>
              <w:top w:val="single" w:sz="4" w:space="0" w:color="auto"/>
              <w:bottom w:val="single" w:sz="4" w:space="0" w:color="auto"/>
            </w:tcBorders>
            <w:shd w:val="clear" w:color="auto" w:fill="auto"/>
          </w:tcPr>
          <w:p w14:paraId="4EE9F53A" w14:textId="77777777" w:rsidR="007E5514" w:rsidRPr="007E5514" w:rsidRDefault="007E5514" w:rsidP="007E5514">
            <w:pPr>
              <w:pStyle w:val="Body"/>
              <w:rPr>
                <w:rFonts w:ascii="Arial" w:hAnsi="Arial" w:cs="Arial"/>
                <w:b/>
                <w:lang w:val="en-PH"/>
              </w:rPr>
            </w:pPr>
            <w:r w:rsidRPr="007E5514">
              <w:rPr>
                <w:rFonts w:ascii="Arial" w:hAnsi="Arial" w:cs="Arial"/>
                <w:b/>
                <w:lang w:val="en-PH"/>
              </w:rPr>
              <w:t>RMSEA</w:t>
            </w:r>
          </w:p>
          <w:p w14:paraId="00719EDF" w14:textId="77777777" w:rsidR="007E5514" w:rsidRPr="007E5514" w:rsidRDefault="007E5514" w:rsidP="007E5514">
            <w:pPr>
              <w:pStyle w:val="Body"/>
              <w:rPr>
                <w:rFonts w:ascii="Arial" w:hAnsi="Arial" w:cs="Arial"/>
                <w:b/>
                <w:lang w:val="en-PH"/>
              </w:rPr>
            </w:pPr>
            <w:r w:rsidRPr="007E5514">
              <w:rPr>
                <w:rFonts w:ascii="Arial" w:hAnsi="Arial" w:cs="Arial"/>
                <w:b/>
                <w:lang w:val="en-PH"/>
              </w:rPr>
              <w:t>(&lt;0.05)</w:t>
            </w:r>
          </w:p>
        </w:tc>
        <w:tc>
          <w:tcPr>
            <w:tcW w:w="936" w:type="dxa"/>
            <w:tcBorders>
              <w:top w:val="single" w:sz="4" w:space="0" w:color="auto"/>
              <w:bottom w:val="single" w:sz="4" w:space="0" w:color="auto"/>
            </w:tcBorders>
            <w:shd w:val="clear" w:color="auto" w:fill="auto"/>
          </w:tcPr>
          <w:p w14:paraId="21E87A99" w14:textId="77777777" w:rsidR="007E5514" w:rsidRPr="007E5514" w:rsidRDefault="007E5514" w:rsidP="007E5514">
            <w:pPr>
              <w:pStyle w:val="Body"/>
              <w:rPr>
                <w:rFonts w:ascii="Arial" w:hAnsi="Arial" w:cs="Arial"/>
                <w:b/>
                <w:lang w:val="en-PH"/>
              </w:rPr>
            </w:pPr>
            <w:r w:rsidRPr="007E5514">
              <w:rPr>
                <w:rFonts w:ascii="Arial" w:hAnsi="Arial" w:cs="Arial"/>
                <w:b/>
                <w:lang w:val="en-PH"/>
              </w:rPr>
              <w:t>P-close</w:t>
            </w:r>
          </w:p>
          <w:p w14:paraId="6EB41227" w14:textId="77777777" w:rsidR="007E5514" w:rsidRPr="007E5514" w:rsidRDefault="007E5514" w:rsidP="007E5514">
            <w:pPr>
              <w:pStyle w:val="Body"/>
              <w:rPr>
                <w:rFonts w:ascii="Arial" w:hAnsi="Arial" w:cs="Arial"/>
                <w:b/>
                <w:lang w:val="en-PH"/>
              </w:rPr>
            </w:pPr>
            <w:r w:rsidRPr="007E5514">
              <w:rPr>
                <w:rFonts w:ascii="Arial" w:hAnsi="Arial" w:cs="Arial"/>
                <w:b/>
                <w:lang w:val="en-PH"/>
              </w:rPr>
              <w:t>(&gt;0.05)</w:t>
            </w:r>
          </w:p>
        </w:tc>
      </w:tr>
      <w:tr w:rsidR="007E5514" w:rsidRPr="007E5514" w14:paraId="439EFEA3" w14:textId="77777777" w:rsidTr="007E5514">
        <w:trPr>
          <w:trHeight w:val="7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14:paraId="04A05B8B" w14:textId="77777777" w:rsidR="007E5514" w:rsidRPr="007E5514" w:rsidRDefault="007E5514" w:rsidP="007E5514">
            <w:pPr>
              <w:pStyle w:val="Body"/>
              <w:rPr>
                <w:rFonts w:ascii="Arial" w:hAnsi="Arial" w:cs="Arial"/>
                <w:lang w:val="en-PH"/>
              </w:rPr>
            </w:pPr>
          </w:p>
          <w:p w14:paraId="16E48511" w14:textId="77777777" w:rsidR="007E5514" w:rsidRPr="007E5514" w:rsidRDefault="007E5514" w:rsidP="007E5514">
            <w:pPr>
              <w:pStyle w:val="Body"/>
              <w:rPr>
                <w:rFonts w:ascii="Arial" w:hAnsi="Arial" w:cs="Arial"/>
                <w:lang w:val="en-PH"/>
              </w:rPr>
            </w:pPr>
            <w:r w:rsidRPr="007E5514">
              <w:rPr>
                <w:rFonts w:ascii="Arial" w:hAnsi="Arial" w:cs="Arial"/>
                <w:lang w:val="en-PH"/>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D19F09" w14:textId="77777777" w:rsidR="007E5514" w:rsidRPr="007E5514" w:rsidRDefault="007E5514" w:rsidP="007E5514">
            <w:pPr>
              <w:pStyle w:val="Body"/>
              <w:rPr>
                <w:rFonts w:ascii="Arial" w:hAnsi="Arial" w:cs="Arial"/>
                <w:lang w:val="en-PH"/>
              </w:rPr>
            </w:pPr>
            <w:r w:rsidRPr="007E5514">
              <w:rPr>
                <w:rFonts w:ascii="Arial" w:hAnsi="Arial" w:cs="Arial"/>
                <w:lang w:val="en-PH"/>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1FCF0F83" w14:textId="77777777" w:rsidR="007E5514" w:rsidRPr="007E5514" w:rsidRDefault="007E5514" w:rsidP="007E5514">
            <w:pPr>
              <w:pStyle w:val="Body"/>
              <w:rPr>
                <w:rFonts w:ascii="Arial" w:hAnsi="Arial" w:cs="Arial"/>
                <w:lang w:val="en-PH"/>
              </w:rPr>
            </w:pPr>
            <w:r w:rsidRPr="007E5514">
              <w:rPr>
                <w:rFonts w:ascii="Arial" w:hAnsi="Arial" w:cs="Arial"/>
                <w:lang w:val="en-PH"/>
              </w:rPr>
              <w:t>9.347</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6592D600" w14:textId="77777777" w:rsidR="007E5514" w:rsidRPr="007E5514" w:rsidRDefault="007E5514" w:rsidP="007E5514">
            <w:pPr>
              <w:pStyle w:val="Body"/>
              <w:rPr>
                <w:rFonts w:ascii="Arial" w:hAnsi="Arial" w:cs="Arial"/>
                <w:lang w:val="en-PH"/>
              </w:rPr>
            </w:pPr>
            <w:r w:rsidRPr="007E5514">
              <w:rPr>
                <w:rFonts w:ascii="Arial" w:hAnsi="Arial" w:cs="Arial"/>
                <w:lang w:val="en-PH"/>
              </w:rPr>
              <w:t>.795</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4D28ADCB" w14:textId="77777777" w:rsidR="007E5514" w:rsidRPr="007E5514" w:rsidRDefault="007E5514" w:rsidP="007E5514">
            <w:pPr>
              <w:pStyle w:val="Body"/>
              <w:rPr>
                <w:rFonts w:ascii="Arial" w:hAnsi="Arial" w:cs="Arial"/>
                <w:lang w:val="en-PH"/>
              </w:rPr>
            </w:pPr>
            <w:r w:rsidRPr="007E5514">
              <w:rPr>
                <w:rFonts w:ascii="Arial" w:hAnsi="Arial" w:cs="Arial"/>
                <w:lang w:val="en-PH"/>
              </w:rPr>
              <w:t>.796</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2CA01EE3" w14:textId="77777777" w:rsidR="007E5514" w:rsidRPr="007E5514" w:rsidRDefault="007E5514" w:rsidP="007E5514">
            <w:pPr>
              <w:pStyle w:val="Body"/>
              <w:rPr>
                <w:rFonts w:ascii="Arial" w:hAnsi="Arial" w:cs="Arial"/>
                <w:lang w:val="en-PH"/>
              </w:rPr>
            </w:pPr>
            <w:r w:rsidRPr="007E5514">
              <w:rPr>
                <w:rFonts w:ascii="Arial" w:hAnsi="Arial" w:cs="Arial"/>
                <w:lang w:val="en-PH"/>
              </w:rPr>
              <w:t>.778</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15CDB1A6" w14:textId="77777777" w:rsidR="007E5514" w:rsidRPr="007E5514" w:rsidRDefault="007E5514" w:rsidP="007E5514">
            <w:pPr>
              <w:pStyle w:val="Body"/>
              <w:rPr>
                <w:rFonts w:ascii="Arial" w:hAnsi="Arial" w:cs="Arial"/>
                <w:lang w:val="en-PH"/>
              </w:rPr>
            </w:pPr>
            <w:r w:rsidRPr="007E5514">
              <w:rPr>
                <w:rFonts w:ascii="Arial" w:hAnsi="Arial" w:cs="Arial"/>
                <w:lang w:val="en-PH"/>
              </w:rPr>
              <w:t>.753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F24F637" w14:textId="77777777" w:rsidR="007E5514" w:rsidRPr="007E5514" w:rsidRDefault="007E5514" w:rsidP="007E5514">
            <w:pPr>
              <w:pStyle w:val="Body"/>
              <w:rPr>
                <w:rFonts w:ascii="Arial" w:hAnsi="Arial" w:cs="Arial"/>
                <w:lang w:val="en-PH"/>
              </w:rPr>
            </w:pPr>
            <w:r w:rsidRPr="007E5514">
              <w:rPr>
                <w:rFonts w:ascii="Arial" w:hAnsi="Arial" w:cs="Arial"/>
                <w:lang w:val="en-PH"/>
              </w:rPr>
              <w:t>.145</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18064558" w14:textId="77777777" w:rsidR="007E5514" w:rsidRPr="007E5514" w:rsidRDefault="007E5514" w:rsidP="007E5514">
            <w:pPr>
              <w:pStyle w:val="Body"/>
              <w:rPr>
                <w:rFonts w:ascii="Arial" w:hAnsi="Arial" w:cs="Arial"/>
                <w:lang w:val="en-PH"/>
              </w:rPr>
            </w:pPr>
            <w:r w:rsidRPr="007E5514">
              <w:rPr>
                <w:rFonts w:ascii="Arial" w:hAnsi="Arial" w:cs="Arial"/>
                <w:lang w:val="en-PH"/>
              </w:rPr>
              <w:t>.000</w:t>
            </w:r>
          </w:p>
        </w:tc>
      </w:tr>
      <w:tr w:rsidR="007E5514" w:rsidRPr="007E5514" w14:paraId="6FD50C6D" w14:textId="77777777" w:rsidTr="007E5514">
        <w:trPr>
          <w:trHeight w:val="7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14:paraId="459B797F" w14:textId="77777777" w:rsidR="007E5514" w:rsidRPr="007E5514" w:rsidRDefault="007E5514" w:rsidP="007E5514">
            <w:pPr>
              <w:pStyle w:val="Body"/>
              <w:rPr>
                <w:rFonts w:ascii="Arial" w:hAnsi="Arial" w:cs="Arial"/>
                <w:lang w:val="en-PH"/>
              </w:rPr>
            </w:pPr>
            <w:r w:rsidRPr="007E5514">
              <w:rPr>
                <w:rFonts w:ascii="Arial" w:hAnsi="Arial" w:cs="Arial"/>
                <w:lang w:val="en-PH"/>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90E582" w14:textId="77777777" w:rsidR="007E5514" w:rsidRPr="007E5514" w:rsidRDefault="007E5514" w:rsidP="007E5514">
            <w:pPr>
              <w:pStyle w:val="Body"/>
              <w:rPr>
                <w:rFonts w:ascii="Arial" w:hAnsi="Arial" w:cs="Arial"/>
                <w:lang w:val="en-PH"/>
              </w:rPr>
            </w:pPr>
            <w:r w:rsidRPr="007E5514">
              <w:rPr>
                <w:rFonts w:ascii="Arial" w:hAnsi="Arial" w:cs="Arial"/>
                <w:lang w:val="en-PH"/>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69C1AD67" w14:textId="77777777" w:rsidR="007E5514" w:rsidRPr="007E5514" w:rsidRDefault="007E5514" w:rsidP="007E5514">
            <w:pPr>
              <w:pStyle w:val="Body"/>
              <w:rPr>
                <w:rFonts w:ascii="Arial" w:hAnsi="Arial" w:cs="Arial"/>
                <w:lang w:val="en-PH"/>
              </w:rPr>
            </w:pPr>
            <w:r w:rsidRPr="007E5514">
              <w:rPr>
                <w:rFonts w:ascii="Arial" w:hAnsi="Arial" w:cs="Arial"/>
                <w:lang w:val="en-PH"/>
              </w:rPr>
              <w:t>4.790</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462627F4" w14:textId="77777777" w:rsidR="007E5514" w:rsidRPr="007E5514" w:rsidRDefault="007E5514" w:rsidP="007E5514">
            <w:pPr>
              <w:pStyle w:val="Body"/>
              <w:rPr>
                <w:rFonts w:ascii="Arial" w:hAnsi="Arial" w:cs="Arial"/>
                <w:lang w:val="en-PH"/>
              </w:rPr>
            </w:pPr>
            <w:r w:rsidRPr="007E5514">
              <w:rPr>
                <w:rFonts w:ascii="Arial" w:hAnsi="Arial" w:cs="Arial"/>
                <w:lang w:val="en-PH"/>
              </w:rPr>
              <w:t>.889</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40D785D2" w14:textId="77777777" w:rsidR="007E5514" w:rsidRPr="007E5514" w:rsidRDefault="007E5514" w:rsidP="007E5514">
            <w:pPr>
              <w:pStyle w:val="Body"/>
              <w:rPr>
                <w:rFonts w:ascii="Arial" w:hAnsi="Arial" w:cs="Arial"/>
                <w:lang w:val="en-PH"/>
              </w:rPr>
            </w:pPr>
            <w:r w:rsidRPr="007E5514">
              <w:rPr>
                <w:rFonts w:ascii="Arial" w:hAnsi="Arial" w:cs="Arial"/>
                <w:lang w:val="en-PH"/>
              </w:rPr>
              <w:t>.909</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27359C63" w14:textId="77777777" w:rsidR="007E5514" w:rsidRPr="007E5514" w:rsidRDefault="007E5514" w:rsidP="007E5514">
            <w:pPr>
              <w:pStyle w:val="Body"/>
              <w:rPr>
                <w:rFonts w:ascii="Arial" w:hAnsi="Arial" w:cs="Arial"/>
                <w:lang w:val="en-PH"/>
              </w:rPr>
            </w:pPr>
            <w:r w:rsidRPr="007E5514">
              <w:rPr>
                <w:rFonts w:ascii="Arial" w:hAnsi="Arial" w:cs="Arial"/>
                <w:lang w:val="en-PH"/>
              </w:rPr>
              <w:t>.889</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4EBD464D" w14:textId="77777777" w:rsidR="007E5514" w:rsidRPr="007E5514" w:rsidRDefault="007E5514" w:rsidP="007E5514">
            <w:pPr>
              <w:pStyle w:val="Body"/>
              <w:rPr>
                <w:rFonts w:ascii="Arial" w:hAnsi="Arial" w:cs="Arial"/>
                <w:lang w:val="en-PH"/>
              </w:rPr>
            </w:pPr>
            <w:r w:rsidRPr="007E5514">
              <w:rPr>
                <w:rFonts w:ascii="Arial" w:hAnsi="Arial" w:cs="Arial"/>
                <w:lang w:val="en-PH"/>
              </w:rPr>
              <w:t>.888</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E3EC4A0" w14:textId="77777777" w:rsidR="007E5514" w:rsidRPr="007E5514" w:rsidRDefault="007E5514" w:rsidP="007E5514">
            <w:pPr>
              <w:pStyle w:val="Body"/>
              <w:rPr>
                <w:rFonts w:ascii="Arial" w:hAnsi="Arial" w:cs="Arial"/>
                <w:lang w:val="en-PH"/>
              </w:rPr>
            </w:pPr>
            <w:r w:rsidRPr="007E5514">
              <w:rPr>
                <w:rFonts w:ascii="Arial" w:hAnsi="Arial" w:cs="Arial"/>
                <w:lang w:val="en-PH"/>
              </w:rPr>
              <w:t>.097</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590A00FF" w14:textId="77777777" w:rsidR="007E5514" w:rsidRPr="007E5514" w:rsidRDefault="007E5514" w:rsidP="007E5514">
            <w:pPr>
              <w:pStyle w:val="Body"/>
              <w:rPr>
                <w:rFonts w:ascii="Arial" w:hAnsi="Arial" w:cs="Arial"/>
                <w:lang w:val="en-PH"/>
              </w:rPr>
            </w:pPr>
            <w:r w:rsidRPr="007E5514">
              <w:rPr>
                <w:rFonts w:ascii="Arial" w:hAnsi="Arial" w:cs="Arial"/>
                <w:lang w:val="en-PH"/>
              </w:rPr>
              <w:t>.000</w:t>
            </w:r>
          </w:p>
        </w:tc>
      </w:tr>
      <w:tr w:rsidR="007E5514" w:rsidRPr="007E5514" w14:paraId="3346148C" w14:textId="77777777" w:rsidTr="007E5514">
        <w:trPr>
          <w:trHeight w:val="700"/>
        </w:trPr>
        <w:tc>
          <w:tcPr>
            <w:tcW w:w="882" w:type="dxa"/>
            <w:tcBorders>
              <w:top w:val="single" w:sz="4" w:space="0" w:color="auto"/>
              <w:left w:val="single" w:sz="4" w:space="0" w:color="auto"/>
              <w:bottom w:val="single" w:sz="4" w:space="0" w:color="auto"/>
              <w:right w:val="single" w:sz="4" w:space="0" w:color="auto"/>
            </w:tcBorders>
            <w:shd w:val="clear" w:color="auto" w:fill="F7CAAC"/>
            <w:vAlign w:val="center"/>
          </w:tcPr>
          <w:p w14:paraId="5B4AB0F9" w14:textId="77777777" w:rsidR="007E5514" w:rsidRPr="007E5514" w:rsidRDefault="007E5514" w:rsidP="007E5514">
            <w:pPr>
              <w:pStyle w:val="Body"/>
              <w:rPr>
                <w:rFonts w:ascii="Arial" w:hAnsi="Arial" w:cs="Arial"/>
                <w:lang w:val="en-PH"/>
              </w:rPr>
            </w:pPr>
            <w:r w:rsidRPr="007E5514">
              <w:rPr>
                <w:rFonts w:ascii="Arial" w:hAnsi="Arial" w:cs="Arial"/>
                <w:lang w:val="en-PH"/>
              </w:rPr>
              <w:t>3</w:t>
            </w:r>
          </w:p>
        </w:tc>
        <w:tc>
          <w:tcPr>
            <w:tcW w:w="1134" w:type="dxa"/>
            <w:tcBorders>
              <w:top w:val="single" w:sz="4" w:space="0" w:color="auto"/>
              <w:left w:val="single" w:sz="4" w:space="0" w:color="auto"/>
              <w:bottom w:val="single" w:sz="4" w:space="0" w:color="auto"/>
              <w:right w:val="single" w:sz="4" w:space="0" w:color="auto"/>
            </w:tcBorders>
            <w:shd w:val="clear" w:color="auto" w:fill="F7CAAC"/>
            <w:vAlign w:val="center"/>
          </w:tcPr>
          <w:p w14:paraId="5B743891" w14:textId="77777777" w:rsidR="007E5514" w:rsidRPr="007E5514" w:rsidRDefault="007E5514" w:rsidP="007E5514">
            <w:pPr>
              <w:pStyle w:val="Body"/>
              <w:rPr>
                <w:rFonts w:ascii="Arial" w:hAnsi="Arial" w:cs="Arial"/>
                <w:lang w:val="en-PH"/>
              </w:rPr>
            </w:pPr>
            <w:r w:rsidRPr="007E5514">
              <w:rPr>
                <w:rFonts w:ascii="Arial" w:hAnsi="Arial" w:cs="Arial"/>
                <w:lang w:val="en-PH"/>
              </w:rPr>
              <w:t>.146</w:t>
            </w:r>
          </w:p>
        </w:tc>
        <w:tc>
          <w:tcPr>
            <w:tcW w:w="1136" w:type="dxa"/>
            <w:tcBorders>
              <w:top w:val="single" w:sz="4" w:space="0" w:color="auto"/>
              <w:left w:val="single" w:sz="4" w:space="0" w:color="auto"/>
              <w:bottom w:val="single" w:sz="4" w:space="0" w:color="auto"/>
              <w:right w:val="single" w:sz="4" w:space="0" w:color="auto"/>
            </w:tcBorders>
            <w:shd w:val="clear" w:color="auto" w:fill="F7CAAC"/>
            <w:vAlign w:val="center"/>
          </w:tcPr>
          <w:p w14:paraId="14AAF309" w14:textId="77777777" w:rsidR="007E5514" w:rsidRPr="007E5514" w:rsidRDefault="007E5514" w:rsidP="007E5514">
            <w:pPr>
              <w:pStyle w:val="Body"/>
              <w:rPr>
                <w:rFonts w:ascii="Arial" w:hAnsi="Arial" w:cs="Arial"/>
                <w:lang w:val="en-PH"/>
              </w:rPr>
            </w:pPr>
            <w:r w:rsidRPr="007E5514">
              <w:rPr>
                <w:rFonts w:ascii="Arial" w:hAnsi="Arial" w:cs="Arial"/>
                <w:lang w:val="en-PH"/>
              </w:rPr>
              <w:t>1.215</w:t>
            </w:r>
          </w:p>
        </w:tc>
        <w:tc>
          <w:tcPr>
            <w:tcW w:w="825" w:type="dxa"/>
            <w:tcBorders>
              <w:top w:val="single" w:sz="4" w:space="0" w:color="auto"/>
              <w:left w:val="single" w:sz="4" w:space="0" w:color="auto"/>
              <w:bottom w:val="single" w:sz="4" w:space="0" w:color="auto"/>
              <w:right w:val="single" w:sz="4" w:space="0" w:color="auto"/>
            </w:tcBorders>
            <w:shd w:val="clear" w:color="auto" w:fill="F7CAAC"/>
            <w:vAlign w:val="center"/>
          </w:tcPr>
          <w:p w14:paraId="7D3A6A5F" w14:textId="77777777" w:rsidR="007E5514" w:rsidRPr="007E5514" w:rsidRDefault="007E5514" w:rsidP="007E5514">
            <w:pPr>
              <w:pStyle w:val="Body"/>
              <w:rPr>
                <w:rFonts w:ascii="Arial" w:hAnsi="Arial" w:cs="Arial"/>
                <w:lang w:val="en-PH"/>
              </w:rPr>
            </w:pPr>
            <w:r w:rsidRPr="007E5514">
              <w:rPr>
                <w:rFonts w:ascii="Arial" w:hAnsi="Arial" w:cs="Arial"/>
                <w:lang w:val="en-PH"/>
              </w:rPr>
              <w:t>.978</w:t>
            </w:r>
          </w:p>
        </w:tc>
        <w:tc>
          <w:tcPr>
            <w:tcW w:w="874" w:type="dxa"/>
            <w:tcBorders>
              <w:top w:val="single" w:sz="4" w:space="0" w:color="auto"/>
              <w:left w:val="single" w:sz="4" w:space="0" w:color="auto"/>
              <w:bottom w:val="single" w:sz="4" w:space="0" w:color="auto"/>
              <w:right w:val="single" w:sz="4" w:space="0" w:color="auto"/>
            </w:tcBorders>
            <w:shd w:val="clear" w:color="auto" w:fill="F7CAAC"/>
            <w:vAlign w:val="center"/>
          </w:tcPr>
          <w:p w14:paraId="450FB101" w14:textId="77777777" w:rsidR="007E5514" w:rsidRPr="007E5514" w:rsidRDefault="007E5514" w:rsidP="007E5514">
            <w:pPr>
              <w:pStyle w:val="Body"/>
              <w:rPr>
                <w:rFonts w:ascii="Arial" w:hAnsi="Arial" w:cs="Arial"/>
                <w:lang w:val="en-PH"/>
              </w:rPr>
            </w:pPr>
            <w:r w:rsidRPr="007E5514">
              <w:rPr>
                <w:rFonts w:ascii="Arial" w:hAnsi="Arial" w:cs="Arial"/>
                <w:lang w:val="en-PH"/>
              </w:rPr>
              <w:t>.997</w:t>
            </w:r>
          </w:p>
        </w:tc>
        <w:tc>
          <w:tcPr>
            <w:tcW w:w="875" w:type="dxa"/>
            <w:tcBorders>
              <w:top w:val="single" w:sz="4" w:space="0" w:color="auto"/>
              <w:left w:val="single" w:sz="4" w:space="0" w:color="auto"/>
              <w:bottom w:val="single" w:sz="4" w:space="0" w:color="auto"/>
              <w:right w:val="single" w:sz="4" w:space="0" w:color="auto"/>
            </w:tcBorders>
            <w:shd w:val="clear" w:color="auto" w:fill="F7CAAC"/>
            <w:vAlign w:val="center"/>
          </w:tcPr>
          <w:p w14:paraId="06063BD3" w14:textId="77777777" w:rsidR="007E5514" w:rsidRPr="007E5514" w:rsidRDefault="007E5514" w:rsidP="007E5514">
            <w:pPr>
              <w:pStyle w:val="Body"/>
              <w:rPr>
                <w:rFonts w:ascii="Arial" w:hAnsi="Arial" w:cs="Arial"/>
                <w:lang w:val="en-PH"/>
              </w:rPr>
            </w:pPr>
            <w:r w:rsidRPr="007E5514">
              <w:rPr>
                <w:rFonts w:ascii="Arial" w:hAnsi="Arial" w:cs="Arial"/>
                <w:lang w:val="en-PH"/>
              </w:rPr>
              <w:t>.981</w:t>
            </w:r>
          </w:p>
        </w:tc>
        <w:tc>
          <w:tcPr>
            <w:tcW w:w="875" w:type="dxa"/>
            <w:tcBorders>
              <w:top w:val="single" w:sz="4" w:space="0" w:color="auto"/>
              <w:left w:val="single" w:sz="4" w:space="0" w:color="auto"/>
              <w:bottom w:val="single" w:sz="4" w:space="0" w:color="auto"/>
              <w:right w:val="single" w:sz="4" w:space="0" w:color="auto"/>
            </w:tcBorders>
            <w:shd w:val="clear" w:color="auto" w:fill="F7CAAC"/>
            <w:vAlign w:val="center"/>
          </w:tcPr>
          <w:p w14:paraId="3831B391" w14:textId="77777777" w:rsidR="007E5514" w:rsidRPr="007E5514" w:rsidRDefault="007E5514" w:rsidP="007E5514">
            <w:pPr>
              <w:pStyle w:val="Body"/>
              <w:rPr>
                <w:rFonts w:ascii="Arial" w:hAnsi="Arial" w:cs="Arial"/>
                <w:lang w:val="en-PH"/>
              </w:rPr>
            </w:pPr>
            <w:r w:rsidRPr="007E5514">
              <w:rPr>
                <w:rFonts w:ascii="Arial" w:hAnsi="Arial" w:cs="Arial"/>
                <w:lang w:val="en-PH"/>
              </w:rPr>
              <w:t>.994</w:t>
            </w:r>
          </w:p>
        </w:tc>
        <w:tc>
          <w:tcPr>
            <w:tcW w:w="962" w:type="dxa"/>
            <w:tcBorders>
              <w:top w:val="single" w:sz="4" w:space="0" w:color="auto"/>
              <w:left w:val="single" w:sz="4" w:space="0" w:color="auto"/>
              <w:bottom w:val="single" w:sz="4" w:space="0" w:color="auto"/>
              <w:right w:val="single" w:sz="4" w:space="0" w:color="auto"/>
            </w:tcBorders>
            <w:shd w:val="clear" w:color="auto" w:fill="F7CAAC"/>
            <w:vAlign w:val="center"/>
          </w:tcPr>
          <w:p w14:paraId="65C29811" w14:textId="77777777" w:rsidR="007E5514" w:rsidRPr="007E5514" w:rsidRDefault="007E5514" w:rsidP="007E5514">
            <w:pPr>
              <w:pStyle w:val="Body"/>
              <w:rPr>
                <w:rFonts w:ascii="Arial" w:hAnsi="Arial" w:cs="Arial"/>
                <w:lang w:val="en-PH"/>
              </w:rPr>
            </w:pPr>
            <w:r w:rsidRPr="007E5514">
              <w:rPr>
                <w:rFonts w:ascii="Arial" w:hAnsi="Arial" w:cs="Arial"/>
                <w:lang w:val="en-PH"/>
              </w:rPr>
              <w:t>.023</w:t>
            </w:r>
          </w:p>
        </w:tc>
        <w:tc>
          <w:tcPr>
            <w:tcW w:w="936" w:type="dxa"/>
            <w:tcBorders>
              <w:top w:val="single" w:sz="4" w:space="0" w:color="auto"/>
              <w:left w:val="single" w:sz="4" w:space="0" w:color="auto"/>
              <w:bottom w:val="single" w:sz="4" w:space="0" w:color="auto"/>
              <w:right w:val="single" w:sz="4" w:space="0" w:color="auto"/>
            </w:tcBorders>
            <w:shd w:val="clear" w:color="auto" w:fill="F7CAAC"/>
            <w:vAlign w:val="center"/>
          </w:tcPr>
          <w:p w14:paraId="7550AE92" w14:textId="77777777" w:rsidR="007E5514" w:rsidRPr="007E5514" w:rsidRDefault="007E5514" w:rsidP="007E5514">
            <w:pPr>
              <w:pStyle w:val="Body"/>
              <w:rPr>
                <w:rFonts w:ascii="Arial" w:hAnsi="Arial" w:cs="Arial"/>
                <w:lang w:val="en-PH"/>
              </w:rPr>
            </w:pPr>
            <w:r w:rsidRPr="007E5514">
              <w:rPr>
                <w:rFonts w:ascii="Arial" w:hAnsi="Arial" w:cs="Arial"/>
                <w:lang w:val="en-PH"/>
              </w:rPr>
              <w:t>.994</w:t>
            </w:r>
          </w:p>
        </w:tc>
      </w:tr>
    </w:tbl>
    <w:p w14:paraId="30B44A1C" w14:textId="77777777" w:rsidR="00AF4489" w:rsidRDefault="00AF4489" w:rsidP="00D33E3B">
      <w:pPr>
        <w:pStyle w:val="Body"/>
        <w:rPr>
          <w:rFonts w:ascii="Arial" w:hAnsi="Arial" w:cs="Arial"/>
          <w:b/>
          <w:i/>
          <w:lang w:val="en-PH"/>
        </w:rPr>
      </w:pPr>
    </w:p>
    <w:p w14:paraId="0BE7ACF3" w14:textId="4CBE0435" w:rsidR="007E5514" w:rsidRPr="007E5514" w:rsidRDefault="007E5514" w:rsidP="00D33E3B">
      <w:pPr>
        <w:pStyle w:val="Body"/>
        <w:rPr>
          <w:rFonts w:ascii="Arial" w:hAnsi="Arial" w:cs="Arial"/>
          <w:lang w:val="en-PH"/>
        </w:rPr>
      </w:pPr>
      <w:r w:rsidRPr="007E5514">
        <w:rPr>
          <w:rFonts w:ascii="Arial" w:hAnsi="Arial" w:cs="Arial"/>
          <w:b/>
          <w:i/>
          <w:lang w:val="en-PH"/>
        </w:rPr>
        <w:t>Legend:</w:t>
      </w:r>
      <w:r w:rsidRPr="007E5514">
        <w:rPr>
          <w:rFonts w:ascii="Arial" w:hAnsi="Arial" w:cs="Arial"/>
          <w:lang w:val="en-PH"/>
        </w:rPr>
        <w:t xml:space="preserve">  CMIN/DF – </w:t>
      </w:r>
      <w:r w:rsidRPr="007E5514">
        <w:rPr>
          <w:rFonts w:ascii="Arial" w:hAnsi="Arial" w:cs="Arial"/>
          <w:i/>
          <w:lang w:val="en-PH"/>
        </w:rPr>
        <w:t>Chi Square/Degrees of Freedom</w:t>
      </w:r>
      <w:r w:rsidRPr="007E5514">
        <w:rPr>
          <w:rFonts w:ascii="Arial" w:hAnsi="Arial" w:cs="Arial"/>
          <w:lang w:val="en-PH"/>
        </w:rPr>
        <w:tab/>
      </w:r>
      <w:r w:rsidRPr="007E5514">
        <w:rPr>
          <w:rFonts w:ascii="Arial" w:hAnsi="Arial" w:cs="Arial"/>
          <w:lang w:val="en-PH"/>
        </w:rPr>
        <w:tab/>
        <w:t xml:space="preserve">     NFI –</w:t>
      </w:r>
      <w:r w:rsidRPr="007E5514">
        <w:rPr>
          <w:rFonts w:ascii="Arial" w:hAnsi="Arial" w:cs="Arial"/>
          <w:i/>
          <w:lang w:val="en-PH"/>
        </w:rPr>
        <w:t>Normed Fit Index</w:t>
      </w:r>
      <w:r w:rsidRPr="007E5514">
        <w:rPr>
          <w:rFonts w:ascii="Arial" w:hAnsi="Arial" w:cs="Arial"/>
          <w:lang w:val="en-PH"/>
        </w:rPr>
        <w:br/>
      </w:r>
      <w:r w:rsidRPr="007E5514">
        <w:rPr>
          <w:rFonts w:ascii="Arial" w:hAnsi="Arial" w:cs="Arial"/>
          <w:lang w:val="en-PH"/>
        </w:rPr>
        <w:tab/>
        <w:t xml:space="preserve">   GFI         – Goodness</w:t>
      </w:r>
      <w:r w:rsidRPr="007E5514">
        <w:rPr>
          <w:rFonts w:ascii="Arial" w:hAnsi="Arial" w:cs="Arial"/>
          <w:i/>
          <w:lang w:val="en-PH"/>
        </w:rPr>
        <w:t xml:space="preserve"> of Fit Index</w:t>
      </w:r>
      <w:r w:rsidRPr="007E5514">
        <w:rPr>
          <w:rFonts w:ascii="Arial" w:hAnsi="Arial" w:cs="Arial"/>
          <w:i/>
          <w:lang w:val="en-PH"/>
        </w:rPr>
        <w:tab/>
      </w:r>
      <w:r w:rsidRPr="007E5514">
        <w:rPr>
          <w:rFonts w:ascii="Arial" w:hAnsi="Arial" w:cs="Arial"/>
          <w:lang w:val="en-PH"/>
        </w:rPr>
        <w:tab/>
      </w:r>
      <w:r w:rsidRPr="007E5514">
        <w:rPr>
          <w:rFonts w:ascii="Arial" w:hAnsi="Arial" w:cs="Arial"/>
          <w:lang w:val="en-PH"/>
        </w:rPr>
        <w:tab/>
        <w:t xml:space="preserve">     TLI -</w:t>
      </w:r>
      <w:r w:rsidRPr="007E5514">
        <w:rPr>
          <w:rFonts w:ascii="Arial" w:hAnsi="Arial" w:cs="Arial"/>
          <w:i/>
          <w:lang w:val="en-PH"/>
        </w:rPr>
        <w:t>Tucker-Lewis Index</w:t>
      </w:r>
      <w:r w:rsidRPr="007E5514">
        <w:rPr>
          <w:rFonts w:ascii="Arial" w:hAnsi="Arial" w:cs="Arial"/>
          <w:i/>
          <w:lang w:val="en-PH"/>
        </w:rPr>
        <w:br/>
      </w:r>
      <w:r w:rsidRPr="007E5514">
        <w:rPr>
          <w:rFonts w:ascii="Arial" w:hAnsi="Arial" w:cs="Arial"/>
          <w:lang w:val="en-PH"/>
        </w:rPr>
        <w:t xml:space="preserve">RMSEA –   </w:t>
      </w:r>
      <w:r w:rsidRPr="007E5514">
        <w:rPr>
          <w:rFonts w:ascii="Arial" w:hAnsi="Arial" w:cs="Arial"/>
          <w:i/>
          <w:lang w:val="en-PH"/>
        </w:rPr>
        <w:t>Root Mean Square of Error Approximation</w:t>
      </w:r>
      <w:r w:rsidRPr="007E5514">
        <w:rPr>
          <w:rFonts w:ascii="Arial" w:hAnsi="Arial" w:cs="Arial"/>
          <w:lang w:val="en-PH"/>
        </w:rPr>
        <w:tab/>
        <w:t xml:space="preserve">     </w:t>
      </w:r>
      <w:proofErr w:type="gramStart"/>
      <w:r w:rsidRPr="007E5514">
        <w:rPr>
          <w:rFonts w:ascii="Arial" w:hAnsi="Arial" w:cs="Arial"/>
          <w:lang w:val="en-PH"/>
        </w:rPr>
        <w:t xml:space="preserve">CFI  </w:t>
      </w:r>
      <w:proofErr w:type="spellStart"/>
      <w:r w:rsidRPr="007E5514">
        <w:rPr>
          <w:rFonts w:ascii="Arial" w:hAnsi="Arial" w:cs="Arial"/>
          <w:lang w:val="en-PH"/>
        </w:rPr>
        <w:t>Comparative</w:t>
      </w:r>
      <w:r w:rsidRPr="007E5514">
        <w:rPr>
          <w:rFonts w:ascii="Arial" w:hAnsi="Arial" w:cs="Arial"/>
          <w:i/>
          <w:lang w:val="en-PH"/>
        </w:rPr>
        <w:t>Fit</w:t>
      </w:r>
      <w:proofErr w:type="spellEnd"/>
      <w:proofErr w:type="gramEnd"/>
      <w:r w:rsidRPr="007E5514">
        <w:rPr>
          <w:rFonts w:ascii="Arial" w:hAnsi="Arial" w:cs="Arial"/>
          <w:i/>
          <w:lang w:val="en-PH"/>
        </w:rPr>
        <w:t xml:space="preserve"> Index</w:t>
      </w:r>
    </w:p>
    <w:p w14:paraId="45B39973" w14:textId="77777777" w:rsidR="001C48D8" w:rsidRPr="001C48D8" w:rsidRDefault="001C48D8" w:rsidP="001C48D8">
      <w:pPr>
        <w:pStyle w:val="Body"/>
        <w:rPr>
          <w:rFonts w:ascii="Arial" w:hAnsi="Arial" w:cs="Arial"/>
        </w:rPr>
      </w:pPr>
      <w:r w:rsidRPr="001C48D8">
        <w:rPr>
          <w:rFonts w:ascii="Arial" w:hAnsi="Arial" w:cs="Arial"/>
        </w:rPr>
        <w:t xml:space="preserve">Table 8 presents the results of the goodness-of-fit measures for the three developed models. According to the results, all model fit values successfully met the standards set for each index: CMIN/DF &lt; 2; GFI, CFI, NFI, and TLI &gt; 0.95; and RMSEA &lt; 0.05 with P-Close &gt; 0.05. These outcomes align with the established criteria, which emphasize that the CMIN/DF should be </w:t>
      </w:r>
      <w:r w:rsidRPr="001C48D8">
        <w:rPr>
          <w:rFonts w:ascii="Arial" w:hAnsi="Arial" w:cs="Arial"/>
        </w:rPr>
        <w:lastRenderedPageBreak/>
        <w:t xml:space="preserve">below 2, and the Tucker-Lewis Index (TLI), Comparative Fit Index (CFI), Normed Fit Index (NFI), and Goodness of Fit Index (GFI) should all exceed 0.95 (Arbuckle &amp; </w:t>
      </w:r>
      <w:proofErr w:type="spellStart"/>
      <w:r w:rsidRPr="001C48D8">
        <w:rPr>
          <w:rFonts w:ascii="Arial" w:hAnsi="Arial" w:cs="Arial"/>
        </w:rPr>
        <w:t>Wothke</w:t>
      </w:r>
      <w:proofErr w:type="spellEnd"/>
      <w:r w:rsidRPr="001C48D8">
        <w:rPr>
          <w:rFonts w:ascii="Arial" w:hAnsi="Arial" w:cs="Arial"/>
        </w:rPr>
        <w:t>, p. 115). Moreover, the values of RMSEA and P-Close are supported by benchmarks showing that 0.01, 0.05, and 0.08 represent excellent, good, and moderate fit, respectively, with P-Close values greater than 0.05 (Browne &amp; Sugawara,1996).</w:t>
      </w:r>
    </w:p>
    <w:p w14:paraId="77A9380A" w14:textId="77777777" w:rsidR="001C48D8" w:rsidRDefault="001C48D8" w:rsidP="001C48D8">
      <w:pPr>
        <w:pStyle w:val="Body"/>
        <w:rPr>
          <w:rFonts w:ascii="Arial" w:hAnsi="Arial" w:cs="Arial"/>
        </w:rPr>
      </w:pPr>
      <w:r w:rsidRPr="001C48D8">
        <w:rPr>
          <w:rFonts w:ascii="Arial" w:hAnsi="Arial" w:cs="Arial"/>
        </w:rPr>
        <w:t>Based on the summary in Table 8, structural model 1 shows that the exogenous variables such as language exposure, language learning, and reading strategies do not significantly explain the students’ grammatical competence, as the P-value exceeds 0.05.</w:t>
      </w:r>
    </w:p>
    <w:p w14:paraId="33E97E3F" w14:textId="65DD58EC" w:rsidR="00D33E3B" w:rsidRDefault="00D33E3B" w:rsidP="001C48D8">
      <w:pPr>
        <w:pStyle w:val="Body"/>
        <w:rPr>
          <w:rFonts w:ascii="Arial" w:hAnsi="Arial" w:cs="Arial"/>
        </w:rPr>
      </w:pPr>
      <w:r w:rsidRPr="00D33E3B">
        <w:rPr>
          <w:rFonts w:ascii="Arial" w:hAnsi="Arial" w:cs="Arial"/>
        </w:rPr>
        <w:t>Furthermore, according to the goodness-of-fit results, the model fit values do not meet the criteria for acceptable indices. This is evident in the CMIN/DF being greater than 2, and GFI, CFI, NFI, and TLI all falling below 0.95, while the RMSEA exceeds 0.05 and the P-Close is less than 0.05. These results indicate that the model does not reach an acceptable level, thus making it weak and unsuitable.</w:t>
      </w:r>
    </w:p>
    <w:p w14:paraId="4E859646" w14:textId="560083F9" w:rsidR="00EA36C2" w:rsidRPr="00D33E3B" w:rsidRDefault="00EA36C2" w:rsidP="00D33E3B">
      <w:pPr>
        <w:pStyle w:val="Body"/>
        <w:rPr>
          <w:rFonts w:ascii="Arial" w:hAnsi="Arial" w:cs="Arial"/>
        </w:rPr>
      </w:pPr>
      <w:r w:rsidRPr="00EA36C2">
        <w:rPr>
          <w:rFonts w:ascii="Arial" w:hAnsi="Arial" w:cs="Arial"/>
        </w:rPr>
        <w:t xml:space="preserve">Meanwhile, the structural model 2, also shows the direct effect of predictors—language exposure, </w:t>
      </w:r>
      <w:r w:rsidR="00DA7DE7" w:rsidRPr="00DA7DE7">
        <w:rPr>
          <w:rFonts w:ascii="Arial" w:hAnsi="Arial" w:cs="Arial"/>
        </w:rPr>
        <w:t xml:space="preserve">language learning </w:t>
      </w:r>
      <w:r w:rsidR="00DA7DE7">
        <w:rPr>
          <w:rFonts w:ascii="Arial" w:hAnsi="Arial" w:cs="Arial"/>
        </w:rPr>
        <w:t xml:space="preserve">and </w:t>
      </w:r>
      <w:r w:rsidRPr="00EA36C2">
        <w:rPr>
          <w:rFonts w:ascii="Arial" w:hAnsi="Arial" w:cs="Arial"/>
        </w:rPr>
        <w:t>reading stra</w:t>
      </w:r>
      <w:r w:rsidR="00DA7DE7">
        <w:rPr>
          <w:rFonts w:ascii="Arial" w:hAnsi="Arial" w:cs="Arial"/>
        </w:rPr>
        <w:t>tegies</w:t>
      </w:r>
      <w:r w:rsidRPr="00EA36C2">
        <w:rPr>
          <w:rFonts w:ascii="Arial" w:hAnsi="Arial" w:cs="Arial"/>
        </w:rPr>
        <w:t>—on the causal relationship with the endogenous variable, which is the grammatical competence of students.</w:t>
      </w:r>
      <w:r w:rsidR="00DA7DE7">
        <w:rPr>
          <w:rFonts w:ascii="Arial" w:hAnsi="Arial" w:cs="Arial"/>
        </w:rPr>
        <w:t xml:space="preserve"> </w:t>
      </w:r>
      <w:r w:rsidRPr="00EA36C2">
        <w:rPr>
          <w:rFonts w:ascii="Arial" w:hAnsi="Arial" w:cs="Arial"/>
        </w:rPr>
        <w:t>This model is deemed inappropriate because the p-value = 0.000 and RMSEA = 0.97 with a p-close = 0.000. All index values failed to meet the criteria and were found to be weak since none of the indices reached acceptable levels.</w:t>
      </w:r>
    </w:p>
    <w:p w14:paraId="15199283" w14:textId="3EB5075E" w:rsidR="003110A5" w:rsidRDefault="003110A5" w:rsidP="003110A5">
      <w:pPr>
        <w:pStyle w:val="Body"/>
        <w:jc w:val="center"/>
        <w:rPr>
          <w:rFonts w:ascii="Arial" w:hAnsi="Arial" w:cs="Arial"/>
        </w:rPr>
      </w:pPr>
      <w:r w:rsidRPr="003110A5">
        <w:rPr>
          <w:rFonts w:ascii="Arial" w:hAnsi="Arial" w:cs="Arial"/>
          <w:b/>
          <w:bCs/>
          <w:noProof/>
          <w:color w:val="000000"/>
          <w:lang w:val="en-PH" w:eastAsia="en-PH"/>
        </w:rPr>
        <w:t xml:space="preserve">Figure </w:t>
      </w:r>
      <w:r w:rsidR="000B7E03">
        <w:rPr>
          <w:rFonts w:ascii="Arial" w:hAnsi="Arial" w:cs="Arial"/>
          <w:b/>
          <w:bCs/>
          <w:noProof/>
          <w:color w:val="000000"/>
          <w:lang w:val="en-PH" w:eastAsia="en-PH"/>
        </w:rPr>
        <w:t>1</w:t>
      </w:r>
      <w:r w:rsidRPr="003110A5">
        <w:rPr>
          <w:rFonts w:ascii="Arial" w:hAnsi="Arial" w:cs="Arial"/>
          <w:b/>
          <w:bCs/>
          <w:noProof/>
          <w:color w:val="000000"/>
          <w:lang w:val="en-PH" w:eastAsia="en-PH"/>
        </w:rPr>
        <w:t>: Model 2 of the Grammatical Competence of the Students</w:t>
      </w:r>
      <w:r w:rsidRPr="003110A5">
        <w:rPr>
          <w:rFonts w:ascii="Arial" w:hAnsi="Arial" w:cs="Arial"/>
          <w:noProof/>
          <w:color w:val="000000"/>
          <w:sz w:val="24"/>
          <w:szCs w:val="24"/>
          <w:lang w:val="en-PH" w:eastAsia="en-PH"/>
        </w:rPr>
        <w:drawing>
          <wp:inline distT="0" distB="0" distL="0" distR="0" wp14:anchorId="6FDF5A4C" wp14:editId="38A6B33F">
            <wp:extent cx="3628103" cy="2573552"/>
            <wp:effectExtent l="0" t="0" r="0" b="0"/>
            <wp:docPr id="1229304744" name="Picture 4" descr="A diagram of a computer generated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04744" name="Picture 4" descr="A diagram of a computer generated diagram&#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86785" cy="2615178"/>
                    </a:xfrm>
                    <a:prstGeom prst="rect">
                      <a:avLst/>
                    </a:prstGeom>
                    <a:noFill/>
                  </pic:spPr>
                </pic:pic>
              </a:graphicData>
            </a:graphic>
          </wp:inline>
        </w:drawing>
      </w:r>
    </w:p>
    <w:p w14:paraId="0A2C7757" w14:textId="6A34ED4A" w:rsidR="00EA36C2" w:rsidRDefault="00EA36C2" w:rsidP="00EA36C2">
      <w:pPr>
        <w:pStyle w:val="Body"/>
        <w:jc w:val="center"/>
        <w:rPr>
          <w:rFonts w:ascii="Arial" w:hAnsi="Arial" w:cs="Arial"/>
        </w:rPr>
      </w:pPr>
      <w:r w:rsidRPr="00EA36C2">
        <w:rPr>
          <w:noProof/>
        </w:rPr>
        <w:drawing>
          <wp:inline distT="0" distB="0" distL="0" distR="0" wp14:anchorId="1B1B499D" wp14:editId="7DA090F3">
            <wp:extent cx="3893820" cy="864969"/>
            <wp:effectExtent l="0" t="0" r="0" b="0"/>
            <wp:docPr id="8779841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74220" cy="882829"/>
                    </a:xfrm>
                    <a:prstGeom prst="rect">
                      <a:avLst/>
                    </a:prstGeom>
                    <a:noFill/>
                    <a:ln>
                      <a:noFill/>
                    </a:ln>
                  </pic:spPr>
                </pic:pic>
              </a:graphicData>
            </a:graphic>
          </wp:inline>
        </w:drawing>
      </w:r>
    </w:p>
    <w:p w14:paraId="13C73069" w14:textId="12F0C7C2" w:rsidR="00543754" w:rsidRDefault="006772F5" w:rsidP="006772F5">
      <w:pPr>
        <w:pStyle w:val="Body"/>
        <w:rPr>
          <w:rFonts w:ascii="Arial" w:hAnsi="Arial" w:cs="Arial"/>
        </w:rPr>
      </w:pPr>
      <w:r w:rsidRPr="006772F5">
        <w:rPr>
          <w:rFonts w:ascii="Arial" w:hAnsi="Arial" w:cs="Arial"/>
        </w:rPr>
        <w:t xml:space="preserve">Finally, structural model </w:t>
      </w:r>
      <w:r w:rsidR="00EA36C2" w:rsidRPr="006772F5">
        <w:rPr>
          <w:rFonts w:ascii="Arial" w:hAnsi="Arial" w:cs="Arial"/>
        </w:rPr>
        <w:t>3,</w:t>
      </w:r>
      <w:r w:rsidRPr="006772F5">
        <w:rPr>
          <w:rFonts w:ascii="Arial" w:hAnsi="Arial" w:cs="Arial"/>
        </w:rPr>
        <w:t xml:space="preserve"> illustrates the relationship between the exogenous variables (language exposure, language learning, and reading strategies) and the endogenous variable (students’ grammatical competence)—was identified as the most appropriate model. The best-fitting model was measured as highly acceptable, as shown in Table 8. The chi-square </w:t>
      </w:r>
      <w:r w:rsidRPr="006772F5">
        <w:rPr>
          <w:rFonts w:ascii="Arial" w:hAnsi="Arial" w:cs="Arial"/>
        </w:rPr>
        <w:lastRenderedPageBreak/>
        <w:t>divided by degrees of freedom is 1.215, with a p-value of .146, indicating a well-fitting model. This is strongly supported by the Root Mean Square Error of Approximation (RMSEA) index of .023, which is below the 0.05 level of significance and has a corresponding p-close of .994.</w:t>
      </w:r>
    </w:p>
    <w:p w14:paraId="0EE0751A" w14:textId="791FEA6E" w:rsidR="00F456B3" w:rsidRDefault="00F456B3" w:rsidP="006772F5">
      <w:pPr>
        <w:pStyle w:val="Body"/>
        <w:rPr>
          <w:rFonts w:ascii="Arial" w:hAnsi="Arial" w:cs="Arial"/>
        </w:rPr>
      </w:pPr>
      <w:r w:rsidRPr="00F456B3">
        <w:rPr>
          <w:rFonts w:ascii="Arial" w:hAnsi="Arial" w:cs="Arial"/>
        </w:rPr>
        <w:t>Moreover, other indices such as the Normed Fit Index (NFI), Tucker-Lewis Index (TLI), and Comparative Fit Index (CFI) also strongly indicate that this is the best-fitting model, as all measurements met the required standards.</w:t>
      </w:r>
    </w:p>
    <w:p w14:paraId="7E5F6F1D" w14:textId="1218F5AE" w:rsidR="00B75924" w:rsidRDefault="00F456B3" w:rsidP="00F456B3">
      <w:pPr>
        <w:pStyle w:val="Body"/>
        <w:rPr>
          <w:rFonts w:ascii="Arial" w:hAnsi="Arial" w:cs="Arial"/>
        </w:rPr>
      </w:pPr>
      <w:r w:rsidRPr="00F456B3">
        <w:rPr>
          <w:rFonts w:ascii="Arial" w:hAnsi="Arial" w:cs="Arial"/>
        </w:rPr>
        <w:t>Based on the results in Table 9, the regression weights of the three developed models indicate that Models 1 and 2 revealed three variables with clearly negative outcomes. These changes show how the variables can influence and must be considered in the field of education.</w:t>
      </w:r>
    </w:p>
    <w:p w14:paraId="363258E8" w14:textId="77777777" w:rsidR="00B75924" w:rsidRDefault="00B75924" w:rsidP="00F456B3">
      <w:pPr>
        <w:pStyle w:val="Body"/>
        <w:rPr>
          <w:rFonts w:ascii="Arial" w:hAnsi="Arial" w:cs="Arial"/>
        </w:rPr>
      </w:pPr>
    </w:p>
    <w:p w14:paraId="22E5D5FD" w14:textId="5168659D" w:rsidR="00B16333" w:rsidRPr="00B16333" w:rsidRDefault="00B16333" w:rsidP="00B16333">
      <w:pPr>
        <w:spacing w:after="200"/>
        <w:contextualSpacing/>
        <w:jc w:val="both"/>
        <w:rPr>
          <w:rFonts w:ascii="Arial" w:eastAsia="Calibri" w:hAnsi="Arial" w:cs="Arial"/>
          <w:b/>
          <w:bCs/>
          <w:iCs/>
        </w:rPr>
      </w:pPr>
      <w:bookmarkStart w:id="5" w:name="_Hlk197469640"/>
      <w:r w:rsidRPr="00B16333">
        <w:rPr>
          <w:rFonts w:ascii="Arial" w:eastAsia="Calibri" w:hAnsi="Arial" w:cs="Arial"/>
          <w:b/>
          <w:bCs/>
          <w:iCs/>
        </w:rPr>
        <w:t>Table 9</w:t>
      </w:r>
    </w:p>
    <w:p w14:paraId="572DB4DC" w14:textId="3CDDC546" w:rsidR="00B16333" w:rsidRPr="00B16333" w:rsidRDefault="00B16333" w:rsidP="00B16333">
      <w:pPr>
        <w:spacing w:after="200"/>
        <w:contextualSpacing/>
        <w:jc w:val="both"/>
        <w:rPr>
          <w:rFonts w:ascii="Arial" w:eastAsia="Calibri" w:hAnsi="Arial" w:cs="Arial"/>
          <w:i/>
        </w:rPr>
      </w:pPr>
      <w:r w:rsidRPr="00B16333">
        <w:rPr>
          <w:rFonts w:ascii="Arial" w:eastAsia="Calibri" w:hAnsi="Arial" w:cs="Arial"/>
          <w:i/>
        </w:rPr>
        <w:t>Regression Weights of the Three Developed Models</w:t>
      </w:r>
    </w:p>
    <w:tbl>
      <w:tblPr>
        <w:tblStyle w:val="TableGrid1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
        <w:gridCol w:w="3229"/>
        <w:gridCol w:w="1970"/>
        <w:gridCol w:w="1955"/>
      </w:tblGrid>
      <w:tr w:rsidR="00B16333" w:rsidRPr="00B16333" w14:paraId="33D5A9A5" w14:textId="77777777" w:rsidTr="00C42D78">
        <w:trPr>
          <w:trHeight w:val="349"/>
        </w:trPr>
        <w:tc>
          <w:tcPr>
            <w:tcW w:w="1055" w:type="dxa"/>
            <w:tcBorders>
              <w:bottom w:val="single" w:sz="4" w:space="0" w:color="auto"/>
            </w:tcBorders>
            <w:vAlign w:val="center"/>
          </w:tcPr>
          <w:p w14:paraId="0F8043B3" w14:textId="77777777" w:rsidR="00B16333" w:rsidRPr="00B16333" w:rsidRDefault="00B16333" w:rsidP="00B16333">
            <w:pPr>
              <w:jc w:val="center"/>
              <w:rPr>
                <w:rFonts w:ascii="Arial" w:hAnsi="Arial" w:cs="Arial"/>
                <w:sz w:val="20"/>
              </w:rPr>
            </w:pPr>
          </w:p>
        </w:tc>
        <w:tc>
          <w:tcPr>
            <w:tcW w:w="7302" w:type="dxa"/>
            <w:gridSpan w:val="3"/>
            <w:tcBorders>
              <w:top w:val="single" w:sz="4" w:space="0" w:color="auto"/>
              <w:bottom w:val="single" w:sz="4" w:space="0" w:color="auto"/>
            </w:tcBorders>
            <w:vAlign w:val="center"/>
          </w:tcPr>
          <w:p w14:paraId="46B1F375" w14:textId="77777777" w:rsidR="00B16333" w:rsidRPr="00B16333" w:rsidRDefault="00B16333" w:rsidP="00B16333">
            <w:pPr>
              <w:jc w:val="center"/>
              <w:rPr>
                <w:rFonts w:ascii="Arial" w:hAnsi="Arial" w:cs="Arial"/>
                <w:b/>
                <w:bCs/>
                <w:sz w:val="20"/>
              </w:rPr>
            </w:pPr>
            <w:r w:rsidRPr="00B16333">
              <w:rPr>
                <w:rFonts w:ascii="Arial" w:hAnsi="Arial" w:cs="Arial"/>
                <w:b/>
                <w:bCs/>
                <w:sz w:val="20"/>
              </w:rPr>
              <w:t>Exogenous Variables to Endogenous Variable</w:t>
            </w:r>
          </w:p>
        </w:tc>
      </w:tr>
      <w:tr w:rsidR="00B16333" w:rsidRPr="00B16333" w14:paraId="55EF6719" w14:textId="77777777" w:rsidTr="00C42D78">
        <w:trPr>
          <w:trHeight w:val="349"/>
        </w:trPr>
        <w:tc>
          <w:tcPr>
            <w:tcW w:w="1055" w:type="dxa"/>
            <w:tcBorders>
              <w:top w:val="single" w:sz="4" w:space="0" w:color="auto"/>
              <w:bottom w:val="single" w:sz="4" w:space="0" w:color="auto"/>
            </w:tcBorders>
            <w:vAlign w:val="center"/>
          </w:tcPr>
          <w:p w14:paraId="26D9E620" w14:textId="77777777" w:rsidR="00B16333" w:rsidRPr="00B16333" w:rsidRDefault="00B16333" w:rsidP="00B16333">
            <w:pPr>
              <w:jc w:val="center"/>
              <w:rPr>
                <w:rFonts w:ascii="Arial" w:hAnsi="Arial" w:cs="Arial"/>
                <w:sz w:val="20"/>
              </w:rPr>
            </w:pPr>
            <w:r w:rsidRPr="00B16333">
              <w:rPr>
                <w:rFonts w:ascii="Arial" w:hAnsi="Arial" w:cs="Arial"/>
                <w:sz w:val="20"/>
              </w:rPr>
              <w:t>Model</w:t>
            </w:r>
          </w:p>
        </w:tc>
        <w:tc>
          <w:tcPr>
            <w:tcW w:w="3311" w:type="dxa"/>
            <w:tcBorders>
              <w:top w:val="single" w:sz="4" w:space="0" w:color="auto"/>
              <w:bottom w:val="single" w:sz="4" w:space="0" w:color="auto"/>
            </w:tcBorders>
            <w:vAlign w:val="center"/>
          </w:tcPr>
          <w:p w14:paraId="105E2289" w14:textId="77777777" w:rsidR="00B16333" w:rsidRPr="00B16333" w:rsidRDefault="00B16333" w:rsidP="00B16333">
            <w:pPr>
              <w:jc w:val="center"/>
              <w:rPr>
                <w:rFonts w:ascii="Arial" w:hAnsi="Arial" w:cs="Arial"/>
                <w:sz w:val="20"/>
              </w:rPr>
            </w:pPr>
            <w:r w:rsidRPr="00B16333">
              <w:rPr>
                <w:rFonts w:ascii="Arial" w:hAnsi="Arial" w:cs="Arial"/>
                <w:sz w:val="20"/>
              </w:rPr>
              <w:t>Language Exposure</w:t>
            </w:r>
          </w:p>
        </w:tc>
        <w:tc>
          <w:tcPr>
            <w:tcW w:w="2003" w:type="dxa"/>
            <w:tcBorders>
              <w:top w:val="single" w:sz="4" w:space="0" w:color="auto"/>
              <w:bottom w:val="single" w:sz="4" w:space="0" w:color="auto"/>
            </w:tcBorders>
            <w:vAlign w:val="center"/>
          </w:tcPr>
          <w:p w14:paraId="065F8B22" w14:textId="77777777" w:rsidR="00B16333" w:rsidRPr="00B16333" w:rsidRDefault="00B16333" w:rsidP="00B16333">
            <w:pPr>
              <w:jc w:val="center"/>
              <w:rPr>
                <w:rFonts w:ascii="Arial" w:hAnsi="Arial" w:cs="Arial"/>
                <w:sz w:val="20"/>
              </w:rPr>
            </w:pPr>
            <w:r w:rsidRPr="00B16333">
              <w:rPr>
                <w:rFonts w:ascii="Arial" w:hAnsi="Arial" w:cs="Arial"/>
                <w:sz w:val="20"/>
              </w:rPr>
              <w:t>Reading Strategies</w:t>
            </w:r>
          </w:p>
        </w:tc>
        <w:tc>
          <w:tcPr>
            <w:tcW w:w="1987" w:type="dxa"/>
            <w:tcBorders>
              <w:top w:val="single" w:sz="4" w:space="0" w:color="auto"/>
              <w:bottom w:val="single" w:sz="4" w:space="0" w:color="auto"/>
            </w:tcBorders>
            <w:vAlign w:val="center"/>
          </w:tcPr>
          <w:p w14:paraId="1A695505" w14:textId="77777777" w:rsidR="00B16333" w:rsidRPr="00B16333" w:rsidRDefault="00B16333" w:rsidP="00B16333">
            <w:pPr>
              <w:jc w:val="center"/>
              <w:rPr>
                <w:rFonts w:ascii="Arial" w:hAnsi="Arial" w:cs="Arial"/>
                <w:sz w:val="20"/>
              </w:rPr>
            </w:pPr>
            <w:r w:rsidRPr="00B16333">
              <w:rPr>
                <w:rFonts w:ascii="Arial" w:hAnsi="Arial" w:cs="Arial"/>
                <w:sz w:val="20"/>
              </w:rPr>
              <w:t>Language Learning</w:t>
            </w:r>
          </w:p>
        </w:tc>
      </w:tr>
      <w:tr w:rsidR="00B16333" w:rsidRPr="00B16333" w14:paraId="00148BD4" w14:textId="77777777" w:rsidTr="00C42D78">
        <w:trPr>
          <w:trHeight w:val="349"/>
        </w:trPr>
        <w:tc>
          <w:tcPr>
            <w:tcW w:w="1055" w:type="dxa"/>
            <w:tcBorders>
              <w:top w:val="single" w:sz="4" w:space="0" w:color="auto"/>
            </w:tcBorders>
            <w:vAlign w:val="center"/>
          </w:tcPr>
          <w:p w14:paraId="5C531275" w14:textId="77777777" w:rsidR="00B16333" w:rsidRPr="00B16333" w:rsidRDefault="00B16333" w:rsidP="00B16333">
            <w:pPr>
              <w:jc w:val="center"/>
              <w:rPr>
                <w:rFonts w:ascii="Arial" w:hAnsi="Arial" w:cs="Arial"/>
                <w:sz w:val="20"/>
              </w:rPr>
            </w:pPr>
            <w:r w:rsidRPr="00B16333">
              <w:rPr>
                <w:rFonts w:ascii="Arial" w:hAnsi="Arial" w:cs="Arial"/>
                <w:sz w:val="20"/>
              </w:rPr>
              <w:t>1</w:t>
            </w:r>
          </w:p>
        </w:tc>
        <w:tc>
          <w:tcPr>
            <w:tcW w:w="3311" w:type="dxa"/>
            <w:tcBorders>
              <w:top w:val="single" w:sz="4" w:space="0" w:color="auto"/>
            </w:tcBorders>
            <w:vAlign w:val="center"/>
          </w:tcPr>
          <w:p w14:paraId="79F7ED50" w14:textId="77777777" w:rsidR="00B16333" w:rsidRPr="00B16333" w:rsidRDefault="00B16333" w:rsidP="00B16333">
            <w:pPr>
              <w:jc w:val="center"/>
              <w:rPr>
                <w:rFonts w:ascii="Arial" w:hAnsi="Arial" w:cs="Arial"/>
                <w:sz w:val="20"/>
              </w:rPr>
            </w:pPr>
            <w:r w:rsidRPr="00B16333">
              <w:rPr>
                <w:rFonts w:ascii="Arial" w:hAnsi="Arial" w:cs="Arial"/>
                <w:sz w:val="20"/>
              </w:rPr>
              <w:t>-.033</w:t>
            </w:r>
          </w:p>
        </w:tc>
        <w:tc>
          <w:tcPr>
            <w:tcW w:w="2003" w:type="dxa"/>
            <w:tcBorders>
              <w:top w:val="single" w:sz="4" w:space="0" w:color="auto"/>
            </w:tcBorders>
            <w:vAlign w:val="center"/>
          </w:tcPr>
          <w:p w14:paraId="37581BF6" w14:textId="77777777" w:rsidR="00B16333" w:rsidRPr="00B16333" w:rsidRDefault="00B16333" w:rsidP="00B16333">
            <w:pPr>
              <w:jc w:val="center"/>
              <w:rPr>
                <w:rFonts w:ascii="Arial" w:hAnsi="Arial" w:cs="Arial"/>
                <w:sz w:val="20"/>
              </w:rPr>
            </w:pPr>
            <w:r w:rsidRPr="00B16333">
              <w:rPr>
                <w:rFonts w:ascii="Arial" w:hAnsi="Arial" w:cs="Arial"/>
                <w:sz w:val="20"/>
              </w:rPr>
              <w:t>-.048</w:t>
            </w:r>
          </w:p>
        </w:tc>
        <w:tc>
          <w:tcPr>
            <w:tcW w:w="1987" w:type="dxa"/>
            <w:tcBorders>
              <w:top w:val="single" w:sz="4" w:space="0" w:color="auto"/>
            </w:tcBorders>
            <w:vAlign w:val="center"/>
          </w:tcPr>
          <w:p w14:paraId="4A35769F" w14:textId="77777777" w:rsidR="00B16333" w:rsidRPr="00B16333" w:rsidRDefault="00B16333" w:rsidP="00B16333">
            <w:pPr>
              <w:jc w:val="center"/>
              <w:rPr>
                <w:rFonts w:ascii="Arial" w:hAnsi="Arial" w:cs="Arial"/>
                <w:sz w:val="20"/>
              </w:rPr>
            </w:pPr>
            <w:r w:rsidRPr="00B16333">
              <w:rPr>
                <w:rFonts w:ascii="Arial" w:hAnsi="Arial" w:cs="Arial"/>
                <w:sz w:val="20"/>
              </w:rPr>
              <w:t>-.063</w:t>
            </w:r>
          </w:p>
        </w:tc>
      </w:tr>
      <w:tr w:rsidR="00B16333" w:rsidRPr="00B16333" w14:paraId="42D45B65" w14:textId="77777777" w:rsidTr="00C42D78">
        <w:trPr>
          <w:trHeight w:val="349"/>
        </w:trPr>
        <w:tc>
          <w:tcPr>
            <w:tcW w:w="1055" w:type="dxa"/>
            <w:vAlign w:val="center"/>
          </w:tcPr>
          <w:p w14:paraId="2F45043B" w14:textId="77777777" w:rsidR="00B16333" w:rsidRPr="00B16333" w:rsidRDefault="00B16333" w:rsidP="00B16333">
            <w:pPr>
              <w:jc w:val="center"/>
              <w:rPr>
                <w:rFonts w:ascii="Arial" w:hAnsi="Arial" w:cs="Arial"/>
                <w:sz w:val="20"/>
              </w:rPr>
            </w:pPr>
            <w:r w:rsidRPr="00B16333">
              <w:rPr>
                <w:rFonts w:ascii="Arial" w:hAnsi="Arial" w:cs="Arial"/>
                <w:sz w:val="20"/>
              </w:rPr>
              <w:t>2</w:t>
            </w:r>
          </w:p>
        </w:tc>
        <w:tc>
          <w:tcPr>
            <w:tcW w:w="3311" w:type="dxa"/>
            <w:vAlign w:val="center"/>
          </w:tcPr>
          <w:p w14:paraId="05C01877" w14:textId="77777777" w:rsidR="00B16333" w:rsidRPr="00B16333" w:rsidRDefault="00B16333" w:rsidP="00B16333">
            <w:pPr>
              <w:jc w:val="center"/>
              <w:rPr>
                <w:rFonts w:ascii="Arial" w:hAnsi="Arial" w:cs="Arial"/>
                <w:sz w:val="20"/>
              </w:rPr>
            </w:pPr>
            <w:r w:rsidRPr="00B16333">
              <w:rPr>
                <w:rFonts w:ascii="Arial" w:hAnsi="Arial" w:cs="Arial"/>
                <w:sz w:val="20"/>
              </w:rPr>
              <w:t>-.034</w:t>
            </w:r>
          </w:p>
        </w:tc>
        <w:tc>
          <w:tcPr>
            <w:tcW w:w="2003" w:type="dxa"/>
            <w:vAlign w:val="center"/>
          </w:tcPr>
          <w:p w14:paraId="357743DB" w14:textId="77777777" w:rsidR="00B16333" w:rsidRPr="00B16333" w:rsidRDefault="00B16333" w:rsidP="00B16333">
            <w:pPr>
              <w:jc w:val="center"/>
              <w:rPr>
                <w:rFonts w:ascii="Arial" w:hAnsi="Arial" w:cs="Arial"/>
                <w:sz w:val="20"/>
              </w:rPr>
            </w:pPr>
            <w:r w:rsidRPr="00B16333">
              <w:rPr>
                <w:rFonts w:ascii="Arial" w:hAnsi="Arial" w:cs="Arial"/>
                <w:sz w:val="20"/>
              </w:rPr>
              <w:t>-.051</w:t>
            </w:r>
          </w:p>
        </w:tc>
        <w:tc>
          <w:tcPr>
            <w:tcW w:w="1987" w:type="dxa"/>
            <w:vAlign w:val="center"/>
          </w:tcPr>
          <w:p w14:paraId="3B72EBFF" w14:textId="77777777" w:rsidR="00B16333" w:rsidRPr="00B16333" w:rsidRDefault="00B16333" w:rsidP="00B16333">
            <w:pPr>
              <w:jc w:val="center"/>
              <w:rPr>
                <w:rFonts w:ascii="Arial" w:hAnsi="Arial" w:cs="Arial"/>
                <w:sz w:val="20"/>
              </w:rPr>
            </w:pPr>
            <w:r w:rsidRPr="00B16333">
              <w:rPr>
                <w:rFonts w:ascii="Arial" w:hAnsi="Arial" w:cs="Arial"/>
                <w:sz w:val="20"/>
              </w:rPr>
              <w:t>-.053</w:t>
            </w:r>
          </w:p>
        </w:tc>
      </w:tr>
      <w:tr w:rsidR="00B16333" w:rsidRPr="00B16333" w14:paraId="31C2B606" w14:textId="77777777" w:rsidTr="00C42D78">
        <w:trPr>
          <w:trHeight w:val="349"/>
        </w:trPr>
        <w:tc>
          <w:tcPr>
            <w:tcW w:w="1055" w:type="dxa"/>
            <w:tcBorders>
              <w:bottom w:val="single" w:sz="4" w:space="0" w:color="auto"/>
            </w:tcBorders>
            <w:vAlign w:val="center"/>
          </w:tcPr>
          <w:p w14:paraId="67C30FA6" w14:textId="77777777" w:rsidR="00B16333" w:rsidRPr="00B16333" w:rsidRDefault="00B16333" w:rsidP="00B16333">
            <w:pPr>
              <w:jc w:val="center"/>
              <w:rPr>
                <w:rFonts w:ascii="Arial" w:hAnsi="Arial" w:cs="Arial"/>
                <w:sz w:val="20"/>
              </w:rPr>
            </w:pPr>
            <w:r w:rsidRPr="00B16333">
              <w:rPr>
                <w:rFonts w:ascii="Arial" w:hAnsi="Arial" w:cs="Arial"/>
                <w:sz w:val="20"/>
              </w:rPr>
              <w:t>3</w:t>
            </w:r>
          </w:p>
        </w:tc>
        <w:tc>
          <w:tcPr>
            <w:tcW w:w="3311" w:type="dxa"/>
            <w:tcBorders>
              <w:bottom w:val="single" w:sz="4" w:space="0" w:color="auto"/>
            </w:tcBorders>
            <w:vAlign w:val="center"/>
          </w:tcPr>
          <w:p w14:paraId="413C4AF7" w14:textId="77777777" w:rsidR="00B16333" w:rsidRPr="00B16333" w:rsidRDefault="00B16333" w:rsidP="00B16333">
            <w:pPr>
              <w:jc w:val="center"/>
              <w:rPr>
                <w:rFonts w:ascii="Arial" w:hAnsi="Arial" w:cs="Arial"/>
                <w:sz w:val="20"/>
              </w:rPr>
            </w:pPr>
            <w:r w:rsidRPr="00B16333">
              <w:rPr>
                <w:rFonts w:ascii="Arial" w:hAnsi="Arial" w:cs="Arial"/>
                <w:sz w:val="20"/>
              </w:rPr>
              <w:t>-.005</w:t>
            </w:r>
          </w:p>
        </w:tc>
        <w:tc>
          <w:tcPr>
            <w:tcW w:w="2003" w:type="dxa"/>
            <w:tcBorders>
              <w:bottom w:val="single" w:sz="4" w:space="0" w:color="auto"/>
            </w:tcBorders>
            <w:vAlign w:val="center"/>
          </w:tcPr>
          <w:p w14:paraId="4114C2A4" w14:textId="77777777" w:rsidR="00B16333" w:rsidRPr="00B16333" w:rsidRDefault="00B16333" w:rsidP="00B16333">
            <w:pPr>
              <w:jc w:val="center"/>
              <w:rPr>
                <w:rFonts w:ascii="Arial" w:hAnsi="Arial" w:cs="Arial"/>
                <w:sz w:val="20"/>
              </w:rPr>
            </w:pPr>
            <w:r w:rsidRPr="00B16333">
              <w:rPr>
                <w:rFonts w:ascii="Arial" w:hAnsi="Arial" w:cs="Arial"/>
                <w:sz w:val="20"/>
              </w:rPr>
              <w:t>-.079</w:t>
            </w:r>
          </w:p>
        </w:tc>
        <w:tc>
          <w:tcPr>
            <w:tcW w:w="1987" w:type="dxa"/>
            <w:tcBorders>
              <w:bottom w:val="single" w:sz="4" w:space="0" w:color="auto"/>
            </w:tcBorders>
            <w:vAlign w:val="center"/>
          </w:tcPr>
          <w:p w14:paraId="547BF068" w14:textId="77777777" w:rsidR="00B16333" w:rsidRPr="00B16333" w:rsidRDefault="00B16333" w:rsidP="00B16333">
            <w:pPr>
              <w:jc w:val="center"/>
              <w:rPr>
                <w:rFonts w:ascii="Arial" w:hAnsi="Arial" w:cs="Arial"/>
                <w:sz w:val="20"/>
              </w:rPr>
            </w:pPr>
            <w:r w:rsidRPr="00B16333">
              <w:rPr>
                <w:rFonts w:ascii="Arial" w:hAnsi="Arial" w:cs="Arial"/>
                <w:sz w:val="20"/>
              </w:rPr>
              <w:t>.044</w:t>
            </w:r>
          </w:p>
        </w:tc>
      </w:tr>
    </w:tbl>
    <w:p w14:paraId="7AA5B294" w14:textId="1206F063" w:rsidR="00B16333" w:rsidRPr="0005127F" w:rsidRDefault="00B16333" w:rsidP="0005127F">
      <w:pPr>
        <w:spacing w:after="200" w:line="480" w:lineRule="auto"/>
        <w:rPr>
          <w:rFonts w:ascii="Arial" w:eastAsia="Calibri" w:hAnsi="Arial" w:cs="Arial"/>
          <w:bCs/>
          <w:color w:val="000000"/>
        </w:rPr>
      </w:pPr>
      <w:r w:rsidRPr="00B16333">
        <w:rPr>
          <w:rFonts w:ascii="Arial" w:eastAsia="Calibri" w:hAnsi="Arial" w:cs="Arial"/>
          <w:bCs/>
          <w:color w:val="000000"/>
        </w:rPr>
        <w:t xml:space="preserve">* </w:t>
      </w:r>
      <w:r w:rsidRPr="00B16333">
        <w:rPr>
          <w:rFonts w:ascii="Arial" w:eastAsia="Calibri" w:hAnsi="Arial" w:cs="Arial"/>
          <w:bCs/>
          <w:i/>
          <w:iCs/>
          <w:color w:val="000000"/>
        </w:rPr>
        <w:t>p</w:t>
      </w:r>
      <w:r w:rsidRPr="00B16333">
        <w:rPr>
          <w:rFonts w:ascii="Arial" w:eastAsia="Calibri" w:hAnsi="Arial" w:cs="Arial"/>
          <w:bCs/>
          <w:color w:val="000000"/>
        </w:rPr>
        <w:t xml:space="preserve">&lt;0.05, ** </w:t>
      </w:r>
      <w:r w:rsidRPr="00B16333">
        <w:rPr>
          <w:rFonts w:ascii="Arial" w:eastAsia="Calibri" w:hAnsi="Arial" w:cs="Arial"/>
          <w:bCs/>
          <w:i/>
          <w:iCs/>
          <w:color w:val="000000"/>
        </w:rPr>
        <w:t>p</w:t>
      </w:r>
      <w:r w:rsidRPr="00B16333">
        <w:rPr>
          <w:rFonts w:ascii="Arial" w:eastAsia="Calibri" w:hAnsi="Arial" w:cs="Arial"/>
          <w:bCs/>
          <w:color w:val="000000"/>
        </w:rPr>
        <w:t xml:space="preserve">&lt;0.01, *** </w:t>
      </w:r>
      <w:r w:rsidRPr="00B16333">
        <w:rPr>
          <w:rFonts w:ascii="Arial" w:eastAsia="Calibri" w:hAnsi="Arial" w:cs="Arial"/>
          <w:bCs/>
          <w:i/>
          <w:iCs/>
          <w:color w:val="000000"/>
        </w:rPr>
        <w:t>p</w:t>
      </w:r>
      <w:r w:rsidRPr="00B16333">
        <w:rPr>
          <w:rFonts w:ascii="Arial" w:eastAsia="Calibri" w:hAnsi="Arial" w:cs="Arial"/>
          <w:bCs/>
          <w:color w:val="000000"/>
        </w:rPr>
        <w:t>=0.000</w:t>
      </w:r>
      <w:bookmarkEnd w:id="5"/>
    </w:p>
    <w:p w14:paraId="2896E7CB" w14:textId="69D06B47" w:rsidR="00F456B3" w:rsidRDefault="00F456B3" w:rsidP="00F456B3">
      <w:pPr>
        <w:pStyle w:val="Body"/>
        <w:contextualSpacing/>
        <w:rPr>
          <w:rFonts w:ascii="Arial" w:hAnsi="Arial" w:cs="Arial"/>
        </w:rPr>
      </w:pPr>
      <w:r w:rsidRPr="0005127F">
        <w:rPr>
          <w:rFonts w:ascii="Arial" w:hAnsi="Arial" w:cs="Arial"/>
        </w:rPr>
        <w:t xml:space="preserve">Model 3 presented a more complex result, where one indicator of the exogenous variable—media—was removed, which may have had an impact. </w:t>
      </w:r>
      <w:r w:rsidR="00D41953">
        <w:rPr>
          <w:rFonts w:ascii="Arial" w:hAnsi="Arial" w:cs="Arial"/>
        </w:rPr>
        <w:t>L</w:t>
      </w:r>
      <w:r w:rsidRPr="0005127F">
        <w:rPr>
          <w:rFonts w:ascii="Arial" w:hAnsi="Arial" w:cs="Arial"/>
        </w:rPr>
        <w:t>anguage learning, despite showing a positive result, did not provide sufficient evidence to demonstrate its effect.</w:t>
      </w:r>
      <w:r w:rsidR="00D41953">
        <w:rPr>
          <w:rFonts w:ascii="Arial" w:hAnsi="Arial" w:cs="Arial"/>
        </w:rPr>
        <w:t xml:space="preserve"> Meanwhile, </w:t>
      </w:r>
      <w:r w:rsidR="00D41953" w:rsidRPr="00D41953">
        <w:rPr>
          <w:rFonts w:ascii="Arial" w:hAnsi="Arial" w:cs="Arial"/>
        </w:rPr>
        <w:t>the ability in reading strategies showed a deeper change and a significant effect.</w:t>
      </w:r>
    </w:p>
    <w:p w14:paraId="68814841" w14:textId="77777777" w:rsidR="001C48D8" w:rsidRDefault="001C48D8" w:rsidP="00F456B3">
      <w:pPr>
        <w:pStyle w:val="Body"/>
        <w:contextualSpacing/>
        <w:rPr>
          <w:rFonts w:ascii="Arial" w:hAnsi="Arial" w:cs="Arial"/>
        </w:rPr>
      </w:pPr>
    </w:p>
    <w:p w14:paraId="0546CCBB" w14:textId="6F5E4AD7" w:rsidR="001C48D8" w:rsidRDefault="001C48D8" w:rsidP="00F456B3">
      <w:pPr>
        <w:pStyle w:val="Body"/>
        <w:contextualSpacing/>
        <w:rPr>
          <w:rFonts w:ascii="Arial" w:hAnsi="Arial" w:cs="Arial"/>
        </w:rPr>
      </w:pPr>
      <w:r w:rsidRPr="001C48D8">
        <w:rPr>
          <w:rFonts w:ascii="Arial" w:hAnsi="Arial" w:cs="Arial"/>
        </w:rPr>
        <w:t>On the other hand, language learning—comprising speaking, reading, listening, and writing—was found to significantly influence students’ grammatical competence. Based on the results, it can be determined that students' grammatical competence primarily depends on the influence of school, friends, and home; and the four language skills: speaking, reading, listening, and writing and cognitive and metacognitive strategies.</w:t>
      </w:r>
    </w:p>
    <w:p w14:paraId="7080C87C" w14:textId="77777777" w:rsidR="001C48D8" w:rsidRDefault="001C48D8" w:rsidP="00F456B3">
      <w:pPr>
        <w:pStyle w:val="Body"/>
        <w:contextualSpacing/>
        <w:rPr>
          <w:rFonts w:ascii="Arial" w:hAnsi="Arial" w:cs="Arial"/>
        </w:rPr>
      </w:pPr>
    </w:p>
    <w:p w14:paraId="43115900" w14:textId="3E24BF09" w:rsidR="001C48D8" w:rsidRDefault="001C48D8" w:rsidP="00F456B3">
      <w:pPr>
        <w:pStyle w:val="Body"/>
        <w:contextualSpacing/>
        <w:rPr>
          <w:rFonts w:ascii="Arial" w:hAnsi="Arial" w:cs="Arial"/>
        </w:rPr>
      </w:pPr>
      <w:r w:rsidRPr="001C48D8">
        <w:rPr>
          <w:rFonts w:ascii="Arial" w:hAnsi="Arial" w:cs="Arial"/>
        </w:rPr>
        <w:t>The direct relationship shows that school, friends, and home play a crucial role in language exposure. The findings highlight that reading strategies, including cognitive and metacognitive aspects, are essential in students’ understanding and organization of knowledge. The connection between school education, home support, and peer interaction serves as a foundation for their learning.</w:t>
      </w:r>
    </w:p>
    <w:p w14:paraId="3392F49A" w14:textId="77777777" w:rsidR="001C48D8" w:rsidRDefault="001C48D8" w:rsidP="00F456B3">
      <w:pPr>
        <w:pStyle w:val="Body"/>
        <w:contextualSpacing/>
        <w:rPr>
          <w:rFonts w:ascii="Arial" w:hAnsi="Arial" w:cs="Arial"/>
        </w:rPr>
      </w:pPr>
    </w:p>
    <w:p w14:paraId="50CCAD27" w14:textId="77777777" w:rsidR="001C48D8" w:rsidRDefault="001C48D8" w:rsidP="00F456B3">
      <w:pPr>
        <w:pStyle w:val="Body"/>
        <w:contextualSpacing/>
        <w:rPr>
          <w:rFonts w:ascii="Arial" w:hAnsi="Arial" w:cs="Arial"/>
        </w:rPr>
      </w:pPr>
    </w:p>
    <w:p w14:paraId="590F221C" w14:textId="77777777" w:rsidR="001C48D8" w:rsidRDefault="001C48D8" w:rsidP="00F456B3">
      <w:pPr>
        <w:pStyle w:val="Body"/>
        <w:contextualSpacing/>
        <w:rPr>
          <w:rFonts w:ascii="Arial" w:hAnsi="Arial" w:cs="Arial"/>
        </w:rPr>
      </w:pPr>
    </w:p>
    <w:p w14:paraId="70DC9D6C" w14:textId="77777777" w:rsidR="001C48D8" w:rsidRDefault="001C48D8" w:rsidP="00F456B3">
      <w:pPr>
        <w:pStyle w:val="Body"/>
        <w:contextualSpacing/>
        <w:rPr>
          <w:rFonts w:ascii="Arial" w:hAnsi="Arial" w:cs="Arial"/>
        </w:rPr>
      </w:pPr>
    </w:p>
    <w:p w14:paraId="65964343" w14:textId="77777777" w:rsidR="001C48D8" w:rsidRDefault="001C48D8" w:rsidP="00F456B3">
      <w:pPr>
        <w:pStyle w:val="Body"/>
        <w:contextualSpacing/>
        <w:rPr>
          <w:rFonts w:ascii="Arial" w:hAnsi="Arial" w:cs="Arial"/>
        </w:rPr>
      </w:pPr>
    </w:p>
    <w:p w14:paraId="0C908D21" w14:textId="77777777" w:rsidR="001C48D8" w:rsidRDefault="001C48D8" w:rsidP="00F456B3">
      <w:pPr>
        <w:pStyle w:val="Body"/>
        <w:contextualSpacing/>
        <w:rPr>
          <w:rFonts w:ascii="Arial" w:hAnsi="Arial" w:cs="Arial"/>
        </w:rPr>
      </w:pPr>
    </w:p>
    <w:p w14:paraId="591B9BB3" w14:textId="77777777" w:rsidR="001C48D8" w:rsidRDefault="001C48D8" w:rsidP="00F456B3">
      <w:pPr>
        <w:pStyle w:val="Body"/>
        <w:contextualSpacing/>
        <w:rPr>
          <w:rFonts w:ascii="Arial" w:hAnsi="Arial" w:cs="Arial"/>
        </w:rPr>
      </w:pPr>
    </w:p>
    <w:p w14:paraId="5D4336E4" w14:textId="77777777" w:rsidR="001C48D8" w:rsidRDefault="001C48D8" w:rsidP="00F456B3">
      <w:pPr>
        <w:pStyle w:val="Body"/>
        <w:contextualSpacing/>
        <w:rPr>
          <w:rFonts w:ascii="Arial" w:hAnsi="Arial" w:cs="Arial"/>
        </w:rPr>
      </w:pPr>
    </w:p>
    <w:p w14:paraId="1AE60FBB" w14:textId="77777777" w:rsidR="001C48D8" w:rsidRDefault="001C48D8" w:rsidP="00F456B3">
      <w:pPr>
        <w:pStyle w:val="Body"/>
        <w:contextualSpacing/>
        <w:rPr>
          <w:rFonts w:ascii="Arial" w:hAnsi="Arial" w:cs="Arial"/>
        </w:rPr>
      </w:pPr>
    </w:p>
    <w:p w14:paraId="30FADCD0" w14:textId="77777777" w:rsidR="001C48D8" w:rsidRDefault="001C48D8" w:rsidP="00F456B3">
      <w:pPr>
        <w:pStyle w:val="Body"/>
        <w:contextualSpacing/>
        <w:rPr>
          <w:rFonts w:ascii="Arial" w:hAnsi="Arial" w:cs="Arial"/>
        </w:rPr>
      </w:pPr>
    </w:p>
    <w:p w14:paraId="4DF62837" w14:textId="77777777" w:rsidR="001C48D8" w:rsidRDefault="001C48D8" w:rsidP="00F456B3">
      <w:pPr>
        <w:pStyle w:val="Body"/>
        <w:contextualSpacing/>
        <w:rPr>
          <w:rFonts w:ascii="Arial" w:hAnsi="Arial" w:cs="Arial"/>
        </w:rPr>
      </w:pPr>
    </w:p>
    <w:p w14:paraId="5B4121A7" w14:textId="77777777" w:rsidR="001C48D8" w:rsidRDefault="001C48D8" w:rsidP="00F456B3">
      <w:pPr>
        <w:pStyle w:val="Body"/>
        <w:contextualSpacing/>
        <w:rPr>
          <w:rFonts w:ascii="Arial" w:hAnsi="Arial" w:cs="Arial"/>
        </w:rPr>
      </w:pPr>
    </w:p>
    <w:p w14:paraId="72AB09FF" w14:textId="77777777" w:rsidR="001C48D8" w:rsidRPr="0005127F" w:rsidRDefault="001C48D8" w:rsidP="00F456B3">
      <w:pPr>
        <w:pStyle w:val="Body"/>
        <w:contextualSpacing/>
        <w:rPr>
          <w:rFonts w:ascii="Arial" w:hAnsi="Arial" w:cs="Arial"/>
        </w:rPr>
      </w:pPr>
    </w:p>
    <w:p w14:paraId="29B0CC79" w14:textId="77777777" w:rsidR="003F6462" w:rsidRDefault="003F6462" w:rsidP="006772F5">
      <w:pPr>
        <w:pStyle w:val="Body"/>
        <w:rPr>
          <w:rFonts w:ascii="Arial" w:hAnsi="Arial" w:cs="Arial"/>
          <w:b/>
          <w:bCs/>
        </w:rPr>
      </w:pPr>
    </w:p>
    <w:p w14:paraId="344695D5" w14:textId="27414647" w:rsidR="00EA36C2" w:rsidRDefault="00EA36C2" w:rsidP="003F6462">
      <w:pPr>
        <w:pStyle w:val="Body"/>
        <w:jc w:val="center"/>
        <w:rPr>
          <w:rFonts w:ascii="Arial" w:hAnsi="Arial" w:cs="Arial"/>
          <w:b/>
          <w:bCs/>
        </w:rPr>
      </w:pPr>
      <w:r w:rsidRPr="00EA36C2">
        <w:rPr>
          <w:rFonts w:ascii="Arial" w:hAnsi="Arial" w:cs="Arial"/>
          <w:b/>
          <w:bCs/>
        </w:rPr>
        <w:t xml:space="preserve">Figure </w:t>
      </w:r>
      <w:r w:rsidR="000B7E03">
        <w:rPr>
          <w:rFonts w:ascii="Arial" w:hAnsi="Arial" w:cs="Arial"/>
          <w:b/>
          <w:bCs/>
        </w:rPr>
        <w:t>2</w:t>
      </w:r>
      <w:r w:rsidRPr="00EA36C2">
        <w:rPr>
          <w:rFonts w:ascii="Arial" w:hAnsi="Arial" w:cs="Arial"/>
          <w:b/>
          <w:bCs/>
        </w:rPr>
        <w:t>. The Most Suitable Model for Students' Grammatical Competence</w:t>
      </w:r>
    </w:p>
    <w:p w14:paraId="5ECC9BC6" w14:textId="36671680" w:rsidR="00EA36C2" w:rsidRPr="00EA36C2" w:rsidRDefault="00EA36C2" w:rsidP="00EA36C2">
      <w:pPr>
        <w:pStyle w:val="Body"/>
        <w:jc w:val="center"/>
        <w:rPr>
          <w:rFonts w:ascii="Arial" w:hAnsi="Arial" w:cs="Arial"/>
          <w:b/>
          <w:bCs/>
        </w:rPr>
      </w:pPr>
      <w:r>
        <w:rPr>
          <w:rFonts w:ascii="Arial" w:hAnsi="Arial" w:cs="Arial"/>
          <w:b/>
          <w:bCs/>
          <w:noProof/>
        </w:rPr>
        <w:drawing>
          <wp:inline distT="0" distB="0" distL="0" distR="0" wp14:anchorId="58AB3798" wp14:editId="48107D31">
            <wp:extent cx="4077929" cy="2006551"/>
            <wp:effectExtent l="0" t="0" r="0" b="0"/>
            <wp:docPr id="11370082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12472" cy="2023548"/>
                    </a:xfrm>
                    <a:prstGeom prst="rect">
                      <a:avLst/>
                    </a:prstGeom>
                    <a:noFill/>
                  </pic:spPr>
                </pic:pic>
              </a:graphicData>
            </a:graphic>
          </wp:inline>
        </w:drawing>
      </w:r>
    </w:p>
    <w:p w14:paraId="68CA7B39" w14:textId="0991FE83" w:rsidR="00CA4E9D" w:rsidRDefault="00CA4E9D" w:rsidP="00CA4E9D">
      <w:pPr>
        <w:pStyle w:val="Body"/>
        <w:jc w:val="center"/>
        <w:rPr>
          <w:rFonts w:ascii="Arial" w:hAnsi="Arial" w:cs="Arial"/>
        </w:rPr>
      </w:pPr>
      <w:r w:rsidRPr="00CA4E9D">
        <w:rPr>
          <w:noProof/>
        </w:rPr>
        <w:drawing>
          <wp:inline distT="0" distB="0" distL="0" distR="0" wp14:anchorId="49FDAF83" wp14:editId="675F8444">
            <wp:extent cx="4673689" cy="1036320"/>
            <wp:effectExtent l="0" t="0" r="0" b="0"/>
            <wp:docPr id="17151226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98040" cy="1041720"/>
                    </a:xfrm>
                    <a:prstGeom prst="rect">
                      <a:avLst/>
                    </a:prstGeom>
                    <a:noFill/>
                    <a:ln>
                      <a:noFill/>
                    </a:ln>
                  </pic:spPr>
                </pic:pic>
              </a:graphicData>
            </a:graphic>
          </wp:inline>
        </w:drawing>
      </w:r>
    </w:p>
    <w:p w14:paraId="4977BF77" w14:textId="1C5BB19D" w:rsidR="00790ADA" w:rsidRPr="00FB3A86" w:rsidRDefault="00701493" w:rsidP="00C7573D">
      <w:pPr>
        <w:pStyle w:val="Body"/>
        <w:rPr>
          <w:rFonts w:ascii="Arial" w:hAnsi="Arial" w:cs="Arial"/>
        </w:rPr>
      </w:pPr>
      <w:r w:rsidRPr="00701493">
        <w:rPr>
          <w:rFonts w:ascii="Arial" w:hAnsi="Arial" w:cs="Arial"/>
        </w:rPr>
        <w:t xml:space="preserve">As a result, focusing on these elements suggests an integrated approach to teaching, in which collaboration among teachers, parents, and the community is vital to improving students’ reading and analytical skills—ultimately aiming to achieve a higher level of learning and comprehension through school, friends, and home; </w:t>
      </w:r>
      <w:r w:rsidR="00D41953" w:rsidRPr="00D41953">
        <w:rPr>
          <w:rFonts w:ascii="Arial" w:hAnsi="Arial" w:cs="Arial"/>
        </w:rPr>
        <w:t>the four language skills—speaking, reading, listening, and writing</w:t>
      </w:r>
      <w:r w:rsidR="00D41953">
        <w:rPr>
          <w:rFonts w:ascii="Arial" w:hAnsi="Arial" w:cs="Arial"/>
        </w:rPr>
        <w:t>;</w:t>
      </w:r>
      <w:r w:rsidR="00D41953" w:rsidRPr="00D41953">
        <w:rPr>
          <w:rFonts w:ascii="Arial" w:hAnsi="Arial" w:cs="Arial"/>
        </w:rPr>
        <w:t xml:space="preserve"> </w:t>
      </w:r>
      <w:r w:rsidRPr="00701493">
        <w:rPr>
          <w:rFonts w:ascii="Arial" w:hAnsi="Arial" w:cs="Arial"/>
        </w:rPr>
        <w:t>cognitive and metacognitive strategies</w:t>
      </w:r>
      <w:r w:rsidR="00D41953" w:rsidRPr="00D41953">
        <w:rPr>
          <w:rFonts w:ascii="Arial" w:hAnsi="Arial" w:cs="Arial"/>
        </w:rPr>
        <w:t xml:space="preserve">—toward the development of students’ grammatical competence </w:t>
      </w:r>
      <w:r w:rsidRPr="00701493">
        <w:rPr>
          <w:rFonts w:ascii="Arial" w:hAnsi="Arial" w:cs="Arial"/>
        </w:rPr>
        <w:t xml:space="preserve">(Espinosa </w:t>
      </w:r>
      <w:r w:rsidR="00A6296B">
        <w:rPr>
          <w:rFonts w:ascii="Arial" w:hAnsi="Arial" w:cs="Arial"/>
        </w:rPr>
        <w:t>2008</w:t>
      </w:r>
      <w:r w:rsidRPr="00701493">
        <w:rPr>
          <w:rFonts w:ascii="Arial" w:hAnsi="Arial" w:cs="Arial"/>
        </w:rPr>
        <w:t xml:space="preserve"> and Cardenas-Hagan et al.</w:t>
      </w:r>
      <w:r w:rsidR="003110A5">
        <w:rPr>
          <w:rFonts w:ascii="Arial" w:hAnsi="Arial" w:cs="Arial"/>
        </w:rPr>
        <w:t>,</w:t>
      </w:r>
      <w:r w:rsidR="00A6296B">
        <w:rPr>
          <w:rFonts w:ascii="Arial" w:hAnsi="Arial" w:cs="Arial"/>
        </w:rPr>
        <w:t>2007</w:t>
      </w:r>
      <w:r w:rsidRPr="00701493">
        <w:rPr>
          <w:rFonts w:ascii="Arial" w:hAnsi="Arial" w:cs="Arial"/>
        </w:rPr>
        <w:t>).</w:t>
      </w:r>
    </w:p>
    <w:p w14:paraId="11F911EC" w14:textId="630454E8" w:rsidR="00B01FCD" w:rsidRDefault="00754DE2"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B314E79" w14:textId="77777777" w:rsidR="00790ADA" w:rsidRPr="00FB3A86" w:rsidRDefault="00790ADA" w:rsidP="00441B6F">
      <w:pPr>
        <w:pStyle w:val="ConcHead"/>
        <w:spacing w:after="0"/>
        <w:jc w:val="both"/>
        <w:rPr>
          <w:rFonts w:ascii="Arial" w:hAnsi="Arial" w:cs="Arial"/>
        </w:rPr>
      </w:pPr>
    </w:p>
    <w:p w14:paraId="398E8FBD" w14:textId="35ACBE75" w:rsidR="00440C2D" w:rsidRPr="00440C2D" w:rsidRDefault="00440C2D" w:rsidP="00440C2D">
      <w:pPr>
        <w:pStyle w:val="Body"/>
        <w:rPr>
          <w:rFonts w:ascii="Arial" w:hAnsi="Arial" w:cs="Arial"/>
        </w:rPr>
      </w:pPr>
      <w:r w:rsidRPr="00440C2D">
        <w:rPr>
          <w:rFonts w:ascii="Arial" w:hAnsi="Arial" w:cs="Arial"/>
        </w:rPr>
        <w:t>The study showed that school has the biggest role in students’ language exposure, while the home has the least. This means that students are encouraged to speak Filipino at school, use Filipino as the language of instruction in class, do school activities in Filipino, read Filipino books, and talk to their friends in Filipino.</w:t>
      </w:r>
    </w:p>
    <w:p w14:paraId="10C6330A" w14:textId="5B615FD2" w:rsidR="00440C2D" w:rsidRDefault="00440C2D" w:rsidP="00440C2D">
      <w:pPr>
        <w:pStyle w:val="Body"/>
        <w:rPr>
          <w:rFonts w:ascii="Arial" w:hAnsi="Arial" w:cs="Arial"/>
        </w:rPr>
      </w:pPr>
      <w:r w:rsidRPr="00440C2D">
        <w:rPr>
          <w:rFonts w:ascii="Arial" w:hAnsi="Arial" w:cs="Arial"/>
        </w:rPr>
        <w:t>In terms of language learning, reading was at the highest level, while listening had the lowest. This is because students recognize key words and repeat them to themselves, use a dictionary to understand meanings</w:t>
      </w:r>
      <w:r w:rsidR="00CF4220">
        <w:rPr>
          <w:rFonts w:ascii="Arial" w:hAnsi="Arial" w:cs="Arial"/>
        </w:rPr>
        <w:t xml:space="preserve"> </w:t>
      </w:r>
      <w:r w:rsidRPr="00440C2D">
        <w:rPr>
          <w:rFonts w:ascii="Arial" w:hAnsi="Arial" w:cs="Arial"/>
        </w:rPr>
        <w:t>and practice speaking with friends or teachers.</w:t>
      </w:r>
    </w:p>
    <w:p w14:paraId="7D399AFD" w14:textId="6C9731CB" w:rsidR="004168AC" w:rsidRPr="00440C2D" w:rsidRDefault="004168AC" w:rsidP="00440C2D">
      <w:pPr>
        <w:pStyle w:val="Body"/>
        <w:rPr>
          <w:rFonts w:ascii="Arial" w:hAnsi="Arial" w:cs="Arial"/>
        </w:rPr>
      </w:pPr>
      <w:r w:rsidRPr="004168AC">
        <w:rPr>
          <w:rFonts w:ascii="Arial" w:hAnsi="Arial" w:cs="Arial"/>
        </w:rPr>
        <w:t>Students also showed a high level of using both cognitive and metacognitive reading strategies. This means they understand texts better because they can summarize important ideas, see how the parts of the text are connected, and quickly find the needed information in a reading task</w:t>
      </w:r>
      <w:r>
        <w:rPr>
          <w:rFonts w:ascii="Arial" w:hAnsi="Arial" w:cs="Arial"/>
        </w:rPr>
        <w:t>.</w:t>
      </w:r>
    </w:p>
    <w:p w14:paraId="4208373E" w14:textId="48C21D17" w:rsidR="00C6619F" w:rsidRDefault="00440C2D" w:rsidP="00440C2D">
      <w:pPr>
        <w:pStyle w:val="Body"/>
        <w:spacing w:after="0"/>
        <w:rPr>
          <w:rFonts w:ascii="Arial" w:hAnsi="Arial" w:cs="Arial"/>
        </w:rPr>
      </w:pPr>
      <w:r w:rsidRPr="00440C2D">
        <w:rPr>
          <w:rFonts w:ascii="Arial" w:hAnsi="Arial" w:cs="Arial"/>
        </w:rPr>
        <w:lastRenderedPageBreak/>
        <w:t xml:space="preserve">Overall, there is a strong connection between language exposure, </w:t>
      </w:r>
      <w:r w:rsidR="00CF4220" w:rsidRPr="00CF4220">
        <w:rPr>
          <w:rFonts w:ascii="Arial" w:hAnsi="Arial" w:cs="Arial"/>
        </w:rPr>
        <w:t xml:space="preserve">language </w:t>
      </w:r>
      <w:r w:rsidR="00E777A4" w:rsidRPr="00CF4220">
        <w:rPr>
          <w:rFonts w:ascii="Arial" w:hAnsi="Arial" w:cs="Arial"/>
        </w:rPr>
        <w:t>learning, reading</w:t>
      </w:r>
      <w:r w:rsidRPr="00440C2D">
        <w:rPr>
          <w:rFonts w:ascii="Arial" w:hAnsi="Arial" w:cs="Arial"/>
        </w:rPr>
        <w:t xml:space="preserve"> strategies and with students’ grammatical </w:t>
      </w:r>
      <w:r w:rsidR="00CF4220">
        <w:rPr>
          <w:rFonts w:ascii="Arial" w:hAnsi="Arial" w:cs="Arial"/>
        </w:rPr>
        <w:t>competence</w:t>
      </w:r>
      <w:r w:rsidRPr="00440C2D">
        <w:rPr>
          <w:rFonts w:ascii="Arial" w:hAnsi="Arial" w:cs="Arial"/>
        </w:rPr>
        <w:t>. This supports Vygotsky’s Sociocultural Theory, which says that people learn languages better when they interact with others. With the help of teachers or classmates, students can learn things they can't do alone—this is called the Zone of Proximal Development (ZPD). Support or guidance, also known as scaffolding, is important during learning. A rich and interactive environment also helps because language is easier to understand when used in real-life situations.</w:t>
      </w:r>
    </w:p>
    <w:p w14:paraId="73D6EEA3" w14:textId="77777777" w:rsidR="00C6619F" w:rsidRDefault="00C6619F" w:rsidP="007F205B">
      <w:pPr>
        <w:pStyle w:val="Body"/>
        <w:spacing w:after="0"/>
        <w:rPr>
          <w:rFonts w:ascii="Arial" w:hAnsi="Arial" w:cs="Arial"/>
        </w:rPr>
      </w:pPr>
    </w:p>
    <w:p w14:paraId="76273459" w14:textId="457605FD" w:rsidR="00440C2D" w:rsidRPr="00440C2D" w:rsidRDefault="00440C2D" w:rsidP="00440C2D">
      <w:pPr>
        <w:pStyle w:val="Body"/>
        <w:rPr>
          <w:rFonts w:ascii="Arial" w:hAnsi="Arial" w:cs="Arial"/>
        </w:rPr>
      </w:pPr>
      <w:r w:rsidRPr="00440C2D">
        <w:rPr>
          <w:rFonts w:ascii="Arial" w:hAnsi="Arial" w:cs="Arial"/>
        </w:rPr>
        <w:t>Meanwhile, Noam Chomsky’s Nativist Theory says that people are born with a natural ability to learn language. He introduced the idea of the Language Acquisition Device (LAD), which is a part of the brain that helps children learn to speak. According to him, even if a language is not fully taught, children can still learn it because they are born with a Universal Grammar—basic knowledge about how language works. This helps children form correct sentences, even if the language they hear isn’t perfect.</w:t>
      </w:r>
    </w:p>
    <w:p w14:paraId="5D2CBC54" w14:textId="43CC4CED" w:rsidR="00440C2D" w:rsidRPr="00440C2D" w:rsidRDefault="00440C2D" w:rsidP="00440C2D">
      <w:pPr>
        <w:pStyle w:val="Body"/>
        <w:rPr>
          <w:rFonts w:ascii="Arial" w:hAnsi="Arial" w:cs="Arial"/>
        </w:rPr>
      </w:pPr>
      <w:r w:rsidRPr="00440C2D">
        <w:rPr>
          <w:rFonts w:ascii="Arial" w:hAnsi="Arial" w:cs="Arial"/>
        </w:rPr>
        <w:t>Reading strategies are also based on the Cognitive and Metacognitive Theories. According to Piaget and Mayer, readers learn by connecting new ideas to what they already know and by organizing and understanding the information clearly. Flavell and Brown also said that it’s important for readers to know if their reading methods are working. When readers are aware of this, they can change or improve their strategies to understand what they read better.</w:t>
      </w:r>
    </w:p>
    <w:p w14:paraId="716979AC" w14:textId="146124C4" w:rsidR="00440C2D" w:rsidRDefault="00440C2D" w:rsidP="00440C2D">
      <w:pPr>
        <w:pStyle w:val="Body"/>
        <w:spacing w:after="0"/>
        <w:rPr>
          <w:rFonts w:ascii="Arial" w:hAnsi="Arial" w:cs="Arial"/>
        </w:rPr>
      </w:pPr>
      <w:r w:rsidRPr="00440C2D">
        <w:rPr>
          <w:rFonts w:ascii="Arial" w:hAnsi="Arial" w:cs="Arial"/>
        </w:rPr>
        <w:t>In Chomsky’s Transformational-Generative Grammar theory, he also said that people naturally learn and use language. He explained that all languages share basic rules, which he called Universal Grammar. Chomsky made a difference between “competence,” which means knowing the language, and “performance,” which means using it. His theory shows that humans have a special ability to create new sentences and understand unfamiliar language using simple grammar rules.</w:t>
      </w:r>
    </w:p>
    <w:p w14:paraId="73E68D60" w14:textId="77777777" w:rsidR="00440C2D" w:rsidRDefault="00440C2D" w:rsidP="007F205B">
      <w:pPr>
        <w:pStyle w:val="Body"/>
        <w:spacing w:after="0"/>
        <w:rPr>
          <w:rFonts w:ascii="Arial" w:hAnsi="Arial" w:cs="Arial"/>
        </w:rPr>
      </w:pPr>
    </w:p>
    <w:p w14:paraId="540E002F" w14:textId="4A8E6DCE" w:rsidR="00440C2D" w:rsidRDefault="00440C2D" w:rsidP="007F205B">
      <w:pPr>
        <w:pStyle w:val="Body"/>
        <w:spacing w:after="0"/>
        <w:rPr>
          <w:rFonts w:ascii="Arial" w:hAnsi="Arial" w:cs="Arial"/>
        </w:rPr>
      </w:pPr>
      <w:r w:rsidRPr="00440C2D">
        <w:rPr>
          <w:rFonts w:ascii="Arial" w:hAnsi="Arial" w:cs="Arial"/>
        </w:rPr>
        <w:t>Among the three models studied, Model 3 was found to be the best fit for explaining the students’ gramma</w:t>
      </w:r>
      <w:r w:rsidR="00E45474">
        <w:rPr>
          <w:rFonts w:ascii="Arial" w:hAnsi="Arial" w:cs="Arial"/>
        </w:rPr>
        <w:t>tical competence</w:t>
      </w:r>
      <w:r w:rsidRPr="00440C2D">
        <w:rPr>
          <w:rFonts w:ascii="Arial" w:hAnsi="Arial" w:cs="Arial"/>
        </w:rPr>
        <w:t xml:space="preserve"> in Region XI. This model shows that language exposure (from school, friends, and home), </w:t>
      </w:r>
      <w:r w:rsidR="00E45474" w:rsidRPr="00E45474">
        <w:rPr>
          <w:rFonts w:ascii="Arial" w:hAnsi="Arial" w:cs="Arial"/>
        </w:rPr>
        <w:t xml:space="preserve">language learning (speaking, reading, listening, and writing) </w:t>
      </w:r>
      <w:r w:rsidR="00E45474">
        <w:rPr>
          <w:rFonts w:ascii="Arial" w:hAnsi="Arial" w:cs="Arial"/>
        </w:rPr>
        <w:t xml:space="preserve">and </w:t>
      </w:r>
      <w:r w:rsidRPr="00440C2D">
        <w:rPr>
          <w:rFonts w:ascii="Arial" w:hAnsi="Arial" w:cs="Arial"/>
        </w:rPr>
        <w:t xml:space="preserve">reading strategies (thinking about what they read and how they understand it) directly affect how well students use grammar. It also shows that language exposure has a small effect but reading strategies—especially thinking about how they read—help improve their understanding and use of language. Support from the environment, like from school, friends, and home, helps make this skill stronger. The results of this study can help teachers, parents, and schools find better ways to teach and support students in learning </w:t>
      </w:r>
      <w:r w:rsidR="006E1240" w:rsidRPr="00440C2D">
        <w:rPr>
          <w:rFonts w:ascii="Arial" w:hAnsi="Arial" w:cs="Arial"/>
        </w:rPr>
        <w:t>languages</w:t>
      </w:r>
      <w:r w:rsidRPr="00440C2D">
        <w:rPr>
          <w:rFonts w:ascii="Arial" w:hAnsi="Arial" w:cs="Arial"/>
        </w:rPr>
        <w:t xml:space="preserve"> and improving their gramma</w:t>
      </w:r>
      <w:r w:rsidR="00E45474">
        <w:rPr>
          <w:rFonts w:ascii="Arial" w:hAnsi="Arial" w:cs="Arial"/>
        </w:rPr>
        <w:t>tical competence</w:t>
      </w:r>
      <w:r w:rsidRPr="00440C2D">
        <w:rPr>
          <w:rFonts w:ascii="Arial" w:hAnsi="Arial" w:cs="Arial"/>
        </w:rPr>
        <w:t>.</w:t>
      </w:r>
    </w:p>
    <w:p w14:paraId="7CF1FE37" w14:textId="77777777" w:rsidR="00440C2D" w:rsidRDefault="00440C2D" w:rsidP="007F205B">
      <w:pPr>
        <w:pStyle w:val="Body"/>
        <w:spacing w:after="0"/>
        <w:rPr>
          <w:rFonts w:ascii="Arial" w:hAnsi="Arial" w:cs="Arial"/>
        </w:rPr>
      </w:pPr>
    </w:p>
    <w:p w14:paraId="70EF9EA7" w14:textId="2AE53DCC" w:rsidR="00B01FCD" w:rsidRDefault="00754DE2" w:rsidP="00441B6F">
      <w:pPr>
        <w:pStyle w:val="AcknHead"/>
        <w:spacing w:after="0"/>
        <w:jc w:val="both"/>
        <w:rPr>
          <w:rFonts w:ascii="Arial" w:hAnsi="Arial" w:cs="Arial"/>
        </w:rPr>
      </w:pPr>
      <w:bookmarkStart w:id="6" w:name="_Hlk197472665"/>
      <w:bookmarkStart w:id="7" w:name="_Hlk197472705"/>
      <w:r>
        <w:rPr>
          <w:rFonts w:ascii="Arial" w:hAnsi="Arial" w:cs="Arial"/>
        </w:rPr>
        <w:t>6</w:t>
      </w:r>
      <w:r w:rsidR="006E1240">
        <w:rPr>
          <w:rFonts w:ascii="Arial" w:hAnsi="Arial" w:cs="Arial"/>
        </w:rPr>
        <w:t>. RECOMMENDATION</w:t>
      </w:r>
      <w:r w:rsidR="00AF4489">
        <w:rPr>
          <w:rFonts w:ascii="Arial" w:hAnsi="Arial" w:cs="Arial"/>
        </w:rPr>
        <w:t>s</w:t>
      </w:r>
    </w:p>
    <w:p w14:paraId="33A661EF" w14:textId="77777777" w:rsidR="00790ADA" w:rsidRPr="00FB3A86" w:rsidRDefault="00790ADA" w:rsidP="00441B6F">
      <w:pPr>
        <w:pStyle w:val="AcknHead"/>
        <w:spacing w:after="0"/>
        <w:jc w:val="both"/>
        <w:rPr>
          <w:rFonts w:ascii="Arial" w:hAnsi="Arial" w:cs="Arial"/>
        </w:rPr>
      </w:pPr>
    </w:p>
    <w:bookmarkEnd w:id="6"/>
    <w:bookmarkEnd w:id="7"/>
    <w:p w14:paraId="1EB554D8" w14:textId="0DC6F795" w:rsidR="006E1240" w:rsidRPr="006E1240" w:rsidRDefault="006E1240" w:rsidP="006E1240">
      <w:pPr>
        <w:rPr>
          <w:rFonts w:ascii="Arial" w:hAnsi="Arial" w:cs="Arial"/>
        </w:rPr>
      </w:pPr>
      <w:r>
        <w:rPr>
          <w:rFonts w:ascii="Arial" w:hAnsi="Arial" w:cs="Arial"/>
        </w:rPr>
        <w:t>It</w:t>
      </w:r>
      <w:r w:rsidRPr="006E1240">
        <w:rPr>
          <w:rFonts w:ascii="Arial" w:hAnsi="Arial" w:cs="Arial"/>
        </w:rPr>
        <w:t xml:space="preserve"> is suggested to make the use of formal and academic language stronger at home and in the community to avoid too much use of informal language, which can affect students’ gramma</w:t>
      </w:r>
      <w:r w:rsidR="004B1C11">
        <w:rPr>
          <w:rFonts w:ascii="Arial" w:hAnsi="Arial" w:cs="Arial"/>
        </w:rPr>
        <w:t>tical competence</w:t>
      </w:r>
      <w:r w:rsidRPr="006E1240">
        <w:rPr>
          <w:rFonts w:ascii="Arial" w:hAnsi="Arial" w:cs="Arial"/>
        </w:rPr>
        <w:t>. Teachers should be encouraged to create lessons that connect reading strategies with grammar, so that students can use their thinking skills better when reading. Special grammar programs should also be offered to students, especially those with weak grammar, to help them improve in areas that reading strategies alone cannot fix.</w:t>
      </w:r>
    </w:p>
    <w:p w14:paraId="2D84AF32" w14:textId="77777777" w:rsidR="006E1240" w:rsidRPr="006E1240" w:rsidRDefault="006E1240" w:rsidP="006E1240">
      <w:pPr>
        <w:rPr>
          <w:rFonts w:ascii="Arial" w:hAnsi="Arial" w:cs="Arial"/>
        </w:rPr>
      </w:pPr>
    </w:p>
    <w:p w14:paraId="5641EB01" w14:textId="77777777" w:rsidR="006E1240" w:rsidRPr="006E1240" w:rsidRDefault="006E1240" w:rsidP="006E1240">
      <w:pPr>
        <w:rPr>
          <w:rFonts w:ascii="Arial" w:hAnsi="Arial" w:cs="Arial"/>
        </w:rPr>
      </w:pPr>
      <w:r w:rsidRPr="006E1240">
        <w:rPr>
          <w:rFonts w:ascii="Arial" w:hAnsi="Arial" w:cs="Arial"/>
        </w:rPr>
        <w:t xml:space="preserve">Next, schools should start a classroom program that promotes reading and writing through fun and meaningful activities. One example is a book-sharing contest where students can show their understanding and storytelling skills. To prepare, each student should keep a notebook where they write important details, lessons, and personal thoughts from what they </w:t>
      </w:r>
      <w:r w:rsidRPr="006E1240">
        <w:rPr>
          <w:rFonts w:ascii="Arial" w:hAnsi="Arial" w:cs="Arial"/>
        </w:rPr>
        <w:lastRenderedPageBreak/>
        <w:t>read. This program will help students get better at reading, writing, and expressing themselves, while also encouraging a love for books.</w:t>
      </w:r>
    </w:p>
    <w:p w14:paraId="39E15709" w14:textId="77777777" w:rsidR="006E1240" w:rsidRPr="006E1240" w:rsidRDefault="006E1240" w:rsidP="006E1240">
      <w:pPr>
        <w:rPr>
          <w:rFonts w:ascii="Arial" w:hAnsi="Arial" w:cs="Arial"/>
        </w:rPr>
      </w:pPr>
    </w:p>
    <w:p w14:paraId="14D4CDA9" w14:textId="77777777" w:rsidR="006E1240" w:rsidRPr="006E1240" w:rsidRDefault="006E1240" w:rsidP="006E1240">
      <w:pPr>
        <w:rPr>
          <w:rFonts w:ascii="Arial" w:hAnsi="Arial" w:cs="Arial"/>
        </w:rPr>
      </w:pPr>
      <w:r w:rsidRPr="006E1240">
        <w:rPr>
          <w:rFonts w:ascii="Arial" w:hAnsi="Arial" w:cs="Arial"/>
        </w:rPr>
        <w:t>Lastly, schools should hold activities to improve students’ speaking and language learning. Events like storytelling, debates, and quick speeches can help students become more confident in using the language.</w:t>
      </w:r>
    </w:p>
    <w:p w14:paraId="42E29A9F" w14:textId="77777777" w:rsidR="006E1240" w:rsidRPr="006E1240" w:rsidRDefault="006E1240" w:rsidP="006E1240">
      <w:pPr>
        <w:rPr>
          <w:rFonts w:ascii="Arial" w:hAnsi="Arial" w:cs="Arial"/>
        </w:rPr>
      </w:pPr>
    </w:p>
    <w:p w14:paraId="20116BDD" w14:textId="77777777" w:rsidR="006E1240" w:rsidRDefault="006E1240" w:rsidP="006E1240">
      <w:pPr>
        <w:rPr>
          <w:rFonts w:ascii="Arial" w:hAnsi="Arial" w:cs="Arial"/>
        </w:rPr>
      </w:pPr>
      <w:r w:rsidRPr="006E1240">
        <w:rPr>
          <w:rFonts w:ascii="Arial" w:hAnsi="Arial" w:cs="Arial"/>
        </w:rPr>
        <w:t>Also, there should be a program where students can explain a concept or story through art and explain it in Filipino. These activities will help students understand the language better and build their creativity and communication skills.</w:t>
      </w:r>
    </w:p>
    <w:p w14:paraId="501869E8" w14:textId="77777777" w:rsidR="003F1232" w:rsidRDefault="003F1232" w:rsidP="006E1240">
      <w:pPr>
        <w:rPr>
          <w:rFonts w:ascii="Arial" w:hAnsi="Arial" w:cs="Arial"/>
        </w:rPr>
      </w:pPr>
    </w:p>
    <w:p w14:paraId="6F6381D1" w14:textId="77777777" w:rsidR="003F1232" w:rsidRPr="003F1232" w:rsidRDefault="003F1232" w:rsidP="003F1232">
      <w:pPr>
        <w:rPr>
          <w:rFonts w:ascii="Arial" w:hAnsi="Arial" w:cs="Arial"/>
        </w:rPr>
      </w:pPr>
      <w:r w:rsidRPr="003F1232">
        <w:rPr>
          <w:rFonts w:ascii="Arial" w:hAnsi="Arial" w:cs="Arial"/>
        </w:rPr>
        <w:t>Based on the findings of the study, it’s suggested that future research expand its focus by including different educational levels, like elementary and senior high school, to compare language exposure, reading strategies, language learning, and grammatical skills across these groups. It would also be helpful to use a mixed-method approach, which would not only enhance the statistical analysis but also provide a deeper understanding of students’ experiences in context.</w:t>
      </w:r>
    </w:p>
    <w:p w14:paraId="57782400" w14:textId="77777777" w:rsidR="003F1232" w:rsidRPr="003F1232" w:rsidRDefault="003F1232" w:rsidP="003F1232">
      <w:pPr>
        <w:rPr>
          <w:rFonts w:ascii="Arial" w:hAnsi="Arial" w:cs="Arial"/>
        </w:rPr>
      </w:pPr>
    </w:p>
    <w:p w14:paraId="3709F9FA" w14:textId="77777777" w:rsidR="003F1232" w:rsidRPr="003F1232" w:rsidRDefault="003F1232" w:rsidP="003F1232">
      <w:pPr>
        <w:rPr>
          <w:rFonts w:ascii="Arial" w:hAnsi="Arial" w:cs="Arial"/>
        </w:rPr>
      </w:pPr>
      <w:r w:rsidRPr="003F1232">
        <w:rPr>
          <w:rFonts w:ascii="Arial" w:hAnsi="Arial" w:cs="Arial"/>
        </w:rPr>
        <w:t>Additionally, more attention should be given to how digital and social media exposure affects grammatical skills, especially since these platforms are so widely used by young people today. It might also be valuable to conduct action research to test out effective teaching strategies for grammar in real classroom settings.</w:t>
      </w:r>
    </w:p>
    <w:p w14:paraId="14C7CDD4" w14:textId="77777777" w:rsidR="003F1232" w:rsidRPr="003F1232" w:rsidRDefault="003F1232" w:rsidP="003F1232">
      <w:pPr>
        <w:rPr>
          <w:rFonts w:ascii="Arial" w:hAnsi="Arial" w:cs="Arial"/>
        </w:rPr>
      </w:pPr>
    </w:p>
    <w:p w14:paraId="502A63C6" w14:textId="503007F8" w:rsidR="003F1232" w:rsidRDefault="003F1232" w:rsidP="003F1232">
      <w:pPr>
        <w:rPr>
          <w:rFonts w:ascii="Arial" w:hAnsi="Arial" w:cs="Arial"/>
        </w:rPr>
      </w:pPr>
      <w:r w:rsidRPr="003F1232">
        <w:rPr>
          <w:rFonts w:ascii="Arial" w:hAnsi="Arial" w:cs="Arial"/>
        </w:rPr>
        <w:t>Lastly, creating local and context-specific teaching materials in Filipino, based on the study’s findings, would be a great way to further improve students' grammatical competence.</w:t>
      </w:r>
    </w:p>
    <w:p w14:paraId="0E494601" w14:textId="77777777" w:rsidR="003F1232" w:rsidRDefault="003F1232" w:rsidP="003F1232">
      <w:pPr>
        <w:rPr>
          <w:rFonts w:ascii="Arial" w:hAnsi="Arial" w:cs="Arial"/>
        </w:rPr>
      </w:pPr>
    </w:p>
    <w:p w14:paraId="64DE8B43" w14:textId="77777777" w:rsidR="003F1232" w:rsidRDefault="003F1232" w:rsidP="003F1232">
      <w:pPr>
        <w:rPr>
          <w:rFonts w:ascii="Arial" w:hAnsi="Arial" w:cs="Arial"/>
        </w:rPr>
      </w:pPr>
    </w:p>
    <w:p w14:paraId="0A2B9635" w14:textId="77777777" w:rsidR="006E1240" w:rsidRDefault="006E1240" w:rsidP="006E1240">
      <w:pPr>
        <w:rPr>
          <w:rFonts w:ascii="Arial" w:hAnsi="Arial" w:cs="Arial"/>
        </w:rPr>
      </w:pPr>
    </w:p>
    <w:p w14:paraId="0D9A85F2" w14:textId="77777777" w:rsidR="006D6E01" w:rsidRDefault="006D6E01" w:rsidP="006D6E01">
      <w:r w:rsidRPr="006D6E01">
        <w:rPr>
          <w:rFonts w:ascii="Arial" w:hAnsi="Arial" w:cs="Arial"/>
          <w:b/>
          <w:bCs/>
          <w:sz w:val="24"/>
          <w:szCs w:val="24"/>
        </w:rPr>
        <w:t>DISCLAIMER (ARTIFICIAL INTELLIGENCE</w:t>
      </w:r>
      <w:r>
        <w:t>)</w:t>
      </w:r>
    </w:p>
    <w:p w14:paraId="7C114B3C" w14:textId="77777777" w:rsidR="006D6E01" w:rsidRDefault="006D6E01" w:rsidP="006D6E01"/>
    <w:p w14:paraId="4146125A" w14:textId="3E803116" w:rsidR="00315186" w:rsidRDefault="006D6E01" w:rsidP="006D6E01">
      <w:r>
        <w:t>The author(s) hereby declare that no generative AI technologies, but not limited to Large Language Models (e.g., ChatGPT, Copilot) or text-to-image generation tools, were utilized in the writing or editing of this manuscript.</w:t>
      </w:r>
    </w:p>
    <w:p w14:paraId="3483080F" w14:textId="77777777" w:rsidR="006D6E01" w:rsidRPr="00315186" w:rsidRDefault="006D6E01" w:rsidP="00441B6F"/>
    <w:p w14:paraId="26DC1144" w14:textId="77777777" w:rsidR="00371FB6" w:rsidRDefault="00371FB6" w:rsidP="00441B6F">
      <w:pPr>
        <w:pStyle w:val="ReferHead"/>
        <w:spacing w:after="0"/>
        <w:jc w:val="both"/>
        <w:rPr>
          <w:rFonts w:ascii="Arial" w:hAnsi="Arial" w:cs="Arial"/>
          <w:b w:val="0"/>
          <w:caps w:val="0"/>
          <w:sz w:val="20"/>
        </w:rPr>
      </w:pPr>
    </w:p>
    <w:p w14:paraId="008A1359" w14:textId="77777777" w:rsidR="002B685A" w:rsidRPr="006E0840" w:rsidRDefault="002B685A" w:rsidP="00441B6F">
      <w:pPr>
        <w:pStyle w:val="ReferHead"/>
        <w:spacing w:after="0"/>
        <w:jc w:val="both"/>
        <w:rPr>
          <w:rFonts w:ascii="Arial" w:hAnsi="Arial" w:cs="Arial"/>
          <w:b w:val="0"/>
          <w:caps w:val="0"/>
          <w:sz w:val="20"/>
        </w:rPr>
      </w:pPr>
    </w:p>
    <w:p w14:paraId="4C14DFB9" w14:textId="189B539E"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r w:rsidR="006D6E01">
        <w:rPr>
          <w:rFonts w:ascii="Arial" w:hAnsi="Arial" w:cs="Arial"/>
          <w:bCs/>
        </w:rPr>
        <w:t>and ethical approval</w:t>
      </w:r>
    </w:p>
    <w:p w14:paraId="57D7A45B" w14:textId="77777777" w:rsidR="002B685A" w:rsidRPr="002B685A" w:rsidRDefault="002B685A" w:rsidP="00441B6F">
      <w:pPr>
        <w:pStyle w:val="ReferHead"/>
        <w:spacing w:after="0"/>
        <w:jc w:val="both"/>
        <w:rPr>
          <w:rFonts w:ascii="Arial" w:hAnsi="Arial" w:cs="Arial"/>
          <w:bCs/>
        </w:rPr>
      </w:pPr>
    </w:p>
    <w:p w14:paraId="7233704F" w14:textId="10EB8EB9" w:rsidR="006D6E01" w:rsidRDefault="006D6E01" w:rsidP="00441B6F">
      <w:pPr>
        <w:pStyle w:val="ReferHead"/>
        <w:spacing w:after="0"/>
        <w:jc w:val="both"/>
        <w:rPr>
          <w:rFonts w:ascii="Arial" w:hAnsi="Arial" w:cs="Arial"/>
          <w:b w:val="0"/>
          <w:caps w:val="0"/>
          <w:sz w:val="20"/>
        </w:rPr>
      </w:pPr>
      <w:r>
        <w:rPr>
          <w:rFonts w:ascii="Arial" w:hAnsi="Arial" w:cs="Arial"/>
          <w:b w:val="0"/>
          <w:caps w:val="0"/>
          <w:sz w:val="20"/>
        </w:rPr>
        <w:t xml:space="preserve">Participants were given an informed consent form outlining the study’s purpose, procedures, potential risks and their right to withdraw at any time. Consent was obtained before the </w:t>
      </w:r>
      <w:r w:rsidR="009366E4">
        <w:rPr>
          <w:rFonts w:ascii="Arial" w:hAnsi="Arial" w:cs="Arial"/>
          <w:b w:val="0"/>
          <w:caps w:val="0"/>
          <w:sz w:val="20"/>
        </w:rPr>
        <w:t xml:space="preserve">conduct of the study began. </w:t>
      </w:r>
      <w:r>
        <w:rPr>
          <w:rFonts w:ascii="Arial" w:hAnsi="Arial" w:cs="Arial"/>
          <w:b w:val="0"/>
          <w:caps w:val="0"/>
          <w:sz w:val="20"/>
        </w:rPr>
        <w:t>Participant</w:t>
      </w:r>
      <w:r w:rsidR="009366E4">
        <w:rPr>
          <w:rFonts w:ascii="Arial" w:hAnsi="Arial" w:cs="Arial"/>
          <w:b w:val="0"/>
          <w:caps w:val="0"/>
          <w:sz w:val="20"/>
        </w:rPr>
        <w:t xml:space="preserve"> data were kept confidential. Only collected data were reported in the research findings and secure methods were used to store all data. After the conduct of the study, participants were debriefed for clarifications, for them to understand the purpose and the nature of the reward conditions. They also had the opportunity to ask questions and express concerns. Participation was voluntary, and participants could withdraw at any time without penalty. All collected data were purely for the purpose of this study, and no personal identifiers were included. Letters of approval were submitted to the dean of the graduate school and the course adviser and ethical approval were obtained. The researchers adhered </w:t>
      </w:r>
      <w:r w:rsidR="009366E4">
        <w:rPr>
          <w:rFonts w:ascii="Arial" w:hAnsi="Arial" w:cs="Arial"/>
          <w:b w:val="0"/>
          <w:caps w:val="0"/>
          <w:sz w:val="20"/>
        </w:rPr>
        <w:lastRenderedPageBreak/>
        <w:t xml:space="preserve">to ethical guidelines, specifically those outlined </w:t>
      </w:r>
      <w:r w:rsidR="000E3943">
        <w:rPr>
          <w:rFonts w:ascii="Arial" w:hAnsi="Arial" w:cs="Arial"/>
          <w:b w:val="0"/>
          <w:caps w:val="0"/>
          <w:sz w:val="20"/>
        </w:rPr>
        <w:t xml:space="preserve">in the university’s </w:t>
      </w:r>
      <w:r w:rsidR="000E3943" w:rsidRPr="000E3943">
        <w:rPr>
          <w:rFonts w:ascii="Arial" w:hAnsi="Arial" w:cs="Arial"/>
          <w:b w:val="0"/>
          <w:caps w:val="0"/>
          <w:sz w:val="20"/>
        </w:rPr>
        <w:t>Ethics Review Committee (UMERC)</w:t>
      </w:r>
      <w:r w:rsidR="000E3943">
        <w:rPr>
          <w:rFonts w:ascii="Arial" w:hAnsi="Arial" w:cs="Arial"/>
          <w:b w:val="0"/>
          <w:caps w:val="0"/>
          <w:sz w:val="20"/>
        </w:rPr>
        <w:t>.</w:t>
      </w:r>
    </w:p>
    <w:p w14:paraId="58D2D652" w14:textId="77777777" w:rsidR="00860000" w:rsidRDefault="00860000" w:rsidP="00441B6F">
      <w:pPr>
        <w:pStyle w:val="ReferHead"/>
        <w:spacing w:after="0"/>
        <w:jc w:val="both"/>
        <w:rPr>
          <w:rFonts w:ascii="Arial" w:hAnsi="Arial" w:cs="Arial"/>
        </w:rPr>
      </w:pPr>
    </w:p>
    <w:p w14:paraId="2B74F39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0B2901F" w14:textId="77777777" w:rsidR="00790ADA" w:rsidRPr="00FB3A86" w:rsidRDefault="00790ADA" w:rsidP="00441B6F">
      <w:pPr>
        <w:pStyle w:val="ReferHead"/>
        <w:spacing w:after="0"/>
        <w:jc w:val="both"/>
        <w:rPr>
          <w:rFonts w:ascii="Arial" w:hAnsi="Arial" w:cs="Arial"/>
        </w:rPr>
      </w:pPr>
    </w:p>
    <w:p w14:paraId="570D1A43" w14:textId="10516BA1" w:rsidR="00131C9E" w:rsidRDefault="00131C9E" w:rsidP="00131C9E">
      <w:proofErr w:type="spellStart"/>
      <w:r w:rsidRPr="00131C9E">
        <w:t>Aballe</w:t>
      </w:r>
      <w:proofErr w:type="spellEnd"/>
      <w:r w:rsidRPr="00131C9E">
        <w:t xml:space="preserve"> SJF, </w:t>
      </w:r>
      <w:proofErr w:type="spellStart"/>
      <w:r w:rsidRPr="00131C9E">
        <w:t>Agcal</w:t>
      </w:r>
      <w:proofErr w:type="spellEnd"/>
      <w:r w:rsidRPr="00131C9E">
        <w:t xml:space="preserve"> JMM, Canoy FT. Exploring the Correlation between English Proficiency </w:t>
      </w:r>
      <w:r>
        <w:tab/>
      </w:r>
      <w:r w:rsidRPr="00131C9E">
        <w:t xml:space="preserve">and Reading Comprehension among Elementary Learners in the Philippines. Asian </w:t>
      </w:r>
      <w:r>
        <w:tab/>
      </w:r>
      <w:r w:rsidRPr="00131C9E">
        <w:t xml:space="preserve">J. Educ. Soc. Stud. [Internet]. 2024 Jun. 3 [cited 2025 May 9];50(6):548-55. </w:t>
      </w:r>
      <w:r>
        <w:tab/>
      </w:r>
      <w:r w:rsidRPr="00131C9E">
        <w:t xml:space="preserve">Available from: </w:t>
      </w:r>
      <w:hyperlink r:id="rId18" w:history="1">
        <w:r w:rsidRPr="00131C9E">
          <w:rPr>
            <w:rStyle w:val="Hyperlink"/>
            <w:color w:val="auto"/>
            <w:u w:val="none"/>
          </w:rPr>
          <w:t>https://journalajess.com/index.php/AJESS/article/view/1431</w:t>
        </w:r>
      </w:hyperlink>
    </w:p>
    <w:p w14:paraId="62D666FA" w14:textId="77777777" w:rsidR="00131C9E" w:rsidRDefault="00131C9E" w:rsidP="00131C9E"/>
    <w:p w14:paraId="2CAFD2D9" w14:textId="1697C27E" w:rsidR="000E3943" w:rsidRDefault="000E3943" w:rsidP="000E3943">
      <w:pPr>
        <w:pStyle w:val="Body"/>
      </w:pPr>
      <w:proofErr w:type="spellStart"/>
      <w:r>
        <w:t>Algamal</w:t>
      </w:r>
      <w:proofErr w:type="spellEnd"/>
      <w:r>
        <w:t xml:space="preserve">, A. A. M., Bin-Hady, W. R. A., &amp; </w:t>
      </w:r>
      <w:proofErr w:type="spellStart"/>
      <w:r>
        <w:t>Ezzaldin</w:t>
      </w:r>
      <w:proofErr w:type="spellEnd"/>
      <w:r>
        <w:t xml:space="preserve">, A. S. (2021). Paragraph </w:t>
      </w:r>
      <w:r>
        <w:tab/>
      </w:r>
      <w:r>
        <w:tab/>
        <w:t xml:space="preserve">writing efficacy among Yemeni EFL university learners. </w:t>
      </w:r>
      <w:r>
        <w:tab/>
      </w:r>
      <w:r>
        <w:tab/>
      </w:r>
      <w:r>
        <w:tab/>
      </w:r>
      <w:r>
        <w:tab/>
      </w:r>
      <w:proofErr w:type="spellStart"/>
      <w:r>
        <w:t>Albaydha</w:t>
      </w:r>
      <w:proofErr w:type="spellEnd"/>
      <w:r>
        <w:t xml:space="preserve"> University Journal, 3(2), 863-874.</w:t>
      </w:r>
    </w:p>
    <w:p w14:paraId="462A9CFF" w14:textId="457DE626" w:rsidR="000E3943" w:rsidRDefault="000E3943" w:rsidP="000E3943">
      <w:pPr>
        <w:pStyle w:val="Body"/>
      </w:pPr>
      <w:proofErr w:type="spellStart"/>
      <w:r>
        <w:t>Alghamdy</w:t>
      </w:r>
      <w:proofErr w:type="spellEnd"/>
      <w:r>
        <w:t xml:space="preserve">, R. (2023). Efficacy of problem-based learning strategy to enhance </w:t>
      </w:r>
      <w:r>
        <w:tab/>
      </w:r>
      <w:r>
        <w:tab/>
        <w:t>EFL learners</w:t>
      </w:r>
      <w:proofErr w:type="gramStart"/>
      <w:r>
        <w:t>’  paragraph</w:t>
      </w:r>
      <w:proofErr w:type="gramEnd"/>
      <w:r>
        <w:t xml:space="preserve">  </w:t>
      </w:r>
      <w:proofErr w:type="gramStart"/>
      <w:r>
        <w:t>writing  and</w:t>
      </w:r>
      <w:proofErr w:type="gramEnd"/>
      <w:r>
        <w:t xml:space="preserve">  </w:t>
      </w:r>
      <w:proofErr w:type="gramStart"/>
      <w:r>
        <w:t xml:space="preserve">grammar  </w:t>
      </w:r>
      <w:r>
        <w:tab/>
      </w:r>
      <w:proofErr w:type="gramEnd"/>
      <w:r>
        <w:tab/>
      </w:r>
      <w:r>
        <w:tab/>
      </w:r>
      <w:r>
        <w:tab/>
      </w:r>
      <w:r>
        <w:tab/>
        <w:t xml:space="preserve">skills.  </w:t>
      </w:r>
      <w:proofErr w:type="gramStart"/>
      <w:r>
        <w:t>Arab  World</w:t>
      </w:r>
      <w:proofErr w:type="gramEnd"/>
      <w:r>
        <w:t xml:space="preserve">  English Journal, 14(1), 43–58. </w:t>
      </w:r>
      <w:r>
        <w:tab/>
      </w:r>
      <w:r>
        <w:tab/>
      </w:r>
      <w:r>
        <w:tab/>
      </w:r>
      <w:r>
        <w:tab/>
      </w:r>
      <w:r>
        <w:tab/>
        <w:t>https://doi.org/10.24093/awej/vol14no1.3</w:t>
      </w:r>
    </w:p>
    <w:p w14:paraId="015BE99E" w14:textId="4EA9B396" w:rsidR="000E3943" w:rsidRDefault="000E3943" w:rsidP="000E3943">
      <w:pPr>
        <w:pStyle w:val="Body"/>
      </w:pPr>
      <w:r>
        <w:t xml:space="preserve">Al-Ahdal, A. A. M. H., Alfallaj, F., Al-Al Abri, A., Al </w:t>
      </w:r>
      <w:proofErr w:type="spellStart"/>
      <w:r>
        <w:t>Seyabi</w:t>
      </w:r>
      <w:proofErr w:type="spellEnd"/>
      <w:r>
        <w:t>, F., Al Humaidi, S.,</w:t>
      </w:r>
      <w:r>
        <w:tab/>
      </w:r>
      <w:r>
        <w:tab/>
        <w:t xml:space="preserve"> &amp; </w:t>
      </w:r>
      <w:r>
        <w:tab/>
        <w:t xml:space="preserve">Hasan, A. (2017). Grammar learning strategies in Omani </w:t>
      </w:r>
      <w:r>
        <w:tab/>
      </w:r>
      <w:r>
        <w:tab/>
      </w:r>
      <w:r>
        <w:tab/>
        <w:t xml:space="preserve">EFL </w:t>
      </w:r>
      <w:r>
        <w:tab/>
        <w:t xml:space="preserve">classes: Type and relation </w:t>
      </w:r>
      <w:r>
        <w:tab/>
        <w:t xml:space="preserve">to student proficiency. Journal of </w:t>
      </w:r>
      <w:r>
        <w:tab/>
      </w:r>
      <w:r>
        <w:tab/>
      </w:r>
      <w:r>
        <w:tab/>
        <w:t>Studies in Education, 7(2), 151. DOI:</w:t>
      </w:r>
    </w:p>
    <w:p w14:paraId="20D4340D" w14:textId="3BBCEC31" w:rsidR="000E3943" w:rsidRDefault="000E3943" w:rsidP="000E3943">
      <w:pPr>
        <w:pStyle w:val="Body"/>
      </w:pPr>
      <w:r>
        <w:t xml:space="preserve">Al-Ahdal, A. A. M. H., &amp; </w:t>
      </w:r>
      <w:proofErr w:type="spellStart"/>
      <w:r>
        <w:t>Alqasham</w:t>
      </w:r>
      <w:proofErr w:type="spellEnd"/>
      <w:r>
        <w:t>, F. H. (2020). EFL writing tasks and the</w:t>
      </w:r>
      <w:r>
        <w:tab/>
      </w:r>
      <w:r>
        <w:tab/>
      </w:r>
      <w:r>
        <w:tab/>
        <w:t xml:space="preserve">application of the concept of situatedness: Evaluating the </w:t>
      </w:r>
      <w:r>
        <w:tab/>
      </w:r>
      <w:r>
        <w:tab/>
      </w:r>
      <w:r>
        <w:tab/>
      </w:r>
      <w:r>
        <w:tab/>
        <w:t xml:space="preserve">theoretical and practical aspects of the Saudi EFL context. </w:t>
      </w:r>
      <w:r>
        <w:tab/>
      </w:r>
      <w:r>
        <w:tab/>
      </w:r>
      <w:r>
        <w:tab/>
      </w:r>
      <w:r>
        <w:tab/>
        <w:t xml:space="preserve">TESOL International Journal, 15(4), 167-190. </w:t>
      </w:r>
    </w:p>
    <w:p w14:paraId="07DD9537" w14:textId="77777777" w:rsidR="000E3943" w:rsidRDefault="000E3943" w:rsidP="000E3943">
      <w:pPr>
        <w:pStyle w:val="Body"/>
      </w:pPr>
      <w:r>
        <w:t xml:space="preserve">Al-khresheh, M., </w:t>
      </w:r>
      <w:proofErr w:type="spellStart"/>
      <w:r>
        <w:t>Khaerurrozikin</w:t>
      </w:r>
      <w:proofErr w:type="spellEnd"/>
      <w:r>
        <w:t xml:space="preserve">, A., &amp; Zaid, A. (2020). The efficiency of using </w:t>
      </w:r>
      <w:r>
        <w:tab/>
      </w:r>
      <w:r>
        <w:tab/>
        <w:t xml:space="preserve">pictures in teaching speaking skills of non-native Arabic beginner </w:t>
      </w:r>
      <w:r>
        <w:tab/>
      </w:r>
      <w:r>
        <w:tab/>
      </w:r>
      <w:r>
        <w:tab/>
        <w:t xml:space="preserve">students. Universal Journal of Educational Research, 8 (3), 872 - </w:t>
      </w:r>
      <w:r>
        <w:tab/>
      </w:r>
      <w:r>
        <w:tab/>
      </w:r>
      <w:r>
        <w:tab/>
        <w:t xml:space="preserve">878. DOI: 10.13189/ujer.2020.080318 </w:t>
      </w:r>
    </w:p>
    <w:p w14:paraId="7F4983D7" w14:textId="3C86A315" w:rsidR="000E3943" w:rsidRDefault="000E3943" w:rsidP="000E3943">
      <w:pPr>
        <w:pStyle w:val="Body"/>
      </w:pPr>
      <w:proofErr w:type="spellStart"/>
      <w:proofErr w:type="gramStart"/>
      <w:r>
        <w:t>Alova</w:t>
      </w:r>
      <w:proofErr w:type="spellEnd"/>
      <w:r>
        <w:t>,  I.M.C.</w:t>
      </w:r>
      <w:proofErr w:type="gramEnd"/>
      <w:r>
        <w:t xml:space="preserve">  and </w:t>
      </w:r>
      <w:proofErr w:type="spellStart"/>
      <w:proofErr w:type="gramStart"/>
      <w:r>
        <w:t>Alova</w:t>
      </w:r>
      <w:proofErr w:type="spellEnd"/>
      <w:r>
        <w:t>,  C.A.R.</w:t>
      </w:r>
      <w:proofErr w:type="gramEnd"/>
      <w:r>
        <w:t xml:space="preserve">, 2023.  </w:t>
      </w:r>
      <w:proofErr w:type="gramStart"/>
      <w:r>
        <w:t>Grammatical  and</w:t>
      </w:r>
      <w:proofErr w:type="gramEnd"/>
      <w:r>
        <w:t xml:space="preserve"> </w:t>
      </w:r>
      <w:proofErr w:type="gramStart"/>
      <w:r>
        <w:t>Academic  Writing</w:t>
      </w:r>
      <w:proofErr w:type="gramEnd"/>
      <w:r>
        <w:t xml:space="preserve">  </w:t>
      </w:r>
      <w:r>
        <w:tab/>
      </w:r>
      <w:r>
        <w:tab/>
        <w:t xml:space="preserve">Competence </w:t>
      </w:r>
      <w:proofErr w:type="gramStart"/>
      <w:r>
        <w:t>of  Special</w:t>
      </w:r>
      <w:proofErr w:type="gramEnd"/>
      <w:r>
        <w:t xml:space="preserve">  Science Class Students. Online</w:t>
      </w:r>
      <w:r>
        <w:tab/>
      </w:r>
      <w:r>
        <w:tab/>
      </w:r>
      <w:r>
        <w:tab/>
      </w:r>
      <w:r>
        <w:tab/>
        <w:t xml:space="preserve"> Submission, 4, pp.747-763. https://eric.ed.gov/?id=ED625379</w:t>
      </w:r>
    </w:p>
    <w:p w14:paraId="250852A7" w14:textId="73D5EDB6" w:rsidR="000E3943" w:rsidRDefault="000E3943" w:rsidP="000E3943">
      <w:pPr>
        <w:pStyle w:val="Body"/>
        <w:ind w:left="720" w:hanging="720"/>
      </w:pPr>
      <w:proofErr w:type="spellStart"/>
      <w:r>
        <w:t>Amroune</w:t>
      </w:r>
      <w:proofErr w:type="spellEnd"/>
      <w:r>
        <w:t xml:space="preserve">, A., &amp; </w:t>
      </w:r>
      <w:proofErr w:type="spellStart"/>
      <w:r>
        <w:t>Charik</w:t>
      </w:r>
      <w:proofErr w:type="spellEnd"/>
      <w:r>
        <w:t xml:space="preserve">, A. (2020). Exploring the relationship between grammar </w:t>
      </w:r>
      <w:r>
        <w:tab/>
        <w:t xml:space="preserve">learning strategies use and grammar </w:t>
      </w:r>
      <w:r>
        <w:tab/>
        <w:t xml:space="preserve">competence: a case of </w:t>
      </w:r>
      <w:r>
        <w:tab/>
        <w:t xml:space="preserve">second year students at </w:t>
      </w:r>
      <w:proofErr w:type="spellStart"/>
      <w:r>
        <w:t>M’sila</w:t>
      </w:r>
      <w:proofErr w:type="spellEnd"/>
      <w:r>
        <w:t xml:space="preserve"> </w:t>
      </w:r>
      <w:r>
        <w:tab/>
        <w:t xml:space="preserve">University. [Doctoral Dissertation]. </w:t>
      </w:r>
      <w:r>
        <w:tab/>
        <w:t>University</w:t>
      </w:r>
      <w:r>
        <w:tab/>
        <w:t xml:space="preserve"> Mohamed Boudiaf – </w:t>
      </w:r>
      <w:proofErr w:type="spellStart"/>
      <w:r>
        <w:t>M’sila</w:t>
      </w:r>
      <w:proofErr w:type="spellEnd"/>
      <w:r>
        <w:t>.</w:t>
      </w:r>
    </w:p>
    <w:p w14:paraId="7C6EB7D2" w14:textId="39FBE795" w:rsidR="000E3943" w:rsidRDefault="000E3943" w:rsidP="000E3943">
      <w:pPr>
        <w:pStyle w:val="Body"/>
      </w:pPr>
      <w:proofErr w:type="spellStart"/>
      <w:r>
        <w:t>Balones</w:t>
      </w:r>
      <w:proofErr w:type="spellEnd"/>
      <w:r>
        <w:t xml:space="preserve">, J &amp; </w:t>
      </w:r>
      <w:proofErr w:type="spellStart"/>
      <w:r>
        <w:t>Gempes</w:t>
      </w:r>
      <w:proofErr w:type="spellEnd"/>
      <w:r>
        <w:t xml:space="preserve">, G. (2022) A structural Equation Model on the </w:t>
      </w:r>
      <w:r>
        <w:tab/>
      </w:r>
      <w:r>
        <w:tab/>
      </w:r>
      <w:r>
        <w:tab/>
        <w:t xml:space="preserve">Grammatical </w:t>
      </w:r>
      <w:r>
        <w:tab/>
      </w:r>
      <w:r>
        <w:tab/>
      </w:r>
      <w:r>
        <w:tab/>
        <w:t xml:space="preserve">Competence of College Students. </w:t>
      </w:r>
      <w:r>
        <w:tab/>
      </w:r>
      <w:r>
        <w:tab/>
      </w:r>
      <w:r>
        <w:tab/>
        <w:t>International Journal of</w:t>
      </w:r>
      <w:r>
        <w:tab/>
        <w:t xml:space="preserve">Language &amp; </w:t>
      </w:r>
      <w:r>
        <w:tab/>
        <w:t xml:space="preserve">Linguistics. Vol. 9, No. 3; </w:t>
      </w:r>
      <w:r>
        <w:tab/>
        <w:t xml:space="preserve">September </w:t>
      </w:r>
      <w:r>
        <w:tab/>
        <w:t>2022 https://www.ijllnet.com/journals/Vol_9_No_3_September_2022/8.pdf</w:t>
      </w:r>
    </w:p>
    <w:p w14:paraId="09AD8227" w14:textId="77777777" w:rsidR="000E3943" w:rsidRDefault="000E3943" w:rsidP="000E3943">
      <w:pPr>
        <w:pStyle w:val="Body"/>
      </w:pPr>
      <w:proofErr w:type="spellStart"/>
      <w:r>
        <w:t>Bardovi-Harlig</w:t>
      </w:r>
      <w:proofErr w:type="spellEnd"/>
      <w:r>
        <w:t xml:space="preserve">, K. (1999). "Second Language Syntax and the Role of Input." </w:t>
      </w:r>
      <w:r>
        <w:tab/>
      </w:r>
      <w:r>
        <w:tab/>
        <w:t>Language Learning, 49(3), 507-533.</w:t>
      </w:r>
    </w:p>
    <w:p w14:paraId="61883ECF" w14:textId="45B3D4B5" w:rsidR="000E3943" w:rsidRDefault="000E3943" w:rsidP="000E3943">
      <w:pPr>
        <w:pStyle w:val="Body"/>
      </w:pPr>
      <w:r>
        <w:t xml:space="preserve">Bashir, I., and Mattoo, N. H. (2012). A </w:t>
      </w:r>
      <w:proofErr w:type="gramStart"/>
      <w:r>
        <w:t>study on study</w:t>
      </w:r>
      <w:proofErr w:type="gramEnd"/>
      <w:r>
        <w:t xml:space="preserve"> habits and academic </w:t>
      </w:r>
      <w:r>
        <w:tab/>
      </w:r>
      <w:r>
        <w:tab/>
        <w:t xml:space="preserve">performance among adolescents (14-19) years. Int. J. Soc. Sci. </w:t>
      </w:r>
      <w:r>
        <w:tab/>
      </w:r>
      <w:r>
        <w:tab/>
      </w:r>
      <w:r>
        <w:lastRenderedPageBreak/>
        <w:tab/>
        <w:t xml:space="preserve">Tomorrow </w:t>
      </w:r>
      <w:r>
        <w:tab/>
      </w:r>
      <w:r>
        <w:tab/>
        <w:t xml:space="preserve">        1, 1–5. International Journal of Educational Policy </w:t>
      </w:r>
      <w:r>
        <w:tab/>
        <w:t xml:space="preserve">Research and Review </w:t>
      </w:r>
      <w:r>
        <w:tab/>
        <w:t xml:space="preserve">Vol.7 (5), pp. 151-163 September, 2020 Available online at </w:t>
      </w:r>
      <w:r>
        <w:tab/>
        <w:t>https://www.journalissues.org/IJEPRR/ https://doi.org/10.15739/IJEPRR.20.017</w:t>
      </w:r>
    </w:p>
    <w:p w14:paraId="42DE8449" w14:textId="77777777" w:rsidR="000E3943" w:rsidRDefault="000E3943" w:rsidP="000E3943">
      <w:pPr>
        <w:pStyle w:val="Body"/>
      </w:pPr>
    </w:p>
    <w:p w14:paraId="3C32C022" w14:textId="3A14B029" w:rsidR="000E3943" w:rsidRDefault="000E3943" w:rsidP="000E3943">
      <w:pPr>
        <w:pStyle w:val="Body"/>
      </w:pPr>
      <w:r>
        <w:t xml:space="preserve">Bibi, A., Naseer, N., and Habib, Z. (2020). Study habits of students and </w:t>
      </w:r>
      <w:r>
        <w:tab/>
      </w:r>
      <w:r>
        <w:tab/>
      </w:r>
      <w:r>
        <w:tab/>
        <w:t xml:space="preserve">academic </w:t>
      </w:r>
      <w:r>
        <w:tab/>
      </w:r>
      <w:r>
        <w:tab/>
        <w:t xml:space="preserve">     achievement: A correlational study. Glob. </w:t>
      </w:r>
      <w:r>
        <w:tab/>
      </w:r>
      <w:r>
        <w:tab/>
      </w:r>
      <w:r>
        <w:tab/>
        <w:t xml:space="preserve">Educ. Stud. Rev. 5, 114–122. </w:t>
      </w:r>
      <w:proofErr w:type="spellStart"/>
      <w:r>
        <w:t>doi</w:t>
      </w:r>
      <w:proofErr w:type="spellEnd"/>
      <w:r>
        <w:t xml:space="preserve">: </w:t>
      </w:r>
      <w:r>
        <w:tab/>
      </w:r>
      <w:r>
        <w:tab/>
      </w:r>
      <w:r>
        <w:tab/>
      </w:r>
      <w:r>
        <w:tab/>
      </w:r>
      <w:r>
        <w:tab/>
      </w:r>
      <w:r>
        <w:tab/>
        <w:t xml:space="preserve"> </w:t>
      </w:r>
      <w:r>
        <w:tab/>
        <w:t>10.31703/gesr.2020(V-III).12</w:t>
      </w:r>
    </w:p>
    <w:p w14:paraId="14D0627A" w14:textId="61053A26" w:rsidR="000E3943" w:rsidRDefault="000E3943" w:rsidP="000E3943">
      <w:pPr>
        <w:pStyle w:val="Body"/>
      </w:pPr>
      <w:r>
        <w:t xml:space="preserve">Bin-Hady, W. R. A., Nasser, A. N. A., &amp; Al-Kadi, A. T. (2020). A </w:t>
      </w:r>
      <w:proofErr w:type="gramStart"/>
      <w:r>
        <w:t>Pre-</w:t>
      </w:r>
      <w:r>
        <w:tab/>
      </w:r>
      <w:r>
        <w:tab/>
      </w:r>
      <w:r>
        <w:tab/>
        <w:t>Experimental</w:t>
      </w:r>
      <w:proofErr w:type="gramEnd"/>
      <w:r>
        <w:t xml:space="preserve"> study </w:t>
      </w:r>
      <w:r>
        <w:tab/>
        <w:t xml:space="preserve">on a process-genre approach for </w:t>
      </w:r>
      <w:proofErr w:type="spellStart"/>
      <w:r>
        <w:t>teachingessa</w:t>
      </w:r>
      <w:proofErr w:type="spellEnd"/>
      <w:r>
        <w:t xml:space="preserve"> </w:t>
      </w:r>
      <w:r>
        <w:tab/>
      </w:r>
      <w:r>
        <w:tab/>
      </w:r>
      <w:r>
        <w:tab/>
        <w:t>writing. Journal of</w:t>
      </w:r>
      <w:r>
        <w:tab/>
      </w:r>
      <w:proofErr w:type="spellStart"/>
      <w:r>
        <w:t>Langage</w:t>
      </w:r>
      <w:proofErr w:type="spellEnd"/>
      <w:r>
        <w:t xml:space="preserve"> </w:t>
      </w:r>
      <w:r>
        <w:tab/>
        <w:t xml:space="preserve">and Education, </w:t>
      </w:r>
      <w:r>
        <w:tab/>
      </w:r>
      <w:r>
        <w:tab/>
      </w:r>
      <w:r>
        <w:tab/>
      </w:r>
      <w:r>
        <w:tab/>
      </w:r>
      <w:r>
        <w:tab/>
        <w:t xml:space="preserve">6(4), </w:t>
      </w:r>
      <w:r>
        <w:tab/>
        <w:t xml:space="preserve">44-54. </w:t>
      </w:r>
      <w:r>
        <w:tab/>
        <w:t xml:space="preserve">https://doi.org/10.17323/ </w:t>
      </w:r>
      <w:r>
        <w:tab/>
        <w:t xml:space="preserve">jle.2020.10347Burns, </w:t>
      </w:r>
    </w:p>
    <w:p w14:paraId="5F3ABE0A" w14:textId="2628D8FD" w:rsidR="000E3943" w:rsidRDefault="000E3943" w:rsidP="000E3943">
      <w:pPr>
        <w:pStyle w:val="Body"/>
      </w:pPr>
      <w:r>
        <w:t xml:space="preserve">Denise, Ann Devitt, Gerry McNamara, Joe O’Hara, and Martin Brown. </w:t>
      </w:r>
      <w:r>
        <w:tab/>
      </w:r>
      <w:r>
        <w:tab/>
      </w:r>
      <w:r>
        <w:tab/>
        <w:t xml:space="preserve">2018. </w:t>
      </w:r>
      <w:r>
        <w:tab/>
      </w:r>
      <w:r>
        <w:tab/>
        <w:t xml:space="preserve">“Is it all Memory Recall? An Empirical Investigation of </w:t>
      </w:r>
      <w:r>
        <w:tab/>
      </w:r>
      <w:r>
        <w:tab/>
      </w:r>
      <w:r>
        <w:tab/>
        <w:t xml:space="preserve">Intellectual Skill </w:t>
      </w:r>
      <w:r>
        <w:tab/>
        <w:t xml:space="preserve">Requirements in Leaving Certificate Examination </w:t>
      </w:r>
      <w:r>
        <w:tab/>
      </w:r>
      <w:r>
        <w:tab/>
        <w:t xml:space="preserve">Papers in Ireland.” Irish </w:t>
      </w:r>
      <w:r>
        <w:tab/>
        <w:t>Educational Studies 37 (3): 351–372.</w:t>
      </w:r>
      <w:r>
        <w:tab/>
      </w:r>
      <w:r>
        <w:tab/>
      </w:r>
      <w:r>
        <w:tab/>
        <w:t xml:space="preserve">https://doi.org/10.1080/03323315.2018.1484300 </w:t>
      </w:r>
    </w:p>
    <w:p w14:paraId="763293A7" w14:textId="2234D1DC" w:rsidR="000E3943" w:rsidRDefault="000E3943" w:rsidP="000E3943">
      <w:pPr>
        <w:pStyle w:val="Body"/>
      </w:pPr>
      <w:proofErr w:type="spellStart"/>
      <w:r>
        <w:t>Canagarajah</w:t>
      </w:r>
      <w:proofErr w:type="spellEnd"/>
      <w:r>
        <w:t xml:space="preserve">, S. (2023). Translingual Communication and the Future of </w:t>
      </w:r>
      <w:r>
        <w:tab/>
      </w:r>
      <w:r>
        <w:tab/>
      </w:r>
      <w:r>
        <w:tab/>
        <w:t>Multilingual Education. Cambridge University Press.</w:t>
      </w:r>
    </w:p>
    <w:p w14:paraId="6B5BB592" w14:textId="5F1D2D38" w:rsidR="000E3943" w:rsidRDefault="000E3943" w:rsidP="000E3943">
      <w:pPr>
        <w:pStyle w:val="Body"/>
      </w:pPr>
      <w:r>
        <w:t xml:space="preserve"> Canale, Michael, at Swain, Merrill. (1980). Theoretical Bases of Communicative</w:t>
      </w:r>
      <w:r>
        <w:tab/>
      </w:r>
      <w:r>
        <w:tab/>
      </w:r>
      <w:r>
        <w:tab/>
        <w:t xml:space="preserve"> Approaches to Second Language Teaching and </w:t>
      </w:r>
      <w:proofErr w:type="spellStart"/>
      <w:r>
        <w:t>Testing.Applied</w:t>
      </w:r>
      <w:proofErr w:type="spellEnd"/>
      <w:r>
        <w:t xml:space="preserve"> Linguistics, 1(1), 1–</w:t>
      </w:r>
      <w:r>
        <w:tab/>
        <w:t>47.</w:t>
      </w:r>
    </w:p>
    <w:p w14:paraId="2C76F0F8" w14:textId="5169E7C2" w:rsidR="000E3943" w:rsidRDefault="000E3943" w:rsidP="000E3943">
      <w:pPr>
        <w:pStyle w:val="Body"/>
      </w:pPr>
      <w:r>
        <w:t xml:space="preserve"> Castro, P., et al. (2021). The role of metacognition in reading comprehension in </w:t>
      </w:r>
      <w:r>
        <w:tab/>
      </w:r>
      <w:r>
        <w:tab/>
        <w:t>higher education. Literacy Education Journal, 26(1), 89-102.</w:t>
      </w:r>
    </w:p>
    <w:p w14:paraId="2CEAFCD7" w14:textId="5478D881" w:rsidR="000E3943" w:rsidRDefault="000E3943" w:rsidP="000E3943">
      <w:pPr>
        <w:pStyle w:val="Body"/>
      </w:pPr>
      <w:r>
        <w:t xml:space="preserve"> Cardenas-Hagan, E., Carlson, C. D., &amp; Pollard-</w:t>
      </w:r>
      <w:proofErr w:type="spellStart"/>
      <w:r>
        <w:t>Durodola</w:t>
      </w:r>
      <w:proofErr w:type="spellEnd"/>
      <w:r>
        <w:t xml:space="preserve">, S. D. (2007). The </w:t>
      </w:r>
      <w:r>
        <w:tab/>
      </w:r>
      <w:r>
        <w:tab/>
        <w:t>crosslinguistic transfer of early literacy skills: The role of initial L1 and</w:t>
      </w:r>
      <w:r>
        <w:tab/>
      </w:r>
      <w:r>
        <w:tab/>
        <w:t xml:space="preserve">L2skills and language of instruction. Language, Speech, and </w:t>
      </w:r>
      <w:r>
        <w:tab/>
      </w:r>
      <w:r>
        <w:tab/>
      </w:r>
      <w:r>
        <w:tab/>
        <w:t>Hearing Services in Schools, 38,249-259.</w:t>
      </w:r>
    </w:p>
    <w:p w14:paraId="6D8896C4" w14:textId="4A108013" w:rsidR="000E3943" w:rsidRDefault="000E3943" w:rsidP="000E3943">
      <w:pPr>
        <w:pStyle w:val="Body"/>
      </w:pPr>
      <w:r>
        <w:t xml:space="preserve"> Cooper, D. R., &amp; Schindler, P. S. (2019). Business Research Methods.</w:t>
      </w:r>
      <w:r>
        <w:tab/>
      </w:r>
      <w:r>
        <w:tab/>
        <w:t xml:space="preserve"> </w:t>
      </w:r>
      <w:r>
        <w:tab/>
        <w:t>McGraw-</w:t>
      </w:r>
      <w:r>
        <w:tab/>
        <w:t xml:space="preserve">Hill </w:t>
      </w:r>
      <w:r>
        <w:tab/>
        <w:t>Education.</w:t>
      </w:r>
    </w:p>
    <w:p w14:paraId="0506CB90" w14:textId="4717732E" w:rsidR="000E3943" w:rsidRDefault="000E3943" w:rsidP="000E3943">
      <w:pPr>
        <w:pStyle w:val="Body"/>
      </w:pPr>
      <w:r>
        <w:t xml:space="preserve"> Cortez, M. O. S., &amp; </w:t>
      </w:r>
      <w:proofErr w:type="spellStart"/>
      <w:r>
        <w:t>Genison</w:t>
      </w:r>
      <w:proofErr w:type="spellEnd"/>
      <w:r>
        <w:t>, C. E. (2021). Approaches in teaching grammar</w:t>
      </w:r>
      <w:r>
        <w:tab/>
      </w:r>
      <w:r>
        <w:tab/>
      </w:r>
      <w:proofErr w:type="spellStart"/>
      <w:r>
        <w:t>toyoung</w:t>
      </w:r>
      <w:proofErr w:type="spellEnd"/>
      <w:r>
        <w:t xml:space="preserve"> learners: A scoping review. British Journal of </w:t>
      </w:r>
      <w:r>
        <w:tab/>
        <w:t xml:space="preserve">Applied </w:t>
      </w:r>
      <w:r>
        <w:tab/>
      </w:r>
      <w:r>
        <w:tab/>
        <w:t xml:space="preserve">Linguistics, 29-33. https://al </w:t>
      </w:r>
      <w:r>
        <w:tab/>
      </w:r>
      <w:r>
        <w:tab/>
      </w:r>
      <w:r>
        <w:tab/>
      </w:r>
      <w:r>
        <w:tab/>
      </w:r>
      <w:r>
        <w:tab/>
        <w:t>kindipublisher.com/</w:t>
      </w:r>
      <w:proofErr w:type="spellStart"/>
      <w:r>
        <w:t>index.php</w:t>
      </w:r>
      <w:proofErr w:type="spellEnd"/>
      <w:r>
        <w:t>/</w:t>
      </w:r>
      <w:proofErr w:type="spellStart"/>
      <w:r>
        <w:t>bjal</w:t>
      </w:r>
      <w:proofErr w:type="spellEnd"/>
      <w:r>
        <w:t>/article/view/2461/2165</w:t>
      </w:r>
    </w:p>
    <w:p w14:paraId="794BDA51" w14:textId="728C82F9" w:rsidR="000E3943" w:rsidRDefault="000E3943" w:rsidP="000E3943">
      <w:pPr>
        <w:pStyle w:val="Body"/>
      </w:pPr>
      <w:r>
        <w:t>Cummins, J. (2000). Language, Power and Pedagogy: Bilingual Children in the</w:t>
      </w:r>
      <w:r>
        <w:tab/>
      </w:r>
      <w:r>
        <w:tab/>
      </w:r>
      <w:r>
        <w:tab/>
        <w:t xml:space="preserve"> Crossfire. Multilingual Matters.</w:t>
      </w:r>
    </w:p>
    <w:p w14:paraId="11660E53" w14:textId="2A23F491" w:rsidR="000E3943" w:rsidRDefault="000E3943" w:rsidP="000E3943">
      <w:pPr>
        <w:pStyle w:val="Body"/>
      </w:pPr>
      <w:r>
        <w:t xml:space="preserve"> Chomsky, Noam. (1965). Aspects of the Theory of Syntax. MIT Press.</w:t>
      </w:r>
    </w:p>
    <w:p w14:paraId="2273E137" w14:textId="749FB73B" w:rsidR="000E3943" w:rsidRDefault="000E3943" w:rsidP="000E3943">
      <w:pPr>
        <w:pStyle w:val="Body"/>
      </w:pPr>
      <w:r>
        <w:t xml:space="preserve"> </w:t>
      </w:r>
      <w:proofErr w:type="spellStart"/>
      <w:r>
        <w:t>Dangan</w:t>
      </w:r>
      <w:proofErr w:type="spellEnd"/>
      <w:r>
        <w:t xml:space="preserve">, J.P.N.P.  and </w:t>
      </w:r>
      <w:proofErr w:type="gramStart"/>
      <w:r>
        <w:t>Cruz,  R.A.O.D.,  2021</w:t>
      </w:r>
      <w:proofErr w:type="gramEnd"/>
      <w:r>
        <w:t xml:space="preserve">.  Effectiveness of </w:t>
      </w:r>
      <w:proofErr w:type="gramStart"/>
      <w:r>
        <w:t xml:space="preserve">English  </w:t>
      </w:r>
      <w:r>
        <w:tab/>
      </w:r>
      <w:proofErr w:type="gramEnd"/>
      <w:r>
        <w:tab/>
      </w:r>
      <w:r>
        <w:tab/>
        <w:t xml:space="preserve">Learner’s Material </w:t>
      </w:r>
      <w:proofErr w:type="gramStart"/>
      <w:r>
        <w:t>in  Enhancing</w:t>
      </w:r>
      <w:proofErr w:type="gramEnd"/>
      <w:r>
        <w:t xml:space="preserve">  Grammatical </w:t>
      </w:r>
      <w:r>
        <w:tab/>
      </w:r>
      <w:r>
        <w:tab/>
      </w:r>
      <w:r>
        <w:tab/>
      </w:r>
      <w:r>
        <w:tab/>
      </w:r>
      <w:proofErr w:type="gramStart"/>
      <w:r>
        <w:t>Competence  of</w:t>
      </w:r>
      <w:proofErr w:type="gramEnd"/>
      <w:r>
        <w:t xml:space="preserve">  </w:t>
      </w:r>
      <w:proofErr w:type="gramStart"/>
      <w:r>
        <w:t>Grade  9</w:t>
      </w:r>
      <w:proofErr w:type="gramEnd"/>
      <w:r>
        <w:t xml:space="preserve">  </w:t>
      </w:r>
      <w:proofErr w:type="gramStart"/>
      <w:r>
        <w:t>Bilingual  Students</w:t>
      </w:r>
      <w:proofErr w:type="gramEnd"/>
      <w:r>
        <w:t xml:space="preserve">:  </w:t>
      </w:r>
      <w:proofErr w:type="gramStart"/>
      <w:r>
        <w:t>A  Basis</w:t>
      </w:r>
      <w:proofErr w:type="gramEnd"/>
      <w:r>
        <w:t xml:space="preserve">  </w:t>
      </w:r>
      <w:proofErr w:type="gramStart"/>
      <w:r>
        <w:t>for  Supplementary</w:t>
      </w:r>
      <w:proofErr w:type="gramEnd"/>
      <w:r>
        <w:t xml:space="preserve">  </w:t>
      </w:r>
      <w:proofErr w:type="gramStart"/>
      <w:r>
        <w:t xml:space="preserve">Material  </w:t>
      </w:r>
      <w:r>
        <w:lastRenderedPageBreak/>
        <w:tab/>
      </w:r>
      <w:proofErr w:type="gramEnd"/>
      <w:r>
        <w:t xml:space="preserve">Development.  Asian </w:t>
      </w:r>
      <w:proofErr w:type="gramStart"/>
      <w:r>
        <w:t>Journal  of</w:t>
      </w:r>
      <w:proofErr w:type="gramEnd"/>
      <w:r>
        <w:t xml:space="preserve"> Multilingual and Multicultural Education, 1(1), pp.1-</w:t>
      </w:r>
      <w:r>
        <w:tab/>
        <w:t xml:space="preserve">12. http://e- </w:t>
      </w:r>
      <w:r>
        <w:tab/>
        <w:t>journal.naifaderu.org/</w:t>
      </w:r>
      <w:proofErr w:type="spellStart"/>
      <w:r>
        <w:t>index.php</w:t>
      </w:r>
      <w:proofErr w:type="spellEnd"/>
      <w:r>
        <w:t>/</w:t>
      </w:r>
      <w:proofErr w:type="spellStart"/>
      <w:r>
        <w:t>ajmme</w:t>
      </w:r>
      <w:proofErr w:type="spellEnd"/>
      <w:r>
        <w:t>/article/view/</w:t>
      </w:r>
    </w:p>
    <w:p w14:paraId="06DD8D13" w14:textId="607AB248" w:rsidR="000E3943" w:rsidRDefault="000E3943" w:rsidP="000E3943">
      <w:pPr>
        <w:pStyle w:val="Body"/>
      </w:pPr>
      <w:r>
        <w:t xml:space="preserve">DeKeyser, R. (2017). Knowledge and skill in SLA. In S. Loewen &amp; M. Sato </w:t>
      </w:r>
      <w:r>
        <w:tab/>
      </w:r>
      <w:r>
        <w:tab/>
        <w:t>(Eds.),</w:t>
      </w:r>
      <w:r>
        <w:tab/>
        <w:t xml:space="preserve">The Routledge handbook of instructed second language </w:t>
      </w:r>
      <w:r>
        <w:tab/>
      </w:r>
      <w:r>
        <w:tab/>
      </w:r>
      <w:r>
        <w:tab/>
        <w:t>acquisition (pp.15-32). Routledge</w:t>
      </w:r>
    </w:p>
    <w:p w14:paraId="68F190C0" w14:textId="6A74253F" w:rsidR="000E3943" w:rsidRDefault="000E3943" w:rsidP="000E3943">
      <w:pPr>
        <w:pStyle w:val="Body"/>
      </w:pPr>
      <w:r>
        <w:t xml:space="preserve">Derakhshan, A., &amp; Fathi, J. (2023). Grit and foreign language enjoyment as </w:t>
      </w:r>
      <w:r>
        <w:tab/>
      </w:r>
      <w:r>
        <w:tab/>
        <w:t>predictors of EFL learners’ online engagement: The mediating role of</w:t>
      </w:r>
      <w:r>
        <w:tab/>
      </w:r>
      <w:r>
        <w:tab/>
        <w:t xml:space="preserve">online learning self-efficacy. The Asia-Pacific Education Researcher, </w:t>
      </w:r>
      <w:r>
        <w:tab/>
      </w:r>
      <w:r>
        <w:tab/>
        <w:t>1</w:t>
      </w:r>
      <w:proofErr w:type="gramStart"/>
      <w:r>
        <w:t xml:space="preserve">–  </w:t>
      </w:r>
      <w:r w:rsidR="00366730">
        <w:tab/>
      </w:r>
      <w:proofErr w:type="gramEnd"/>
      <w:r>
        <w:t xml:space="preserve">11.  </w:t>
      </w:r>
    </w:p>
    <w:p w14:paraId="564EA913" w14:textId="372CDB61" w:rsidR="000E3943" w:rsidRDefault="000E3943" w:rsidP="000E3943">
      <w:pPr>
        <w:pStyle w:val="Body"/>
      </w:pPr>
      <w:r>
        <w:t xml:space="preserve">Dewi, A. (2012). English as an international language. Journal of English and </w:t>
      </w:r>
      <w:r>
        <w:tab/>
      </w:r>
      <w:r>
        <w:tab/>
        <w:t xml:space="preserve">Education and Education, 6(2), 1–11. </w:t>
      </w:r>
      <w:r>
        <w:tab/>
      </w:r>
      <w:r>
        <w:tab/>
      </w:r>
      <w:r>
        <w:tab/>
      </w:r>
      <w:r>
        <w:tab/>
      </w:r>
      <w:r>
        <w:tab/>
      </w:r>
      <w:r>
        <w:tab/>
      </w:r>
      <w:r>
        <w:tab/>
        <w:t xml:space="preserve">https://doi.org/10.20885/jee.vol6.iss2.art1      </w:t>
      </w:r>
    </w:p>
    <w:p w14:paraId="33DBCE29" w14:textId="48B4BD65" w:rsidR="000E3943" w:rsidRDefault="000E3943" w:rsidP="000E3943">
      <w:pPr>
        <w:pStyle w:val="Body"/>
      </w:pPr>
      <w:r>
        <w:t xml:space="preserve">Ellis, R. (2002). Does Form-Focused Instruction Affect the Acquisition of Implicit </w:t>
      </w:r>
      <w:r>
        <w:tab/>
      </w:r>
      <w:r>
        <w:tab/>
        <w:t>Knowledge? Studies in Second Language Acquisition, 24, 223-236.</w:t>
      </w:r>
      <w:r>
        <w:tab/>
      </w:r>
      <w:r>
        <w:tab/>
      </w:r>
      <w:r>
        <w:tab/>
        <w:t>https://doi.org/10.1017/S0272263102002073</w:t>
      </w:r>
    </w:p>
    <w:p w14:paraId="1280BF28" w14:textId="77777777" w:rsidR="000E3943" w:rsidRDefault="000E3943" w:rsidP="000E3943">
      <w:pPr>
        <w:pStyle w:val="Body"/>
      </w:pPr>
      <w:r>
        <w:t xml:space="preserve"> Ellis, R. (2009). Implicit and explicit learning, knowledge and instruction. In R. </w:t>
      </w:r>
      <w:r>
        <w:tab/>
      </w:r>
      <w:r>
        <w:tab/>
      </w:r>
    </w:p>
    <w:p w14:paraId="4F173FF9" w14:textId="4C02BEAA" w:rsidR="000E3943" w:rsidRDefault="000E3943" w:rsidP="000E3943">
      <w:pPr>
        <w:pStyle w:val="Body"/>
      </w:pPr>
      <w:r>
        <w:t xml:space="preserve"> </w:t>
      </w:r>
      <w:proofErr w:type="spellStart"/>
      <w:proofErr w:type="gramStart"/>
      <w:r>
        <w:t>Ellis,S</w:t>
      </w:r>
      <w:proofErr w:type="spellEnd"/>
      <w:r>
        <w:t>.</w:t>
      </w:r>
      <w:proofErr w:type="gramEnd"/>
      <w:r>
        <w:t xml:space="preserve"> Loewen, C. Elder, </w:t>
      </w:r>
      <w:proofErr w:type="spellStart"/>
      <w:proofErr w:type="gramStart"/>
      <w:r>
        <w:t>R.Erlam</w:t>
      </w:r>
      <w:proofErr w:type="spellEnd"/>
      <w:proofErr w:type="gramEnd"/>
      <w:r>
        <w:t xml:space="preserve">, J. Philp, &amp; H. Reinders (Eds.), Implicit </w:t>
      </w:r>
      <w:r>
        <w:tab/>
      </w:r>
      <w:r>
        <w:tab/>
        <w:t xml:space="preserve">and explicit knowledge in second language learning, testing and </w:t>
      </w:r>
      <w:r>
        <w:tab/>
      </w:r>
      <w:r>
        <w:tab/>
      </w:r>
      <w:r>
        <w:tab/>
        <w:t>teaching (pp.3-25). Multilingual Matters.</w:t>
      </w:r>
    </w:p>
    <w:p w14:paraId="31AA35C9" w14:textId="26BD59FB" w:rsidR="000E3943" w:rsidRDefault="000E3943" w:rsidP="000E3943">
      <w:pPr>
        <w:pStyle w:val="Body"/>
      </w:pPr>
      <w:r>
        <w:t xml:space="preserve"> </w:t>
      </w:r>
      <w:proofErr w:type="spellStart"/>
      <w:r>
        <w:t>Elfiondri</w:t>
      </w:r>
      <w:proofErr w:type="spellEnd"/>
      <w:r>
        <w:t xml:space="preserve"> (2019). Inter-lingual Errors of Indonesian-English in Relation to </w:t>
      </w:r>
      <w:r>
        <w:tab/>
      </w:r>
      <w:r>
        <w:tab/>
      </w:r>
      <w:r>
        <w:tab/>
        <w:t>English</w:t>
      </w:r>
    </w:p>
    <w:p w14:paraId="08E0B254" w14:textId="053E6674" w:rsidR="000E3943" w:rsidRDefault="000E3943" w:rsidP="000E3943">
      <w:pPr>
        <w:pStyle w:val="Body"/>
      </w:pPr>
      <w:r>
        <w:t xml:space="preserve"> Ehsan, T., and Sultana, N. (2020). Predicting the role of study habits in </w:t>
      </w:r>
      <w:r>
        <w:tab/>
      </w:r>
      <w:r>
        <w:tab/>
      </w:r>
      <w:r>
        <w:tab/>
        <w:t xml:space="preserve">academic achievement: A study of university students in Punjab. Pak. </w:t>
      </w:r>
      <w:r>
        <w:tab/>
      </w:r>
      <w:r>
        <w:tab/>
        <w:t xml:space="preserve">J. </w:t>
      </w:r>
      <w:r w:rsidR="00366730">
        <w:tab/>
      </w:r>
      <w:r>
        <w:t xml:space="preserve">Educ. 37, 95–112. </w:t>
      </w:r>
      <w:proofErr w:type="spellStart"/>
      <w:r>
        <w:t>doi</w:t>
      </w:r>
      <w:proofErr w:type="spellEnd"/>
      <w:r>
        <w:t>: 10.30971/</w:t>
      </w:r>
      <w:proofErr w:type="gramStart"/>
      <w:r>
        <w:t>pje.v</w:t>
      </w:r>
      <w:proofErr w:type="gramEnd"/>
      <w:r>
        <w:t>37i1.1410</w:t>
      </w:r>
    </w:p>
    <w:p w14:paraId="2F25F258" w14:textId="77777777" w:rsidR="000E3943" w:rsidRDefault="000E3943" w:rsidP="000E3943">
      <w:pPr>
        <w:pStyle w:val="Body"/>
      </w:pPr>
      <w:r>
        <w:t xml:space="preserve"> Eser, R. S., &amp; Ayaz, H. (2021). The effects of creative writing activities on</w:t>
      </w:r>
      <w:r>
        <w:tab/>
      </w:r>
      <w:r>
        <w:tab/>
      </w:r>
      <w:r>
        <w:tab/>
        <w:t xml:space="preserve"> </w:t>
      </w:r>
      <w:proofErr w:type="spellStart"/>
      <w:r>
        <w:t>narrativetext</w:t>
      </w:r>
      <w:proofErr w:type="spellEnd"/>
      <w:r>
        <w:t xml:space="preserve"> writing skills and advanced reading awareness. </w:t>
      </w:r>
      <w:r>
        <w:tab/>
      </w:r>
      <w:r>
        <w:tab/>
      </w:r>
      <w:r>
        <w:tab/>
        <w:t xml:space="preserve">Research in Pedagogy / </w:t>
      </w:r>
      <w:proofErr w:type="spellStart"/>
      <w:r>
        <w:t>Istraživanja</w:t>
      </w:r>
      <w:proofErr w:type="spellEnd"/>
      <w:r>
        <w:t xml:space="preserve"> u </w:t>
      </w:r>
      <w:proofErr w:type="spellStart"/>
      <w:r>
        <w:t>Pedagogiji</w:t>
      </w:r>
      <w:proofErr w:type="spellEnd"/>
      <w:r>
        <w:t>, 11(2), 639–660.</w:t>
      </w:r>
      <w:r>
        <w:tab/>
      </w:r>
      <w:r>
        <w:tab/>
        <w:t xml:space="preserve"> </w:t>
      </w:r>
      <w:r>
        <w:tab/>
        <w:t>https://doi.org/10.5937/IstrPed2102639E</w:t>
      </w:r>
    </w:p>
    <w:p w14:paraId="22548B1A" w14:textId="5FBE6F5C" w:rsidR="000E3943" w:rsidRDefault="000E3943" w:rsidP="000E3943">
      <w:pPr>
        <w:pStyle w:val="Body"/>
      </w:pPr>
      <w:r>
        <w:t xml:space="preserve"> Espinosa, L. (2008). Challenging Common Myths about Young English </w:t>
      </w:r>
      <w:r>
        <w:tab/>
      </w:r>
      <w:r>
        <w:tab/>
      </w:r>
      <w:r>
        <w:tab/>
      </w:r>
      <w:proofErr w:type="spellStart"/>
      <w:r>
        <w:t>LanguageLearners</w:t>
      </w:r>
      <w:proofErr w:type="spellEnd"/>
      <w:r>
        <w:t>, FCD Policy Brief, Advancing PK-3, No 8, NY.</w:t>
      </w:r>
      <w:r>
        <w:tab/>
      </w:r>
      <w:r>
        <w:tab/>
      </w:r>
      <w:r>
        <w:tab/>
        <w:t xml:space="preserve"> http://www.fcd us.org/</w:t>
      </w:r>
      <w:proofErr w:type="spellStart"/>
      <w:r>
        <w:t>usr_doc</w:t>
      </w:r>
      <w:proofErr w:type="spellEnd"/>
      <w:r>
        <w:t>/MythsOfTeachingELLsEspinosa.pdf</w:t>
      </w:r>
    </w:p>
    <w:p w14:paraId="7E879F35" w14:textId="4B122296" w:rsidR="000E3943" w:rsidRDefault="000E3943" w:rsidP="000E3943">
      <w:pPr>
        <w:pStyle w:val="Body"/>
      </w:pPr>
      <w:r>
        <w:t xml:space="preserve">  Flavell, J. H. (1979). Metacognition and cognitive monitoring: A new area of </w:t>
      </w:r>
      <w:r>
        <w:tab/>
      </w:r>
      <w:r>
        <w:tab/>
        <w:t xml:space="preserve">cognitive–developmental inquiry. American Psychologist, 34(10), </w:t>
      </w:r>
      <w:r>
        <w:tab/>
      </w:r>
      <w:r>
        <w:tab/>
      </w:r>
      <w:r>
        <w:tab/>
        <w:t>906–911.</w:t>
      </w:r>
    </w:p>
    <w:p w14:paraId="27FFB703" w14:textId="5B1FD649" w:rsidR="000E3943" w:rsidRDefault="000E3943" w:rsidP="000E3943">
      <w:pPr>
        <w:pStyle w:val="Body"/>
      </w:pPr>
      <w:r>
        <w:t xml:space="preserve">  </w:t>
      </w:r>
      <w:proofErr w:type="gramStart"/>
      <w:r>
        <w:t>Gamez,  P.</w:t>
      </w:r>
      <w:proofErr w:type="gramEnd"/>
      <w:r>
        <w:t xml:space="preserve">  B.  (2015).  Classroom-</w:t>
      </w:r>
      <w:proofErr w:type="gramStart"/>
      <w:r>
        <w:t>based  English</w:t>
      </w:r>
      <w:proofErr w:type="gramEnd"/>
      <w:r>
        <w:t xml:space="preserve">  </w:t>
      </w:r>
      <w:proofErr w:type="gramStart"/>
      <w:r>
        <w:t>exposure  and</w:t>
      </w:r>
      <w:proofErr w:type="gramEnd"/>
      <w:r>
        <w:t xml:space="preserve">  </w:t>
      </w:r>
      <w:proofErr w:type="gramStart"/>
      <w:r>
        <w:t xml:space="preserve">English  </w:t>
      </w:r>
      <w:r>
        <w:tab/>
      </w:r>
      <w:proofErr w:type="gramEnd"/>
      <w:r>
        <w:tab/>
      </w:r>
      <w:proofErr w:type="gramStart"/>
      <w:r>
        <w:t>language  learners</w:t>
      </w:r>
      <w:proofErr w:type="gramEnd"/>
      <w:r>
        <w:t xml:space="preserve">' expressive language skills. Early Childhood </w:t>
      </w:r>
      <w:r>
        <w:tab/>
      </w:r>
      <w:r>
        <w:tab/>
      </w:r>
      <w:r>
        <w:tab/>
        <w:t xml:space="preserve">Research Quarterly. 31(2), 135-146. DOI: </w:t>
      </w:r>
      <w:r>
        <w:tab/>
      </w:r>
      <w:r>
        <w:tab/>
      </w:r>
      <w:r>
        <w:tab/>
      </w:r>
      <w:r>
        <w:tab/>
      </w:r>
      <w:r>
        <w:tab/>
      </w:r>
      <w:r>
        <w:tab/>
        <w:t xml:space="preserve">10.1016/j.ecresq.2015.01.007 </w:t>
      </w:r>
    </w:p>
    <w:p w14:paraId="181CA77D" w14:textId="77777777" w:rsidR="000E3943" w:rsidRDefault="000E3943" w:rsidP="000E3943">
      <w:pPr>
        <w:pStyle w:val="Body"/>
      </w:pPr>
      <w:r>
        <w:t xml:space="preserve">  Gee, J. P. (2020). How to Do Discourse Analysis: A Toolkit for Teachers. </w:t>
      </w:r>
      <w:r>
        <w:tab/>
      </w:r>
      <w:r>
        <w:tab/>
        <w:t>Routledge.</w:t>
      </w:r>
    </w:p>
    <w:p w14:paraId="1E521F22" w14:textId="77777777" w:rsidR="000E3943" w:rsidRDefault="000E3943" w:rsidP="000E3943">
      <w:pPr>
        <w:pStyle w:val="Body"/>
      </w:pPr>
    </w:p>
    <w:p w14:paraId="4F812215" w14:textId="19B1BB85" w:rsidR="000E3943" w:rsidRDefault="000E3943" w:rsidP="000E3943">
      <w:pPr>
        <w:pStyle w:val="Body"/>
      </w:pPr>
      <w:r>
        <w:t xml:space="preserve">  </w:t>
      </w:r>
      <w:proofErr w:type="gramStart"/>
      <w:r>
        <w:t>Gilakjani,  A.</w:t>
      </w:r>
      <w:proofErr w:type="gramEnd"/>
      <w:r>
        <w:t xml:space="preserve">  P., &amp;Sabouri, N.  B.  (2016). Learners’ </w:t>
      </w:r>
      <w:proofErr w:type="gramStart"/>
      <w:r>
        <w:t>Listening  Comprehension</w:t>
      </w:r>
      <w:proofErr w:type="gramEnd"/>
      <w:r>
        <w:t xml:space="preserve"> </w:t>
      </w:r>
      <w:r>
        <w:tab/>
        <w:t xml:space="preserve">Difficulties </w:t>
      </w:r>
      <w:r w:rsidR="00366730">
        <w:tab/>
      </w:r>
      <w:proofErr w:type="gramStart"/>
      <w:r>
        <w:t>in  English</w:t>
      </w:r>
      <w:proofErr w:type="gramEnd"/>
      <w:r>
        <w:t xml:space="preserve">  Language Learning: A Literature Review. English Language Teaching, </w:t>
      </w:r>
      <w:r w:rsidR="00366730">
        <w:tab/>
      </w:r>
      <w:r>
        <w:t>9(6), 123</w:t>
      </w:r>
    </w:p>
    <w:p w14:paraId="72F80339" w14:textId="6651A9A8" w:rsidR="000E3943" w:rsidRDefault="000E3943" w:rsidP="000E3943">
      <w:pPr>
        <w:pStyle w:val="Body"/>
      </w:pPr>
      <w:r>
        <w:t xml:space="preserve">  Gilo, T., Mohammed, N., 2024. An investigation into health science students’ </w:t>
      </w:r>
      <w:r>
        <w:tab/>
      </w:r>
      <w:r>
        <w:tab/>
        <w:t>English language needs. Journal of Second and Multiple Language</w:t>
      </w:r>
      <w:r>
        <w:tab/>
        <w:t xml:space="preserve"> </w:t>
      </w:r>
      <w:r>
        <w:tab/>
      </w:r>
      <w:r>
        <w:tab/>
        <w:t xml:space="preserve">Acquisition-JSMULA. 12(1), 514–538. DOI: </w:t>
      </w:r>
      <w:r>
        <w:tab/>
      </w:r>
      <w:r>
        <w:tab/>
      </w:r>
      <w:r>
        <w:tab/>
      </w:r>
      <w:r>
        <w:tab/>
      </w:r>
      <w:r>
        <w:tab/>
      </w:r>
      <w:r>
        <w:tab/>
        <w:t>https://doi.org/10.5281/zenodo.11208045</w:t>
      </w:r>
    </w:p>
    <w:p w14:paraId="41A0EBAF" w14:textId="2BFE52C0" w:rsidR="000E3943" w:rsidRDefault="000E3943" w:rsidP="000E3943">
      <w:pPr>
        <w:pStyle w:val="Body"/>
      </w:pPr>
      <w:r>
        <w:t xml:space="preserve">  </w:t>
      </w:r>
      <w:proofErr w:type="spellStart"/>
      <w:r>
        <w:t>Gumperz</w:t>
      </w:r>
      <w:proofErr w:type="spellEnd"/>
      <w:r>
        <w:t xml:space="preserve">, J. J., &amp; Hymes, D. (2022). Directions in Sociolinguistics: The </w:t>
      </w:r>
      <w:r>
        <w:tab/>
      </w:r>
      <w:r>
        <w:tab/>
      </w:r>
      <w:r>
        <w:tab/>
        <w:t>Ethnography of Communication. Wiley-Blackwell.</w:t>
      </w:r>
    </w:p>
    <w:p w14:paraId="6DB90C88" w14:textId="16305A40" w:rsidR="000E3943" w:rsidRDefault="000E3943" w:rsidP="000E3943">
      <w:pPr>
        <w:pStyle w:val="Body"/>
      </w:pPr>
      <w:r>
        <w:t xml:space="preserve">  Hamouda, A. (2013). An investigation of listening comprehension problems </w:t>
      </w:r>
      <w:r>
        <w:tab/>
      </w:r>
      <w:r>
        <w:tab/>
        <w:t xml:space="preserve">encountered by Saudi students in </w:t>
      </w:r>
      <w:proofErr w:type="gramStart"/>
      <w:r>
        <w:t>the  EL</w:t>
      </w:r>
      <w:proofErr w:type="gramEnd"/>
      <w:r>
        <w:t xml:space="preserve"> </w:t>
      </w:r>
      <w:proofErr w:type="gramStart"/>
      <w:r>
        <w:t>listening  classroom</w:t>
      </w:r>
      <w:proofErr w:type="gramEnd"/>
      <w:r>
        <w:t xml:space="preserve">. </w:t>
      </w:r>
      <w:r>
        <w:tab/>
      </w:r>
      <w:r>
        <w:tab/>
      </w:r>
      <w:r>
        <w:tab/>
      </w:r>
      <w:proofErr w:type="gramStart"/>
      <w:r>
        <w:t>International  Journal</w:t>
      </w:r>
      <w:proofErr w:type="gramEnd"/>
      <w:r>
        <w:t xml:space="preserve">  of </w:t>
      </w:r>
      <w:proofErr w:type="gramStart"/>
      <w:r>
        <w:t>Academic  Research</w:t>
      </w:r>
      <w:proofErr w:type="gramEnd"/>
      <w:r>
        <w:t xml:space="preserve">  in </w:t>
      </w:r>
      <w:proofErr w:type="gramStart"/>
      <w:r>
        <w:t xml:space="preserve">Progressive  </w:t>
      </w:r>
      <w:r>
        <w:tab/>
      </w:r>
      <w:proofErr w:type="gramEnd"/>
      <w:r>
        <w:tab/>
      </w:r>
      <w:r>
        <w:tab/>
      </w:r>
      <w:proofErr w:type="gramStart"/>
      <w:r>
        <w:t>Education  and</w:t>
      </w:r>
      <w:proofErr w:type="gramEnd"/>
      <w:r>
        <w:t xml:space="preserve"> Development,2(2), 113-155.</w:t>
      </w:r>
    </w:p>
    <w:p w14:paraId="224F8151" w14:textId="7A98A1E9" w:rsidR="000E3943" w:rsidRDefault="000E3943" w:rsidP="000E3943">
      <w:pPr>
        <w:pStyle w:val="Body"/>
      </w:pPr>
      <w:r>
        <w:t xml:space="preserve">   Hassan, S., &amp; Kaan, E. (2021). The Role of Immersive Language Exposure in </w:t>
      </w:r>
      <w:r>
        <w:tab/>
      </w:r>
      <w:r>
        <w:tab/>
        <w:t>Second Language Acquisition. Multilingual Matters.</w:t>
      </w:r>
    </w:p>
    <w:p w14:paraId="05B66A2E" w14:textId="0BB43E5A" w:rsidR="000E3943" w:rsidRDefault="000E3943" w:rsidP="000E3943">
      <w:pPr>
        <w:pStyle w:val="Body"/>
      </w:pPr>
      <w:r>
        <w:t xml:space="preserve">   Hart, B., &amp; Risley, T. R. (1995). Meaningful differences in the everyday </w:t>
      </w:r>
      <w:r>
        <w:tab/>
        <w:t xml:space="preserve">experience of </w:t>
      </w:r>
      <w:r w:rsidR="00366730">
        <w:tab/>
      </w:r>
      <w:r>
        <w:t>young American children. Paul H Brookes Publishing. pp. 30-</w:t>
      </w:r>
      <w:r>
        <w:tab/>
        <w:t>35.</w:t>
      </w:r>
    </w:p>
    <w:p w14:paraId="42140DC0" w14:textId="77777777" w:rsidR="000E3943" w:rsidRDefault="000E3943" w:rsidP="000E3943">
      <w:pPr>
        <w:pStyle w:val="Body"/>
      </w:pPr>
      <w:r>
        <w:t xml:space="preserve">   Hazem, A. H., &amp; Kanaan, M. H. (2020). Domain adverbs in legal English texts: </w:t>
      </w:r>
      <w:r>
        <w:tab/>
      </w:r>
      <w:r>
        <w:tab/>
        <w:t>Problems and strategies. IUP Journal of English Studies, 15(4), 130-</w:t>
      </w:r>
      <w:r>
        <w:tab/>
      </w:r>
      <w:r>
        <w:tab/>
        <w:t>141.</w:t>
      </w:r>
    </w:p>
    <w:p w14:paraId="0719E2B7" w14:textId="43B3908E" w:rsidR="000E3943" w:rsidRDefault="000E3943" w:rsidP="000E3943">
      <w:pPr>
        <w:pStyle w:val="Body"/>
      </w:pPr>
      <w:r>
        <w:t xml:space="preserve">   </w:t>
      </w:r>
      <w:proofErr w:type="spellStart"/>
      <w:r>
        <w:t>Isnaini</w:t>
      </w:r>
      <w:proofErr w:type="spellEnd"/>
      <w:r>
        <w:t xml:space="preserve">, S., &amp; </w:t>
      </w:r>
      <w:proofErr w:type="spellStart"/>
      <w:r>
        <w:t>Aminatun</w:t>
      </w:r>
      <w:proofErr w:type="spellEnd"/>
      <w:r>
        <w:t xml:space="preserve">, D.  (2021). </w:t>
      </w:r>
      <w:proofErr w:type="gramStart"/>
      <w:r>
        <w:t>Do  you</w:t>
      </w:r>
      <w:proofErr w:type="gramEnd"/>
      <w:r>
        <w:t xml:space="preserve">  </w:t>
      </w:r>
      <w:proofErr w:type="gramStart"/>
      <w:r>
        <w:t>like  listening</w:t>
      </w:r>
      <w:proofErr w:type="gramEnd"/>
      <w:r>
        <w:t xml:space="preserve"> to </w:t>
      </w:r>
      <w:proofErr w:type="gramStart"/>
      <w:r>
        <w:t>music?:</w:t>
      </w:r>
      <w:proofErr w:type="gramEnd"/>
      <w:r>
        <w:t xml:space="preserve">  Students’ </w:t>
      </w:r>
      <w:r>
        <w:tab/>
      </w:r>
      <w:proofErr w:type="spellStart"/>
      <w:r>
        <w:t>hought</w:t>
      </w:r>
      <w:proofErr w:type="spellEnd"/>
      <w:r>
        <w:t xml:space="preserve"> on their vocabulary mastery using English songs. Journal of </w:t>
      </w:r>
      <w:r>
        <w:tab/>
      </w:r>
      <w:r>
        <w:tab/>
        <w:t xml:space="preserve">English </w:t>
      </w:r>
      <w:proofErr w:type="gramStart"/>
      <w:r>
        <w:t>Language  Teaching</w:t>
      </w:r>
      <w:proofErr w:type="gramEnd"/>
      <w:r>
        <w:t xml:space="preserve">  </w:t>
      </w:r>
      <w:proofErr w:type="gramStart"/>
      <w:r>
        <w:t>and  Learning,  2</w:t>
      </w:r>
      <w:proofErr w:type="gramEnd"/>
      <w:r>
        <w:t>(2</w:t>
      </w:r>
      <w:proofErr w:type="gramStart"/>
      <w:r>
        <w:t>),  62</w:t>
      </w:r>
      <w:proofErr w:type="gramEnd"/>
      <w:r>
        <w:t xml:space="preserve">–67. </w:t>
      </w:r>
      <w:r>
        <w:tab/>
      </w:r>
      <w:r>
        <w:tab/>
      </w:r>
      <w:r>
        <w:tab/>
      </w:r>
      <w:r>
        <w:tab/>
        <w:t>https://doi.org/10.33365/jeltl.v2i2.901</w:t>
      </w:r>
    </w:p>
    <w:p w14:paraId="071B3CE2" w14:textId="474E51AF" w:rsidR="000E3943" w:rsidRDefault="000E3943" w:rsidP="000E3943">
      <w:pPr>
        <w:pStyle w:val="Body"/>
      </w:pPr>
      <w:r>
        <w:t xml:space="preserve">   Ismail, I., &amp; Dedi, D. (2021). Grammar Learning Strategies Practice: An</w:t>
      </w:r>
      <w:r>
        <w:tab/>
      </w:r>
      <w:r>
        <w:tab/>
      </w:r>
      <w:r>
        <w:tab/>
        <w:t xml:space="preserve">Investigation of </w:t>
      </w:r>
      <w:r>
        <w:tab/>
        <w:t>Strategies-Based Instruction Effect on</w:t>
      </w:r>
      <w:r>
        <w:tab/>
      </w:r>
      <w:r>
        <w:tab/>
      </w:r>
      <w:r>
        <w:tab/>
      </w:r>
      <w:r>
        <w:tab/>
        <w:t>Grammatical</w:t>
      </w:r>
      <w:r>
        <w:tab/>
      </w:r>
      <w:r>
        <w:tab/>
        <w:t xml:space="preserve"> Competence. ELS Journal</w:t>
      </w:r>
      <w:r>
        <w:tab/>
      </w:r>
      <w:r>
        <w:tab/>
        <w:t xml:space="preserve">on </w:t>
      </w:r>
      <w:r>
        <w:tab/>
      </w:r>
      <w:r>
        <w:tab/>
      </w:r>
      <w:r>
        <w:tab/>
      </w:r>
      <w:proofErr w:type="gramStart"/>
      <w:r>
        <w:t>Interdisciplinary  Studies</w:t>
      </w:r>
      <w:proofErr w:type="gramEnd"/>
      <w:r>
        <w:t xml:space="preserve"> in</w:t>
      </w:r>
      <w:r>
        <w:tab/>
        <w:t xml:space="preserve">Humanities, 4(3), 260-265. </w:t>
      </w:r>
      <w:r>
        <w:tab/>
      </w:r>
      <w:r>
        <w:tab/>
      </w:r>
      <w:r>
        <w:tab/>
        <w:t>DOI:</w:t>
      </w:r>
    </w:p>
    <w:p w14:paraId="578410F9" w14:textId="2CB27F91" w:rsidR="000E3943" w:rsidRDefault="000E3943" w:rsidP="000E3943">
      <w:pPr>
        <w:pStyle w:val="Body"/>
      </w:pPr>
      <w:r>
        <w:t xml:space="preserve">   </w:t>
      </w:r>
      <w:proofErr w:type="spellStart"/>
      <w:r>
        <w:t>Kehing</w:t>
      </w:r>
      <w:proofErr w:type="spellEnd"/>
      <w:r>
        <w:t xml:space="preserve">, K. L., &amp; Yunus, M. M. (2021). Systematic Review on Language </w:t>
      </w:r>
      <w:r>
        <w:tab/>
      </w:r>
      <w:r>
        <w:tab/>
      </w:r>
      <w:r>
        <w:tab/>
        <w:t xml:space="preserve">Learning Strategies for Speaking Skills in a New Learning </w:t>
      </w:r>
      <w:r>
        <w:tab/>
      </w:r>
      <w:r>
        <w:tab/>
      </w:r>
      <w:r>
        <w:tab/>
      </w:r>
      <w:r>
        <w:tab/>
      </w:r>
      <w:proofErr w:type="spellStart"/>
      <w:r>
        <w:t>Environment.European</w:t>
      </w:r>
      <w:proofErr w:type="spellEnd"/>
      <w:r>
        <w:t xml:space="preserve"> Journal of Educational Research, 10(2), </w:t>
      </w:r>
      <w:r>
        <w:tab/>
      </w:r>
      <w:r>
        <w:tab/>
      </w:r>
      <w:r>
        <w:tab/>
        <w:t>643–652.https://doi.org/10.12973/eu-jer.10.2.643</w:t>
      </w:r>
    </w:p>
    <w:p w14:paraId="008BFD4C" w14:textId="77777777" w:rsidR="000E3943" w:rsidRDefault="000E3943" w:rsidP="000E3943">
      <w:pPr>
        <w:pStyle w:val="Body"/>
      </w:pPr>
      <w:r>
        <w:t xml:space="preserve">   Lillis, T., &amp; Scott, M. (2021). Academic Writing and Communities of Practice. </w:t>
      </w:r>
      <w:r>
        <w:tab/>
        <w:t>Routledge.</w:t>
      </w:r>
    </w:p>
    <w:p w14:paraId="113ABA2D" w14:textId="1576B651" w:rsidR="000E3943" w:rsidRDefault="000E3943" w:rsidP="000E3943">
      <w:pPr>
        <w:pStyle w:val="Body"/>
      </w:pPr>
      <w:r>
        <w:t xml:space="preserve">   </w:t>
      </w:r>
      <w:proofErr w:type="spellStart"/>
      <w:r>
        <w:t>Lutviana</w:t>
      </w:r>
      <w:proofErr w:type="spellEnd"/>
      <w:r>
        <w:t xml:space="preserve">, V., 2020. A correlational study between students’ grammar mastery </w:t>
      </w:r>
      <w:r>
        <w:tab/>
        <w:t xml:space="preserve">and their </w:t>
      </w:r>
      <w:r w:rsidR="00366730">
        <w:tab/>
      </w:r>
      <w:r>
        <w:t>writing achievement. Available from: https://core.</w:t>
      </w:r>
      <w:r>
        <w:tab/>
      </w:r>
      <w:r>
        <w:tab/>
        <w:t xml:space="preserve"> </w:t>
      </w:r>
      <w:r>
        <w:tab/>
      </w:r>
      <w:r>
        <w:tab/>
        <w:t>ac.uk/download/pdf/335075531.pdf (cited 1 March 2024).</w:t>
      </w:r>
    </w:p>
    <w:p w14:paraId="150512B3" w14:textId="77777777" w:rsidR="000E3943" w:rsidRDefault="000E3943" w:rsidP="000E3943">
      <w:pPr>
        <w:pStyle w:val="Body"/>
      </w:pPr>
      <w:r>
        <w:t xml:space="preserve">   Ly, K. C. (2020) The Importance of Grammar in Language Teaching and </w:t>
      </w:r>
      <w:r>
        <w:tab/>
      </w:r>
      <w:r>
        <w:tab/>
        <w:t>Learning.</w:t>
      </w:r>
    </w:p>
    <w:p w14:paraId="7EAB1DA6" w14:textId="77777777" w:rsidR="000E3943" w:rsidRDefault="000E3943" w:rsidP="000E3943">
      <w:pPr>
        <w:pStyle w:val="Body"/>
      </w:pPr>
    </w:p>
    <w:p w14:paraId="03D85703" w14:textId="211BE85C" w:rsidR="000E3943" w:rsidRDefault="000E3943" w:rsidP="000E3943">
      <w:pPr>
        <w:pStyle w:val="Body"/>
      </w:pPr>
      <w:r>
        <w:t xml:space="preserve">   </w:t>
      </w:r>
      <w:proofErr w:type="spellStart"/>
      <w:proofErr w:type="gramStart"/>
      <w:r>
        <w:t>Magogwe</w:t>
      </w:r>
      <w:proofErr w:type="spellEnd"/>
      <w:r>
        <w:t xml:space="preserve">  </w:t>
      </w:r>
      <w:proofErr w:type="spellStart"/>
      <w:r>
        <w:t>j.M.</w:t>
      </w:r>
      <w:proofErr w:type="spellEnd"/>
      <w:r>
        <w:t>,  2013</w:t>
      </w:r>
      <w:proofErr w:type="gramEnd"/>
      <w:r>
        <w:t xml:space="preserve">).  </w:t>
      </w:r>
      <w:proofErr w:type="gramStart"/>
      <w:r>
        <w:t>Metacognitive  awareness</w:t>
      </w:r>
      <w:proofErr w:type="gramEnd"/>
      <w:r>
        <w:t xml:space="preserve">  </w:t>
      </w:r>
      <w:proofErr w:type="gramStart"/>
      <w:r>
        <w:t>of  reading</w:t>
      </w:r>
      <w:proofErr w:type="gramEnd"/>
      <w:r>
        <w:t xml:space="preserve">  </w:t>
      </w:r>
      <w:proofErr w:type="gramStart"/>
      <w:r>
        <w:t>strategies  of</w:t>
      </w:r>
      <w:proofErr w:type="gramEnd"/>
      <w:r>
        <w:t xml:space="preserve">  </w:t>
      </w:r>
      <w:r>
        <w:tab/>
      </w:r>
      <w:r>
        <w:tab/>
      </w:r>
      <w:proofErr w:type="gramStart"/>
      <w:r>
        <w:t>university  of</w:t>
      </w:r>
      <w:proofErr w:type="gramEnd"/>
      <w:r>
        <w:t xml:space="preserve">  </w:t>
      </w:r>
      <w:proofErr w:type="gramStart"/>
      <w:r>
        <w:t>Botswana  English</w:t>
      </w:r>
      <w:proofErr w:type="gramEnd"/>
      <w:r>
        <w:t xml:space="preserve">  as second language students of </w:t>
      </w:r>
      <w:r>
        <w:tab/>
      </w:r>
      <w:r>
        <w:tab/>
      </w:r>
      <w:r>
        <w:tab/>
        <w:t>different, reading proficiencies, Recoding &amp; writing 4(1),1-8.</w:t>
      </w:r>
    </w:p>
    <w:p w14:paraId="08A78939" w14:textId="55E23979" w:rsidR="000E3943" w:rsidRDefault="000E3943" w:rsidP="000E3943">
      <w:pPr>
        <w:pStyle w:val="Body"/>
      </w:pPr>
      <w:r>
        <w:t xml:space="preserve">  Magno et al. (2009). Assessing the level of English language exposure of </w:t>
      </w:r>
      <w:r>
        <w:tab/>
      </w:r>
      <w:r>
        <w:tab/>
        <w:t xml:space="preserve">Taiwanese college students in Taiwan and the Philippines. Asian </w:t>
      </w:r>
      <w:r>
        <w:tab/>
      </w:r>
      <w:r>
        <w:tab/>
      </w:r>
      <w:r>
        <w:tab/>
        <w:t xml:space="preserve">EFL Journal. 11(1), </w:t>
      </w:r>
      <w:r>
        <w:tab/>
        <w:t>63-75</w:t>
      </w:r>
    </w:p>
    <w:p w14:paraId="4AFF9BA2" w14:textId="4602861F" w:rsidR="000E3943" w:rsidRDefault="004B1C11" w:rsidP="000E3943">
      <w:pPr>
        <w:pStyle w:val="Body"/>
      </w:pPr>
      <w:r>
        <w:t xml:space="preserve"> </w:t>
      </w:r>
      <w:r w:rsidR="000E3943">
        <w:t xml:space="preserve">Mayer, R. E. (2001). Multimedia learning (pp. 44–45). Cambridge University </w:t>
      </w:r>
      <w:r w:rsidR="000E3943">
        <w:tab/>
      </w:r>
      <w:r w:rsidR="000E3943">
        <w:tab/>
        <w:t>Press</w:t>
      </w:r>
    </w:p>
    <w:p w14:paraId="3A9FE726" w14:textId="3A3BE8ED" w:rsidR="000E3943" w:rsidRDefault="004B1C11" w:rsidP="000E3943">
      <w:pPr>
        <w:pStyle w:val="Body"/>
      </w:pPr>
      <w:r>
        <w:t xml:space="preserve"> </w:t>
      </w:r>
      <w:proofErr w:type="spellStart"/>
      <w:r w:rsidR="000E3943">
        <w:t>Marulis</w:t>
      </w:r>
      <w:proofErr w:type="spellEnd"/>
      <w:r w:rsidR="000E3943">
        <w:t xml:space="preserve">, L. M., &amp; Nelson, L. J. (2021). Metacognitive processes and </w:t>
      </w:r>
      <w:r w:rsidR="000E3943">
        <w:tab/>
      </w:r>
      <w:r w:rsidR="000E3943">
        <w:tab/>
        <w:t xml:space="preserve">associations </w:t>
      </w:r>
      <w:r w:rsidR="000E3943">
        <w:tab/>
        <w:t xml:space="preserve">to executive function and motivation during a problem-solving </w:t>
      </w:r>
      <w:r w:rsidR="000E3943">
        <w:tab/>
        <w:t>task in 3–</w:t>
      </w:r>
      <w:proofErr w:type="gramStart"/>
      <w:r w:rsidR="000E3943">
        <w:t>5 year olds</w:t>
      </w:r>
      <w:proofErr w:type="gramEnd"/>
      <w:r w:rsidR="000E3943">
        <w:t>. Metacognition and Learning, 16(1), 207-23</w:t>
      </w:r>
    </w:p>
    <w:p w14:paraId="20F17A3A" w14:textId="138FC1DA" w:rsidR="000E3943" w:rsidRDefault="004B1C11" w:rsidP="000E3943">
      <w:pPr>
        <w:pStyle w:val="Body"/>
      </w:pPr>
      <w:r>
        <w:t xml:space="preserve"> </w:t>
      </w:r>
      <w:proofErr w:type="spellStart"/>
      <w:proofErr w:type="gramStart"/>
      <w:r w:rsidR="000E3943">
        <w:t>Masalimova</w:t>
      </w:r>
      <w:proofErr w:type="spellEnd"/>
      <w:r w:rsidR="000E3943">
        <w:t>,  A.</w:t>
      </w:r>
      <w:proofErr w:type="gramEnd"/>
      <w:r w:rsidR="000E3943">
        <w:t xml:space="preserve"> R.</w:t>
      </w:r>
      <w:proofErr w:type="gramStart"/>
      <w:r w:rsidR="000E3943">
        <w:t xml:space="preserve">,  </w:t>
      </w:r>
      <w:proofErr w:type="spellStart"/>
      <w:r w:rsidR="000E3943">
        <w:t>Porchesku</w:t>
      </w:r>
      <w:proofErr w:type="spellEnd"/>
      <w:r w:rsidR="000E3943">
        <w:t>,  G.</w:t>
      </w:r>
      <w:proofErr w:type="gramEnd"/>
      <w:r w:rsidR="000E3943">
        <w:t xml:space="preserve">  V., &amp;</w:t>
      </w:r>
      <w:proofErr w:type="spellStart"/>
      <w:proofErr w:type="gramStart"/>
      <w:r w:rsidR="000E3943">
        <w:t>Liakhnovitch</w:t>
      </w:r>
      <w:proofErr w:type="spellEnd"/>
      <w:r w:rsidR="000E3943">
        <w:t>,  T.</w:t>
      </w:r>
      <w:proofErr w:type="gramEnd"/>
      <w:r w:rsidR="000E3943">
        <w:t xml:space="preserve">  L.  (2016).  </w:t>
      </w:r>
      <w:proofErr w:type="gramStart"/>
      <w:r w:rsidR="000E3943">
        <w:t xml:space="preserve">Linguistic  </w:t>
      </w:r>
      <w:r w:rsidR="000E3943">
        <w:tab/>
        <w:t>foundation  of</w:t>
      </w:r>
      <w:proofErr w:type="gramEnd"/>
      <w:r w:rsidR="000E3943">
        <w:t xml:space="preserve"> </w:t>
      </w:r>
      <w:proofErr w:type="gramStart"/>
      <w:r w:rsidR="000E3943">
        <w:t>foreign  language</w:t>
      </w:r>
      <w:proofErr w:type="gramEnd"/>
      <w:r w:rsidR="000E3943">
        <w:t xml:space="preserve"> listening comprehension.</w:t>
      </w:r>
      <w:r w:rsidR="000E3943">
        <w:tab/>
      </w:r>
      <w:r w:rsidR="000E3943">
        <w:tab/>
      </w:r>
      <w:r w:rsidR="000E3943">
        <w:tab/>
      </w:r>
      <w:r w:rsidR="000E3943">
        <w:tab/>
        <w:t xml:space="preserve"> International Electronic Journal of Mathematics Education, 11(1), </w:t>
      </w:r>
      <w:r w:rsidR="000E3943">
        <w:tab/>
      </w:r>
      <w:r w:rsidR="000E3943">
        <w:tab/>
      </w:r>
      <w:r w:rsidR="000E3943">
        <w:tab/>
        <w:t>123-131.</w:t>
      </w:r>
    </w:p>
    <w:p w14:paraId="4A97BCF4" w14:textId="6CD9169E" w:rsidR="000E3943" w:rsidRDefault="000E3943" w:rsidP="000E3943">
      <w:pPr>
        <w:pStyle w:val="Body"/>
      </w:pPr>
      <w:proofErr w:type="gramStart"/>
      <w:r>
        <w:t>Merza,  H.N.M.,  2022</w:t>
      </w:r>
      <w:proofErr w:type="gramEnd"/>
      <w:r>
        <w:t xml:space="preserve">.  </w:t>
      </w:r>
      <w:proofErr w:type="gramStart"/>
      <w:r>
        <w:t>English  Grammar</w:t>
      </w:r>
      <w:proofErr w:type="gramEnd"/>
      <w:r>
        <w:t xml:space="preserve">  </w:t>
      </w:r>
      <w:proofErr w:type="gramStart"/>
      <w:r>
        <w:t>Competence  of</w:t>
      </w:r>
      <w:proofErr w:type="gramEnd"/>
      <w:r>
        <w:t xml:space="preserve">  </w:t>
      </w:r>
      <w:proofErr w:type="gramStart"/>
      <w:r>
        <w:t>Filipino  College</w:t>
      </w:r>
      <w:proofErr w:type="gramEnd"/>
      <w:r>
        <w:t xml:space="preserve">  </w:t>
      </w:r>
      <w:r>
        <w:tab/>
      </w:r>
      <w:r>
        <w:tab/>
        <w:t xml:space="preserve">Freshmen.  </w:t>
      </w:r>
      <w:proofErr w:type="gramStart"/>
      <w:r>
        <w:t>Journal  of</w:t>
      </w:r>
      <w:proofErr w:type="gramEnd"/>
      <w:r>
        <w:t xml:space="preserve">  </w:t>
      </w:r>
      <w:proofErr w:type="gramStart"/>
      <w:r>
        <w:t>Positive  School</w:t>
      </w:r>
      <w:proofErr w:type="gramEnd"/>
      <w:r>
        <w:t xml:space="preserve"> Psychology, pp.2949-</w:t>
      </w:r>
      <w:r>
        <w:tab/>
      </w:r>
      <w:r>
        <w:tab/>
      </w:r>
      <w:r>
        <w:tab/>
        <w:t xml:space="preserve">2958. </w:t>
      </w:r>
      <w:r>
        <w:tab/>
        <w:t>https://journalppw.com/index.php/jpsp/article/view/3766</w:t>
      </w:r>
    </w:p>
    <w:p w14:paraId="2B13F17F" w14:textId="577E6BC6" w:rsidR="000E3943" w:rsidRDefault="000E3943" w:rsidP="000E3943">
      <w:pPr>
        <w:pStyle w:val="Body"/>
      </w:pPr>
      <w:proofErr w:type="spellStart"/>
      <w:proofErr w:type="gramStart"/>
      <w:r>
        <w:t>Mesrabadi</w:t>
      </w:r>
      <w:proofErr w:type="spellEnd"/>
      <w:r>
        <w:t>,  J.</w:t>
      </w:r>
      <w:proofErr w:type="gramEnd"/>
      <w:r>
        <w:t xml:space="preserve">  </w:t>
      </w:r>
      <w:proofErr w:type="gramStart"/>
      <w:r>
        <w:t>&amp;  Erfani</w:t>
      </w:r>
      <w:proofErr w:type="gramEnd"/>
      <w:r>
        <w:t xml:space="preserve">  </w:t>
      </w:r>
      <w:proofErr w:type="gramStart"/>
      <w:r>
        <w:t>Adab,  E.</w:t>
      </w:r>
      <w:proofErr w:type="gramEnd"/>
      <w:r>
        <w:t xml:space="preserve">  (2014). Meta-</w:t>
      </w:r>
      <w:proofErr w:type="gramStart"/>
      <w:r>
        <w:t>Analysis  of</w:t>
      </w:r>
      <w:proofErr w:type="gramEnd"/>
      <w:r>
        <w:t xml:space="preserve">  </w:t>
      </w:r>
      <w:proofErr w:type="gramStart"/>
      <w:r>
        <w:t>the  relationship</w:t>
      </w:r>
      <w:proofErr w:type="gramEnd"/>
      <w:r>
        <w:tab/>
      </w:r>
      <w:r>
        <w:tab/>
      </w:r>
      <w:proofErr w:type="gramStart"/>
      <w:r>
        <w:t>between  learning</w:t>
      </w:r>
      <w:proofErr w:type="gramEnd"/>
      <w:r>
        <w:t xml:space="preserve">  </w:t>
      </w:r>
      <w:proofErr w:type="gramStart"/>
      <w:r>
        <w:t>strategies  and</w:t>
      </w:r>
      <w:proofErr w:type="gramEnd"/>
      <w:r>
        <w:t xml:space="preserve"> academic achievement. Biquarterly</w:t>
      </w:r>
      <w:r>
        <w:tab/>
      </w:r>
      <w:r>
        <w:tab/>
        <w:t>Journal of Cognitive Strategies in Learning, 1(2), 97-118.</w:t>
      </w:r>
    </w:p>
    <w:p w14:paraId="0B1B85FF" w14:textId="25110B7F" w:rsidR="000E3943" w:rsidRDefault="000E3943" w:rsidP="000E3943">
      <w:pPr>
        <w:pStyle w:val="Body"/>
      </w:pPr>
      <w:r>
        <w:t>Miller, C. (2022). Language, Literacy, and Learning in the Digital Age. Cambridge</w:t>
      </w:r>
      <w:r>
        <w:tab/>
      </w:r>
      <w:r>
        <w:tab/>
        <w:t>University Press.</w:t>
      </w:r>
      <w:r>
        <w:tab/>
      </w:r>
    </w:p>
    <w:p w14:paraId="515A8AB9" w14:textId="70B72762" w:rsidR="000E3943" w:rsidRDefault="000E3943" w:rsidP="000E3943">
      <w:pPr>
        <w:pStyle w:val="Body"/>
      </w:pPr>
      <w:proofErr w:type="gramStart"/>
      <w:r>
        <w:t>Molnar,  M.</w:t>
      </w:r>
      <w:proofErr w:type="gramEnd"/>
      <w:r>
        <w:t xml:space="preserve">  (2013).  </w:t>
      </w:r>
      <w:proofErr w:type="gramStart"/>
      <w:r>
        <w:t>English  proficiency</w:t>
      </w:r>
      <w:proofErr w:type="gramEnd"/>
      <w:r>
        <w:t xml:space="preserve">  </w:t>
      </w:r>
      <w:proofErr w:type="gramStart"/>
      <w:r>
        <w:t>and  English</w:t>
      </w:r>
      <w:proofErr w:type="gramEnd"/>
      <w:r>
        <w:t xml:space="preserve">  exposure.  </w:t>
      </w:r>
      <w:proofErr w:type="spellStart"/>
      <w:proofErr w:type="gramStart"/>
      <w:r>
        <w:t>Skemman</w:t>
      </w:r>
      <w:proofErr w:type="spellEnd"/>
      <w:r>
        <w:t xml:space="preserve">,  </w:t>
      </w:r>
      <w:r>
        <w:tab/>
      </w:r>
      <w:proofErr w:type="gramEnd"/>
      <w:r>
        <w:tab/>
      </w:r>
      <w:proofErr w:type="gramStart"/>
      <w:r>
        <w:t>1946,  13802</w:t>
      </w:r>
      <w:proofErr w:type="gramEnd"/>
      <w:r>
        <w:t>. (University of Iceland</w:t>
      </w:r>
    </w:p>
    <w:p w14:paraId="2C5721E1" w14:textId="45AE96D2" w:rsidR="000E3943" w:rsidRDefault="000E3943" w:rsidP="000E3943">
      <w:pPr>
        <w:pStyle w:val="Body"/>
      </w:pPr>
      <w:r>
        <w:t xml:space="preserve"> Myers-</w:t>
      </w:r>
      <w:proofErr w:type="gramStart"/>
      <w:r>
        <w:t>Scotton,  C.</w:t>
      </w:r>
      <w:proofErr w:type="gramEnd"/>
      <w:r>
        <w:t xml:space="preserve"> (2006).  Multiple voices:  </w:t>
      </w:r>
      <w:proofErr w:type="gramStart"/>
      <w:r>
        <w:t>An  introduction</w:t>
      </w:r>
      <w:proofErr w:type="gramEnd"/>
      <w:r>
        <w:t xml:space="preserve">  </w:t>
      </w:r>
      <w:proofErr w:type="gramStart"/>
      <w:r>
        <w:t>to  bilingualism</w:t>
      </w:r>
      <w:proofErr w:type="gramEnd"/>
      <w:r>
        <w:t xml:space="preserve">.  </w:t>
      </w:r>
      <w:r>
        <w:tab/>
      </w:r>
      <w:r>
        <w:tab/>
        <w:t xml:space="preserve">USA:  </w:t>
      </w:r>
      <w:r>
        <w:tab/>
        <w:t>Wiley-Blackwell</w:t>
      </w:r>
    </w:p>
    <w:p w14:paraId="239F4060" w14:textId="6D0BDD33" w:rsidR="000E3943" w:rsidRDefault="000E3943" w:rsidP="000E3943">
      <w:pPr>
        <w:pStyle w:val="Body"/>
      </w:pPr>
      <w:r>
        <w:t xml:space="preserve"> </w:t>
      </w:r>
      <w:proofErr w:type="spellStart"/>
      <w:r>
        <w:t>Napil</w:t>
      </w:r>
      <w:proofErr w:type="spellEnd"/>
      <w:r>
        <w:t xml:space="preserve">, M &amp; San Jose, A (2020) Beliefs and Strategies in Filipino Language </w:t>
      </w:r>
      <w:r>
        <w:tab/>
      </w:r>
      <w:r>
        <w:tab/>
        <w:t xml:space="preserve">Learning and Academic Performance of Indigenous Students. </w:t>
      </w:r>
      <w:r>
        <w:tab/>
      </w:r>
      <w:r>
        <w:tab/>
      </w:r>
      <w:r>
        <w:tab/>
        <w:t xml:space="preserve">International Journal of Educational Policy Research and Review </w:t>
      </w:r>
      <w:r>
        <w:tab/>
      </w:r>
      <w:r>
        <w:tab/>
      </w:r>
      <w:r>
        <w:tab/>
        <w:t xml:space="preserve">Vol.7 (5), pp. 151-163 September, </w:t>
      </w:r>
      <w:r>
        <w:tab/>
        <w:t xml:space="preserve">2020 </w:t>
      </w:r>
      <w:r>
        <w:tab/>
      </w:r>
      <w:r>
        <w:tab/>
      </w:r>
      <w:r>
        <w:tab/>
      </w:r>
      <w:r>
        <w:tab/>
      </w:r>
      <w:r>
        <w:tab/>
      </w:r>
      <w:r>
        <w:tab/>
        <w:t xml:space="preserve">https://www.journalissues.org/IJEPRR/ </w:t>
      </w:r>
      <w:r>
        <w:tab/>
      </w:r>
      <w:r>
        <w:tab/>
      </w:r>
      <w:r>
        <w:tab/>
      </w:r>
      <w:r>
        <w:tab/>
      </w:r>
      <w:r>
        <w:tab/>
      </w:r>
      <w:r>
        <w:tab/>
      </w:r>
      <w:r>
        <w:tab/>
        <w:t>https://doi.org/10.15739/IJEPRR.20.017</w:t>
      </w:r>
      <w:r>
        <w:tab/>
      </w:r>
    </w:p>
    <w:p w14:paraId="473EA12C" w14:textId="1B7FDA0D" w:rsidR="000E3943" w:rsidRDefault="000E3943" w:rsidP="000E3943">
      <w:pPr>
        <w:pStyle w:val="Body"/>
      </w:pPr>
      <w:r>
        <w:t xml:space="preserve"> </w:t>
      </w:r>
      <w:proofErr w:type="spellStart"/>
      <w:r>
        <w:t>Pamuji</w:t>
      </w:r>
      <w:proofErr w:type="spellEnd"/>
      <w:r>
        <w:t>, A., 2020. The correlation between grammar mastery and writing ability</w:t>
      </w:r>
      <w:r>
        <w:tab/>
        <w:t xml:space="preserve">on </w:t>
      </w:r>
      <w:r w:rsidR="00366730">
        <w:tab/>
      </w:r>
      <w:r>
        <w:t xml:space="preserve">midwifery students of STIKES Pembina Palembang in 2019. </w:t>
      </w:r>
      <w:r>
        <w:tab/>
      </w:r>
      <w:r>
        <w:tab/>
      </w:r>
      <w:r>
        <w:tab/>
      </w:r>
      <w:r w:rsidR="00366730">
        <w:tab/>
      </w:r>
      <w:r>
        <w:t xml:space="preserve"> </w:t>
      </w:r>
      <w:proofErr w:type="spellStart"/>
      <w:r>
        <w:t>Didascein</w:t>
      </w:r>
      <w:proofErr w:type="spellEnd"/>
      <w:r>
        <w:t xml:space="preserve"> Journal of English Education. 1(1). DOI</w:t>
      </w:r>
      <w:r>
        <w:tab/>
      </w:r>
      <w:r>
        <w:tab/>
      </w:r>
      <w:r>
        <w:tab/>
      </w:r>
      <w:r>
        <w:tab/>
      </w:r>
      <w:r>
        <w:tab/>
        <w:t xml:space="preserve"> http://dx.doi.org/10.52333%2Fd.v1i1.588</w:t>
      </w:r>
    </w:p>
    <w:p w14:paraId="20ACDF16" w14:textId="6E52ED1C" w:rsidR="000E3943" w:rsidRDefault="000E3943" w:rsidP="000E3943">
      <w:pPr>
        <w:pStyle w:val="Body"/>
      </w:pPr>
      <w:r>
        <w:t xml:space="preserve"> Pawlak, M. (2012c). Investigating the use of grammar learning strategies in a </w:t>
      </w:r>
      <w:r>
        <w:tab/>
      </w:r>
      <w:r>
        <w:tab/>
        <w:t xml:space="preserve">communicative task: A </w:t>
      </w:r>
      <w:proofErr w:type="spellStart"/>
      <w:r>
        <w:t>microperspective</w:t>
      </w:r>
      <w:proofErr w:type="spellEnd"/>
      <w:r>
        <w:t xml:space="preserve"> [Paper presentation]. </w:t>
      </w:r>
      <w:r>
        <w:tab/>
      </w:r>
      <w:r>
        <w:tab/>
      </w:r>
      <w:r>
        <w:lastRenderedPageBreak/>
        <w:tab/>
        <w:t xml:space="preserve">Annual Conference of the American Association for Applied </w:t>
      </w:r>
      <w:r>
        <w:tab/>
      </w:r>
      <w:r>
        <w:tab/>
      </w:r>
      <w:r>
        <w:tab/>
      </w:r>
      <w:r>
        <w:tab/>
      </w:r>
      <w:proofErr w:type="spellStart"/>
      <w:proofErr w:type="gramStart"/>
      <w:r>
        <w:t>Linguistics,Boston</w:t>
      </w:r>
      <w:proofErr w:type="spellEnd"/>
      <w:proofErr w:type="gramEnd"/>
      <w:r>
        <w:t>, USA.</w:t>
      </w:r>
    </w:p>
    <w:p w14:paraId="78FE4913" w14:textId="444D1DA1" w:rsidR="000E3943" w:rsidRDefault="000E3943" w:rsidP="000E3943">
      <w:pPr>
        <w:pStyle w:val="Body"/>
      </w:pPr>
      <w:r>
        <w:t xml:space="preserve"> Piaget, J. (1952). The origins of intelligence in children (pp. 3–24). New York: </w:t>
      </w:r>
      <w:r>
        <w:tab/>
        <w:t xml:space="preserve">International Universities Press.    </w:t>
      </w:r>
    </w:p>
    <w:p w14:paraId="79A9A52D" w14:textId="638D5162" w:rsidR="000E3943" w:rsidRDefault="000E3943" w:rsidP="000E3943">
      <w:pPr>
        <w:pStyle w:val="Body"/>
      </w:pPr>
      <w:r>
        <w:t xml:space="preserve"> Reschly, A. L., &amp; Christenson, S. L. (2012). Jingle, jangle, and conceptual</w:t>
      </w:r>
      <w:r>
        <w:tab/>
      </w:r>
      <w:r>
        <w:tab/>
      </w:r>
      <w:r>
        <w:tab/>
        <w:t xml:space="preserve"> haziness: Evolution and future directions of the engagement </w:t>
      </w:r>
      <w:r>
        <w:tab/>
      </w:r>
      <w:r>
        <w:tab/>
      </w:r>
      <w:r>
        <w:tab/>
        <w:t xml:space="preserve">construct. In </w:t>
      </w:r>
      <w:proofErr w:type="gramStart"/>
      <w:r>
        <w:t>Handbook  of</w:t>
      </w:r>
      <w:proofErr w:type="gramEnd"/>
      <w:r>
        <w:t xml:space="preserve"> research on student engagement, (pp. </w:t>
      </w:r>
      <w:r>
        <w:tab/>
      </w:r>
      <w:r>
        <w:tab/>
      </w:r>
      <w:r>
        <w:tab/>
        <w:t xml:space="preserve">319). Springer.  </w:t>
      </w:r>
      <w:r>
        <w:tab/>
      </w:r>
      <w:r>
        <w:tab/>
      </w:r>
      <w:r>
        <w:tab/>
      </w:r>
      <w:r>
        <w:tab/>
      </w:r>
      <w:r>
        <w:tab/>
      </w:r>
      <w:r>
        <w:tab/>
      </w:r>
      <w:r>
        <w:tab/>
      </w:r>
    </w:p>
    <w:p w14:paraId="40181F73" w14:textId="433CB223" w:rsidR="000E3943" w:rsidRDefault="000E3943" w:rsidP="000E3943">
      <w:pPr>
        <w:pStyle w:val="Body"/>
      </w:pPr>
      <w:r>
        <w:t xml:space="preserve"> Reyes, L., et al. (2023). Cognitive strategies in improving text comprehension. </w:t>
      </w:r>
      <w:r>
        <w:tab/>
      </w:r>
      <w:r>
        <w:tab/>
        <w:t>Ty765International Journal of Reading Education, 47(2), 178-190</w:t>
      </w:r>
    </w:p>
    <w:p w14:paraId="787B53D1" w14:textId="70DE17F5" w:rsidR="000E3943" w:rsidRDefault="000E3943" w:rsidP="000E3943">
      <w:pPr>
        <w:pStyle w:val="Body"/>
      </w:pPr>
      <w:r>
        <w:t xml:space="preserve"> Rossiter, L. (2021). E-Gramatika: </w:t>
      </w:r>
      <w:proofErr w:type="spellStart"/>
      <w:r>
        <w:t>Elektronikong</w:t>
      </w:r>
      <w:proofErr w:type="spellEnd"/>
      <w:r>
        <w:t xml:space="preserve"> </w:t>
      </w:r>
      <w:proofErr w:type="spellStart"/>
      <w:r>
        <w:t>modyul</w:t>
      </w:r>
      <w:proofErr w:type="spellEnd"/>
      <w:r>
        <w:t xml:space="preserve"> </w:t>
      </w:r>
      <w:proofErr w:type="spellStart"/>
      <w:r>
        <w:t>sa</w:t>
      </w:r>
      <w:proofErr w:type="spellEnd"/>
      <w:r>
        <w:t xml:space="preserve"> </w:t>
      </w:r>
      <w:proofErr w:type="spellStart"/>
      <w:r>
        <w:t>pagtuturo</w:t>
      </w:r>
      <w:proofErr w:type="spellEnd"/>
      <w:r>
        <w:t xml:space="preserve"> ng </w:t>
      </w:r>
      <w:r>
        <w:tab/>
      </w:r>
      <w:proofErr w:type="spellStart"/>
      <w:r>
        <w:t>balarilan</w:t>
      </w:r>
      <w:proofErr w:type="spellEnd"/>
      <w:r>
        <w:tab/>
      </w:r>
      <w:proofErr w:type="spellStart"/>
      <w:r>
        <w:t>ResearchGate.https</w:t>
      </w:r>
      <w:proofErr w:type="spellEnd"/>
      <w:r>
        <w:t xml:space="preserve">://www.researchgate.net/publication/374024029 </w:t>
      </w:r>
      <w:r>
        <w:tab/>
        <w:t xml:space="preserve">Gramatika_Elektronikong_modyul_sa_pagtuturo_ng_balarilang_Filipino                              </w:t>
      </w:r>
    </w:p>
    <w:p w14:paraId="21614E14" w14:textId="6863BDBC" w:rsidR="000E3943" w:rsidRDefault="000E3943" w:rsidP="000E3943">
      <w:pPr>
        <w:pStyle w:val="Body"/>
      </w:pPr>
      <w:r>
        <w:t xml:space="preserve"> Salas, M. K. T., &amp; Legaspi, M. J. B. (2020). Language Learning Exposure and </w:t>
      </w:r>
      <w:r>
        <w:tab/>
        <w:t xml:space="preserve">Grammatical Proficiency of Intermediate Pupils. Philippine Social Science </w:t>
      </w:r>
      <w:r>
        <w:tab/>
        <w:t>Journal, 3(2), 73–74. https://doi.org/10.52006/main.v3i2.208</w:t>
      </w:r>
    </w:p>
    <w:p w14:paraId="430CEDAC" w14:textId="0CE9A0B3" w:rsidR="000E3943" w:rsidRDefault="000E3943" w:rsidP="000E3943">
      <w:pPr>
        <w:pStyle w:val="Body"/>
      </w:pPr>
      <w:r>
        <w:t xml:space="preserve">Salas, Marz Kimberly T., and Ma. Judy B. Legaspi. "Language Learning </w:t>
      </w:r>
      <w:r>
        <w:tab/>
        <w:t xml:space="preserve">Exposure and </w:t>
      </w:r>
      <w:r w:rsidR="00366730">
        <w:tab/>
      </w:r>
      <w:r>
        <w:t xml:space="preserve">Grammatical Proficiency of Intermediate Pupils." Philippine </w:t>
      </w:r>
      <w:r>
        <w:tab/>
      </w:r>
      <w:r>
        <w:tab/>
        <w:t xml:space="preserve">Social </w:t>
      </w:r>
      <w:r w:rsidR="00366730">
        <w:tab/>
      </w:r>
      <w:r>
        <w:t>Science Journal, vol. 3, no. 2, 2020, pp. 73–74.</w:t>
      </w:r>
      <w:r>
        <w:tab/>
      </w:r>
      <w:r>
        <w:tab/>
      </w:r>
      <w:r>
        <w:tab/>
      </w:r>
      <w:r>
        <w:tab/>
      </w:r>
      <w:r>
        <w:tab/>
      </w:r>
      <w:r w:rsidR="00366730">
        <w:tab/>
      </w:r>
      <w:r>
        <w:t xml:space="preserve"> https://doi.org/10.52006/main.v3i2.208</w:t>
      </w:r>
    </w:p>
    <w:p w14:paraId="36487F1A" w14:textId="729CF9DB" w:rsidR="000E3943" w:rsidRDefault="000E3943" w:rsidP="000E3943">
      <w:pPr>
        <w:pStyle w:val="Body"/>
      </w:pPr>
      <w:r>
        <w:t>Santos, A., et al. (2022). Metacognitive strategies and academic performance.</w:t>
      </w:r>
      <w:r>
        <w:tab/>
        <w:t>Educational Psychology International, 48(3), 211-227.</w:t>
      </w:r>
    </w:p>
    <w:p w14:paraId="516CA53E" w14:textId="6915EC37" w:rsidR="000E3943" w:rsidRDefault="000E3943" w:rsidP="000E3943">
      <w:pPr>
        <w:pStyle w:val="Body"/>
      </w:pPr>
      <w:r>
        <w:t xml:space="preserve">Scheele, M., Leseman, P., &amp; Mayo, A. (2010). The home language environment </w:t>
      </w:r>
      <w:r>
        <w:tab/>
      </w:r>
      <w:r>
        <w:tab/>
        <w:t xml:space="preserve">of </w:t>
      </w:r>
      <w:r w:rsidR="00366730">
        <w:tab/>
      </w:r>
      <w:r>
        <w:t xml:space="preserve">monolingual and bilingual children and their language proficiency. </w:t>
      </w:r>
      <w:r>
        <w:tab/>
        <w:t xml:space="preserve">Applied </w:t>
      </w:r>
      <w:r w:rsidR="00366730">
        <w:tab/>
      </w:r>
      <w:r>
        <w:t>Psycholinguistics</w:t>
      </w:r>
    </w:p>
    <w:p w14:paraId="7D87C0D4" w14:textId="398768E4" w:rsidR="000E3943" w:rsidRDefault="000E3943" w:rsidP="000E3943">
      <w:pPr>
        <w:pStyle w:val="Body"/>
      </w:pPr>
      <w:r>
        <w:t xml:space="preserve">Schunk, D. H., &amp; Mullen, C. A. (2012). Self-efficacy as an engaged learner. In </w:t>
      </w:r>
      <w:r>
        <w:tab/>
      </w:r>
      <w:r>
        <w:tab/>
        <w:t xml:space="preserve">Handbook of research on student engagement, (pp. 219–235). </w:t>
      </w:r>
      <w:r>
        <w:tab/>
      </w:r>
      <w:r>
        <w:tab/>
      </w:r>
      <w:r>
        <w:tab/>
        <w:t>Springer.</w:t>
      </w:r>
    </w:p>
    <w:p w14:paraId="2842C336" w14:textId="2DFEDB8A" w:rsidR="000E3943" w:rsidRDefault="000E3943" w:rsidP="000E3943">
      <w:pPr>
        <w:pStyle w:val="Body"/>
      </w:pPr>
      <w:proofErr w:type="spellStart"/>
      <w:r>
        <w:t>Shirav</w:t>
      </w:r>
      <w:proofErr w:type="spellEnd"/>
      <w:r>
        <w:t xml:space="preserve">, A., &amp; Nagai, E. (2022). The Effects of Deductive and Inductive </w:t>
      </w:r>
      <w:r>
        <w:tab/>
      </w:r>
      <w:r>
        <w:tab/>
      </w:r>
      <w:r>
        <w:tab/>
        <w:t xml:space="preserve">Grammar Instructions in Communicative Teaching. English </w:t>
      </w:r>
      <w:r>
        <w:tab/>
      </w:r>
      <w:r>
        <w:tab/>
      </w:r>
      <w:r>
        <w:tab/>
      </w:r>
      <w:r>
        <w:tab/>
        <w:t xml:space="preserve">Language Teaching, </w:t>
      </w:r>
      <w:r>
        <w:tab/>
        <w:t xml:space="preserve">15(6), </w:t>
      </w:r>
      <w:r>
        <w:tab/>
        <w:t>102. DOI:</w:t>
      </w:r>
    </w:p>
    <w:p w14:paraId="709465AA" w14:textId="648285CA" w:rsidR="000E3943" w:rsidRDefault="000E3943" w:rsidP="000E3943">
      <w:pPr>
        <w:pStyle w:val="Body"/>
      </w:pPr>
      <w:r>
        <w:t xml:space="preserve">Swain M. Output </w:t>
      </w:r>
      <w:proofErr w:type="spellStart"/>
      <w:r>
        <w:t>Hypothesis</w:t>
      </w:r>
      <w:r>
        <w:rPr>
          <w:rFonts w:ascii="MS Gothic" w:eastAsia="MS Gothic" w:hAnsi="MS Gothic" w:cs="MS Gothic" w:hint="eastAsia"/>
        </w:rPr>
        <w:t>：</w:t>
      </w:r>
      <w:r>
        <w:t>Its</w:t>
      </w:r>
      <w:proofErr w:type="spellEnd"/>
      <w:r>
        <w:t xml:space="preserve"> History and Its Future[J]. Foreign Language </w:t>
      </w:r>
      <w:r>
        <w:tab/>
        <w:t xml:space="preserve">Teaching </w:t>
      </w:r>
      <w:r w:rsidR="00366730">
        <w:tab/>
      </w:r>
      <w:r>
        <w:t>and Research. 2008, 40(1): 45-50</w:t>
      </w:r>
    </w:p>
    <w:p w14:paraId="7B92188F" w14:textId="54670954" w:rsidR="000E3943" w:rsidRDefault="000E3943" w:rsidP="000E3943">
      <w:pPr>
        <w:pStyle w:val="Body"/>
      </w:pPr>
      <w:r>
        <w:t xml:space="preserve">Tapang, B. (2018). Ang </w:t>
      </w:r>
      <w:proofErr w:type="spellStart"/>
      <w:r>
        <w:t>kahalagahan</w:t>
      </w:r>
      <w:proofErr w:type="spellEnd"/>
      <w:r>
        <w:t xml:space="preserve"> ng </w:t>
      </w:r>
      <w:proofErr w:type="spellStart"/>
      <w:r>
        <w:t>wika</w:t>
      </w:r>
      <w:proofErr w:type="spellEnd"/>
      <w:r>
        <w:t xml:space="preserve"> </w:t>
      </w:r>
      <w:proofErr w:type="spellStart"/>
      <w:r>
        <w:t>sa</w:t>
      </w:r>
      <w:proofErr w:type="spellEnd"/>
      <w:r>
        <w:t xml:space="preserve"> </w:t>
      </w:r>
      <w:proofErr w:type="spellStart"/>
      <w:r>
        <w:t>mabisang</w:t>
      </w:r>
      <w:proofErr w:type="spellEnd"/>
      <w:r>
        <w:t xml:space="preserve"> </w:t>
      </w:r>
      <w:proofErr w:type="spellStart"/>
      <w:r>
        <w:t>komunikasyon</w:t>
      </w:r>
      <w:proofErr w:type="spellEnd"/>
      <w:r>
        <w:t xml:space="preserve">. </w:t>
      </w:r>
      <w:r>
        <w:tab/>
      </w:r>
      <w:r>
        <w:tab/>
        <w:t>CliffsNotes. https://www.cliffsnotes.com/study-notes/17034640</w:t>
      </w:r>
    </w:p>
    <w:p w14:paraId="2EC511FF" w14:textId="587EA007" w:rsidR="000E3943" w:rsidRDefault="000E3943" w:rsidP="000E3943">
      <w:pPr>
        <w:pStyle w:val="Body"/>
      </w:pPr>
      <w:r>
        <w:t>Torres, S., et al. (2021). Cognitive strategies in reading comprehension: A study</w:t>
      </w:r>
      <w:r>
        <w:tab/>
      </w:r>
      <w:r>
        <w:tab/>
        <w:t xml:space="preserve"> of </w:t>
      </w:r>
      <w:r w:rsidR="00366730">
        <w:tab/>
      </w:r>
      <w:r>
        <w:t xml:space="preserve">secondary students. International Journal of Literacy Studies, </w:t>
      </w:r>
      <w:r>
        <w:tab/>
      </w:r>
      <w:r>
        <w:tab/>
      </w:r>
      <w:r>
        <w:tab/>
        <w:t>24(2), 158-171.</w:t>
      </w:r>
    </w:p>
    <w:p w14:paraId="7EE1E45E" w14:textId="77777777" w:rsidR="004B1C11" w:rsidRDefault="004B1C11" w:rsidP="004B1C11">
      <w:pPr>
        <w:pStyle w:val="Body"/>
      </w:pPr>
      <w:r>
        <w:lastRenderedPageBreak/>
        <w:t xml:space="preserve">Villaruz, J. M., &amp; </w:t>
      </w:r>
      <w:proofErr w:type="spellStart"/>
      <w:r>
        <w:t>Napil</w:t>
      </w:r>
      <w:proofErr w:type="spellEnd"/>
      <w:r>
        <w:t xml:space="preserve">, M. C. The Mediating Effects of Personality in the </w:t>
      </w:r>
      <w:r>
        <w:tab/>
        <w:t xml:space="preserve">Relationship </w:t>
      </w:r>
      <w:r>
        <w:tab/>
        <w:t xml:space="preserve">Between Reading Strategies and Students’ Motivation in the </w:t>
      </w:r>
      <w:r>
        <w:tab/>
        <w:t>Filipino Language.</w:t>
      </w:r>
    </w:p>
    <w:p w14:paraId="3B02E2EF" w14:textId="77777777" w:rsidR="004B1C11" w:rsidRDefault="004B1C11" w:rsidP="004B1C11">
      <w:pPr>
        <w:pStyle w:val="Body"/>
      </w:pPr>
      <w:r>
        <w:t>Vodopija-</w:t>
      </w:r>
      <w:proofErr w:type="gramStart"/>
      <w:r>
        <w:t>Krstanović,  I.,  &amp;</w:t>
      </w:r>
      <w:proofErr w:type="gramEnd"/>
      <w:r>
        <w:t xml:space="preserve">  </w:t>
      </w:r>
      <w:proofErr w:type="spellStart"/>
      <w:proofErr w:type="gramStart"/>
      <w:r>
        <w:t>Marinac</w:t>
      </w:r>
      <w:proofErr w:type="spellEnd"/>
      <w:r>
        <w:t>,  M.</w:t>
      </w:r>
      <w:proofErr w:type="gramEnd"/>
      <w:r>
        <w:t xml:space="preserve">  (2019). </w:t>
      </w:r>
      <w:proofErr w:type="gramStart"/>
      <w:r>
        <w:t>English  as</w:t>
      </w:r>
      <w:proofErr w:type="gramEnd"/>
      <w:r>
        <w:t xml:space="preserve"> </w:t>
      </w:r>
      <w:proofErr w:type="gramStart"/>
      <w:r>
        <w:t>an  international</w:t>
      </w:r>
      <w:proofErr w:type="gramEnd"/>
      <w:r>
        <w:t xml:space="preserve">  </w:t>
      </w:r>
      <w:r>
        <w:tab/>
      </w:r>
      <w:r>
        <w:tab/>
      </w:r>
      <w:proofErr w:type="gramStart"/>
      <w:r>
        <w:t>language  and</w:t>
      </w:r>
      <w:proofErr w:type="gramEnd"/>
      <w:r>
        <w:t xml:space="preserve"> English language teaching: The theory vs. practice</w:t>
      </w:r>
      <w:r>
        <w:tab/>
      </w:r>
      <w:r>
        <w:tab/>
      </w:r>
      <w:r>
        <w:tab/>
        <w:t>divide. Iranian Journal of Language Teaching Research, 7(2), 19–38</w:t>
      </w:r>
    </w:p>
    <w:p w14:paraId="1FF8223A" w14:textId="59993B1E" w:rsidR="004B1C11" w:rsidRDefault="004B1C11" w:rsidP="000E3943">
      <w:pPr>
        <w:pStyle w:val="Body"/>
      </w:pPr>
      <w:r>
        <w:t xml:space="preserve">Vygotsky, L. S. (1978). Mind in Society: The Development of Higher Psychological </w:t>
      </w:r>
      <w:r>
        <w:tab/>
        <w:t>Processes. Harvard University Press., 1-159</w:t>
      </w:r>
    </w:p>
    <w:p w14:paraId="7156FF99" w14:textId="71A3476D" w:rsidR="000E3943" w:rsidRDefault="000E3943" w:rsidP="000E3943">
      <w:pPr>
        <w:pStyle w:val="Body"/>
      </w:pPr>
      <w:proofErr w:type="spellStart"/>
      <w:r>
        <w:t>Yaccob</w:t>
      </w:r>
      <w:proofErr w:type="spellEnd"/>
      <w:r>
        <w:t xml:space="preserve">, N. S., &amp; Yunus, M. M. (2019). Language Games in Teaching and </w:t>
      </w:r>
      <w:r>
        <w:tab/>
      </w:r>
      <w:r>
        <w:tab/>
      </w:r>
      <w:r>
        <w:tab/>
        <w:t xml:space="preserve">Learning English Grammar: A Literature Review. Arab World English </w:t>
      </w:r>
      <w:r>
        <w:tab/>
      </w:r>
      <w:r>
        <w:tab/>
        <w:t>Journal (AWEJ), 10(1), 209-217.</w:t>
      </w:r>
    </w:p>
    <w:p w14:paraId="41372BF6" w14:textId="6A31CC9B" w:rsidR="000E3943" w:rsidRDefault="000E3943" w:rsidP="000E3943">
      <w:pPr>
        <w:pStyle w:val="Body"/>
      </w:pPr>
      <w:r>
        <w:t xml:space="preserve">Zhang, L. J., &amp; Wu, A. (2009). Chinese senior high school EFL students’ </w:t>
      </w:r>
      <w:r>
        <w:tab/>
      </w:r>
      <w:r>
        <w:tab/>
      </w:r>
      <w:r>
        <w:tab/>
        <w:t xml:space="preserve">metacognitive awareness and reading-strategy use. Reading in a </w:t>
      </w:r>
      <w:r>
        <w:tab/>
      </w:r>
      <w:r>
        <w:tab/>
      </w:r>
      <w:r>
        <w:tab/>
        <w:t>Foreign Language, 21(1), 37-59.</w:t>
      </w:r>
    </w:p>
    <w:p w14:paraId="61A5DDB1" w14:textId="281A9605" w:rsidR="000E3943" w:rsidRDefault="000E3943" w:rsidP="000E3943">
      <w:pPr>
        <w:pStyle w:val="Body"/>
      </w:pPr>
      <w:r>
        <w:t>Zhao, J., &amp; Li, X. (2022). Digital Platforms and Language Learning: A New</w:t>
      </w:r>
      <w:r>
        <w:tab/>
      </w:r>
      <w:r>
        <w:tab/>
      </w:r>
      <w:r>
        <w:tab/>
        <w:t xml:space="preserve"> Paradigm of Language Exposure. Routledge.</w:t>
      </w:r>
    </w:p>
    <w:p w14:paraId="3336B4D4" w14:textId="77777777" w:rsidR="000E3943" w:rsidRDefault="000E3943" w:rsidP="000E3943">
      <w:pPr>
        <w:pStyle w:val="Body"/>
      </w:pPr>
      <w:proofErr w:type="spellStart"/>
      <w:r>
        <w:t>Zoubi</w:t>
      </w:r>
      <w:proofErr w:type="spellEnd"/>
      <w:r>
        <w:t xml:space="preserve">, S.  A. (2018).  </w:t>
      </w:r>
      <w:proofErr w:type="gramStart"/>
      <w:r>
        <w:t>The  impact</w:t>
      </w:r>
      <w:proofErr w:type="gramEnd"/>
      <w:r>
        <w:t xml:space="preserve"> of exposure to English </w:t>
      </w:r>
      <w:proofErr w:type="gramStart"/>
      <w:r>
        <w:t>language  on</w:t>
      </w:r>
      <w:proofErr w:type="gramEnd"/>
      <w:r>
        <w:t xml:space="preserve">  language </w:t>
      </w:r>
      <w:r>
        <w:tab/>
      </w:r>
      <w:r>
        <w:tab/>
        <w:t xml:space="preserve">acquisition. Journal of Applied Linguistics and Language Research. </w:t>
      </w:r>
      <w:r>
        <w:tab/>
      </w:r>
      <w:r>
        <w:tab/>
        <w:t>5(4), 151-162.</w:t>
      </w:r>
    </w:p>
    <w:sectPr w:rsidR="000E3943" w:rsidSect="000A4F0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30C53" w14:textId="77777777" w:rsidR="0078299A" w:rsidRDefault="0078299A" w:rsidP="00C37E61">
      <w:r>
        <w:separator/>
      </w:r>
    </w:p>
  </w:endnote>
  <w:endnote w:type="continuationSeparator" w:id="0">
    <w:p w14:paraId="5425E8AC" w14:textId="77777777" w:rsidR="0078299A" w:rsidRDefault="0078299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2C74F" w14:textId="77777777" w:rsidR="000A4F0E" w:rsidRDefault="000A4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FC75" w14:textId="77777777" w:rsidR="000A4F0E" w:rsidRDefault="000A4F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83AE0" w14:textId="2283E833" w:rsidR="00754C9A" w:rsidRPr="000A4F0E" w:rsidRDefault="00754C9A" w:rsidP="000A4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A87D2" w14:textId="77777777" w:rsidR="0078299A" w:rsidRDefault="0078299A" w:rsidP="00C37E61">
      <w:r>
        <w:separator/>
      </w:r>
    </w:p>
  </w:footnote>
  <w:footnote w:type="continuationSeparator" w:id="0">
    <w:p w14:paraId="0DA8125B" w14:textId="77777777" w:rsidR="0078299A" w:rsidRDefault="0078299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3A56" w14:textId="50B5352A" w:rsidR="000A4F0E" w:rsidRDefault="00000000">
    <w:pPr>
      <w:pStyle w:val="Header"/>
    </w:pPr>
    <w:r>
      <w:rPr>
        <w:noProof/>
      </w:rPr>
      <w:pict w14:anchorId="63550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57626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49814" w14:textId="1A7F58F1" w:rsidR="000A4F0E" w:rsidRDefault="00000000">
    <w:pPr>
      <w:pStyle w:val="Header"/>
    </w:pPr>
    <w:r>
      <w:rPr>
        <w:noProof/>
      </w:rPr>
      <w:pict w14:anchorId="76F470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57626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F3F6" w14:textId="544590A3" w:rsidR="00296529" w:rsidRPr="00296529" w:rsidRDefault="00000000" w:rsidP="00296529">
    <w:pPr>
      <w:ind w:left="2160"/>
      <w:jc w:val="center"/>
      <w:rPr>
        <w:rFonts w:ascii="Times New Roman" w:eastAsia="Calibri" w:hAnsi="Times New Roman"/>
        <w:i/>
        <w:sz w:val="18"/>
        <w:szCs w:val="22"/>
      </w:rPr>
    </w:pPr>
    <w:r>
      <w:rPr>
        <w:noProof/>
      </w:rPr>
      <w:pict w14:anchorId="70DC73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57626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D56F5A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1B57A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FFF1DF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2CE38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A2142E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9106CB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D197395"/>
    <w:multiLevelType w:val="multilevel"/>
    <w:tmpl w:val="D3DE7D22"/>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1556414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1796026">
    <w:abstractNumId w:val="15"/>
  </w:num>
  <w:num w:numId="3" w16cid:durableId="1353842883">
    <w:abstractNumId w:val="24"/>
  </w:num>
  <w:num w:numId="4" w16cid:durableId="52922713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63117660">
    <w:abstractNumId w:val="7"/>
  </w:num>
  <w:num w:numId="6" w16cid:durableId="217596745">
    <w:abstractNumId w:val="6"/>
  </w:num>
  <w:num w:numId="7" w16cid:durableId="1411584840">
    <w:abstractNumId w:val="1"/>
  </w:num>
  <w:num w:numId="8" w16cid:durableId="1726172413">
    <w:abstractNumId w:val="12"/>
  </w:num>
  <w:num w:numId="9" w16cid:durableId="1794909847">
    <w:abstractNumId w:val="26"/>
  </w:num>
  <w:num w:numId="10" w16cid:durableId="1544293520">
    <w:abstractNumId w:val="2"/>
  </w:num>
  <w:num w:numId="11" w16cid:durableId="379285012">
    <w:abstractNumId w:val="19"/>
  </w:num>
  <w:num w:numId="12" w16cid:durableId="1982072413">
    <w:abstractNumId w:val="3"/>
  </w:num>
  <w:num w:numId="13" w16cid:durableId="1390425168">
    <w:abstractNumId w:val="18"/>
  </w:num>
  <w:num w:numId="14" w16cid:durableId="23991765">
    <w:abstractNumId w:val="8"/>
  </w:num>
  <w:num w:numId="15" w16cid:durableId="686295185">
    <w:abstractNumId w:val="22"/>
  </w:num>
  <w:num w:numId="16" w16cid:durableId="1394813926">
    <w:abstractNumId w:val="5"/>
  </w:num>
  <w:num w:numId="17" w16cid:durableId="1676566268">
    <w:abstractNumId w:val="23"/>
  </w:num>
  <w:num w:numId="18" w16cid:durableId="508444377">
    <w:abstractNumId w:val="14"/>
  </w:num>
  <w:num w:numId="19" w16cid:durableId="1000502055">
    <w:abstractNumId w:val="29"/>
  </w:num>
  <w:num w:numId="20" w16cid:durableId="154414830">
    <w:abstractNumId w:val="11"/>
  </w:num>
  <w:num w:numId="21" w16cid:durableId="1379357907">
    <w:abstractNumId w:val="9"/>
  </w:num>
  <w:num w:numId="22" w16cid:durableId="2106730475">
    <w:abstractNumId w:val="13"/>
  </w:num>
  <w:num w:numId="23" w16cid:durableId="970941003">
    <w:abstractNumId w:val="20"/>
  </w:num>
  <w:num w:numId="24" w16cid:durableId="1786122078">
    <w:abstractNumId w:val="27"/>
  </w:num>
  <w:num w:numId="25" w16cid:durableId="682053250">
    <w:abstractNumId w:val="4"/>
  </w:num>
  <w:num w:numId="26" w16cid:durableId="2137261615">
    <w:abstractNumId w:val="17"/>
  </w:num>
  <w:num w:numId="27" w16cid:durableId="1336037529">
    <w:abstractNumId w:val="21"/>
  </w:num>
  <w:num w:numId="28" w16cid:durableId="1679578330">
    <w:abstractNumId w:val="28"/>
  </w:num>
  <w:num w:numId="29" w16cid:durableId="2021152663">
    <w:abstractNumId w:val="25"/>
  </w:num>
  <w:num w:numId="30" w16cid:durableId="369114077">
    <w:abstractNumId w:val="10"/>
  </w:num>
  <w:num w:numId="31" w16cid:durableId="1766277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7D60"/>
    <w:rsid w:val="00030174"/>
    <w:rsid w:val="000442F5"/>
    <w:rsid w:val="0004579C"/>
    <w:rsid w:val="00045CC5"/>
    <w:rsid w:val="0005127F"/>
    <w:rsid w:val="00074FC6"/>
    <w:rsid w:val="000A47FA"/>
    <w:rsid w:val="000A4F0E"/>
    <w:rsid w:val="000A65D3"/>
    <w:rsid w:val="000B1E33"/>
    <w:rsid w:val="000B7E03"/>
    <w:rsid w:val="000D689F"/>
    <w:rsid w:val="000E3943"/>
    <w:rsid w:val="000E7B7B"/>
    <w:rsid w:val="000E7D62"/>
    <w:rsid w:val="00103357"/>
    <w:rsid w:val="0011124F"/>
    <w:rsid w:val="0012252C"/>
    <w:rsid w:val="00122B8D"/>
    <w:rsid w:val="00123C9F"/>
    <w:rsid w:val="00126190"/>
    <w:rsid w:val="00130F17"/>
    <w:rsid w:val="00131C9E"/>
    <w:rsid w:val="001320BF"/>
    <w:rsid w:val="00132DD5"/>
    <w:rsid w:val="00163BC4"/>
    <w:rsid w:val="00180720"/>
    <w:rsid w:val="00182F89"/>
    <w:rsid w:val="00191062"/>
    <w:rsid w:val="00192B72"/>
    <w:rsid w:val="001A29D8"/>
    <w:rsid w:val="001A5CAA"/>
    <w:rsid w:val="001B0427"/>
    <w:rsid w:val="001B76C4"/>
    <w:rsid w:val="001C48D8"/>
    <w:rsid w:val="001D3A51"/>
    <w:rsid w:val="001E10D2"/>
    <w:rsid w:val="001E25B4"/>
    <w:rsid w:val="001E44FE"/>
    <w:rsid w:val="00200595"/>
    <w:rsid w:val="00204835"/>
    <w:rsid w:val="00214C22"/>
    <w:rsid w:val="00231920"/>
    <w:rsid w:val="0023195C"/>
    <w:rsid w:val="0024282C"/>
    <w:rsid w:val="002460DC"/>
    <w:rsid w:val="00250985"/>
    <w:rsid w:val="00254401"/>
    <w:rsid w:val="002556F6"/>
    <w:rsid w:val="00283105"/>
    <w:rsid w:val="00284633"/>
    <w:rsid w:val="00284C4C"/>
    <w:rsid w:val="00287E68"/>
    <w:rsid w:val="00296529"/>
    <w:rsid w:val="002A2F19"/>
    <w:rsid w:val="002B27FB"/>
    <w:rsid w:val="002B685A"/>
    <w:rsid w:val="002C2DFA"/>
    <w:rsid w:val="002C3402"/>
    <w:rsid w:val="002C57D2"/>
    <w:rsid w:val="002E0D56"/>
    <w:rsid w:val="002E2700"/>
    <w:rsid w:val="003110A5"/>
    <w:rsid w:val="00315186"/>
    <w:rsid w:val="003167C3"/>
    <w:rsid w:val="003234F7"/>
    <w:rsid w:val="0033343E"/>
    <w:rsid w:val="003512C2"/>
    <w:rsid w:val="00366730"/>
    <w:rsid w:val="00371FB6"/>
    <w:rsid w:val="003763C1"/>
    <w:rsid w:val="00376BBE"/>
    <w:rsid w:val="00383518"/>
    <w:rsid w:val="00391776"/>
    <w:rsid w:val="0039224F"/>
    <w:rsid w:val="003A43A4"/>
    <w:rsid w:val="003A7E18"/>
    <w:rsid w:val="003B0267"/>
    <w:rsid w:val="003C4C86"/>
    <w:rsid w:val="003C6258"/>
    <w:rsid w:val="003E02BC"/>
    <w:rsid w:val="003E2904"/>
    <w:rsid w:val="003E3182"/>
    <w:rsid w:val="003F1232"/>
    <w:rsid w:val="003F6462"/>
    <w:rsid w:val="00401927"/>
    <w:rsid w:val="0041027F"/>
    <w:rsid w:val="00412475"/>
    <w:rsid w:val="004168AC"/>
    <w:rsid w:val="00423789"/>
    <w:rsid w:val="00425097"/>
    <w:rsid w:val="00440C2D"/>
    <w:rsid w:val="00440F43"/>
    <w:rsid w:val="00441B6F"/>
    <w:rsid w:val="00446221"/>
    <w:rsid w:val="00450E62"/>
    <w:rsid w:val="004539DB"/>
    <w:rsid w:val="00456153"/>
    <w:rsid w:val="00462E5A"/>
    <w:rsid w:val="00471A80"/>
    <w:rsid w:val="004B1C11"/>
    <w:rsid w:val="004D305E"/>
    <w:rsid w:val="004D4277"/>
    <w:rsid w:val="00502516"/>
    <w:rsid w:val="00505F06"/>
    <w:rsid w:val="00506828"/>
    <w:rsid w:val="0053056E"/>
    <w:rsid w:val="00543754"/>
    <w:rsid w:val="00554FDA"/>
    <w:rsid w:val="005806A4"/>
    <w:rsid w:val="005A6644"/>
    <w:rsid w:val="005C05BC"/>
    <w:rsid w:val="005C6AAC"/>
    <w:rsid w:val="005C784C"/>
    <w:rsid w:val="005D17F6"/>
    <w:rsid w:val="005E5539"/>
    <w:rsid w:val="005F718F"/>
    <w:rsid w:val="00602BF5"/>
    <w:rsid w:val="00612565"/>
    <w:rsid w:val="00617FDD"/>
    <w:rsid w:val="00633614"/>
    <w:rsid w:val="00633F68"/>
    <w:rsid w:val="00636EB2"/>
    <w:rsid w:val="0063741A"/>
    <w:rsid w:val="006375B8"/>
    <w:rsid w:val="00654E27"/>
    <w:rsid w:val="0066510A"/>
    <w:rsid w:val="00673F9F"/>
    <w:rsid w:val="00674C86"/>
    <w:rsid w:val="006772F5"/>
    <w:rsid w:val="00686953"/>
    <w:rsid w:val="00687DEA"/>
    <w:rsid w:val="00687E67"/>
    <w:rsid w:val="00691750"/>
    <w:rsid w:val="006967F7"/>
    <w:rsid w:val="006A250C"/>
    <w:rsid w:val="006B21D3"/>
    <w:rsid w:val="006B4ED4"/>
    <w:rsid w:val="006B57D0"/>
    <w:rsid w:val="006C4E02"/>
    <w:rsid w:val="006D30FF"/>
    <w:rsid w:val="006D6940"/>
    <w:rsid w:val="006D6E01"/>
    <w:rsid w:val="006E0840"/>
    <w:rsid w:val="006E1240"/>
    <w:rsid w:val="006F11EC"/>
    <w:rsid w:val="0070082C"/>
    <w:rsid w:val="00701493"/>
    <w:rsid w:val="0071129F"/>
    <w:rsid w:val="007369E6"/>
    <w:rsid w:val="007376D5"/>
    <w:rsid w:val="00746E59"/>
    <w:rsid w:val="00754C9A"/>
    <w:rsid w:val="00754DE2"/>
    <w:rsid w:val="0075599A"/>
    <w:rsid w:val="00760485"/>
    <w:rsid w:val="00761D52"/>
    <w:rsid w:val="0077749E"/>
    <w:rsid w:val="0078299A"/>
    <w:rsid w:val="00790ADA"/>
    <w:rsid w:val="00795F5B"/>
    <w:rsid w:val="007D2288"/>
    <w:rsid w:val="007E088F"/>
    <w:rsid w:val="007E5514"/>
    <w:rsid w:val="007F205B"/>
    <w:rsid w:val="007F3E8F"/>
    <w:rsid w:val="007F7B32"/>
    <w:rsid w:val="00804BC2"/>
    <w:rsid w:val="00813AFF"/>
    <w:rsid w:val="0081431A"/>
    <w:rsid w:val="008272D6"/>
    <w:rsid w:val="0083216F"/>
    <w:rsid w:val="00850243"/>
    <w:rsid w:val="00860000"/>
    <w:rsid w:val="00863BD3"/>
    <w:rsid w:val="008641ED"/>
    <w:rsid w:val="00866D66"/>
    <w:rsid w:val="008671C6"/>
    <w:rsid w:val="00875803"/>
    <w:rsid w:val="008877C1"/>
    <w:rsid w:val="008B451A"/>
    <w:rsid w:val="008B459E"/>
    <w:rsid w:val="008D08C6"/>
    <w:rsid w:val="008E13AE"/>
    <w:rsid w:val="008E1506"/>
    <w:rsid w:val="008E663C"/>
    <w:rsid w:val="008E710C"/>
    <w:rsid w:val="008F69D6"/>
    <w:rsid w:val="00902823"/>
    <w:rsid w:val="00915CA6"/>
    <w:rsid w:val="00917A8F"/>
    <w:rsid w:val="00927834"/>
    <w:rsid w:val="009366E4"/>
    <w:rsid w:val="009500A6"/>
    <w:rsid w:val="00957C18"/>
    <w:rsid w:val="009659BA"/>
    <w:rsid w:val="00983040"/>
    <w:rsid w:val="00984E8F"/>
    <w:rsid w:val="00992125"/>
    <w:rsid w:val="00992482"/>
    <w:rsid w:val="009B3FB9"/>
    <w:rsid w:val="009C2465"/>
    <w:rsid w:val="009C3BE6"/>
    <w:rsid w:val="009D35A0"/>
    <w:rsid w:val="009D5914"/>
    <w:rsid w:val="009D7EB7"/>
    <w:rsid w:val="009E048A"/>
    <w:rsid w:val="009E08E9"/>
    <w:rsid w:val="009E3DB9"/>
    <w:rsid w:val="009E6E35"/>
    <w:rsid w:val="009F0EDA"/>
    <w:rsid w:val="00A03B96"/>
    <w:rsid w:val="00A05B19"/>
    <w:rsid w:val="00A1134E"/>
    <w:rsid w:val="00A14259"/>
    <w:rsid w:val="00A16222"/>
    <w:rsid w:val="00A24E7E"/>
    <w:rsid w:val="00A258C3"/>
    <w:rsid w:val="00A347C0"/>
    <w:rsid w:val="00A36B25"/>
    <w:rsid w:val="00A51431"/>
    <w:rsid w:val="00A539AD"/>
    <w:rsid w:val="00A6296B"/>
    <w:rsid w:val="00A80270"/>
    <w:rsid w:val="00A86CA4"/>
    <w:rsid w:val="00A94063"/>
    <w:rsid w:val="00AA6219"/>
    <w:rsid w:val="00AA6BEA"/>
    <w:rsid w:val="00AA74E0"/>
    <w:rsid w:val="00AB703F"/>
    <w:rsid w:val="00AC6BB8"/>
    <w:rsid w:val="00AE008F"/>
    <w:rsid w:val="00AF4489"/>
    <w:rsid w:val="00B01FCD"/>
    <w:rsid w:val="00B16333"/>
    <w:rsid w:val="00B1776C"/>
    <w:rsid w:val="00B21988"/>
    <w:rsid w:val="00B43D5A"/>
    <w:rsid w:val="00B52583"/>
    <w:rsid w:val="00B52896"/>
    <w:rsid w:val="00B751D7"/>
    <w:rsid w:val="00B75924"/>
    <w:rsid w:val="00B75C75"/>
    <w:rsid w:val="00B8364C"/>
    <w:rsid w:val="00B83C11"/>
    <w:rsid w:val="00B879CD"/>
    <w:rsid w:val="00B95236"/>
    <w:rsid w:val="00B96BD9"/>
    <w:rsid w:val="00BA1B01"/>
    <w:rsid w:val="00BA2641"/>
    <w:rsid w:val="00BB37AA"/>
    <w:rsid w:val="00BC53A0"/>
    <w:rsid w:val="00BD50B4"/>
    <w:rsid w:val="00BE62AD"/>
    <w:rsid w:val="00BF121F"/>
    <w:rsid w:val="00BF1F80"/>
    <w:rsid w:val="00BF558D"/>
    <w:rsid w:val="00C06513"/>
    <w:rsid w:val="00C15502"/>
    <w:rsid w:val="00C166EF"/>
    <w:rsid w:val="00C17EB0"/>
    <w:rsid w:val="00C270AA"/>
    <w:rsid w:val="00C27F5F"/>
    <w:rsid w:val="00C30A0F"/>
    <w:rsid w:val="00C37E61"/>
    <w:rsid w:val="00C52138"/>
    <w:rsid w:val="00C5590C"/>
    <w:rsid w:val="00C6619F"/>
    <w:rsid w:val="00C663BC"/>
    <w:rsid w:val="00C70F1B"/>
    <w:rsid w:val="00C71A47"/>
    <w:rsid w:val="00C7464C"/>
    <w:rsid w:val="00C7573D"/>
    <w:rsid w:val="00C85588"/>
    <w:rsid w:val="00CA31C8"/>
    <w:rsid w:val="00CA4E9D"/>
    <w:rsid w:val="00CB291D"/>
    <w:rsid w:val="00CB7D94"/>
    <w:rsid w:val="00CD6755"/>
    <w:rsid w:val="00CD6856"/>
    <w:rsid w:val="00CD6997"/>
    <w:rsid w:val="00CE0089"/>
    <w:rsid w:val="00CE793C"/>
    <w:rsid w:val="00CF193C"/>
    <w:rsid w:val="00CF4220"/>
    <w:rsid w:val="00D173F1"/>
    <w:rsid w:val="00D21C8E"/>
    <w:rsid w:val="00D33E3B"/>
    <w:rsid w:val="00D37116"/>
    <w:rsid w:val="00D41953"/>
    <w:rsid w:val="00D73607"/>
    <w:rsid w:val="00D73AD4"/>
    <w:rsid w:val="00D74CB0"/>
    <w:rsid w:val="00D8295D"/>
    <w:rsid w:val="00D83D0E"/>
    <w:rsid w:val="00D92CB8"/>
    <w:rsid w:val="00D95111"/>
    <w:rsid w:val="00DA7DE7"/>
    <w:rsid w:val="00DB5311"/>
    <w:rsid w:val="00DC2A65"/>
    <w:rsid w:val="00DD6BE2"/>
    <w:rsid w:val="00DE15F0"/>
    <w:rsid w:val="00DE3BDE"/>
    <w:rsid w:val="00DE5663"/>
    <w:rsid w:val="00DE78AA"/>
    <w:rsid w:val="00DF5F50"/>
    <w:rsid w:val="00E053D0"/>
    <w:rsid w:val="00E15994"/>
    <w:rsid w:val="00E2014F"/>
    <w:rsid w:val="00E21DE7"/>
    <w:rsid w:val="00E300A7"/>
    <w:rsid w:val="00E3114E"/>
    <w:rsid w:val="00E31A70"/>
    <w:rsid w:val="00E35B02"/>
    <w:rsid w:val="00E4494A"/>
    <w:rsid w:val="00E45474"/>
    <w:rsid w:val="00E567EC"/>
    <w:rsid w:val="00E66496"/>
    <w:rsid w:val="00E66B35"/>
    <w:rsid w:val="00E66E10"/>
    <w:rsid w:val="00E769F6"/>
    <w:rsid w:val="00E777A4"/>
    <w:rsid w:val="00E8407C"/>
    <w:rsid w:val="00E84F3C"/>
    <w:rsid w:val="00E8703F"/>
    <w:rsid w:val="00EA012C"/>
    <w:rsid w:val="00EA36C2"/>
    <w:rsid w:val="00EB04A2"/>
    <w:rsid w:val="00EB4521"/>
    <w:rsid w:val="00EC5C48"/>
    <w:rsid w:val="00EC6A55"/>
    <w:rsid w:val="00ED0288"/>
    <w:rsid w:val="00EE52CB"/>
    <w:rsid w:val="00EF581D"/>
    <w:rsid w:val="00EF7FD8"/>
    <w:rsid w:val="00F0330F"/>
    <w:rsid w:val="00F06F59"/>
    <w:rsid w:val="00F176F3"/>
    <w:rsid w:val="00F17988"/>
    <w:rsid w:val="00F456B3"/>
    <w:rsid w:val="00F469F0"/>
    <w:rsid w:val="00F53273"/>
    <w:rsid w:val="00F55E1D"/>
    <w:rsid w:val="00F6149F"/>
    <w:rsid w:val="00F755E4"/>
    <w:rsid w:val="00F77D02"/>
    <w:rsid w:val="00FA6EA1"/>
    <w:rsid w:val="00FB3A86"/>
    <w:rsid w:val="00FC4ABB"/>
    <w:rsid w:val="00FD36C8"/>
    <w:rsid w:val="00FD4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7822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7360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3">
    <w:name w:val="Table Grid3"/>
    <w:basedOn w:val="TableNormal"/>
    <w:next w:val="TableGrid"/>
    <w:uiPriority w:val="39"/>
    <w:rsid w:val="00543754"/>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D08C6"/>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E2014F"/>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16333"/>
    <w:rPr>
      <w:rFonts w:ascii="Aptos" w:hAnsi="Aptos"/>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rsid w:val="00366730"/>
    <w:pPr>
      <w:spacing w:afterAutospacing="1"/>
    </w:pPr>
    <w:rPr>
      <w:rFonts w:ascii="Aptos" w:eastAsia="Aptos" w:hAnsi="Aptos"/>
      <w:kern w:val="2"/>
      <w:sz w:val="24"/>
      <w:szCs w:val="24"/>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66730"/>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17A8F"/>
    <w:pPr>
      <w:spacing w:afterAutospacing="1"/>
    </w:pPr>
    <w:rPr>
      <w:rFonts w:ascii="Aptos" w:eastAsia="Aptos" w:hAnsi="Aptos"/>
      <w:kern w:val="2"/>
      <w:sz w:val="24"/>
      <w:szCs w:val="24"/>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AF4489"/>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F4489"/>
    <w:pPr>
      <w:spacing w:afterAutospacing="1"/>
    </w:pPr>
    <w:rPr>
      <w:rFonts w:ascii="Aptos" w:eastAsia="Aptos" w:hAnsi="Aptos"/>
      <w:kern w:val="2"/>
      <w:sz w:val="24"/>
      <w:szCs w:val="24"/>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7360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2933557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89450702">
      <w:bodyDiv w:val="1"/>
      <w:marLeft w:val="0"/>
      <w:marRight w:val="0"/>
      <w:marTop w:val="0"/>
      <w:marBottom w:val="0"/>
      <w:divBdr>
        <w:top w:val="none" w:sz="0" w:space="0" w:color="auto"/>
        <w:left w:val="none" w:sz="0" w:space="0" w:color="auto"/>
        <w:bottom w:val="none" w:sz="0" w:space="0" w:color="auto"/>
        <w:right w:val="none" w:sz="0" w:space="0" w:color="auto"/>
      </w:divBdr>
      <w:divsChild>
        <w:div w:id="1236017027">
          <w:marLeft w:val="0"/>
          <w:marRight w:val="0"/>
          <w:marTop w:val="0"/>
          <w:marBottom w:val="0"/>
          <w:divBdr>
            <w:top w:val="none" w:sz="0" w:space="0" w:color="auto"/>
            <w:left w:val="none" w:sz="0" w:space="0" w:color="auto"/>
            <w:bottom w:val="none" w:sz="0" w:space="0" w:color="auto"/>
            <w:right w:val="none" w:sz="0" w:space="0" w:color="auto"/>
          </w:divBdr>
          <w:divsChild>
            <w:div w:id="1446121598">
              <w:marLeft w:val="0"/>
              <w:marRight w:val="0"/>
              <w:marTop w:val="0"/>
              <w:marBottom w:val="0"/>
              <w:divBdr>
                <w:top w:val="none" w:sz="0" w:space="0" w:color="auto"/>
                <w:left w:val="none" w:sz="0" w:space="0" w:color="auto"/>
                <w:bottom w:val="none" w:sz="0" w:space="0" w:color="auto"/>
                <w:right w:val="none" w:sz="0" w:space="0" w:color="auto"/>
              </w:divBdr>
            </w:div>
          </w:divsChild>
        </w:div>
        <w:div w:id="532959118">
          <w:marLeft w:val="0"/>
          <w:marRight w:val="0"/>
          <w:marTop w:val="0"/>
          <w:marBottom w:val="0"/>
          <w:divBdr>
            <w:top w:val="none" w:sz="0" w:space="0" w:color="auto"/>
            <w:left w:val="none" w:sz="0" w:space="0" w:color="auto"/>
            <w:bottom w:val="none" w:sz="0" w:space="0" w:color="auto"/>
            <w:right w:val="none" w:sz="0" w:space="0" w:color="auto"/>
          </w:divBdr>
          <w:divsChild>
            <w:div w:id="184243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ournalajess.com/index.php/AJESS/article/view/14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1198</TotalTime>
  <Pages>24</Pages>
  <Words>9366</Words>
  <Characters>53388</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62629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GENEVIE SERVANO</cp:lastModifiedBy>
  <cp:revision>105</cp:revision>
  <cp:lastPrinted>1999-07-06T11:00:00Z</cp:lastPrinted>
  <dcterms:created xsi:type="dcterms:W3CDTF">2025-05-04T14:41:00Z</dcterms:created>
  <dcterms:modified xsi:type="dcterms:W3CDTF">2025-05-14T01:56:00Z</dcterms:modified>
</cp:coreProperties>
</file>