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097F8" w14:textId="77777777" w:rsidR="0061751B" w:rsidRDefault="0061751B" w:rsidP="00C82FC1">
      <w:pPr>
        <w:tabs>
          <w:tab w:val="right" w:pos="9593"/>
        </w:tabs>
        <w:spacing w:after="0" w:line="259" w:lineRule="auto"/>
        <w:ind w:left="0" w:right="0" w:firstLine="0"/>
        <w:jc w:val="left"/>
        <w:rPr>
          <w:sz w:val="16"/>
        </w:rPr>
      </w:pPr>
      <w:r w:rsidRPr="0061751B">
        <w:rPr>
          <w:sz w:val="16"/>
        </w:rPr>
        <w:t>Original Research Article</w:t>
      </w:r>
    </w:p>
    <w:p w14:paraId="6455B2B2" w14:textId="08C5587E" w:rsidR="00615FC1" w:rsidRDefault="00B773EC" w:rsidP="00C82FC1">
      <w:pPr>
        <w:tabs>
          <w:tab w:val="right" w:pos="9593"/>
        </w:tabs>
        <w:spacing w:after="0" w:line="259" w:lineRule="auto"/>
        <w:ind w:left="0" w:right="0" w:firstLine="0"/>
        <w:jc w:val="left"/>
      </w:pPr>
      <w:r>
        <w:rPr>
          <w:sz w:val="16"/>
        </w:rPr>
        <w:tab/>
      </w:r>
    </w:p>
    <w:p w14:paraId="1BCF504D" w14:textId="022AD034" w:rsidR="008D011D" w:rsidRDefault="001012B0" w:rsidP="00800553">
      <w:pPr>
        <w:spacing w:after="545" w:line="259" w:lineRule="auto"/>
        <w:ind w:left="720" w:right="130" w:firstLine="0"/>
      </w:pPr>
      <w:r w:rsidRPr="001012B0">
        <w:rPr>
          <w:rFonts w:ascii="Tw Cen MT" w:eastAsia="Tw Cen MT" w:hAnsi="Tw Cen MT" w:cs="Tw Cen MT"/>
          <w:color w:val="00ADEF"/>
          <w:sz w:val="38"/>
        </w:rPr>
        <w:t>RESEARCH ON THE IMPACT OF INERT AND HYDRAULIC ADDITIVES ON SELF-COMPACTING CONCRETE UTILIZING BRICK AGGREGATE</w:t>
      </w:r>
    </w:p>
    <w:p w14:paraId="1038AA43" w14:textId="77777777" w:rsidR="008D011D" w:rsidRDefault="008D011D" w:rsidP="00180016">
      <w:pPr>
        <w:spacing w:after="0" w:line="246" w:lineRule="auto"/>
        <w:ind w:left="860" w:right="204"/>
        <w:jc w:val="center"/>
        <w:rPr>
          <w:b/>
          <w:bCs/>
          <w:szCs w:val="18"/>
        </w:rPr>
      </w:pPr>
    </w:p>
    <w:p w14:paraId="6DDF2DD9" w14:textId="77777777" w:rsidR="005030A4" w:rsidRDefault="005030A4" w:rsidP="00180016">
      <w:pPr>
        <w:spacing w:after="0" w:line="246" w:lineRule="auto"/>
        <w:ind w:left="860" w:right="204"/>
        <w:jc w:val="center"/>
        <w:rPr>
          <w:b/>
          <w:bCs/>
          <w:szCs w:val="18"/>
        </w:rPr>
      </w:pPr>
    </w:p>
    <w:p w14:paraId="55956A5D" w14:textId="77777777" w:rsidR="005030A4" w:rsidRDefault="005030A4" w:rsidP="00180016">
      <w:pPr>
        <w:spacing w:after="0" w:line="246" w:lineRule="auto"/>
        <w:ind w:left="860" w:right="204"/>
        <w:jc w:val="center"/>
        <w:rPr>
          <w:b/>
          <w:bCs/>
          <w:szCs w:val="18"/>
        </w:rPr>
      </w:pPr>
    </w:p>
    <w:p w14:paraId="3A99054E" w14:textId="77777777" w:rsidR="008D011D" w:rsidRDefault="008D011D" w:rsidP="00180016">
      <w:pPr>
        <w:spacing w:after="0" w:line="246" w:lineRule="auto"/>
        <w:ind w:left="860" w:right="204"/>
        <w:jc w:val="center"/>
        <w:rPr>
          <w:b/>
          <w:bCs/>
          <w:szCs w:val="18"/>
        </w:rPr>
      </w:pPr>
    </w:p>
    <w:p w14:paraId="4CD124B6" w14:textId="77777777" w:rsidR="008D011D" w:rsidRPr="008D011D" w:rsidRDefault="008D011D" w:rsidP="00180016">
      <w:pPr>
        <w:spacing w:after="0" w:line="246" w:lineRule="auto"/>
        <w:ind w:left="860" w:right="204"/>
        <w:jc w:val="center"/>
        <w:rPr>
          <w:b/>
          <w:bCs/>
          <w:szCs w:val="18"/>
        </w:rPr>
      </w:pPr>
    </w:p>
    <w:p w14:paraId="767E4B55" w14:textId="7388B1FB" w:rsidR="004D543B" w:rsidRDefault="00B773EC" w:rsidP="005030A4">
      <w:pPr>
        <w:pStyle w:val="Heading1"/>
        <w:spacing w:after="0"/>
        <w:ind w:left="0" w:firstLine="720"/>
      </w:pPr>
      <w:r>
        <w:t>ABSTRACT</w:t>
      </w:r>
    </w:p>
    <w:p w14:paraId="5E20D40E" w14:textId="77777777" w:rsidR="00923370" w:rsidRPr="00923370" w:rsidRDefault="00923370" w:rsidP="00923370"/>
    <w:tbl>
      <w:tblPr>
        <w:tblStyle w:val="TableGrid0"/>
        <w:tblW w:w="0" w:type="auto"/>
        <w:tblInd w:w="625" w:type="dxa"/>
        <w:tblLook w:val="04A0" w:firstRow="1" w:lastRow="0" w:firstColumn="1" w:lastColumn="0" w:noHBand="0" w:noVBand="1"/>
      </w:tblPr>
      <w:tblGrid>
        <w:gridCol w:w="8550"/>
      </w:tblGrid>
      <w:tr w:rsidR="005030A4" w14:paraId="7C717843" w14:textId="77777777" w:rsidTr="005030A4">
        <w:tc>
          <w:tcPr>
            <w:tcW w:w="8550" w:type="dxa"/>
            <w:tcBorders>
              <w:top w:val="nil"/>
              <w:left w:val="nil"/>
              <w:bottom w:val="nil"/>
              <w:right w:val="nil"/>
            </w:tcBorders>
          </w:tcPr>
          <w:p w14:paraId="38F0797D" w14:textId="4CA77962" w:rsidR="005030A4" w:rsidRPr="005030A4" w:rsidRDefault="005030A4" w:rsidP="005030A4">
            <w:pPr>
              <w:spacing w:after="277" w:line="259" w:lineRule="auto"/>
              <w:ind w:right="0"/>
              <w:rPr>
                <w:color w:val="002060"/>
                <w:sz w:val="20"/>
                <w:szCs w:val="23"/>
              </w:rPr>
            </w:pPr>
            <w:r w:rsidRPr="005030A4">
              <w:rPr>
                <w:color w:val="002060"/>
                <w:sz w:val="20"/>
                <w:szCs w:val="23"/>
              </w:rPr>
              <w:t>Self-compacting concrete (SSC) is a novel concrete capable of flowing under its own weight without the need for concrete vibration, capable of achieving full compaction and filling the formwork despite the presence of packed reinforcement. Ongoing research is focused on substituting different components of concrete to develop stronger and more cost-effective alternatives. This study explores the replacement of natural stones with brick aggregate, while also partially substituting ordinary Portland cement (OPC) with stone dust and low-grade recycled fines (LRF), which are byproducts from the steel manufacturing industry. The coarse aggregate utilized in this research was derived from high-quality, readily available GAS-burned brick. The fineness of the coarse aggregate was assessed using ASTM C136 (2019), a widely recognized testing method. The ASTM C127 (2015) standard testing procedure was employed to determine the absorption capacity of the coarse aggregate. A feasibility study was carried out to assess the production of self-compacting concrete (SCC) utilizing brick aggregate. The incorporation of marble dust consistently improves workability, particularly at the 10% level, which aids in the handling and placement of SCC while meeting EFNARC criteria for self-compacting characteristics. Low-grade recycled fines (LRF) contribute to an increase in flowability and workability to a moderate extent when used at 5% to 10%.  Marble dust proves to be a more effective option for enhancing the modulus of elasticity in SCC, as evidenced by the reduction in modulus of elasticity across all levels of LRF replacement.</w:t>
            </w:r>
          </w:p>
        </w:tc>
      </w:tr>
    </w:tbl>
    <w:p w14:paraId="0BE5602B" w14:textId="77777777" w:rsidR="0017618D" w:rsidRDefault="0017618D">
      <w:pPr>
        <w:spacing w:after="277" w:line="259" w:lineRule="auto"/>
        <w:ind w:left="850" w:right="0" w:firstLine="0"/>
        <w:jc w:val="left"/>
      </w:pPr>
    </w:p>
    <w:p w14:paraId="1730A51F" w14:textId="77777777" w:rsidR="0017618D" w:rsidRDefault="0017618D">
      <w:pPr>
        <w:spacing w:after="277" w:line="259" w:lineRule="auto"/>
        <w:ind w:left="850" w:right="0" w:firstLine="0"/>
        <w:jc w:val="left"/>
      </w:pPr>
    </w:p>
    <w:p w14:paraId="3C46B7D1" w14:textId="77777777" w:rsidR="0017618D" w:rsidRDefault="0017618D">
      <w:pPr>
        <w:spacing w:after="277" w:line="259" w:lineRule="auto"/>
        <w:ind w:left="850" w:right="0" w:firstLine="0"/>
        <w:jc w:val="left"/>
      </w:pPr>
    </w:p>
    <w:p w14:paraId="2B18FE25" w14:textId="0B0DE938" w:rsidR="004D543B" w:rsidRPr="00180016" w:rsidRDefault="00180016" w:rsidP="00180016">
      <w:pPr>
        <w:spacing w:after="200" w:line="259" w:lineRule="auto"/>
        <w:ind w:left="845" w:right="790"/>
        <w:rPr>
          <w:rFonts w:ascii="Book Antiqua" w:eastAsia="Book Antiqua" w:hAnsi="Book Antiqua" w:cs="Book Antiqua"/>
        </w:rPr>
      </w:pPr>
      <w:r>
        <w:rPr>
          <w:noProof/>
          <w:sz w:val="22"/>
          <w:lang w:bidi="ar-SA"/>
        </w:rPr>
        <mc:AlternateContent>
          <mc:Choice Requires="wpg">
            <w:drawing>
              <wp:inline distT="0" distB="0" distL="0" distR="0" wp14:anchorId="03C712E8" wp14:editId="072D0D13">
                <wp:extent cx="5039996" cy="12700"/>
                <wp:effectExtent l="0" t="0" r="0" b="0"/>
                <wp:docPr id="8835" name="Group 8835"/>
                <wp:cNvGraphicFramePr/>
                <a:graphic xmlns:a="http://schemas.openxmlformats.org/drawingml/2006/main">
                  <a:graphicData uri="http://schemas.microsoft.com/office/word/2010/wordprocessingGroup">
                    <wpg:wgp>
                      <wpg:cNvGrpSpPr/>
                      <wpg:grpSpPr>
                        <a:xfrm>
                          <a:off x="0" y="0"/>
                          <a:ext cx="5039996" cy="12700"/>
                          <a:chOff x="0" y="0"/>
                          <a:chExt cx="5039996" cy="12700"/>
                        </a:xfrm>
                      </wpg:grpSpPr>
                      <wps:wsp>
                        <wps:cNvPr id="85" name="Shape 85"/>
                        <wps:cNvSpPr/>
                        <wps:spPr>
                          <a:xfrm>
                            <a:off x="0" y="0"/>
                            <a:ext cx="5039996" cy="0"/>
                          </a:xfrm>
                          <a:custGeom>
                            <a:avLst/>
                            <a:gdLst/>
                            <a:ahLst/>
                            <a:cxnLst/>
                            <a:rect l="0" t="0" r="0" b="0"/>
                            <a:pathLst>
                              <a:path w="5039996">
                                <a:moveTo>
                                  <a:pt x="0" y="0"/>
                                </a:moveTo>
                                <a:lnTo>
                                  <a:pt x="5039996" y="0"/>
                                </a:lnTo>
                              </a:path>
                            </a:pathLst>
                          </a:custGeom>
                          <a:ln w="12700" cap="flat">
                            <a:miter lim="127000"/>
                          </a:ln>
                        </wps:spPr>
                        <wps:style>
                          <a:lnRef idx="1">
                            <a:srgbClr val="00ADEF"/>
                          </a:lnRef>
                          <a:fillRef idx="0">
                            <a:srgbClr val="000000">
                              <a:alpha val="0"/>
                            </a:srgbClr>
                          </a:fillRef>
                          <a:effectRef idx="0">
                            <a:scrgbClr r="0" g="0" b="0"/>
                          </a:effectRef>
                          <a:fontRef idx="none"/>
                        </wps:style>
                        <wps:bodyPr/>
                      </wps:wsp>
                    </wpg:wgp>
                  </a:graphicData>
                </a:graphic>
              </wp:inline>
            </w:drawing>
          </mc:Choice>
          <mc:Fallback>
            <w:pict>
              <v:group w14:anchorId="4B573138" id="Group 8835" o:spid="_x0000_s1026" style="width:396.85pt;height:1pt;mso-position-horizontal-relative:char;mso-position-vertical-relative:line" coordsize="50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">
                <v:shape id="Shape 85"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" path="m,l5039996,e" filled="f" strokecolor="#00adef" strokeweight="1pt">
                  <v:stroke miterlimit="83231f" joinstyle="miter"/>
                  <v:path arrowok="t" textboxrect="0,0,5039996,0"/>
                </v:shape>
                <w10:anchorlock/>
              </v:group>
            </w:pict>
          </mc:Fallback>
        </mc:AlternateContent>
      </w:r>
    </w:p>
    <w:p w14:paraId="7F84628E" w14:textId="04DD21A8" w:rsidR="008D011D" w:rsidRDefault="00B773EC">
      <w:pPr>
        <w:spacing w:after="0" w:line="259" w:lineRule="auto"/>
        <w:ind w:left="45" w:right="0" w:firstLine="0"/>
        <w:jc w:val="center"/>
        <w:rPr>
          <w:rFonts w:ascii="Book Antiqua" w:eastAsia="Book Antiqua" w:hAnsi="Book Antiqua" w:cs="Book Antiqua"/>
          <w:i/>
        </w:rPr>
      </w:pPr>
      <w:r>
        <w:rPr>
          <w:rFonts w:ascii="Book Antiqua" w:eastAsia="Book Antiqua" w:hAnsi="Book Antiqua" w:cs="Book Antiqua"/>
          <w:b/>
          <w:color w:val="00ADEF"/>
        </w:rPr>
        <w:t>Keywords:</w:t>
      </w:r>
      <w:r>
        <w:rPr>
          <w:rFonts w:ascii="Book Antiqua" w:eastAsia="Book Antiqua" w:hAnsi="Book Antiqua" w:cs="Book Antiqua"/>
          <w:i/>
        </w:rPr>
        <w:t xml:space="preserve"> </w:t>
      </w:r>
      <w:r w:rsidR="008D011D" w:rsidRPr="008D011D">
        <w:rPr>
          <w:rFonts w:ascii="Book Antiqua" w:eastAsia="Book Antiqua" w:hAnsi="Book Antiqua" w:cs="Book Antiqua"/>
          <w:i/>
        </w:rPr>
        <w:t>S</w:t>
      </w:r>
      <w:r w:rsidR="0073799F">
        <w:rPr>
          <w:rFonts w:ascii="Book Antiqua" w:eastAsia="Book Antiqua" w:hAnsi="Book Antiqua" w:cs="Book Antiqua"/>
          <w:i/>
        </w:rPr>
        <w:t>C</w:t>
      </w:r>
      <w:r w:rsidR="008D011D" w:rsidRPr="008D011D">
        <w:rPr>
          <w:rFonts w:ascii="Book Antiqua" w:eastAsia="Book Antiqua" w:hAnsi="Book Antiqua" w:cs="Book Antiqua"/>
          <w:i/>
        </w:rPr>
        <w:t>C, LRF</w:t>
      </w:r>
      <w:r w:rsidR="008D011D">
        <w:rPr>
          <w:rFonts w:ascii="Book Antiqua" w:eastAsia="Book Antiqua" w:hAnsi="Book Antiqua" w:cs="Book Antiqua"/>
          <w:i/>
        </w:rPr>
        <w:t>S</w:t>
      </w:r>
      <w:r w:rsidR="008D011D" w:rsidRPr="008D011D">
        <w:rPr>
          <w:rFonts w:ascii="Book Antiqua" w:eastAsia="Book Antiqua" w:hAnsi="Book Antiqua" w:cs="Book Antiqua"/>
          <w:i/>
        </w:rPr>
        <w:t xml:space="preserve">, construction industry, high-rise buildings, mineral admixtures, </w:t>
      </w:r>
    </w:p>
    <w:p w14:paraId="78DAA210" w14:textId="0E7A2905" w:rsidR="004D543B" w:rsidRDefault="008D011D">
      <w:pPr>
        <w:spacing w:after="0" w:line="259" w:lineRule="auto"/>
        <w:ind w:left="45" w:right="0" w:firstLine="0"/>
        <w:jc w:val="center"/>
      </w:pPr>
      <w:r w:rsidRPr="008D011D">
        <w:rPr>
          <w:rFonts w:ascii="Book Antiqua" w:eastAsia="Book Antiqua" w:hAnsi="Book Antiqua" w:cs="Book Antiqua"/>
          <w:i/>
        </w:rPr>
        <w:t>environmental contamination, sustainable alternatives</w:t>
      </w:r>
    </w:p>
    <w:p w14:paraId="76882ABB" w14:textId="77777777" w:rsidR="004D543B" w:rsidRDefault="00B773EC">
      <w:pPr>
        <w:spacing w:after="0" w:line="259" w:lineRule="auto"/>
        <w:ind w:left="850" w:right="0" w:firstLine="0"/>
        <w:jc w:val="left"/>
      </w:pPr>
      <w:r>
        <w:rPr>
          <w:noProof/>
          <w:sz w:val="22"/>
          <w:lang w:bidi="ar-SA"/>
        </w:rPr>
        <mc:AlternateContent>
          <mc:Choice Requires="wpg">
            <w:drawing>
              <wp:inline distT="0" distB="0" distL="0" distR="0" wp14:anchorId="665B4D9E" wp14:editId="57BD9DAF">
                <wp:extent cx="5039996" cy="12700"/>
                <wp:effectExtent l="0" t="0" r="0" b="0"/>
                <wp:docPr id="8836" name="Group 8836"/>
                <wp:cNvGraphicFramePr/>
                <a:graphic xmlns:a="http://schemas.openxmlformats.org/drawingml/2006/main">
                  <a:graphicData uri="http://schemas.microsoft.com/office/word/2010/wordprocessingGroup">
                    <wpg:wgp>
                      <wpg:cNvGrpSpPr/>
                      <wpg:grpSpPr>
                        <a:xfrm>
                          <a:off x="0" y="0"/>
                          <a:ext cx="5039996" cy="12700"/>
                          <a:chOff x="0" y="0"/>
                          <a:chExt cx="5039996" cy="12700"/>
                        </a:xfrm>
                      </wpg:grpSpPr>
                      <wps:wsp>
                        <wps:cNvPr id="86" name="Shape 86"/>
                        <wps:cNvSpPr/>
                        <wps:spPr>
                          <a:xfrm>
                            <a:off x="0" y="0"/>
                            <a:ext cx="5039996" cy="0"/>
                          </a:xfrm>
                          <a:custGeom>
                            <a:avLst/>
                            <a:gdLst/>
                            <a:ahLst/>
                            <a:cxnLst/>
                            <a:rect l="0" t="0" r="0" b="0"/>
                            <a:pathLst>
                              <a:path w="5039996">
                                <a:moveTo>
                                  <a:pt x="0" y="0"/>
                                </a:moveTo>
                                <a:lnTo>
                                  <a:pt x="5039996" y="0"/>
                                </a:lnTo>
                              </a:path>
                            </a:pathLst>
                          </a:custGeom>
                          <a:ln w="12700" cap="flat">
                            <a:miter lim="127000"/>
                          </a:ln>
                        </wps:spPr>
                        <wps:style>
                          <a:lnRef idx="1">
                            <a:srgbClr val="00ADEF"/>
                          </a:lnRef>
                          <a:fillRef idx="0">
                            <a:srgbClr val="000000">
                              <a:alpha val="0"/>
                            </a:srgbClr>
                          </a:fillRef>
                          <a:effectRef idx="0">
                            <a:scrgbClr r="0" g="0" b="0"/>
                          </a:effectRef>
                          <a:fontRef idx="none"/>
                        </wps:style>
                        <wps:bodyPr/>
                      </wps:wsp>
                    </wpg:wgp>
                  </a:graphicData>
                </a:graphic>
              </wp:inline>
            </w:drawing>
          </mc:Choice>
          <mc:Fallback>
            <w:pict>
              <v:group w14:anchorId="7A4B436A" id="Group 8836" o:spid="_x0000_s1026" style="width:396.85pt;height:1pt;mso-position-horizontal-relative:char;mso-position-vertical-relative:line" coordsize="50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">
                <v:shape id="Shape 86"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" path="m,l5039996,e" filled="f" strokecolor="#00adef" strokeweight="1pt">
                  <v:stroke miterlimit="83231f" joinstyle="miter"/>
                  <v:path arrowok="t" textboxrect="0,0,5039996,0"/>
                </v:shape>
                <w10:anchorlock/>
              </v:group>
            </w:pict>
          </mc:Fallback>
        </mc:AlternateContent>
      </w:r>
    </w:p>
    <w:p w14:paraId="60DC4FED" w14:textId="77777777" w:rsidR="004D543B" w:rsidRDefault="004D543B">
      <w:pPr>
        <w:sectPr w:rsidR="004D543B" w:rsidSect="00180016">
          <w:headerReference w:type="even" r:id="rId7"/>
          <w:headerReference w:type="default" r:id="rId8"/>
          <w:footerReference w:type="even" r:id="rId9"/>
          <w:footerReference w:type="default" r:id="rId10"/>
          <w:headerReference w:type="first" r:id="rId11"/>
          <w:footerReference w:type="first" r:id="rId12"/>
          <w:pgSz w:w="11906" w:h="16441"/>
          <w:pgMar w:top="1045" w:right="1179" w:bottom="1455" w:left="1134" w:header="998" w:footer="720" w:gutter="0"/>
          <w:pgNumType w:start="1"/>
          <w:cols w:space="720"/>
          <w:titlePg/>
        </w:sectPr>
      </w:pPr>
    </w:p>
    <w:p w14:paraId="7EF32B02" w14:textId="432CDA98" w:rsidR="004D543B" w:rsidRDefault="00B773EC">
      <w:pPr>
        <w:pStyle w:val="Heading1"/>
        <w:ind w:left="-5"/>
      </w:pPr>
      <w:r>
        <w:t>INTRODUCTION</w:t>
      </w:r>
    </w:p>
    <w:p w14:paraId="788BD337" w14:textId="2E7CCFC2" w:rsidR="003951C0" w:rsidRDefault="00DF04CB" w:rsidP="003951C0">
      <w:pPr>
        <w:spacing w:after="0"/>
        <w:ind w:left="-5" w:right="35"/>
      </w:pPr>
      <w:r>
        <w:t>Self</w:t>
      </w:r>
      <w:r w:rsidRPr="00DF04CB">
        <w:t>-compacting concrete (SCC) is defined as concrete that can flow and fill formwork solely under its own weight, without the need for mechanical vibration or consolidation</w:t>
      </w:r>
      <w:r w:rsidR="00633175">
        <w:t xml:space="preserve"> (</w:t>
      </w:r>
      <w:r w:rsidR="00633175" w:rsidRPr="00526F6A">
        <w:rPr>
          <w:color w:val="156082" w:themeColor="accent1"/>
        </w:rPr>
        <w:t>Zaidi</w:t>
      </w:r>
      <w:r w:rsidR="00633175">
        <w:rPr>
          <w:color w:val="156082" w:themeColor="accent1"/>
        </w:rPr>
        <w:t xml:space="preserve"> et al., 2022)</w:t>
      </w:r>
      <w:r w:rsidRPr="00DF04CB">
        <w:t xml:space="preserve">. This innovative approach to concrete construction has gained popularity due to its improved working conditions and the enhancement of concrete quality. For concrete to achieve greater strength and longevity, it is essential to minimize </w:t>
      </w:r>
      <w:r w:rsidRPr="00DF04CB">
        <w:t xml:space="preserve">porosity, prevent honeycombing, and eliminate segregation. The production of high-quality concrete necessitates effective placement of fresh material, which relies on proper vibration and compaction techniques. The presence of densely packed reinforcement can complicate the placement of concrete. SCC effectively addresses these challenges by facilitating accurate placement, compaction, and vibration. The development of SCC began in Japan in 1980, and it was first implemented in Swedish </w:t>
      </w:r>
      <w:r w:rsidRPr="00DF04CB">
        <w:lastRenderedPageBreak/>
        <w:t>transportation infrastructure during the mid-1990s</w:t>
      </w:r>
      <w:r>
        <w:t xml:space="preserve">. </w:t>
      </w:r>
      <w:r w:rsidRPr="00DF04CB">
        <w:t>Self-compacting concrete (SCC) is composed of coarse and fine aggregates, cement, admixtures, water, and additional materials. The incorporation of powder, which includes fillers and other cementitious substances, can enhance the volumetric and deformable properties of the paste, thereby improving its stability and cohesion. Additionally, aggregates, which constitute over 60% of the concrete's volume, play a crucial role in determining both the mechanical and fresh properties of the concrete. It is essential to meticulously evaluate the shape, texture, maximum size, and grading of the aggregates prior to their use in SCC, as these characteristics are particularly sensitive to variations in SCC. Ongoing research is focused on substituting different components of concrete to develop stronger and more cost-effective alternatives. The depletion of natural stone resources is a growing concern due to societal infrastructure expansion. This study explores the replacement of natural stones with brick aggregate, while also partially substituting ordinary Portland cement (OPC) with stone dust and low-grade recycled fines (LRF), which are byproducts from the steel manufacturing industry.</w:t>
      </w:r>
    </w:p>
    <w:p w14:paraId="67BAD697" w14:textId="36410C90" w:rsidR="004D543B" w:rsidRDefault="00B773EC" w:rsidP="00DF04CB">
      <w:pPr>
        <w:spacing w:after="209"/>
        <w:ind w:left="-5" w:right="35"/>
      </w:pPr>
      <w:r>
        <w:rPr>
          <w:sz w:val="24"/>
        </w:rPr>
        <w:t>___________________________________</w:t>
      </w:r>
    </w:p>
    <w:p w14:paraId="05C74AD5" w14:textId="430F8C9C" w:rsidR="00DF04CB" w:rsidRDefault="00DF04CB" w:rsidP="00DF04CB">
      <w:pPr>
        <w:spacing w:after="136" w:line="246" w:lineRule="auto"/>
        <w:ind w:left="-5" w:right="-14"/>
      </w:pPr>
      <w:r>
        <w:rPr>
          <w:b/>
          <w:color w:val="00ADEF"/>
          <w:sz w:val="24"/>
        </w:rPr>
        <w:t>PROBLEM STATEMENTS</w:t>
      </w:r>
    </w:p>
    <w:p w14:paraId="1C338E0A" w14:textId="175E1F3D" w:rsidR="00DF04CB" w:rsidRDefault="00DF04CB" w:rsidP="00DF04CB">
      <w:pPr>
        <w:ind w:left="-5" w:right="35"/>
      </w:pPr>
      <w:r>
        <w:t xml:space="preserve">The rapid growth of structural activities in </w:t>
      </w:r>
      <w:r w:rsidR="00863E79">
        <w:t>Nepal</w:t>
      </w:r>
      <w:r>
        <w:t xml:space="preserve"> is notable. This situation has led to a scarcity of natural stone and an urgent requirement to meet existing demand. In this context, crushed bricks are commonly employed as an alternative to natural stone aggregate. Brick aggregates are generally more cost-effective than stone aggregates in the local market. Ensuring the proper placement and compaction of concrete is essential for enhancing the expected mechanical properties. In our country, there is a lack of skilled labor, and the expenses associated with skilled workers are considerable. Even with experienced personnel and appropriate tools, achieving correct compaction and placement can sometimes be challenging. Self-Consolidating Concrete (SCC) presents a viable solution to mitigate this issue. SCC utilizing brick aggregate can serve as an effective construction material to tackle these challenges, and it is imperative to leverage these innovative materials to gain their advantages.</w:t>
      </w:r>
    </w:p>
    <w:p w14:paraId="31CE40D4" w14:textId="77777777" w:rsidR="00DF04CB" w:rsidRDefault="00DF04CB" w:rsidP="00DF04CB">
      <w:pPr>
        <w:ind w:left="0" w:right="35" w:firstLine="0"/>
      </w:pPr>
      <w:r>
        <w:t>Additionally, waste generated from steel industries, known as Ladle Refining Furnace (LRF) slag, is utilized as an additive to decrease the excessive consumption of natural resources by the construction sector. Once regarded as waste, slag was typically disposed of in landfills adjacent to industrial sites. However, in many developed nations, including the United States, Japan, Germany, and France, slag is fully utilized. It replaces various products, such as concrete aggregates, asphalt, fertilizers, and roofing aggregates.</w:t>
      </w:r>
    </w:p>
    <w:p w14:paraId="498E770A" w14:textId="2D38BC69" w:rsidR="004D543B" w:rsidRDefault="00DF04CB" w:rsidP="00DF04CB">
      <w:pPr>
        <w:ind w:left="0" w:right="35" w:firstLine="0"/>
      </w:pPr>
      <w:r>
        <w:t xml:space="preserve">Moreover, the process of crushing and grinding rocks for construction and other industries produces a byproduct known as stone dust. This byproduct poses risks to the environment, human health, and air quality. Utilizing stone dust for alternative applications, such as in concrete or as a base </w:t>
      </w:r>
      <w:r>
        <w:t>material for roads, can help reduce waste in construction. Researchers have explored the use of various aggregates and waste materials, including dust or other waste products, as substitutes for cement to investigate the properties of Self-Consolidating Concrete (SCC).</w:t>
      </w:r>
    </w:p>
    <w:p w14:paraId="7979942B" w14:textId="5E11C4B1" w:rsidR="004D543B" w:rsidRDefault="00B773EC">
      <w:pPr>
        <w:pStyle w:val="Heading2"/>
        <w:ind w:left="-5"/>
      </w:pPr>
      <w:r>
        <w:t>M</w:t>
      </w:r>
      <w:r w:rsidR="00DF04CB">
        <w:t>ETHODOLOGY</w:t>
      </w:r>
    </w:p>
    <w:p w14:paraId="53EC3F40" w14:textId="51062EAA" w:rsidR="004D543B" w:rsidRDefault="003951C0">
      <w:pPr>
        <w:ind w:left="-5" w:right="35"/>
        <w:rPr>
          <w:szCs w:val="18"/>
        </w:rPr>
      </w:pPr>
      <w:r w:rsidRPr="003951C0">
        <w:rPr>
          <w:szCs w:val="18"/>
        </w:rPr>
        <w:t>The selection of materials with fewer emissions and environmental sustainability is aided by quality control. The following methodology is included in this research program, step-by-step:</w:t>
      </w:r>
    </w:p>
    <w:p w14:paraId="0579A476" w14:textId="77777777" w:rsidR="003951C0" w:rsidRPr="003951C0" w:rsidRDefault="003951C0" w:rsidP="003951C0">
      <w:pPr>
        <w:numPr>
          <w:ilvl w:val="0"/>
          <w:numId w:val="2"/>
        </w:numPr>
        <w:spacing w:after="0" w:line="240" w:lineRule="auto"/>
        <w:ind w:right="0"/>
        <w:jc w:val="left"/>
        <w:rPr>
          <w:szCs w:val="18"/>
        </w:rPr>
      </w:pPr>
      <w:r w:rsidRPr="003951C0">
        <w:rPr>
          <w:szCs w:val="18"/>
        </w:rPr>
        <w:t>Selection and gathering of the materials</w:t>
      </w:r>
    </w:p>
    <w:p w14:paraId="26A6F226"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eastAsia="Times New Roman" w:hAnsi="Calibri" w:cs="Calibri"/>
          <w:sz w:val="18"/>
          <w:szCs w:val="18"/>
        </w:rPr>
        <w:t>Material preparations</w:t>
      </w:r>
    </w:p>
    <w:p w14:paraId="6DA466E1"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Assessing the physical and chemical qualities</w:t>
      </w:r>
    </w:p>
    <w:p w14:paraId="570BC617"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Designing and balancing the materials for trial mixes</w:t>
      </w:r>
    </w:p>
    <w:p w14:paraId="79BB4009"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Assessing the fresh properties of SCC</w:t>
      </w:r>
    </w:p>
    <w:p w14:paraId="1F9497C0"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Slump flow</w:t>
      </w:r>
    </w:p>
    <w:p w14:paraId="228E6B9B"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T50 slump flow time</w:t>
      </w:r>
    </w:p>
    <w:p w14:paraId="4CC2DE64"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V- funnel test</w:t>
      </w:r>
    </w:p>
    <w:p w14:paraId="6ADA8E4C"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L- box test</w:t>
      </w:r>
    </w:p>
    <w:p w14:paraId="5D91EFFF" w14:textId="77777777" w:rsidR="003951C0" w:rsidRPr="003951C0" w:rsidRDefault="003951C0" w:rsidP="003951C0">
      <w:pPr>
        <w:pStyle w:val="ListParagraph"/>
        <w:numPr>
          <w:ilvl w:val="0"/>
          <w:numId w:val="4"/>
        </w:numPr>
        <w:spacing w:after="0" w:line="240" w:lineRule="auto"/>
        <w:jc w:val="both"/>
        <w:rPr>
          <w:rFonts w:ascii="Calibri" w:hAnsi="Calibri" w:cs="Calibri"/>
          <w:sz w:val="18"/>
          <w:szCs w:val="18"/>
        </w:rPr>
      </w:pPr>
      <w:r w:rsidRPr="003951C0">
        <w:rPr>
          <w:rFonts w:ascii="Calibri" w:hAnsi="Calibri" w:cs="Calibri"/>
          <w:sz w:val="18"/>
          <w:szCs w:val="18"/>
        </w:rPr>
        <w:t>The cylindrical specimen's preparation (Ø 100 mm × 200 mm)</w:t>
      </w:r>
    </w:p>
    <w:p w14:paraId="42B0E32D" w14:textId="77777777" w:rsidR="003951C0" w:rsidRPr="003951C0" w:rsidRDefault="003951C0" w:rsidP="003951C0">
      <w:pPr>
        <w:pStyle w:val="ListParagraph"/>
        <w:numPr>
          <w:ilvl w:val="0"/>
          <w:numId w:val="4"/>
        </w:numPr>
        <w:spacing w:after="0" w:line="240" w:lineRule="auto"/>
        <w:jc w:val="both"/>
        <w:rPr>
          <w:rFonts w:ascii="Calibri" w:hAnsi="Calibri" w:cs="Calibri"/>
          <w:sz w:val="18"/>
          <w:szCs w:val="18"/>
        </w:rPr>
      </w:pPr>
      <w:r w:rsidRPr="003951C0">
        <w:rPr>
          <w:rFonts w:ascii="Calibri" w:hAnsi="Calibri" w:cs="Calibri"/>
          <w:sz w:val="18"/>
          <w:szCs w:val="18"/>
        </w:rPr>
        <w:t>Assessing the mechanical properties of strengthened SCC</w:t>
      </w:r>
    </w:p>
    <w:p w14:paraId="17081183"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Compressive Strength (</w:t>
      </w:r>
      <w:proofErr w:type="spellStart"/>
      <w:r w:rsidRPr="003951C0">
        <w:rPr>
          <w:rFonts w:ascii="Calibri" w:hAnsi="Calibri" w:cs="Calibri"/>
          <w:sz w:val="18"/>
          <w:szCs w:val="18"/>
        </w:rPr>
        <w:t>fʹ</w:t>
      </w:r>
      <w:r w:rsidRPr="003951C0">
        <w:rPr>
          <w:rFonts w:ascii="Calibri" w:hAnsi="Calibri" w:cs="Calibri"/>
          <w:sz w:val="18"/>
          <w:szCs w:val="18"/>
          <w:vertAlign w:val="subscript"/>
        </w:rPr>
        <w:t>c</w:t>
      </w:r>
      <w:proofErr w:type="spellEnd"/>
      <w:r w:rsidRPr="003951C0">
        <w:rPr>
          <w:rFonts w:ascii="Calibri" w:hAnsi="Calibri" w:cs="Calibri"/>
          <w:sz w:val="18"/>
          <w:szCs w:val="18"/>
        </w:rPr>
        <w:t>)</w:t>
      </w:r>
    </w:p>
    <w:p w14:paraId="2B94921A"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Splitting Tensile Strength (</w:t>
      </w:r>
      <w:proofErr w:type="spellStart"/>
      <w:r w:rsidRPr="003951C0">
        <w:rPr>
          <w:rFonts w:ascii="Calibri" w:hAnsi="Calibri" w:cs="Calibri"/>
          <w:sz w:val="18"/>
          <w:szCs w:val="18"/>
        </w:rPr>
        <w:t>f</w:t>
      </w:r>
      <w:r w:rsidRPr="003951C0">
        <w:rPr>
          <w:rFonts w:ascii="Calibri" w:hAnsi="Calibri" w:cs="Calibri"/>
          <w:sz w:val="18"/>
          <w:szCs w:val="18"/>
          <w:vertAlign w:val="subscript"/>
        </w:rPr>
        <w:t>sp</w:t>
      </w:r>
      <w:proofErr w:type="spellEnd"/>
      <w:r w:rsidRPr="003951C0">
        <w:rPr>
          <w:rFonts w:ascii="Calibri" w:hAnsi="Calibri" w:cs="Calibri"/>
          <w:sz w:val="18"/>
          <w:szCs w:val="18"/>
        </w:rPr>
        <w:t>)</w:t>
      </w:r>
    </w:p>
    <w:p w14:paraId="7DB5BC2B"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Modulus of Elasticity (</w:t>
      </w:r>
      <w:proofErr w:type="spellStart"/>
      <w:r w:rsidRPr="003951C0">
        <w:rPr>
          <w:rFonts w:ascii="Calibri" w:hAnsi="Calibri" w:cs="Calibri"/>
          <w:sz w:val="18"/>
          <w:szCs w:val="18"/>
        </w:rPr>
        <w:t>E</w:t>
      </w:r>
      <w:r w:rsidRPr="003951C0">
        <w:rPr>
          <w:rFonts w:ascii="Calibri" w:hAnsi="Calibri" w:cs="Calibri"/>
          <w:sz w:val="18"/>
          <w:szCs w:val="18"/>
          <w:vertAlign w:val="subscript"/>
        </w:rPr>
        <w:t>c</w:t>
      </w:r>
      <w:proofErr w:type="spellEnd"/>
      <w:r w:rsidRPr="003951C0">
        <w:rPr>
          <w:rFonts w:ascii="Calibri" w:hAnsi="Calibri" w:cs="Calibri"/>
          <w:sz w:val="18"/>
          <w:szCs w:val="18"/>
        </w:rPr>
        <w:t>).</w:t>
      </w:r>
    </w:p>
    <w:p w14:paraId="4000BDD3" w14:textId="79D45F67" w:rsidR="003951C0" w:rsidRPr="003951C0" w:rsidRDefault="003951C0" w:rsidP="003951C0">
      <w:pPr>
        <w:pStyle w:val="ListParagraph"/>
        <w:numPr>
          <w:ilvl w:val="0"/>
          <w:numId w:val="5"/>
        </w:numPr>
        <w:spacing w:after="0" w:line="240" w:lineRule="auto"/>
        <w:rPr>
          <w:rFonts w:ascii="Calibri" w:hAnsi="Calibri" w:cs="Calibri"/>
          <w:sz w:val="18"/>
          <w:szCs w:val="18"/>
        </w:rPr>
      </w:pPr>
      <w:r w:rsidRPr="003951C0">
        <w:rPr>
          <w:rFonts w:ascii="Calibri" w:hAnsi="Calibri" w:cs="Calibri"/>
          <w:sz w:val="18"/>
          <w:szCs w:val="18"/>
        </w:rPr>
        <w:t>Analysis of the results and conclusions.</w:t>
      </w:r>
    </w:p>
    <w:p w14:paraId="5B9530B0" w14:textId="57F7DBA4" w:rsidR="003951C0" w:rsidRPr="00217F47" w:rsidRDefault="003951C0" w:rsidP="00217F47">
      <w:pPr>
        <w:spacing w:after="0" w:line="240" w:lineRule="auto"/>
        <w:ind w:left="360" w:firstLine="0"/>
        <w:rPr>
          <w:szCs w:val="18"/>
        </w:rPr>
      </w:pPr>
      <w:r w:rsidRPr="003951C0">
        <w:rPr>
          <w:szCs w:val="18"/>
        </w:rPr>
        <w:t>All testing procedures employed in this study program adhered to established standards and guidelines.</w:t>
      </w:r>
    </w:p>
    <w:p w14:paraId="72EF9650" w14:textId="36D9F7DC" w:rsidR="003951C0" w:rsidRDefault="003951C0" w:rsidP="003951C0">
      <w:pPr>
        <w:pStyle w:val="Heading2"/>
        <w:ind w:left="-5"/>
      </w:pPr>
      <w:r>
        <w:t>MATERIALS</w:t>
      </w:r>
    </w:p>
    <w:p w14:paraId="167F4DB8" w14:textId="799447D3" w:rsidR="004D543B" w:rsidRDefault="00217F47" w:rsidP="003951C0">
      <w:pPr>
        <w:ind w:left="-5" w:right="35"/>
      </w:pPr>
      <w:r w:rsidRPr="00217F47">
        <w:t>The coarse aggregate utilized in this research was derived from high-quality, readily available GAS-burned brick. The components employed in the formulation of the concrete included potable water, easily obtainable coarse sand as the fine aggregate, Ordinary Portland Cement (OPC) as the binding agent, and a chemical additive that serves as a water-reducing agent. A laboratory analysis was conducted to assess the properties of each of these materials, all of which were locally sourced, to determine the parametric requirements for Self-Compacting Concrete (SCC).</w:t>
      </w:r>
      <w:r>
        <w:t xml:space="preserve"> </w:t>
      </w:r>
    </w:p>
    <w:p w14:paraId="074F9A23" w14:textId="699AEE91" w:rsidR="00217F47" w:rsidRPr="00217F47" w:rsidRDefault="00217F47" w:rsidP="00012B20">
      <w:pPr>
        <w:pStyle w:val="NormalWeb"/>
        <w:spacing w:before="0" w:beforeAutospacing="0" w:after="0" w:afterAutospacing="0" w:line="276" w:lineRule="auto"/>
        <w:jc w:val="both"/>
        <w:rPr>
          <w:rFonts w:ascii="Calibri" w:hAnsi="Calibri" w:cs="Calibri"/>
          <w:b/>
          <w:bCs/>
          <w:sz w:val="18"/>
          <w:szCs w:val="18"/>
        </w:rPr>
      </w:pPr>
      <w:r w:rsidRPr="00217F47">
        <w:rPr>
          <w:rFonts w:ascii="Calibri" w:hAnsi="Calibri" w:cs="Calibri"/>
          <w:b/>
          <w:bCs/>
          <w:sz w:val="18"/>
          <w:szCs w:val="18"/>
        </w:rPr>
        <w:t>Gradation</w:t>
      </w:r>
      <w:r>
        <w:rPr>
          <w:rFonts w:ascii="Calibri" w:hAnsi="Calibri" w:cs="Calibri"/>
          <w:b/>
          <w:bCs/>
          <w:sz w:val="18"/>
          <w:szCs w:val="18"/>
        </w:rPr>
        <w:t xml:space="preserve">: </w:t>
      </w:r>
      <w:r w:rsidRPr="00217F47">
        <w:rPr>
          <w:rFonts w:ascii="Calibri" w:hAnsi="Calibri" w:cs="Calibri"/>
          <w:sz w:val="18"/>
          <w:szCs w:val="18"/>
        </w:rPr>
        <w:t>The fineness of the coarse aggregate was assessed using ASTM C136 (2019), a widely recognized testing method. A mechanical sieve shaker was employed for a duration of fifteen minutes to classify the aggregate through a series of sieves, specifically sized at 16, 8, 4, 3/8 inch, ¾ inch, 50, 30, 16, 8, and 1.5 inches.</w:t>
      </w:r>
    </w:p>
    <w:p w14:paraId="3EC7F039" w14:textId="77777777" w:rsidR="00217F47" w:rsidRPr="00217F47" w:rsidRDefault="00217F47" w:rsidP="00217F47">
      <w:pPr>
        <w:pStyle w:val="NormalWeb"/>
        <w:spacing w:before="0" w:beforeAutospacing="0" w:after="0" w:afterAutospacing="0" w:line="276" w:lineRule="auto"/>
        <w:jc w:val="both"/>
        <w:rPr>
          <w:rFonts w:ascii="Calibri" w:hAnsi="Calibri" w:cs="Calibri"/>
          <w:sz w:val="18"/>
          <w:szCs w:val="18"/>
        </w:rPr>
      </w:pPr>
    </w:p>
    <w:p w14:paraId="13D8EACA" w14:textId="77777777" w:rsidR="00217F47" w:rsidRPr="00217F47" w:rsidRDefault="00217F47" w:rsidP="00217F47">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noProof/>
          <w:sz w:val="18"/>
          <w:szCs w:val="18"/>
        </w:rPr>
        <w:lastRenderedPageBreak/>
        <w:drawing>
          <wp:inline distT="0" distB="0" distL="0" distR="0" wp14:anchorId="295B4ABA" wp14:editId="01BE2178">
            <wp:extent cx="1585601" cy="1742488"/>
            <wp:effectExtent l="0" t="0" r="0" b="0"/>
            <wp:docPr id="54867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934" cy="1807692"/>
                    </a:xfrm>
                    <a:prstGeom prst="rect">
                      <a:avLst/>
                    </a:prstGeom>
                    <a:noFill/>
                  </pic:spPr>
                </pic:pic>
              </a:graphicData>
            </a:graphic>
          </wp:inline>
        </w:drawing>
      </w:r>
    </w:p>
    <w:p w14:paraId="03B3F219" w14:textId="417EE77C" w:rsidR="00217F47" w:rsidRDefault="00217F47" w:rsidP="00217F47">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sz w:val="18"/>
          <w:szCs w:val="18"/>
        </w:rPr>
        <w:t xml:space="preserve">Figure </w:t>
      </w:r>
      <w:r>
        <w:rPr>
          <w:rFonts w:ascii="Calibri" w:hAnsi="Calibri" w:cs="Calibri"/>
          <w:sz w:val="18"/>
          <w:szCs w:val="18"/>
        </w:rPr>
        <w:t>1</w:t>
      </w:r>
      <w:r w:rsidRPr="00217F47">
        <w:rPr>
          <w:rFonts w:ascii="Calibri" w:hAnsi="Calibri" w:cs="Calibri"/>
          <w:sz w:val="18"/>
          <w:szCs w:val="18"/>
        </w:rPr>
        <w:t>: Sieve analysis of coarse aggregate</w:t>
      </w:r>
    </w:p>
    <w:p w14:paraId="317137D7" w14:textId="36A7F7A9" w:rsidR="00217F47" w:rsidRPr="00217F47" w:rsidRDefault="00217F47" w:rsidP="00217F47">
      <w:pPr>
        <w:pStyle w:val="NormalWeb"/>
        <w:spacing w:after="0" w:afterAutospacing="0" w:line="360" w:lineRule="auto"/>
        <w:jc w:val="center"/>
        <w:rPr>
          <w:rFonts w:ascii="Calibri" w:hAnsi="Calibri" w:cs="Calibri"/>
          <w:sz w:val="18"/>
          <w:szCs w:val="18"/>
        </w:rPr>
      </w:pPr>
      <w:r w:rsidRPr="00217F47">
        <w:rPr>
          <w:rFonts w:ascii="Calibri" w:hAnsi="Calibri" w:cs="Calibri"/>
          <w:sz w:val="18"/>
          <w:szCs w:val="18"/>
        </w:rPr>
        <w:t>Table 1: Gradation of Coarse Aggregate</w:t>
      </w:r>
    </w:p>
    <w:tbl>
      <w:tblPr>
        <w:tblStyle w:val="TableGrid0"/>
        <w:tblW w:w="3865" w:type="dxa"/>
        <w:tblLook w:val="04A0" w:firstRow="1" w:lastRow="0" w:firstColumn="1" w:lastColumn="0" w:noHBand="0" w:noVBand="1"/>
      </w:tblPr>
      <w:tblGrid>
        <w:gridCol w:w="531"/>
        <w:gridCol w:w="793"/>
        <w:gridCol w:w="878"/>
        <w:gridCol w:w="878"/>
        <w:gridCol w:w="536"/>
        <w:gridCol w:w="730"/>
      </w:tblGrid>
      <w:tr w:rsidR="00217F47" w:rsidRPr="00217F47" w14:paraId="2D64C31A" w14:textId="77777777" w:rsidTr="00302B15">
        <w:trPr>
          <w:trHeight w:val="382"/>
        </w:trPr>
        <w:tc>
          <w:tcPr>
            <w:tcW w:w="48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F77F929"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Sieve Size (mm)</w:t>
            </w:r>
          </w:p>
        </w:tc>
        <w:tc>
          <w:tcPr>
            <w:tcW w:w="732"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89E93BB"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Individual Weight Retained (gm)</w:t>
            </w:r>
          </w:p>
        </w:tc>
        <w:tc>
          <w:tcPr>
            <w:tcW w:w="78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6962DC0"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Cumulative Weight Retained (gm)</w:t>
            </w:r>
          </w:p>
        </w:tc>
        <w:tc>
          <w:tcPr>
            <w:tcW w:w="78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A65D6CD"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 Cumulative Weight Retained</w:t>
            </w:r>
          </w:p>
        </w:tc>
        <w:tc>
          <w:tcPr>
            <w:tcW w:w="62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4FEE24DA"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 Finer</w:t>
            </w:r>
          </w:p>
        </w:tc>
        <w:tc>
          <w:tcPr>
            <w:tcW w:w="45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7E08A9BD"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Fineness Modulus (FM)</w:t>
            </w:r>
          </w:p>
        </w:tc>
      </w:tr>
      <w:tr w:rsidR="00217F47" w:rsidRPr="00217F47" w14:paraId="52BB0EE7"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0D9D97A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75</w:t>
            </w:r>
          </w:p>
        </w:tc>
        <w:tc>
          <w:tcPr>
            <w:tcW w:w="732" w:type="dxa"/>
            <w:tcBorders>
              <w:top w:val="single" w:sz="4" w:space="0" w:color="auto"/>
              <w:left w:val="single" w:sz="4" w:space="0" w:color="auto"/>
              <w:bottom w:val="single" w:sz="4" w:space="0" w:color="auto"/>
              <w:right w:val="single" w:sz="4" w:space="0" w:color="auto"/>
            </w:tcBorders>
            <w:hideMark/>
          </w:tcPr>
          <w:p w14:paraId="71CEFDD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2CEDE339"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3D32D6C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627" w:type="dxa"/>
            <w:tcBorders>
              <w:top w:val="single" w:sz="4" w:space="0" w:color="auto"/>
              <w:left w:val="single" w:sz="4" w:space="0" w:color="auto"/>
              <w:bottom w:val="single" w:sz="4" w:space="0" w:color="auto"/>
              <w:right w:val="single" w:sz="4" w:space="0" w:color="auto"/>
            </w:tcBorders>
            <w:hideMark/>
          </w:tcPr>
          <w:p w14:paraId="626563C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val="restart"/>
            <w:tcBorders>
              <w:top w:val="single" w:sz="4" w:space="0" w:color="auto"/>
              <w:left w:val="single" w:sz="4" w:space="0" w:color="auto"/>
              <w:bottom w:val="single" w:sz="4" w:space="0" w:color="auto"/>
              <w:right w:val="single" w:sz="4" w:space="0" w:color="auto"/>
            </w:tcBorders>
          </w:tcPr>
          <w:p w14:paraId="66B2D0CB" w14:textId="77777777" w:rsidR="00217F47" w:rsidRPr="00217F47" w:rsidRDefault="00217F47" w:rsidP="00302B15">
            <w:pPr>
              <w:pStyle w:val="NormalWeb"/>
              <w:spacing w:line="360" w:lineRule="auto"/>
              <w:jc w:val="center"/>
              <w:rPr>
                <w:rFonts w:ascii="Calibri" w:hAnsi="Calibri" w:cs="Calibri"/>
                <w:sz w:val="14"/>
                <w:szCs w:val="14"/>
              </w:rPr>
            </w:pPr>
          </w:p>
          <w:p w14:paraId="7500D85B" w14:textId="77777777" w:rsidR="00217F47" w:rsidRPr="00217F47" w:rsidRDefault="00217F47" w:rsidP="00302B15">
            <w:pPr>
              <w:pStyle w:val="NormalWeb"/>
              <w:spacing w:line="360" w:lineRule="auto"/>
              <w:jc w:val="center"/>
              <w:rPr>
                <w:rFonts w:ascii="Calibri" w:hAnsi="Calibri" w:cs="Calibri"/>
                <w:sz w:val="14"/>
                <w:szCs w:val="14"/>
              </w:rPr>
            </w:pPr>
          </w:p>
          <w:p w14:paraId="3C790861" w14:textId="77777777" w:rsidR="00217F47" w:rsidRPr="00217F47" w:rsidRDefault="00217F47" w:rsidP="00302B15">
            <w:pPr>
              <w:pStyle w:val="NormalWeb"/>
              <w:spacing w:line="360" w:lineRule="auto"/>
              <w:jc w:val="center"/>
              <w:rPr>
                <w:rFonts w:ascii="Calibri" w:hAnsi="Calibri" w:cs="Calibri"/>
                <w:sz w:val="14"/>
                <w:szCs w:val="14"/>
              </w:rPr>
            </w:pPr>
          </w:p>
          <w:p w14:paraId="0A434BA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6.83</w:t>
            </w:r>
          </w:p>
        </w:tc>
      </w:tr>
      <w:tr w:rsidR="00217F47" w:rsidRPr="00217F47" w14:paraId="72910A62"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D3792B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38</w:t>
            </w:r>
          </w:p>
        </w:tc>
        <w:tc>
          <w:tcPr>
            <w:tcW w:w="732" w:type="dxa"/>
            <w:tcBorders>
              <w:top w:val="single" w:sz="4" w:space="0" w:color="auto"/>
              <w:left w:val="single" w:sz="4" w:space="0" w:color="auto"/>
              <w:bottom w:val="single" w:sz="4" w:space="0" w:color="auto"/>
              <w:right w:val="single" w:sz="4" w:space="0" w:color="auto"/>
            </w:tcBorders>
            <w:hideMark/>
          </w:tcPr>
          <w:p w14:paraId="0803D49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160060F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27953DC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627" w:type="dxa"/>
            <w:tcBorders>
              <w:top w:val="single" w:sz="4" w:space="0" w:color="auto"/>
              <w:left w:val="single" w:sz="4" w:space="0" w:color="auto"/>
              <w:bottom w:val="single" w:sz="4" w:space="0" w:color="auto"/>
              <w:right w:val="single" w:sz="4" w:space="0" w:color="auto"/>
            </w:tcBorders>
            <w:hideMark/>
          </w:tcPr>
          <w:p w14:paraId="236F9E7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C1DE96F"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4643090A"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4148413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19</w:t>
            </w:r>
          </w:p>
        </w:tc>
        <w:tc>
          <w:tcPr>
            <w:tcW w:w="732" w:type="dxa"/>
            <w:tcBorders>
              <w:top w:val="single" w:sz="4" w:space="0" w:color="auto"/>
              <w:left w:val="single" w:sz="4" w:space="0" w:color="auto"/>
              <w:bottom w:val="single" w:sz="4" w:space="0" w:color="auto"/>
              <w:right w:val="single" w:sz="4" w:space="0" w:color="auto"/>
            </w:tcBorders>
            <w:hideMark/>
          </w:tcPr>
          <w:p w14:paraId="0BFBDA3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783" w:type="dxa"/>
            <w:tcBorders>
              <w:top w:val="single" w:sz="4" w:space="0" w:color="auto"/>
              <w:left w:val="single" w:sz="4" w:space="0" w:color="auto"/>
              <w:bottom w:val="single" w:sz="4" w:space="0" w:color="auto"/>
              <w:right w:val="single" w:sz="4" w:space="0" w:color="auto"/>
            </w:tcBorders>
            <w:hideMark/>
          </w:tcPr>
          <w:p w14:paraId="57F0338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783" w:type="dxa"/>
            <w:tcBorders>
              <w:top w:val="single" w:sz="4" w:space="0" w:color="auto"/>
              <w:left w:val="single" w:sz="4" w:space="0" w:color="auto"/>
              <w:bottom w:val="single" w:sz="4" w:space="0" w:color="auto"/>
              <w:right w:val="single" w:sz="4" w:space="0" w:color="auto"/>
            </w:tcBorders>
            <w:hideMark/>
          </w:tcPr>
          <w:p w14:paraId="34F55B98"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627" w:type="dxa"/>
            <w:tcBorders>
              <w:top w:val="single" w:sz="4" w:space="0" w:color="auto"/>
              <w:left w:val="single" w:sz="4" w:space="0" w:color="auto"/>
              <w:bottom w:val="single" w:sz="4" w:space="0" w:color="auto"/>
              <w:right w:val="single" w:sz="4" w:space="0" w:color="auto"/>
            </w:tcBorders>
            <w:hideMark/>
          </w:tcPr>
          <w:p w14:paraId="43C7ADB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78.53</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5E60E521"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64022B5B"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14BEAD9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9.5</w:t>
            </w:r>
          </w:p>
        </w:tc>
        <w:tc>
          <w:tcPr>
            <w:tcW w:w="732" w:type="dxa"/>
            <w:tcBorders>
              <w:top w:val="single" w:sz="4" w:space="0" w:color="auto"/>
              <w:left w:val="single" w:sz="4" w:space="0" w:color="auto"/>
              <w:bottom w:val="single" w:sz="4" w:space="0" w:color="auto"/>
              <w:right w:val="single" w:sz="4" w:space="0" w:color="auto"/>
            </w:tcBorders>
            <w:hideMark/>
          </w:tcPr>
          <w:p w14:paraId="7216FF8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531.1</w:t>
            </w:r>
          </w:p>
        </w:tc>
        <w:tc>
          <w:tcPr>
            <w:tcW w:w="783" w:type="dxa"/>
            <w:tcBorders>
              <w:top w:val="single" w:sz="4" w:space="0" w:color="auto"/>
              <w:left w:val="single" w:sz="4" w:space="0" w:color="auto"/>
              <w:bottom w:val="single" w:sz="4" w:space="0" w:color="auto"/>
              <w:right w:val="single" w:sz="4" w:space="0" w:color="auto"/>
            </w:tcBorders>
            <w:hideMark/>
          </w:tcPr>
          <w:p w14:paraId="7754DCC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53.11</w:t>
            </w:r>
          </w:p>
        </w:tc>
        <w:tc>
          <w:tcPr>
            <w:tcW w:w="783" w:type="dxa"/>
            <w:tcBorders>
              <w:top w:val="single" w:sz="4" w:space="0" w:color="auto"/>
              <w:left w:val="single" w:sz="4" w:space="0" w:color="auto"/>
              <w:bottom w:val="single" w:sz="4" w:space="0" w:color="auto"/>
              <w:right w:val="single" w:sz="4" w:space="0" w:color="auto"/>
            </w:tcBorders>
            <w:hideMark/>
          </w:tcPr>
          <w:p w14:paraId="0DA7250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74.58</w:t>
            </w:r>
          </w:p>
        </w:tc>
        <w:tc>
          <w:tcPr>
            <w:tcW w:w="627" w:type="dxa"/>
            <w:tcBorders>
              <w:top w:val="single" w:sz="4" w:space="0" w:color="auto"/>
              <w:left w:val="single" w:sz="4" w:space="0" w:color="auto"/>
              <w:bottom w:val="single" w:sz="4" w:space="0" w:color="auto"/>
              <w:right w:val="single" w:sz="4" w:space="0" w:color="auto"/>
            </w:tcBorders>
            <w:hideMark/>
          </w:tcPr>
          <w:p w14:paraId="60432EF7"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25.42</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C6D9BE4"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F8166CE"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42461E5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4.75</w:t>
            </w:r>
          </w:p>
        </w:tc>
        <w:tc>
          <w:tcPr>
            <w:tcW w:w="732" w:type="dxa"/>
            <w:tcBorders>
              <w:top w:val="single" w:sz="4" w:space="0" w:color="auto"/>
              <w:left w:val="single" w:sz="4" w:space="0" w:color="auto"/>
              <w:bottom w:val="single" w:sz="4" w:space="0" w:color="auto"/>
              <w:right w:val="single" w:sz="4" w:space="0" w:color="auto"/>
            </w:tcBorders>
            <w:hideMark/>
          </w:tcPr>
          <w:p w14:paraId="1707F3F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176.6</w:t>
            </w:r>
          </w:p>
        </w:tc>
        <w:tc>
          <w:tcPr>
            <w:tcW w:w="783" w:type="dxa"/>
            <w:tcBorders>
              <w:top w:val="single" w:sz="4" w:space="0" w:color="auto"/>
              <w:left w:val="single" w:sz="4" w:space="0" w:color="auto"/>
              <w:bottom w:val="single" w:sz="4" w:space="0" w:color="auto"/>
              <w:right w:val="single" w:sz="4" w:space="0" w:color="auto"/>
            </w:tcBorders>
            <w:hideMark/>
          </w:tcPr>
          <w:p w14:paraId="2726E8D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17.66</w:t>
            </w:r>
          </w:p>
        </w:tc>
        <w:tc>
          <w:tcPr>
            <w:tcW w:w="783" w:type="dxa"/>
            <w:tcBorders>
              <w:top w:val="single" w:sz="4" w:space="0" w:color="auto"/>
              <w:left w:val="single" w:sz="4" w:space="0" w:color="auto"/>
              <w:bottom w:val="single" w:sz="4" w:space="0" w:color="auto"/>
              <w:right w:val="single" w:sz="4" w:space="0" w:color="auto"/>
            </w:tcBorders>
            <w:hideMark/>
          </w:tcPr>
          <w:p w14:paraId="1ABFCDC9"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92.24</w:t>
            </w:r>
          </w:p>
        </w:tc>
        <w:tc>
          <w:tcPr>
            <w:tcW w:w="627" w:type="dxa"/>
            <w:tcBorders>
              <w:top w:val="single" w:sz="4" w:space="0" w:color="auto"/>
              <w:left w:val="single" w:sz="4" w:space="0" w:color="auto"/>
              <w:bottom w:val="single" w:sz="4" w:space="0" w:color="auto"/>
              <w:right w:val="single" w:sz="4" w:space="0" w:color="auto"/>
            </w:tcBorders>
            <w:hideMark/>
          </w:tcPr>
          <w:p w14:paraId="4B4662A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7.76</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664350D8"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1C93B8CB"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251BBB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2.36</w:t>
            </w:r>
          </w:p>
        </w:tc>
        <w:tc>
          <w:tcPr>
            <w:tcW w:w="732" w:type="dxa"/>
            <w:tcBorders>
              <w:top w:val="single" w:sz="4" w:space="0" w:color="auto"/>
              <w:left w:val="single" w:sz="4" w:space="0" w:color="auto"/>
              <w:bottom w:val="single" w:sz="4" w:space="0" w:color="auto"/>
              <w:right w:val="single" w:sz="4" w:space="0" w:color="auto"/>
            </w:tcBorders>
            <w:hideMark/>
          </w:tcPr>
          <w:p w14:paraId="749BFF6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62.3</w:t>
            </w:r>
          </w:p>
        </w:tc>
        <w:tc>
          <w:tcPr>
            <w:tcW w:w="783" w:type="dxa"/>
            <w:tcBorders>
              <w:top w:val="single" w:sz="4" w:space="0" w:color="auto"/>
              <w:left w:val="single" w:sz="4" w:space="0" w:color="auto"/>
              <w:bottom w:val="single" w:sz="4" w:space="0" w:color="auto"/>
              <w:right w:val="single" w:sz="4" w:space="0" w:color="auto"/>
            </w:tcBorders>
            <w:hideMark/>
          </w:tcPr>
          <w:p w14:paraId="1FA1DFA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6.23</w:t>
            </w:r>
          </w:p>
        </w:tc>
        <w:tc>
          <w:tcPr>
            <w:tcW w:w="783" w:type="dxa"/>
            <w:tcBorders>
              <w:top w:val="single" w:sz="4" w:space="0" w:color="auto"/>
              <w:left w:val="single" w:sz="4" w:space="0" w:color="auto"/>
              <w:bottom w:val="single" w:sz="4" w:space="0" w:color="auto"/>
              <w:right w:val="single" w:sz="4" w:space="0" w:color="auto"/>
            </w:tcBorders>
            <w:hideMark/>
          </w:tcPr>
          <w:p w14:paraId="200E877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98.47</w:t>
            </w:r>
          </w:p>
        </w:tc>
        <w:tc>
          <w:tcPr>
            <w:tcW w:w="627" w:type="dxa"/>
            <w:tcBorders>
              <w:top w:val="single" w:sz="4" w:space="0" w:color="auto"/>
              <w:left w:val="single" w:sz="4" w:space="0" w:color="auto"/>
              <w:bottom w:val="single" w:sz="4" w:space="0" w:color="auto"/>
              <w:right w:val="single" w:sz="4" w:space="0" w:color="auto"/>
            </w:tcBorders>
            <w:hideMark/>
          </w:tcPr>
          <w:p w14:paraId="686F28E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1.53</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B8230B8"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F56BA98"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A25153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1.18</w:t>
            </w:r>
          </w:p>
        </w:tc>
        <w:tc>
          <w:tcPr>
            <w:tcW w:w="732" w:type="dxa"/>
            <w:tcBorders>
              <w:top w:val="single" w:sz="4" w:space="0" w:color="auto"/>
              <w:left w:val="single" w:sz="4" w:space="0" w:color="auto"/>
              <w:bottom w:val="single" w:sz="4" w:space="0" w:color="auto"/>
              <w:right w:val="single" w:sz="4" w:space="0" w:color="auto"/>
            </w:tcBorders>
            <w:hideMark/>
          </w:tcPr>
          <w:p w14:paraId="2BAAE3A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4.1</w:t>
            </w:r>
          </w:p>
        </w:tc>
        <w:tc>
          <w:tcPr>
            <w:tcW w:w="783" w:type="dxa"/>
            <w:tcBorders>
              <w:top w:val="single" w:sz="4" w:space="0" w:color="auto"/>
              <w:left w:val="single" w:sz="4" w:space="0" w:color="auto"/>
              <w:bottom w:val="single" w:sz="4" w:space="0" w:color="auto"/>
              <w:right w:val="single" w:sz="4" w:space="0" w:color="auto"/>
            </w:tcBorders>
            <w:hideMark/>
          </w:tcPr>
          <w:p w14:paraId="55EC31E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0.41</w:t>
            </w:r>
          </w:p>
        </w:tc>
        <w:tc>
          <w:tcPr>
            <w:tcW w:w="783" w:type="dxa"/>
            <w:tcBorders>
              <w:top w:val="single" w:sz="4" w:space="0" w:color="auto"/>
              <w:left w:val="single" w:sz="4" w:space="0" w:color="auto"/>
              <w:bottom w:val="single" w:sz="4" w:space="0" w:color="auto"/>
              <w:right w:val="single" w:sz="4" w:space="0" w:color="auto"/>
            </w:tcBorders>
            <w:hideMark/>
          </w:tcPr>
          <w:p w14:paraId="6142E8D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98.88</w:t>
            </w:r>
          </w:p>
        </w:tc>
        <w:tc>
          <w:tcPr>
            <w:tcW w:w="627" w:type="dxa"/>
            <w:tcBorders>
              <w:top w:val="single" w:sz="4" w:space="0" w:color="auto"/>
              <w:left w:val="single" w:sz="4" w:space="0" w:color="auto"/>
              <w:bottom w:val="single" w:sz="4" w:space="0" w:color="auto"/>
              <w:right w:val="single" w:sz="4" w:space="0" w:color="auto"/>
            </w:tcBorders>
            <w:hideMark/>
          </w:tcPr>
          <w:p w14:paraId="5EEA96D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1.12</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68A93B59"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4033E13E"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7D413D5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0.6</w:t>
            </w:r>
          </w:p>
        </w:tc>
        <w:tc>
          <w:tcPr>
            <w:tcW w:w="732" w:type="dxa"/>
            <w:tcBorders>
              <w:top w:val="single" w:sz="4" w:space="0" w:color="auto"/>
              <w:left w:val="single" w:sz="4" w:space="0" w:color="auto"/>
              <w:bottom w:val="single" w:sz="4" w:space="0" w:color="auto"/>
              <w:right w:val="single" w:sz="4" w:space="0" w:color="auto"/>
            </w:tcBorders>
            <w:hideMark/>
          </w:tcPr>
          <w:p w14:paraId="4ADA6667"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0.8</w:t>
            </w:r>
          </w:p>
        </w:tc>
        <w:tc>
          <w:tcPr>
            <w:tcW w:w="783" w:type="dxa"/>
            <w:tcBorders>
              <w:top w:val="single" w:sz="4" w:space="0" w:color="auto"/>
              <w:left w:val="single" w:sz="4" w:space="0" w:color="auto"/>
              <w:bottom w:val="single" w:sz="4" w:space="0" w:color="auto"/>
              <w:right w:val="single" w:sz="4" w:space="0" w:color="auto"/>
            </w:tcBorders>
            <w:hideMark/>
          </w:tcPr>
          <w:p w14:paraId="379761B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0.08</w:t>
            </w:r>
          </w:p>
        </w:tc>
        <w:tc>
          <w:tcPr>
            <w:tcW w:w="783" w:type="dxa"/>
            <w:tcBorders>
              <w:top w:val="single" w:sz="4" w:space="0" w:color="auto"/>
              <w:left w:val="single" w:sz="4" w:space="0" w:color="auto"/>
              <w:bottom w:val="single" w:sz="4" w:space="0" w:color="auto"/>
              <w:right w:val="single" w:sz="4" w:space="0" w:color="auto"/>
            </w:tcBorders>
            <w:hideMark/>
          </w:tcPr>
          <w:p w14:paraId="458DBE8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98.96</w:t>
            </w:r>
          </w:p>
        </w:tc>
        <w:tc>
          <w:tcPr>
            <w:tcW w:w="627" w:type="dxa"/>
            <w:tcBorders>
              <w:top w:val="single" w:sz="4" w:space="0" w:color="auto"/>
              <w:left w:val="single" w:sz="4" w:space="0" w:color="auto"/>
              <w:bottom w:val="single" w:sz="4" w:space="0" w:color="auto"/>
              <w:right w:val="single" w:sz="4" w:space="0" w:color="auto"/>
            </w:tcBorders>
            <w:hideMark/>
          </w:tcPr>
          <w:p w14:paraId="69D3B26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1.04</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796F5C46"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0A846E77"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2154CC1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0.3</w:t>
            </w:r>
          </w:p>
        </w:tc>
        <w:tc>
          <w:tcPr>
            <w:tcW w:w="732" w:type="dxa"/>
            <w:tcBorders>
              <w:top w:val="single" w:sz="4" w:space="0" w:color="auto"/>
              <w:left w:val="single" w:sz="4" w:space="0" w:color="auto"/>
              <w:bottom w:val="single" w:sz="4" w:space="0" w:color="auto"/>
              <w:right w:val="single" w:sz="4" w:space="0" w:color="auto"/>
            </w:tcBorders>
            <w:hideMark/>
          </w:tcPr>
          <w:p w14:paraId="4D26232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0.4</w:t>
            </w:r>
          </w:p>
        </w:tc>
        <w:tc>
          <w:tcPr>
            <w:tcW w:w="783" w:type="dxa"/>
            <w:tcBorders>
              <w:top w:val="single" w:sz="4" w:space="0" w:color="auto"/>
              <w:left w:val="single" w:sz="4" w:space="0" w:color="auto"/>
              <w:bottom w:val="single" w:sz="4" w:space="0" w:color="auto"/>
              <w:right w:val="single" w:sz="4" w:space="0" w:color="auto"/>
            </w:tcBorders>
            <w:hideMark/>
          </w:tcPr>
          <w:p w14:paraId="4B20AEF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0.04</w:t>
            </w:r>
          </w:p>
        </w:tc>
        <w:tc>
          <w:tcPr>
            <w:tcW w:w="783" w:type="dxa"/>
            <w:tcBorders>
              <w:top w:val="single" w:sz="4" w:space="0" w:color="auto"/>
              <w:left w:val="single" w:sz="4" w:space="0" w:color="auto"/>
              <w:bottom w:val="single" w:sz="4" w:space="0" w:color="auto"/>
              <w:right w:val="single" w:sz="4" w:space="0" w:color="auto"/>
            </w:tcBorders>
            <w:hideMark/>
          </w:tcPr>
          <w:p w14:paraId="3FE450D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99.00</w:t>
            </w:r>
          </w:p>
        </w:tc>
        <w:tc>
          <w:tcPr>
            <w:tcW w:w="627" w:type="dxa"/>
            <w:tcBorders>
              <w:top w:val="single" w:sz="4" w:space="0" w:color="auto"/>
              <w:left w:val="single" w:sz="4" w:space="0" w:color="auto"/>
              <w:bottom w:val="single" w:sz="4" w:space="0" w:color="auto"/>
              <w:right w:val="single" w:sz="4" w:space="0" w:color="auto"/>
            </w:tcBorders>
            <w:hideMark/>
          </w:tcPr>
          <w:p w14:paraId="34FDC9D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734AAAD"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73D5B2A5"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158E86E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0.15</w:t>
            </w:r>
          </w:p>
        </w:tc>
        <w:tc>
          <w:tcPr>
            <w:tcW w:w="732" w:type="dxa"/>
            <w:tcBorders>
              <w:top w:val="single" w:sz="4" w:space="0" w:color="auto"/>
              <w:left w:val="single" w:sz="4" w:space="0" w:color="auto"/>
              <w:bottom w:val="single" w:sz="4" w:space="0" w:color="auto"/>
              <w:right w:val="single" w:sz="4" w:space="0" w:color="auto"/>
            </w:tcBorders>
            <w:hideMark/>
          </w:tcPr>
          <w:p w14:paraId="17D9095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0.6</w:t>
            </w:r>
          </w:p>
        </w:tc>
        <w:tc>
          <w:tcPr>
            <w:tcW w:w="783" w:type="dxa"/>
            <w:tcBorders>
              <w:top w:val="single" w:sz="4" w:space="0" w:color="auto"/>
              <w:left w:val="single" w:sz="4" w:space="0" w:color="auto"/>
              <w:bottom w:val="single" w:sz="4" w:space="0" w:color="auto"/>
              <w:right w:val="single" w:sz="4" w:space="0" w:color="auto"/>
            </w:tcBorders>
            <w:hideMark/>
          </w:tcPr>
          <w:p w14:paraId="7C47C01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0.06</w:t>
            </w:r>
          </w:p>
        </w:tc>
        <w:tc>
          <w:tcPr>
            <w:tcW w:w="783" w:type="dxa"/>
            <w:tcBorders>
              <w:top w:val="single" w:sz="4" w:space="0" w:color="auto"/>
              <w:left w:val="single" w:sz="4" w:space="0" w:color="auto"/>
              <w:bottom w:val="single" w:sz="4" w:space="0" w:color="auto"/>
              <w:right w:val="single" w:sz="4" w:space="0" w:color="auto"/>
            </w:tcBorders>
            <w:hideMark/>
          </w:tcPr>
          <w:p w14:paraId="67A0433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99.06</w:t>
            </w:r>
          </w:p>
        </w:tc>
        <w:tc>
          <w:tcPr>
            <w:tcW w:w="627" w:type="dxa"/>
            <w:tcBorders>
              <w:top w:val="single" w:sz="4" w:space="0" w:color="auto"/>
              <w:left w:val="single" w:sz="4" w:space="0" w:color="auto"/>
              <w:bottom w:val="single" w:sz="4" w:space="0" w:color="auto"/>
              <w:right w:val="single" w:sz="4" w:space="0" w:color="auto"/>
            </w:tcBorders>
            <w:hideMark/>
          </w:tcPr>
          <w:p w14:paraId="0A4046C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0.94</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5EE78B3E"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CAA9929" w14:textId="77777777" w:rsidTr="00302B15">
        <w:trPr>
          <w:trHeight w:val="76"/>
        </w:trPr>
        <w:tc>
          <w:tcPr>
            <w:tcW w:w="487" w:type="dxa"/>
            <w:tcBorders>
              <w:top w:val="single" w:sz="4" w:space="0" w:color="auto"/>
              <w:left w:val="single" w:sz="4" w:space="0" w:color="auto"/>
              <w:bottom w:val="single" w:sz="4" w:space="0" w:color="auto"/>
              <w:right w:val="single" w:sz="4" w:space="0" w:color="auto"/>
            </w:tcBorders>
            <w:hideMark/>
          </w:tcPr>
          <w:p w14:paraId="68335E1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Pan</w:t>
            </w:r>
          </w:p>
        </w:tc>
        <w:tc>
          <w:tcPr>
            <w:tcW w:w="732" w:type="dxa"/>
            <w:tcBorders>
              <w:top w:val="single" w:sz="4" w:space="0" w:color="auto"/>
              <w:left w:val="single" w:sz="4" w:space="0" w:color="auto"/>
              <w:bottom w:val="single" w:sz="4" w:space="0" w:color="auto"/>
              <w:right w:val="single" w:sz="4" w:space="0" w:color="auto"/>
            </w:tcBorders>
            <w:hideMark/>
          </w:tcPr>
          <w:p w14:paraId="15ACDBB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0.00</w:t>
            </w:r>
          </w:p>
        </w:tc>
        <w:tc>
          <w:tcPr>
            <w:tcW w:w="783" w:type="dxa"/>
            <w:tcBorders>
              <w:top w:val="single" w:sz="4" w:space="0" w:color="auto"/>
              <w:left w:val="single" w:sz="4" w:space="0" w:color="auto"/>
              <w:bottom w:val="single" w:sz="4" w:space="0" w:color="auto"/>
              <w:right w:val="single" w:sz="4" w:space="0" w:color="auto"/>
            </w:tcBorders>
          </w:tcPr>
          <w:p w14:paraId="2376BD86" w14:textId="77777777" w:rsidR="00217F47" w:rsidRPr="00217F47" w:rsidRDefault="00217F47" w:rsidP="00302B15">
            <w:pPr>
              <w:pStyle w:val="NormalWeb"/>
              <w:spacing w:line="360" w:lineRule="auto"/>
              <w:jc w:val="center"/>
              <w:rPr>
                <w:rFonts w:ascii="Calibri" w:hAnsi="Calibri" w:cs="Calibri"/>
                <w:sz w:val="14"/>
                <w:szCs w:val="14"/>
              </w:rPr>
            </w:pPr>
          </w:p>
        </w:tc>
        <w:tc>
          <w:tcPr>
            <w:tcW w:w="783" w:type="dxa"/>
            <w:tcBorders>
              <w:top w:val="single" w:sz="4" w:space="0" w:color="auto"/>
              <w:left w:val="single" w:sz="4" w:space="0" w:color="auto"/>
              <w:bottom w:val="single" w:sz="4" w:space="0" w:color="auto"/>
              <w:right w:val="single" w:sz="4" w:space="0" w:color="auto"/>
            </w:tcBorders>
          </w:tcPr>
          <w:p w14:paraId="1D518BAF" w14:textId="77777777" w:rsidR="00217F47" w:rsidRPr="00217F47" w:rsidRDefault="00217F47" w:rsidP="00302B15">
            <w:pPr>
              <w:pStyle w:val="NormalWeb"/>
              <w:spacing w:line="360" w:lineRule="auto"/>
              <w:jc w:val="center"/>
              <w:rPr>
                <w:rFonts w:ascii="Calibri" w:hAnsi="Calibri" w:cs="Calibri"/>
                <w:sz w:val="14"/>
                <w:szCs w:val="14"/>
              </w:rPr>
            </w:pPr>
          </w:p>
        </w:tc>
        <w:tc>
          <w:tcPr>
            <w:tcW w:w="627" w:type="dxa"/>
            <w:tcBorders>
              <w:top w:val="single" w:sz="4" w:space="0" w:color="auto"/>
              <w:left w:val="single" w:sz="4" w:space="0" w:color="auto"/>
              <w:bottom w:val="single" w:sz="4" w:space="0" w:color="auto"/>
              <w:right w:val="single" w:sz="4" w:space="0" w:color="auto"/>
            </w:tcBorders>
          </w:tcPr>
          <w:p w14:paraId="5C686F6C" w14:textId="77777777" w:rsidR="00217F47" w:rsidRPr="00217F47" w:rsidRDefault="00217F47" w:rsidP="00302B15">
            <w:pPr>
              <w:pStyle w:val="NormalWeb"/>
              <w:spacing w:line="360" w:lineRule="auto"/>
              <w:rPr>
                <w:rFonts w:ascii="Calibri" w:hAnsi="Calibri" w:cs="Calibri"/>
                <w:sz w:val="14"/>
                <w:szCs w:val="14"/>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2D875A94"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18110B2"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tcPr>
          <w:p w14:paraId="77C298F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Total</w:t>
            </w:r>
          </w:p>
        </w:tc>
        <w:tc>
          <w:tcPr>
            <w:tcW w:w="732" w:type="dxa"/>
            <w:tcBorders>
              <w:top w:val="single" w:sz="4" w:space="0" w:color="auto"/>
              <w:left w:val="single" w:sz="4" w:space="0" w:color="auto"/>
              <w:bottom w:val="single" w:sz="4" w:space="0" w:color="auto"/>
              <w:right w:val="single" w:sz="4" w:space="0" w:color="auto"/>
            </w:tcBorders>
          </w:tcPr>
          <w:p w14:paraId="7F739BE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1436.30</w:t>
            </w:r>
          </w:p>
        </w:tc>
        <w:tc>
          <w:tcPr>
            <w:tcW w:w="783" w:type="dxa"/>
            <w:tcBorders>
              <w:top w:val="single" w:sz="4" w:space="0" w:color="auto"/>
              <w:left w:val="single" w:sz="4" w:space="0" w:color="auto"/>
              <w:bottom w:val="single" w:sz="4" w:space="0" w:color="auto"/>
              <w:right w:val="single" w:sz="4" w:space="0" w:color="auto"/>
            </w:tcBorders>
          </w:tcPr>
          <w:p w14:paraId="11314BD5" w14:textId="77777777" w:rsidR="00217F47" w:rsidRPr="00217F47" w:rsidRDefault="00217F47" w:rsidP="00302B15">
            <w:pPr>
              <w:pStyle w:val="NormalWeb"/>
              <w:spacing w:line="360" w:lineRule="auto"/>
              <w:jc w:val="center"/>
              <w:rPr>
                <w:rFonts w:ascii="Calibri" w:hAnsi="Calibri" w:cs="Calibri"/>
                <w:sz w:val="14"/>
                <w:szCs w:val="14"/>
              </w:rPr>
            </w:pPr>
          </w:p>
        </w:tc>
        <w:tc>
          <w:tcPr>
            <w:tcW w:w="783" w:type="dxa"/>
            <w:tcBorders>
              <w:top w:val="single" w:sz="4" w:space="0" w:color="auto"/>
              <w:left w:val="single" w:sz="4" w:space="0" w:color="auto"/>
              <w:bottom w:val="single" w:sz="4" w:space="0" w:color="auto"/>
              <w:right w:val="single" w:sz="4" w:space="0" w:color="auto"/>
            </w:tcBorders>
          </w:tcPr>
          <w:p w14:paraId="2B36EC8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682.66</w:t>
            </w:r>
          </w:p>
        </w:tc>
        <w:tc>
          <w:tcPr>
            <w:tcW w:w="627" w:type="dxa"/>
            <w:tcBorders>
              <w:top w:val="single" w:sz="4" w:space="0" w:color="auto"/>
              <w:left w:val="single" w:sz="4" w:space="0" w:color="auto"/>
              <w:bottom w:val="single" w:sz="4" w:space="0" w:color="auto"/>
              <w:right w:val="single" w:sz="4" w:space="0" w:color="auto"/>
            </w:tcBorders>
          </w:tcPr>
          <w:p w14:paraId="751D52E1" w14:textId="77777777" w:rsidR="00217F47" w:rsidRPr="00217F47" w:rsidRDefault="00217F47" w:rsidP="00302B15">
            <w:pPr>
              <w:pStyle w:val="NormalWeb"/>
              <w:spacing w:line="360" w:lineRule="auto"/>
              <w:rPr>
                <w:rFonts w:ascii="Calibri" w:hAnsi="Calibri" w:cs="Calibri"/>
                <w:sz w:val="14"/>
                <w:szCs w:val="14"/>
              </w:rPr>
            </w:pPr>
          </w:p>
        </w:tc>
        <w:tc>
          <w:tcPr>
            <w:tcW w:w="453" w:type="dxa"/>
            <w:tcBorders>
              <w:top w:val="single" w:sz="4" w:space="0" w:color="auto"/>
              <w:left w:val="single" w:sz="4" w:space="0" w:color="auto"/>
              <w:bottom w:val="single" w:sz="4" w:space="0" w:color="auto"/>
              <w:right w:val="single" w:sz="4" w:space="0" w:color="auto"/>
            </w:tcBorders>
          </w:tcPr>
          <w:p w14:paraId="01017F66" w14:textId="77777777" w:rsidR="00217F47" w:rsidRPr="00217F47" w:rsidRDefault="00217F47" w:rsidP="00302B15">
            <w:pPr>
              <w:pStyle w:val="NormalWeb"/>
              <w:spacing w:line="360" w:lineRule="auto"/>
              <w:rPr>
                <w:rFonts w:ascii="Calibri" w:hAnsi="Calibri" w:cs="Calibri"/>
                <w:sz w:val="14"/>
                <w:szCs w:val="14"/>
              </w:rPr>
            </w:pPr>
          </w:p>
        </w:tc>
      </w:tr>
    </w:tbl>
    <w:p w14:paraId="5B94D058" w14:textId="77777777" w:rsidR="00561F99" w:rsidRDefault="00DD1ADD" w:rsidP="00217F47">
      <w:pPr>
        <w:pStyle w:val="NormalWeb"/>
        <w:spacing w:after="0" w:afterAutospacing="0"/>
        <w:jc w:val="both"/>
        <w:rPr>
          <w:rFonts w:ascii="Calibri" w:hAnsi="Calibri" w:cs="Calibri"/>
          <w:sz w:val="18"/>
          <w:szCs w:val="18"/>
        </w:rPr>
      </w:pPr>
      <w:r>
        <w:rPr>
          <w:rFonts w:ascii="Calibri" w:hAnsi="Calibri" w:cs="Calibri"/>
          <w:b/>
          <w:bCs/>
          <w:noProof/>
          <w:sz w:val="18"/>
          <w:szCs w:val="18"/>
          <w14:ligatures w14:val="standardContextual"/>
        </w:rPr>
        <w:drawing>
          <wp:inline distT="0" distB="0" distL="0" distR="0" wp14:anchorId="6A1DC46F" wp14:editId="31072DC2">
            <wp:extent cx="2941955" cy="1778000"/>
            <wp:effectExtent l="0" t="0" r="0" b="0"/>
            <wp:docPr id="6633419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41966" name="Picture 6633419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1955" cy="1778000"/>
                    </a:xfrm>
                    <a:prstGeom prst="rect">
                      <a:avLst/>
                    </a:prstGeom>
                  </pic:spPr>
                </pic:pic>
              </a:graphicData>
            </a:graphic>
          </wp:inline>
        </w:drawing>
      </w:r>
    </w:p>
    <w:p w14:paraId="52DC9AC5" w14:textId="49160C93" w:rsidR="000C6A9C" w:rsidRDefault="00561F99" w:rsidP="00561F99">
      <w:pPr>
        <w:pStyle w:val="NormalWeb"/>
        <w:spacing w:after="0" w:afterAutospacing="0"/>
        <w:jc w:val="center"/>
        <w:rPr>
          <w:rFonts w:ascii="Calibri" w:hAnsi="Calibri" w:cs="Calibri"/>
          <w:sz w:val="18"/>
          <w:szCs w:val="18"/>
        </w:rPr>
      </w:pPr>
      <w:r>
        <w:rPr>
          <w:rFonts w:ascii="Calibri" w:hAnsi="Calibri" w:cs="Calibri"/>
          <w:sz w:val="18"/>
          <w:szCs w:val="18"/>
        </w:rPr>
        <w:t>Figure 3</w:t>
      </w:r>
      <w:r w:rsidR="00DD1ADD" w:rsidRPr="00DD1ADD">
        <w:rPr>
          <w:rFonts w:ascii="Calibri" w:hAnsi="Calibri" w:cs="Calibri"/>
          <w:sz w:val="18"/>
          <w:szCs w:val="18"/>
        </w:rPr>
        <w:t>: Particle-size distribution of coarse and fine aggregates compared with EFNARC grading envelope.</w:t>
      </w:r>
    </w:p>
    <w:p w14:paraId="1C1D555B" w14:textId="40F0971A" w:rsidR="00561F99" w:rsidRPr="00561F99" w:rsidRDefault="00561F99" w:rsidP="00217F47">
      <w:pPr>
        <w:pStyle w:val="NormalWeb"/>
        <w:spacing w:after="0" w:afterAutospacing="0"/>
        <w:jc w:val="both"/>
        <w:rPr>
          <w:sz w:val="18"/>
          <w:szCs w:val="18"/>
        </w:rPr>
      </w:pPr>
      <w:r w:rsidRPr="00561F99">
        <w:rPr>
          <w:rFonts w:ascii="Calibri" w:hAnsi="Calibri" w:cs="Calibri"/>
          <w:sz w:val="18"/>
          <w:szCs w:val="18"/>
        </w:rPr>
        <w:t>Figure 3 shows the particle size distribution (PSD) of both coarse and fine aggregates used in the SCC mix. The PSD was compared with the recommended grading envelopes by EFNARC (2002), which ensures optimal flowability and packing density for self-compacting concrete. The aggregate gradation used in this study falls within the recommended envelope, validating its suitability for SCC applications</w:t>
      </w:r>
      <w:r w:rsidRPr="00561F99">
        <w:rPr>
          <w:sz w:val="18"/>
          <w:szCs w:val="18"/>
        </w:rPr>
        <w:t>.</w:t>
      </w:r>
    </w:p>
    <w:p w14:paraId="4F0FEBED" w14:textId="78F4653C" w:rsidR="00217F47" w:rsidRPr="00217F47" w:rsidRDefault="00217F47" w:rsidP="00217F47">
      <w:pPr>
        <w:pStyle w:val="NormalWeb"/>
        <w:spacing w:after="0" w:afterAutospacing="0"/>
        <w:jc w:val="both"/>
        <w:rPr>
          <w:rFonts w:ascii="Calibri" w:hAnsi="Calibri" w:cs="Calibri"/>
          <w:b/>
          <w:bCs/>
          <w:sz w:val="18"/>
          <w:szCs w:val="18"/>
        </w:rPr>
      </w:pPr>
      <w:r w:rsidRPr="00217F47">
        <w:rPr>
          <w:rFonts w:ascii="Calibri" w:hAnsi="Calibri" w:cs="Calibri"/>
          <w:b/>
          <w:bCs/>
          <w:sz w:val="18"/>
          <w:szCs w:val="18"/>
        </w:rPr>
        <w:t>Tests for Coarse Aggregate</w:t>
      </w:r>
      <w:r>
        <w:rPr>
          <w:rFonts w:ascii="Calibri" w:hAnsi="Calibri" w:cs="Calibri"/>
          <w:b/>
          <w:bCs/>
          <w:sz w:val="18"/>
          <w:szCs w:val="18"/>
        </w:rPr>
        <w:t xml:space="preserve">: </w:t>
      </w:r>
      <w:r w:rsidRPr="00217F47">
        <w:rPr>
          <w:rFonts w:ascii="Calibri" w:hAnsi="Calibri" w:cs="Calibri"/>
          <w:sz w:val="18"/>
          <w:szCs w:val="18"/>
        </w:rPr>
        <w:t>Particles exceeding 4.75 mm are classified as "coarse aggregates." The standard diameter range for these aggregates is between 4.75 mm and 19 mm. They serve to improve the material's strength, ensure even load distribution, and occupy space within the concrete without compromising its integrity.</w:t>
      </w:r>
    </w:p>
    <w:p w14:paraId="30DAC33B" w14:textId="77777777" w:rsidR="00217F47" w:rsidRPr="00217F47" w:rsidRDefault="00217F47" w:rsidP="00217F47">
      <w:pPr>
        <w:pStyle w:val="NormalWeb"/>
        <w:spacing w:after="0" w:afterAutospacing="0"/>
        <w:jc w:val="center"/>
        <w:rPr>
          <w:rFonts w:ascii="Calibri" w:hAnsi="Calibri" w:cs="Calibri"/>
          <w:b/>
          <w:bCs/>
          <w:sz w:val="18"/>
          <w:szCs w:val="18"/>
        </w:rPr>
      </w:pPr>
      <w:r w:rsidRPr="00217F47">
        <w:rPr>
          <w:rFonts w:ascii="Calibri" w:hAnsi="Calibri" w:cs="Calibri"/>
          <w:b/>
          <w:bCs/>
          <w:noProof/>
          <w:sz w:val="18"/>
          <w:szCs w:val="18"/>
        </w:rPr>
        <w:drawing>
          <wp:inline distT="0" distB="0" distL="0" distR="0" wp14:anchorId="053AD422" wp14:editId="59592829">
            <wp:extent cx="1845351" cy="1828800"/>
            <wp:effectExtent l="0" t="0" r="2540" b="0"/>
            <wp:docPr id="26536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61127" name=""/>
                    <pic:cNvPicPr/>
                  </pic:nvPicPr>
                  <pic:blipFill>
                    <a:blip r:embed="rId15"/>
                    <a:stretch>
                      <a:fillRect/>
                    </a:stretch>
                  </pic:blipFill>
                  <pic:spPr>
                    <a:xfrm>
                      <a:off x="0" y="0"/>
                      <a:ext cx="1909754" cy="1892626"/>
                    </a:xfrm>
                    <a:prstGeom prst="rect">
                      <a:avLst/>
                    </a:prstGeom>
                  </pic:spPr>
                </pic:pic>
              </a:graphicData>
            </a:graphic>
          </wp:inline>
        </w:drawing>
      </w:r>
    </w:p>
    <w:p w14:paraId="538089FF" w14:textId="18890F34" w:rsidR="00217F47" w:rsidRPr="00217F47" w:rsidRDefault="00217F47" w:rsidP="00217F47">
      <w:pPr>
        <w:pStyle w:val="NormalWeb"/>
        <w:spacing w:before="0" w:beforeAutospacing="0"/>
        <w:jc w:val="center"/>
        <w:rPr>
          <w:rFonts w:ascii="Calibri" w:hAnsi="Calibri" w:cs="Calibri"/>
          <w:sz w:val="18"/>
          <w:szCs w:val="18"/>
        </w:rPr>
      </w:pPr>
      <w:r w:rsidRPr="00217F47">
        <w:rPr>
          <w:rFonts w:ascii="Calibri" w:hAnsi="Calibri" w:cs="Calibri"/>
          <w:sz w:val="18"/>
          <w:szCs w:val="18"/>
        </w:rPr>
        <w:t xml:space="preserve">Figure </w:t>
      </w:r>
      <w:r>
        <w:rPr>
          <w:rFonts w:ascii="Calibri" w:hAnsi="Calibri" w:cs="Calibri"/>
          <w:sz w:val="18"/>
          <w:szCs w:val="18"/>
        </w:rPr>
        <w:t>2</w:t>
      </w:r>
      <w:r w:rsidRPr="00217F47">
        <w:rPr>
          <w:rFonts w:ascii="Calibri" w:hAnsi="Calibri" w:cs="Calibri"/>
          <w:sz w:val="18"/>
          <w:szCs w:val="18"/>
        </w:rPr>
        <w:t>: Preparation of coarse aggregate</w:t>
      </w:r>
    </w:p>
    <w:p w14:paraId="1B4C3E5B" w14:textId="79BE51BC" w:rsidR="00012B20" w:rsidRPr="00012B20" w:rsidRDefault="00012B20" w:rsidP="00012B20">
      <w:pPr>
        <w:pStyle w:val="NormalWeb"/>
        <w:spacing w:before="0" w:beforeAutospacing="0" w:after="0" w:afterAutospacing="0" w:line="276" w:lineRule="auto"/>
        <w:jc w:val="both"/>
        <w:rPr>
          <w:rFonts w:ascii="Calibri" w:hAnsi="Calibri" w:cs="Calibri"/>
          <w:b/>
          <w:bCs/>
          <w:sz w:val="18"/>
          <w:szCs w:val="18"/>
        </w:rPr>
      </w:pPr>
      <w:r w:rsidRPr="00012B20">
        <w:rPr>
          <w:rFonts w:ascii="Calibri" w:hAnsi="Calibri" w:cs="Calibri"/>
          <w:b/>
          <w:bCs/>
          <w:sz w:val="18"/>
          <w:szCs w:val="18"/>
        </w:rPr>
        <w:t>Unit Weight</w:t>
      </w:r>
      <w:r>
        <w:rPr>
          <w:rFonts w:ascii="Calibri" w:hAnsi="Calibri" w:cs="Calibri"/>
          <w:b/>
          <w:bCs/>
          <w:sz w:val="18"/>
          <w:szCs w:val="18"/>
        </w:rPr>
        <w:t xml:space="preserve">: </w:t>
      </w:r>
      <w:r w:rsidRPr="00012B20">
        <w:rPr>
          <w:rFonts w:ascii="Calibri" w:hAnsi="Calibri" w:cs="Calibri"/>
          <w:sz w:val="18"/>
          <w:szCs w:val="18"/>
        </w:rPr>
        <w:t>In various processes, it is essential to select the proportions for the concrete mixture based on the unit weight of the coarse aggregates. This method can also be utilized to determine the mass-to-volume relationship of the aggregates. This testing procedure adheres to the ASTM C 29 (2017) standard specification, which outlines the requirements for measuring the unit weight of coarse aggregates. Aggregate computation, </w:t>
      </w:r>
    </w:p>
    <w:p w14:paraId="5700DC89"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Dry bulk density, M = </w:t>
      </w:r>
      <m:oMath>
        <m:f>
          <m:fPr>
            <m:ctrlPr>
              <w:rPr>
                <w:rFonts w:ascii="Cambria Math" w:hAnsi="Cambria Math" w:cs="Calibri"/>
                <w:i/>
                <w:sz w:val="18"/>
                <w:szCs w:val="18"/>
              </w:rPr>
            </m:ctrlPr>
          </m:fPr>
          <m:num>
            <m:r>
              <w:rPr>
                <w:rFonts w:ascii="Cambria Math" w:hAnsi="Cambria Math" w:cs="Calibri"/>
                <w:sz w:val="18"/>
                <w:szCs w:val="18"/>
              </w:rPr>
              <m:t>G-T</m:t>
            </m:r>
          </m:num>
          <m:den>
            <m:r>
              <w:rPr>
                <w:rFonts w:ascii="Cambria Math" w:hAnsi="Cambria Math" w:cs="Calibri"/>
                <w:sz w:val="18"/>
                <w:szCs w:val="18"/>
              </w:rPr>
              <m:t>V</m:t>
            </m:r>
          </m:den>
        </m:f>
      </m:oMath>
      <w:r w:rsidRPr="00012B20">
        <w:rPr>
          <w:rFonts w:ascii="Calibri" w:hAnsi="Calibri" w:cs="Calibri"/>
          <w:sz w:val="18"/>
          <w:szCs w:val="18"/>
        </w:rPr>
        <w:t xml:space="preserve"> </w:t>
      </w:r>
    </w:p>
    <w:p w14:paraId="57194571"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Here, </w:t>
      </w:r>
    </w:p>
    <w:p w14:paraId="7F89D970"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G = Measure plus aggregate mass</w:t>
      </w:r>
    </w:p>
    <w:p w14:paraId="66679246"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T = Mass of the measure</w:t>
      </w:r>
    </w:p>
    <w:p w14:paraId="2E63798C"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V = Volume of the measure</w:t>
      </w:r>
    </w:p>
    <w:p w14:paraId="393ABBD6" w14:textId="77777777" w:rsidR="00012B20" w:rsidRPr="00012B20" w:rsidRDefault="00012B20" w:rsidP="00012B20">
      <w:pPr>
        <w:pStyle w:val="NormalWeb"/>
        <w:spacing w:before="0" w:beforeAutospacing="0" w:after="0" w:afterAutospacing="0" w:line="360" w:lineRule="auto"/>
        <w:jc w:val="center"/>
        <w:rPr>
          <w:rFonts w:ascii="Calibri" w:hAnsi="Calibri" w:cs="Calibri"/>
          <w:sz w:val="18"/>
          <w:szCs w:val="18"/>
        </w:rPr>
      </w:pPr>
      <w:r w:rsidRPr="00012B20">
        <w:rPr>
          <w:rFonts w:ascii="Calibri" w:hAnsi="Calibri" w:cs="Calibri"/>
          <w:noProof/>
          <w:sz w:val="18"/>
          <w:szCs w:val="18"/>
        </w:rPr>
        <w:drawing>
          <wp:inline distT="0" distB="0" distL="0" distR="0" wp14:anchorId="76908BA4" wp14:editId="03EA8E4A">
            <wp:extent cx="2252917" cy="2099145"/>
            <wp:effectExtent l="0" t="0" r="0" b="0"/>
            <wp:docPr id="159192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8925" name=""/>
                    <pic:cNvPicPr/>
                  </pic:nvPicPr>
                  <pic:blipFill>
                    <a:blip r:embed="rId16"/>
                    <a:stretch>
                      <a:fillRect/>
                    </a:stretch>
                  </pic:blipFill>
                  <pic:spPr>
                    <a:xfrm>
                      <a:off x="0" y="0"/>
                      <a:ext cx="2257428" cy="2103348"/>
                    </a:xfrm>
                    <a:prstGeom prst="rect">
                      <a:avLst/>
                    </a:prstGeom>
                  </pic:spPr>
                </pic:pic>
              </a:graphicData>
            </a:graphic>
          </wp:inline>
        </w:drawing>
      </w:r>
    </w:p>
    <w:p w14:paraId="1D44E1A0" w14:textId="5C72C3F9" w:rsidR="00012B20" w:rsidRDefault="00012B20" w:rsidP="00012B20">
      <w:pPr>
        <w:pStyle w:val="NormalWeb"/>
        <w:spacing w:before="0" w:beforeAutospacing="0" w:after="0" w:afterAutospacing="0" w:line="360" w:lineRule="auto"/>
        <w:jc w:val="center"/>
        <w:rPr>
          <w:rFonts w:ascii="Calibri" w:hAnsi="Calibri" w:cs="Calibri"/>
          <w:sz w:val="18"/>
          <w:szCs w:val="18"/>
        </w:rPr>
      </w:pPr>
      <w:r w:rsidRPr="00012B20">
        <w:rPr>
          <w:rFonts w:ascii="Calibri" w:hAnsi="Calibri" w:cs="Calibri"/>
          <w:sz w:val="18"/>
          <w:szCs w:val="18"/>
        </w:rPr>
        <w:t xml:space="preserve">Figure </w:t>
      </w:r>
      <w:r w:rsidR="00561F99">
        <w:rPr>
          <w:rFonts w:ascii="Calibri" w:hAnsi="Calibri" w:cs="Calibri"/>
          <w:sz w:val="18"/>
          <w:szCs w:val="18"/>
        </w:rPr>
        <w:t>4</w:t>
      </w:r>
      <w:r w:rsidRPr="00012B20">
        <w:rPr>
          <w:rFonts w:ascii="Calibri" w:hAnsi="Calibri" w:cs="Calibri"/>
          <w:sz w:val="18"/>
          <w:szCs w:val="18"/>
        </w:rPr>
        <w:t>: Unit weight analysis of coarse aggregate</w:t>
      </w:r>
      <w:r>
        <w:rPr>
          <w:rFonts w:ascii="Calibri" w:hAnsi="Calibri" w:cs="Calibri"/>
          <w:sz w:val="18"/>
          <w:szCs w:val="18"/>
        </w:rPr>
        <w:t>.</w:t>
      </w:r>
    </w:p>
    <w:p w14:paraId="3C05FCEB" w14:textId="39B05336" w:rsidR="00012B20" w:rsidRPr="00012B20" w:rsidRDefault="00012B20" w:rsidP="00012B20">
      <w:pPr>
        <w:pStyle w:val="NormalWeb"/>
        <w:spacing w:before="0" w:beforeAutospacing="0" w:after="0" w:afterAutospacing="0"/>
        <w:jc w:val="both"/>
        <w:rPr>
          <w:rFonts w:ascii="Calibri" w:hAnsi="Calibri" w:cs="Calibri"/>
          <w:b/>
          <w:bCs/>
          <w:i/>
          <w:iCs/>
          <w:sz w:val="18"/>
          <w:szCs w:val="18"/>
        </w:rPr>
      </w:pPr>
      <w:r w:rsidRPr="00012B20">
        <w:rPr>
          <w:rFonts w:ascii="Calibri" w:hAnsi="Calibri" w:cs="Calibri"/>
          <w:b/>
          <w:bCs/>
          <w:sz w:val="18"/>
          <w:szCs w:val="18"/>
        </w:rPr>
        <w:t>Absorption Capacity:</w:t>
      </w:r>
      <w:r>
        <w:rPr>
          <w:rFonts w:ascii="Calibri" w:hAnsi="Calibri" w:cs="Calibri"/>
          <w:b/>
          <w:bCs/>
          <w:i/>
          <w:iCs/>
          <w:sz w:val="18"/>
          <w:szCs w:val="18"/>
        </w:rPr>
        <w:t xml:space="preserve"> </w:t>
      </w:r>
      <w:r w:rsidRPr="00012B20">
        <w:rPr>
          <w:rFonts w:ascii="Calibri" w:hAnsi="Calibri" w:cs="Calibri"/>
          <w:sz w:val="18"/>
          <w:szCs w:val="18"/>
        </w:rPr>
        <w:t xml:space="preserve">The ASTM C127 (2015) standard testing procedure was employed to determine the </w:t>
      </w:r>
      <w:r w:rsidR="00DD1ADD">
        <w:rPr>
          <w:rFonts w:ascii="Calibri" w:hAnsi="Calibri" w:cs="Calibri"/>
          <w:sz w:val="18"/>
          <w:szCs w:val="18"/>
        </w:rPr>
        <w:t>coarse aggregate's absorption capacity. Table 1 of Chapter IV summarizes the coarse aggregate's absorption capacities</w:t>
      </w:r>
      <w:r w:rsidRPr="00012B20">
        <w:rPr>
          <w:rFonts w:ascii="Calibri" w:hAnsi="Calibri" w:cs="Calibri"/>
          <w:sz w:val="18"/>
          <w:szCs w:val="18"/>
        </w:rPr>
        <w:t>. The appendix includes the calculations related to this test. The absorption capacity is represented as.</w:t>
      </w:r>
    </w:p>
    <w:p w14:paraId="4CC48F33" w14:textId="3D95FA0E"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Percentage of absorption capacity = </w:t>
      </w:r>
      <m:oMath>
        <m:f>
          <m:fPr>
            <m:ctrlPr>
              <w:rPr>
                <w:rFonts w:ascii="Cambria Math" w:hAnsi="Cambria Math" w:cs="Calibri"/>
                <w:i/>
                <w:sz w:val="18"/>
                <w:szCs w:val="18"/>
              </w:rPr>
            </m:ctrlPr>
          </m:fPr>
          <m:num>
            <m:r>
              <w:rPr>
                <w:rFonts w:ascii="Cambria Math" w:hAnsi="Cambria Math" w:cs="Calibri"/>
                <w:sz w:val="18"/>
                <w:szCs w:val="18"/>
              </w:rPr>
              <m:t>B-A</m:t>
            </m:r>
          </m:num>
          <m:den>
            <m:r>
              <w:rPr>
                <w:rFonts w:ascii="Cambria Math" w:hAnsi="Cambria Math" w:cs="Calibri"/>
                <w:sz w:val="18"/>
                <w:szCs w:val="18"/>
              </w:rPr>
              <m:t>A</m:t>
            </m:r>
          </m:den>
        </m:f>
        <m:r>
          <w:rPr>
            <w:rFonts w:ascii="Cambria Math" w:hAnsi="Cambria Math" w:cs="Calibri"/>
            <w:sz w:val="18"/>
            <w:szCs w:val="18"/>
          </w:rPr>
          <m:t>*100</m:t>
        </m:r>
      </m:oMath>
    </w:p>
    <w:p w14:paraId="2BB66A79" w14:textId="1E7F3DF6"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lastRenderedPageBreak/>
        <w:t xml:space="preserve">                Here,</w:t>
      </w:r>
    </w:p>
    <w:p w14:paraId="101F80B9" w14:textId="500F1C46"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w:t>
      </w:r>
      <w:r>
        <w:rPr>
          <w:rFonts w:ascii="Calibri" w:hAnsi="Calibri" w:cs="Calibri"/>
          <w:sz w:val="18"/>
          <w:szCs w:val="18"/>
        </w:rPr>
        <w:t xml:space="preserve"> </w:t>
      </w:r>
      <w:r w:rsidRPr="00012B20">
        <w:rPr>
          <w:rFonts w:ascii="Calibri" w:hAnsi="Calibri" w:cs="Calibri"/>
          <w:sz w:val="18"/>
          <w:szCs w:val="18"/>
        </w:rPr>
        <w:t xml:space="preserve">     A = Oven dry test sample weight in the air</w:t>
      </w:r>
    </w:p>
    <w:p w14:paraId="2399E7BD" w14:textId="6D796DA3"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B = Saturated surface dry test sample weight in air</w:t>
      </w:r>
    </w:p>
    <w:p w14:paraId="625C0FC8"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p>
    <w:p w14:paraId="00D6487F"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3F216C37" wp14:editId="2BDA3CA5">
            <wp:extent cx="1036205" cy="928468"/>
            <wp:effectExtent l="0" t="0" r="0" b="5080"/>
            <wp:docPr id="1969770797" name="Picture 1" descr="A person's hands putting a piece of red brick into a b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70797" name="Picture 1" descr="A person's hands putting a piece of red brick into a bag&#10;&#10;Description automatically generated with medium confidence"/>
                    <pic:cNvPicPr/>
                  </pic:nvPicPr>
                  <pic:blipFill>
                    <a:blip r:embed="rId17"/>
                    <a:stretch>
                      <a:fillRect/>
                    </a:stretch>
                  </pic:blipFill>
                  <pic:spPr>
                    <a:xfrm>
                      <a:off x="0" y="0"/>
                      <a:ext cx="1045438" cy="936741"/>
                    </a:xfrm>
                    <a:prstGeom prst="rect">
                      <a:avLst/>
                    </a:prstGeom>
                  </pic:spPr>
                </pic:pic>
              </a:graphicData>
            </a:graphic>
          </wp:inline>
        </w:drawing>
      </w:r>
      <w:r w:rsidRPr="00012B20">
        <w:rPr>
          <w:rFonts w:ascii="Calibri" w:hAnsi="Calibri" w:cs="Calibri"/>
          <w:sz w:val="18"/>
          <w:szCs w:val="18"/>
        </w:rPr>
        <w:t xml:space="preserve">            </w:t>
      </w:r>
      <w:r w:rsidRPr="00012B20">
        <w:rPr>
          <w:rFonts w:ascii="Calibri" w:hAnsi="Calibri" w:cs="Calibri"/>
          <w:noProof/>
          <w:sz w:val="18"/>
          <w:szCs w:val="18"/>
        </w:rPr>
        <w:drawing>
          <wp:inline distT="0" distB="0" distL="0" distR="0" wp14:anchorId="6772975A" wp14:editId="730BCFC5">
            <wp:extent cx="1048043" cy="928564"/>
            <wp:effectExtent l="0" t="0" r="0" b="5080"/>
            <wp:docPr id="1452364129" name="Picture 3" descr="A pile of rocks with paper and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4129" name="Picture 3" descr="A pile of rocks with paper and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4003" cy="942705"/>
                    </a:xfrm>
                    <a:prstGeom prst="rect">
                      <a:avLst/>
                    </a:prstGeom>
                    <a:noFill/>
                  </pic:spPr>
                </pic:pic>
              </a:graphicData>
            </a:graphic>
          </wp:inline>
        </w:drawing>
      </w:r>
    </w:p>
    <w:p w14:paraId="37A7E5A3" w14:textId="3B51F5C6"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 xml:space="preserve">Figure </w:t>
      </w:r>
      <w:r w:rsidR="00561F99">
        <w:rPr>
          <w:rFonts w:ascii="Calibri" w:hAnsi="Calibri" w:cs="Calibri"/>
          <w:sz w:val="18"/>
          <w:szCs w:val="18"/>
        </w:rPr>
        <w:t>5</w:t>
      </w:r>
      <w:r w:rsidRPr="00012B20">
        <w:rPr>
          <w:rFonts w:ascii="Calibri" w:hAnsi="Calibri" w:cs="Calibri"/>
          <w:sz w:val="18"/>
          <w:szCs w:val="18"/>
        </w:rPr>
        <w:t>: Water absorption capacity analysis of coarse aggregate</w:t>
      </w:r>
    </w:p>
    <w:p w14:paraId="42546A6B" w14:textId="77777777" w:rsidR="00012B20" w:rsidRPr="00012B20" w:rsidRDefault="00012B20" w:rsidP="00012B20">
      <w:pPr>
        <w:pStyle w:val="NormalWeb"/>
        <w:spacing w:before="0" w:beforeAutospacing="0" w:after="0" w:afterAutospacing="0" w:line="360" w:lineRule="auto"/>
        <w:rPr>
          <w:rFonts w:ascii="Calibri" w:hAnsi="Calibri" w:cs="Calibri"/>
          <w:sz w:val="18"/>
          <w:szCs w:val="18"/>
        </w:rPr>
      </w:pPr>
    </w:p>
    <w:p w14:paraId="05D78CDB" w14:textId="72601271" w:rsidR="00012B20" w:rsidRPr="00012B20" w:rsidRDefault="00012B20" w:rsidP="00012B20">
      <w:pPr>
        <w:pStyle w:val="NormalWeb"/>
        <w:spacing w:before="0" w:beforeAutospacing="0" w:after="0" w:afterAutospacing="0"/>
        <w:rPr>
          <w:rFonts w:ascii="Calibri" w:hAnsi="Calibri" w:cs="Calibri"/>
          <w:b/>
          <w:bCs/>
          <w:sz w:val="18"/>
          <w:szCs w:val="18"/>
        </w:rPr>
      </w:pPr>
      <w:r w:rsidRPr="00012B20">
        <w:rPr>
          <w:rFonts w:ascii="Calibri" w:hAnsi="Calibri" w:cs="Calibri"/>
          <w:b/>
          <w:bCs/>
          <w:sz w:val="18"/>
          <w:szCs w:val="18"/>
        </w:rPr>
        <w:t>Bulk Specific Gravity:</w:t>
      </w:r>
      <w:r>
        <w:rPr>
          <w:rFonts w:ascii="Calibri" w:hAnsi="Calibri" w:cs="Calibri"/>
          <w:b/>
          <w:bCs/>
          <w:sz w:val="18"/>
          <w:szCs w:val="18"/>
        </w:rPr>
        <w:t xml:space="preserve"> </w:t>
      </w:r>
      <w:r w:rsidRPr="00012B20">
        <w:rPr>
          <w:rFonts w:ascii="Calibri" w:hAnsi="Calibri" w:cs="Calibri"/>
          <w:sz w:val="18"/>
          <w:szCs w:val="18"/>
        </w:rPr>
        <w:t xml:space="preserve">This testing procedure adheres to the ASTM C 127 (2015) standard specification. Chapter IV provides a compilation of specific gravity values for coarse aggregates. Additionally, the appendix includes the calculations relevant to this test. The bulk specific gravity is determined as follows.                 Bulk specific gravity (SSD basis) = </w:t>
      </w:r>
      <m:oMath>
        <m:f>
          <m:fPr>
            <m:ctrlPr>
              <w:rPr>
                <w:rFonts w:ascii="Cambria Math" w:hAnsi="Cambria Math" w:cs="Calibri"/>
                <w:i/>
                <w:sz w:val="18"/>
                <w:szCs w:val="18"/>
              </w:rPr>
            </m:ctrlPr>
          </m:fPr>
          <m:num>
            <m:r>
              <w:rPr>
                <w:rFonts w:ascii="Cambria Math" w:hAnsi="Cambria Math" w:cs="Calibri"/>
                <w:sz w:val="18"/>
                <w:szCs w:val="18"/>
              </w:rPr>
              <m:t>B</m:t>
            </m:r>
          </m:num>
          <m:den>
            <m:r>
              <w:rPr>
                <w:rFonts w:ascii="Cambria Math" w:hAnsi="Cambria Math" w:cs="Calibri"/>
                <w:sz w:val="18"/>
                <w:szCs w:val="18"/>
              </w:rPr>
              <m:t>B-C</m:t>
            </m:r>
          </m:den>
        </m:f>
      </m:oMath>
    </w:p>
    <w:p w14:paraId="39437078"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Here,</w:t>
      </w:r>
    </w:p>
    <w:p w14:paraId="6B3E8D4C"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B = Weight of SSD test sample in air</w:t>
      </w:r>
    </w:p>
    <w:p w14:paraId="59BF976A"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C = Weight of saturated test sample in air</w:t>
      </w:r>
    </w:p>
    <w:p w14:paraId="2620B29F"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49ADA6F4" wp14:editId="7E67294B">
            <wp:extent cx="1055677" cy="1180618"/>
            <wp:effectExtent l="0" t="0" r="0" b="635"/>
            <wp:docPr id="46151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0591" name=""/>
                    <pic:cNvPicPr/>
                  </pic:nvPicPr>
                  <pic:blipFill>
                    <a:blip r:embed="rId19"/>
                    <a:stretch>
                      <a:fillRect/>
                    </a:stretch>
                  </pic:blipFill>
                  <pic:spPr>
                    <a:xfrm>
                      <a:off x="0" y="0"/>
                      <a:ext cx="1089882" cy="1218871"/>
                    </a:xfrm>
                    <a:prstGeom prst="rect">
                      <a:avLst/>
                    </a:prstGeom>
                  </pic:spPr>
                </pic:pic>
              </a:graphicData>
            </a:graphic>
          </wp:inline>
        </w:drawing>
      </w:r>
      <w:r w:rsidRPr="00012B20">
        <w:rPr>
          <w:rFonts w:ascii="Calibri" w:hAnsi="Calibri" w:cs="Calibri"/>
          <w:sz w:val="18"/>
          <w:szCs w:val="18"/>
        </w:rPr>
        <w:t xml:space="preserve">         </w:t>
      </w:r>
      <w:r w:rsidRPr="00012B20">
        <w:rPr>
          <w:rFonts w:ascii="Calibri" w:hAnsi="Calibri" w:cs="Calibri"/>
          <w:noProof/>
          <w:sz w:val="18"/>
          <w:szCs w:val="18"/>
        </w:rPr>
        <w:drawing>
          <wp:inline distT="0" distB="0" distL="0" distR="0" wp14:anchorId="3A26E7AC" wp14:editId="4923BFF6">
            <wp:extent cx="1327817" cy="1155536"/>
            <wp:effectExtent l="0" t="0" r="5715" b="6985"/>
            <wp:docPr id="124936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67353" name=""/>
                    <pic:cNvPicPr/>
                  </pic:nvPicPr>
                  <pic:blipFill>
                    <a:blip r:embed="rId20"/>
                    <a:stretch>
                      <a:fillRect/>
                    </a:stretch>
                  </pic:blipFill>
                  <pic:spPr>
                    <a:xfrm>
                      <a:off x="0" y="0"/>
                      <a:ext cx="1349500" cy="1174406"/>
                    </a:xfrm>
                    <a:prstGeom prst="rect">
                      <a:avLst/>
                    </a:prstGeom>
                  </pic:spPr>
                </pic:pic>
              </a:graphicData>
            </a:graphic>
          </wp:inline>
        </w:drawing>
      </w:r>
    </w:p>
    <w:p w14:paraId="014BE146" w14:textId="1BB878AF" w:rsidR="00217F47"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Figure</w:t>
      </w:r>
      <w:r w:rsidR="00561F99">
        <w:rPr>
          <w:rFonts w:ascii="Calibri" w:hAnsi="Calibri" w:cs="Calibri"/>
          <w:sz w:val="18"/>
          <w:szCs w:val="18"/>
        </w:rPr>
        <w:t xml:space="preserve"> 6:</w:t>
      </w:r>
      <w:r w:rsidRPr="00012B20">
        <w:rPr>
          <w:rFonts w:ascii="Calibri" w:hAnsi="Calibri" w:cs="Calibri"/>
          <w:sz w:val="18"/>
          <w:szCs w:val="18"/>
        </w:rPr>
        <w:t xml:space="preserve"> Bulk specific gravity analysis of coarse aggregate</w:t>
      </w:r>
    </w:p>
    <w:p w14:paraId="3C2AF925"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p>
    <w:p w14:paraId="660E1C5A" w14:textId="0EFA85F4" w:rsidR="00012B20" w:rsidRPr="00012B20" w:rsidRDefault="00012B20" w:rsidP="00012B20">
      <w:pPr>
        <w:pStyle w:val="NormalWeb"/>
        <w:spacing w:before="0" w:beforeAutospacing="0" w:after="0" w:afterAutospacing="0"/>
        <w:jc w:val="both"/>
        <w:rPr>
          <w:rFonts w:ascii="Calibri" w:hAnsi="Calibri" w:cs="Calibri"/>
          <w:b/>
          <w:bCs/>
          <w:sz w:val="18"/>
          <w:szCs w:val="18"/>
        </w:rPr>
      </w:pPr>
      <w:r w:rsidRPr="00012B20">
        <w:rPr>
          <w:rFonts w:ascii="Calibri" w:hAnsi="Calibri" w:cs="Calibri"/>
          <w:b/>
          <w:bCs/>
          <w:sz w:val="18"/>
          <w:szCs w:val="18"/>
        </w:rPr>
        <w:t>Tests for Fine Aggregate</w:t>
      </w:r>
      <w:r>
        <w:rPr>
          <w:rFonts w:ascii="Calibri" w:hAnsi="Calibri" w:cs="Calibri"/>
          <w:sz w:val="18"/>
          <w:szCs w:val="18"/>
        </w:rPr>
        <w:t xml:space="preserve">: </w:t>
      </w:r>
      <w:r w:rsidRPr="00012B20">
        <w:rPr>
          <w:rFonts w:ascii="Calibri" w:hAnsi="Calibri" w:cs="Calibri"/>
          <w:sz w:val="18"/>
          <w:szCs w:val="18"/>
        </w:rPr>
        <w:t xml:space="preserve">Fine aggregate is defined as any material that can pass through a No. 4 sieve. River sand, a specific type of fine aggregate, is </w:t>
      </w:r>
      <w:r w:rsidR="00561F99">
        <w:rPr>
          <w:rFonts w:ascii="Calibri" w:hAnsi="Calibri" w:cs="Calibri"/>
          <w:sz w:val="18"/>
          <w:szCs w:val="18"/>
        </w:rPr>
        <w:t xml:space="preserve">found </w:t>
      </w:r>
      <w:r w:rsidRPr="00012B20">
        <w:rPr>
          <w:rFonts w:ascii="Calibri" w:hAnsi="Calibri" w:cs="Calibri"/>
          <w:sz w:val="18"/>
          <w:szCs w:val="18"/>
        </w:rPr>
        <w:t>in river streams and along riverbanks, and it is created through the erosion caused by water currents.</w:t>
      </w:r>
    </w:p>
    <w:p w14:paraId="46629F9B"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077BAD05" wp14:editId="334E4EDC">
            <wp:extent cx="1307940" cy="1288775"/>
            <wp:effectExtent l="0" t="0" r="6985" b="6985"/>
            <wp:docPr id="28234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8477" name=""/>
                    <pic:cNvPicPr/>
                  </pic:nvPicPr>
                  <pic:blipFill>
                    <a:blip r:embed="rId21"/>
                    <a:stretch>
                      <a:fillRect/>
                    </a:stretch>
                  </pic:blipFill>
                  <pic:spPr>
                    <a:xfrm>
                      <a:off x="0" y="0"/>
                      <a:ext cx="1334388" cy="1314835"/>
                    </a:xfrm>
                    <a:prstGeom prst="rect">
                      <a:avLst/>
                    </a:prstGeom>
                  </pic:spPr>
                </pic:pic>
              </a:graphicData>
            </a:graphic>
          </wp:inline>
        </w:drawing>
      </w:r>
    </w:p>
    <w:p w14:paraId="5091E143" w14:textId="51AE27AF"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Figure 6: Preparation of fine aggregate</w:t>
      </w:r>
    </w:p>
    <w:p w14:paraId="23C54F7F" w14:textId="77777777" w:rsidR="000D0629" w:rsidRDefault="00850F82" w:rsidP="000D0629">
      <w:pPr>
        <w:pStyle w:val="NormalWeb"/>
        <w:spacing w:before="0" w:beforeAutospacing="0" w:after="0" w:afterAutospacing="0"/>
        <w:jc w:val="both"/>
        <w:rPr>
          <w:rFonts w:ascii="Calibri" w:hAnsi="Calibri" w:cs="Calibri"/>
          <w:sz w:val="18"/>
          <w:szCs w:val="18"/>
        </w:rPr>
      </w:pPr>
      <w:r w:rsidRPr="000D0629">
        <w:rPr>
          <w:rFonts w:ascii="Calibri" w:hAnsi="Calibri" w:cs="Calibri"/>
          <w:b/>
          <w:bCs/>
          <w:sz w:val="18"/>
          <w:szCs w:val="18"/>
        </w:rPr>
        <w:t>Fineness Modulus</w:t>
      </w:r>
      <w:r w:rsidR="000D0629" w:rsidRPr="000D0629">
        <w:rPr>
          <w:rFonts w:ascii="Calibri" w:hAnsi="Calibri" w:cs="Calibri"/>
          <w:sz w:val="18"/>
          <w:szCs w:val="18"/>
        </w:rPr>
        <w:t>:</w:t>
      </w:r>
      <w:r w:rsidR="000D0629">
        <w:rPr>
          <w:rFonts w:ascii="Calibri" w:hAnsi="Calibri" w:cs="Calibri"/>
          <w:sz w:val="18"/>
          <w:szCs w:val="18"/>
        </w:rPr>
        <w:t xml:space="preserve"> </w:t>
      </w:r>
      <w:r w:rsidR="000D0629" w:rsidRPr="000D0629">
        <w:rPr>
          <w:rFonts w:ascii="Calibri" w:hAnsi="Calibri" w:cs="Calibri"/>
          <w:sz w:val="18"/>
          <w:szCs w:val="18"/>
        </w:rPr>
        <w:t>The ASTM C136 specification requires that the fineness modulus (FM) of river sand be maintained within the range of 2.3 to 3.2. This range is essential for effectively filling the voids between coarse aggregates, thereby facilitating the workability of high-strength concrete. To evaluate the fineness of the sand, standard sieve sizes including No. 4, No. 8, No. 16, as well as Nos. 30, 50, and 100 were employed. Furthermore, the calculation for fine aggregate is presented below.</w:t>
      </w:r>
    </w:p>
    <w:p w14:paraId="03AE323E" w14:textId="5283C264" w:rsidR="00850F82" w:rsidRPr="00850F82" w:rsidRDefault="00850F82" w:rsidP="000D0629">
      <w:pPr>
        <w:pStyle w:val="NormalWeb"/>
        <w:spacing w:before="0" w:beforeAutospacing="0" w:after="0" w:afterAutospacing="0"/>
        <w:jc w:val="both"/>
        <w:rPr>
          <w:rFonts w:ascii="Calibri" w:hAnsi="Calibri" w:cs="Calibri"/>
          <w:sz w:val="18"/>
          <w:szCs w:val="18"/>
        </w:rPr>
      </w:pPr>
      <w:r w:rsidRPr="00850F82">
        <w:rPr>
          <w:rFonts w:ascii="Calibri" w:hAnsi="Calibri" w:cs="Calibri"/>
          <w:sz w:val="18"/>
          <w:szCs w:val="18"/>
        </w:rPr>
        <w:t xml:space="preserve">     FM = </w:t>
      </w:r>
      <m:oMath>
        <m:f>
          <m:fPr>
            <m:ctrlPr>
              <w:rPr>
                <w:rFonts w:ascii="Cambria Math" w:hAnsi="Cambria Math" w:cs="Calibri"/>
                <w:i/>
                <w:sz w:val="18"/>
                <w:szCs w:val="18"/>
              </w:rPr>
            </m:ctrlPr>
          </m:fPr>
          <m:num>
            <m:r>
              <w:rPr>
                <w:rFonts w:ascii="Cambria Math" w:hAnsi="Cambria Math" w:cs="Calibri"/>
                <w:sz w:val="18"/>
                <w:szCs w:val="18"/>
              </w:rPr>
              <m:t>( sum of cummulative weight of retained )</m:t>
            </m:r>
          </m:num>
          <m:den>
            <m:r>
              <w:rPr>
                <w:rFonts w:ascii="Cambria Math" w:hAnsi="Cambria Math" w:cs="Calibri"/>
                <w:sz w:val="18"/>
                <w:szCs w:val="18"/>
              </w:rPr>
              <m:t>100</m:t>
            </m:r>
          </m:den>
        </m:f>
      </m:oMath>
    </w:p>
    <w:p w14:paraId="0DBA50CA" w14:textId="77777777" w:rsidR="00850F82" w:rsidRPr="00217F47" w:rsidRDefault="00850F82" w:rsidP="00850F82">
      <w:pPr>
        <w:pStyle w:val="NormalWeb"/>
        <w:spacing w:before="0" w:beforeAutospacing="0" w:after="0" w:afterAutospacing="0" w:line="276" w:lineRule="auto"/>
        <w:jc w:val="both"/>
        <w:rPr>
          <w:rFonts w:ascii="Calibri" w:hAnsi="Calibri" w:cs="Calibri"/>
          <w:sz w:val="18"/>
          <w:szCs w:val="18"/>
        </w:rPr>
      </w:pPr>
    </w:p>
    <w:p w14:paraId="3FB9FC7F" w14:textId="77777777" w:rsidR="00850F82" w:rsidRPr="00217F47" w:rsidRDefault="00850F82" w:rsidP="00850F82">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noProof/>
          <w:sz w:val="18"/>
          <w:szCs w:val="18"/>
        </w:rPr>
        <w:drawing>
          <wp:inline distT="0" distB="0" distL="0" distR="0" wp14:anchorId="1C228DC7" wp14:editId="118EB113">
            <wp:extent cx="1228729" cy="1135030"/>
            <wp:effectExtent l="0" t="0" r="0" b="8255"/>
            <wp:docPr id="90268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42"/>
                    <a:stretch/>
                  </pic:blipFill>
                  <pic:spPr bwMode="auto">
                    <a:xfrm>
                      <a:off x="0" y="0"/>
                      <a:ext cx="1278393" cy="1180907"/>
                    </a:xfrm>
                    <a:prstGeom prst="rect">
                      <a:avLst/>
                    </a:prstGeom>
                    <a:noFill/>
                    <a:ln>
                      <a:noFill/>
                    </a:ln>
                    <a:extLst>
                      <a:ext uri="{53640926-AAD7-44D8-BBD7-CCE9431645EC}">
                        <a14:shadowObscured xmlns:a14="http://schemas.microsoft.com/office/drawing/2010/main"/>
                      </a:ext>
                    </a:extLst>
                  </pic:spPr>
                </pic:pic>
              </a:graphicData>
            </a:graphic>
          </wp:inline>
        </w:drawing>
      </w:r>
    </w:p>
    <w:p w14:paraId="5D1866EE" w14:textId="1462E644" w:rsidR="00850F82" w:rsidRDefault="00850F82" w:rsidP="00850F82">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sz w:val="18"/>
          <w:szCs w:val="18"/>
        </w:rPr>
        <w:t xml:space="preserve">Figure </w:t>
      </w:r>
      <w:r w:rsidR="000D0629">
        <w:rPr>
          <w:rFonts w:ascii="Calibri" w:hAnsi="Calibri" w:cs="Calibri"/>
          <w:sz w:val="18"/>
          <w:szCs w:val="18"/>
        </w:rPr>
        <w:t>7</w:t>
      </w:r>
      <w:r w:rsidRPr="00217F47">
        <w:rPr>
          <w:rFonts w:ascii="Calibri" w:hAnsi="Calibri" w:cs="Calibri"/>
          <w:sz w:val="18"/>
          <w:szCs w:val="18"/>
        </w:rPr>
        <w:t xml:space="preserve">: Sieve analysis of </w:t>
      </w:r>
      <w:r w:rsidR="000D0629">
        <w:rPr>
          <w:rFonts w:ascii="Calibri" w:hAnsi="Calibri" w:cs="Calibri"/>
          <w:sz w:val="18"/>
          <w:szCs w:val="18"/>
        </w:rPr>
        <w:t xml:space="preserve">fine </w:t>
      </w:r>
      <w:r w:rsidRPr="00217F47">
        <w:rPr>
          <w:rFonts w:ascii="Calibri" w:hAnsi="Calibri" w:cs="Calibri"/>
          <w:sz w:val="18"/>
          <w:szCs w:val="18"/>
        </w:rPr>
        <w:t>aggregate</w:t>
      </w:r>
    </w:p>
    <w:p w14:paraId="3C2FA79B" w14:textId="038BF765" w:rsidR="00012B20" w:rsidRPr="000D0629" w:rsidRDefault="00850F82" w:rsidP="000D0629">
      <w:pPr>
        <w:pStyle w:val="NormalWeb"/>
        <w:spacing w:after="0" w:afterAutospacing="0" w:line="360" w:lineRule="auto"/>
        <w:jc w:val="center"/>
        <w:rPr>
          <w:rFonts w:ascii="Calibri" w:hAnsi="Calibri" w:cs="Calibri"/>
          <w:sz w:val="18"/>
          <w:szCs w:val="18"/>
        </w:rPr>
      </w:pPr>
      <w:r w:rsidRPr="00217F47">
        <w:rPr>
          <w:rFonts w:ascii="Calibri" w:hAnsi="Calibri" w:cs="Calibri"/>
          <w:sz w:val="18"/>
          <w:szCs w:val="18"/>
        </w:rPr>
        <w:t xml:space="preserve">Table </w:t>
      </w:r>
      <w:r w:rsidR="00195F21">
        <w:rPr>
          <w:rFonts w:ascii="Calibri" w:hAnsi="Calibri" w:cs="Calibri"/>
          <w:sz w:val="18"/>
          <w:szCs w:val="18"/>
        </w:rPr>
        <w:t>2</w:t>
      </w:r>
      <w:r w:rsidRPr="00217F47">
        <w:rPr>
          <w:rFonts w:ascii="Calibri" w:hAnsi="Calibri" w:cs="Calibri"/>
          <w:sz w:val="18"/>
          <w:szCs w:val="18"/>
        </w:rPr>
        <w:t xml:space="preserve">: </w:t>
      </w:r>
      <w:r w:rsidR="000D0629">
        <w:rPr>
          <w:rFonts w:ascii="Calibri" w:hAnsi="Calibri" w:cs="Calibri"/>
          <w:sz w:val="18"/>
          <w:szCs w:val="18"/>
        </w:rPr>
        <w:t>Fineness Modulus of Fine Aggregate</w:t>
      </w:r>
    </w:p>
    <w:tbl>
      <w:tblPr>
        <w:tblStyle w:val="TableGrid0"/>
        <w:tblW w:w="4468" w:type="dxa"/>
        <w:tblLook w:val="04A0" w:firstRow="1" w:lastRow="0" w:firstColumn="1" w:lastColumn="0" w:noHBand="0" w:noVBand="1"/>
      </w:tblPr>
      <w:tblGrid>
        <w:gridCol w:w="537"/>
        <w:gridCol w:w="802"/>
        <w:gridCol w:w="888"/>
        <w:gridCol w:w="888"/>
        <w:gridCol w:w="614"/>
        <w:gridCol w:w="739"/>
      </w:tblGrid>
      <w:tr w:rsidR="000D0629" w:rsidRPr="008041EC" w14:paraId="57EA971A" w14:textId="77777777" w:rsidTr="000D0629">
        <w:trPr>
          <w:trHeight w:val="1174"/>
        </w:trPr>
        <w:tc>
          <w:tcPr>
            <w:tcW w:w="537"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3448D18C"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Sieve Size (mm)</w:t>
            </w:r>
          </w:p>
        </w:tc>
        <w:tc>
          <w:tcPr>
            <w:tcW w:w="802"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3754E4E0"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Individual Weight Retained (gm)</w:t>
            </w:r>
          </w:p>
        </w:tc>
        <w:tc>
          <w:tcPr>
            <w:tcW w:w="888"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19FFA4F2"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Cumulative Weight Retained (gm)</w:t>
            </w:r>
          </w:p>
        </w:tc>
        <w:tc>
          <w:tcPr>
            <w:tcW w:w="888"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45D0A52B"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 Cumulative Weight</w:t>
            </w:r>
            <w:r w:rsidRPr="00E73192">
              <w:rPr>
                <w:rFonts w:ascii="Calibri" w:hAnsi="Calibri" w:cs="Calibri"/>
                <w:b/>
                <w:sz w:val="14"/>
                <w:szCs w:val="14"/>
              </w:rPr>
              <w:br/>
              <w:t>Retained</w:t>
            </w:r>
          </w:p>
        </w:tc>
        <w:tc>
          <w:tcPr>
            <w:tcW w:w="614"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435B52BF"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 Finer</w:t>
            </w:r>
          </w:p>
        </w:tc>
        <w:tc>
          <w:tcPr>
            <w:tcW w:w="739"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1E344FEA"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Fineness Modulus</w:t>
            </w:r>
            <w:r w:rsidRPr="00E73192">
              <w:rPr>
                <w:rFonts w:ascii="Calibri" w:hAnsi="Calibri" w:cs="Calibri"/>
                <w:b/>
                <w:sz w:val="14"/>
                <w:szCs w:val="14"/>
              </w:rPr>
              <w:br/>
              <w:t>(FM)</w:t>
            </w:r>
          </w:p>
        </w:tc>
      </w:tr>
      <w:tr w:rsidR="000D0629" w:rsidRPr="008041EC" w14:paraId="4266EE4F"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5DB3AB2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4.75</w:t>
            </w:r>
          </w:p>
        </w:tc>
        <w:tc>
          <w:tcPr>
            <w:tcW w:w="802" w:type="dxa"/>
            <w:tcBorders>
              <w:top w:val="single" w:sz="4" w:space="0" w:color="auto"/>
              <w:left w:val="single" w:sz="4" w:space="0" w:color="auto"/>
              <w:bottom w:val="single" w:sz="4" w:space="0" w:color="auto"/>
              <w:right w:val="single" w:sz="4" w:space="0" w:color="auto"/>
            </w:tcBorders>
            <w:hideMark/>
          </w:tcPr>
          <w:p w14:paraId="50B9771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w:t>
            </w:r>
          </w:p>
        </w:tc>
        <w:tc>
          <w:tcPr>
            <w:tcW w:w="888" w:type="dxa"/>
            <w:tcBorders>
              <w:top w:val="single" w:sz="4" w:space="0" w:color="auto"/>
              <w:left w:val="single" w:sz="4" w:space="0" w:color="auto"/>
              <w:bottom w:val="single" w:sz="4" w:space="0" w:color="auto"/>
              <w:right w:val="single" w:sz="4" w:space="0" w:color="auto"/>
            </w:tcBorders>
            <w:hideMark/>
          </w:tcPr>
          <w:p w14:paraId="761AA69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w:t>
            </w:r>
          </w:p>
        </w:tc>
        <w:tc>
          <w:tcPr>
            <w:tcW w:w="888" w:type="dxa"/>
            <w:tcBorders>
              <w:top w:val="single" w:sz="4" w:space="0" w:color="auto"/>
              <w:left w:val="single" w:sz="4" w:space="0" w:color="auto"/>
              <w:bottom w:val="single" w:sz="4" w:space="0" w:color="auto"/>
              <w:right w:val="single" w:sz="4" w:space="0" w:color="auto"/>
            </w:tcBorders>
            <w:hideMark/>
          </w:tcPr>
          <w:p w14:paraId="7775C4A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1.02</w:t>
            </w:r>
          </w:p>
        </w:tc>
        <w:tc>
          <w:tcPr>
            <w:tcW w:w="614" w:type="dxa"/>
            <w:tcBorders>
              <w:top w:val="single" w:sz="4" w:space="0" w:color="auto"/>
              <w:left w:val="single" w:sz="4" w:space="0" w:color="auto"/>
              <w:bottom w:val="single" w:sz="4" w:space="0" w:color="auto"/>
              <w:right w:val="single" w:sz="4" w:space="0" w:color="auto"/>
            </w:tcBorders>
            <w:hideMark/>
          </w:tcPr>
          <w:p w14:paraId="7C05ED6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98.984</w:t>
            </w:r>
          </w:p>
        </w:tc>
        <w:tc>
          <w:tcPr>
            <w:tcW w:w="739" w:type="dxa"/>
            <w:vMerge w:val="restart"/>
            <w:tcBorders>
              <w:top w:val="single" w:sz="4" w:space="0" w:color="auto"/>
              <w:left w:val="single" w:sz="4" w:space="0" w:color="auto"/>
              <w:bottom w:val="single" w:sz="4" w:space="0" w:color="auto"/>
              <w:right w:val="single" w:sz="4" w:space="0" w:color="auto"/>
            </w:tcBorders>
          </w:tcPr>
          <w:p w14:paraId="0A71147C" w14:textId="77777777" w:rsidR="000D0629" w:rsidRPr="00E73192" w:rsidRDefault="000D0629" w:rsidP="00302B15">
            <w:pPr>
              <w:pStyle w:val="NormalWeb"/>
              <w:spacing w:line="360" w:lineRule="auto"/>
              <w:jc w:val="center"/>
              <w:rPr>
                <w:rFonts w:ascii="Calibri" w:hAnsi="Calibri" w:cs="Calibri"/>
                <w:sz w:val="14"/>
                <w:szCs w:val="14"/>
              </w:rPr>
            </w:pPr>
          </w:p>
          <w:p w14:paraId="2F2B95F7" w14:textId="77777777" w:rsidR="000D0629" w:rsidRPr="00E73192" w:rsidRDefault="000D0629" w:rsidP="00302B15">
            <w:pPr>
              <w:pStyle w:val="NormalWeb"/>
              <w:spacing w:line="360" w:lineRule="auto"/>
              <w:jc w:val="center"/>
              <w:rPr>
                <w:rFonts w:ascii="Calibri" w:hAnsi="Calibri" w:cs="Calibri"/>
                <w:sz w:val="14"/>
                <w:szCs w:val="14"/>
              </w:rPr>
            </w:pPr>
          </w:p>
          <w:p w14:paraId="3624F20F"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2.912</w:t>
            </w:r>
          </w:p>
        </w:tc>
      </w:tr>
      <w:tr w:rsidR="000D0629" w:rsidRPr="008041EC" w14:paraId="70C65441"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01D123C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2.36</w:t>
            </w:r>
          </w:p>
        </w:tc>
        <w:tc>
          <w:tcPr>
            <w:tcW w:w="802" w:type="dxa"/>
            <w:tcBorders>
              <w:top w:val="single" w:sz="4" w:space="0" w:color="auto"/>
              <w:left w:val="single" w:sz="4" w:space="0" w:color="auto"/>
              <w:bottom w:val="single" w:sz="4" w:space="0" w:color="auto"/>
              <w:right w:val="single" w:sz="4" w:space="0" w:color="auto"/>
            </w:tcBorders>
            <w:hideMark/>
          </w:tcPr>
          <w:p w14:paraId="4F55F29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38.9</w:t>
            </w:r>
          </w:p>
        </w:tc>
        <w:tc>
          <w:tcPr>
            <w:tcW w:w="888" w:type="dxa"/>
            <w:tcBorders>
              <w:top w:val="single" w:sz="4" w:space="0" w:color="auto"/>
              <w:left w:val="single" w:sz="4" w:space="0" w:color="auto"/>
              <w:bottom w:val="single" w:sz="4" w:space="0" w:color="auto"/>
              <w:right w:val="single" w:sz="4" w:space="0" w:color="auto"/>
            </w:tcBorders>
            <w:hideMark/>
          </w:tcPr>
          <w:p w14:paraId="2F48634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47.9</w:t>
            </w:r>
          </w:p>
        </w:tc>
        <w:tc>
          <w:tcPr>
            <w:tcW w:w="888" w:type="dxa"/>
            <w:tcBorders>
              <w:top w:val="single" w:sz="4" w:space="0" w:color="auto"/>
              <w:left w:val="single" w:sz="4" w:space="0" w:color="auto"/>
              <w:bottom w:val="single" w:sz="4" w:space="0" w:color="auto"/>
              <w:right w:val="single" w:sz="4" w:space="0" w:color="auto"/>
            </w:tcBorders>
            <w:hideMark/>
          </w:tcPr>
          <w:p w14:paraId="07154BCD"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5.40</w:t>
            </w:r>
          </w:p>
        </w:tc>
        <w:tc>
          <w:tcPr>
            <w:tcW w:w="614" w:type="dxa"/>
            <w:tcBorders>
              <w:top w:val="single" w:sz="4" w:space="0" w:color="auto"/>
              <w:left w:val="single" w:sz="4" w:space="0" w:color="auto"/>
              <w:bottom w:val="single" w:sz="4" w:space="0" w:color="auto"/>
              <w:right w:val="single" w:sz="4" w:space="0" w:color="auto"/>
            </w:tcBorders>
            <w:hideMark/>
          </w:tcPr>
          <w:p w14:paraId="5709A301"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94.594</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27BF4BA9"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41B0FB0B"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039B34DB"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1.18</w:t>
            </w:r>
          </w:p>
        </w:tc>
        <w:tc>
          <w:tcPr>
            <w:tcW w:w="802" w:type="dxa"/>
            <w:tcBorders>
              <w:top w:val="single" w:sz="4" w:space="0" w:color="auto"/>
              <w:left w:val="single" w:sz="4" w:space="0" w:color="auto"/>
              <w:bottom w:val="single" w:sz="4" w:space="0" w:color="auto"/>
              <w:right w:val="single" w:sz="4" w:space="0" w:color="auto"/>
            </w:tcBorders>
            <w:hideMark/>
          </w:tcPr>
          <w:p w14:paraId="7447771E"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132.8</w:t>
            </w:r>
          </w:p>
        </w:tc>
        <w:tc>
          <w:tcPr>
            <w:tcW w:w="888" w:type="dxa"/>
            <w:tcBorders>
              <w:top w:val="single" w:sz="4" w:space="0" w:color="auto"/>
              <w:left w:val="single" w:sz="4" w:space="0" w:color="auto"/>
              <w:bottom w:val="single" w:sz="4" w:space="0" w:color="auto"/>
              <w:right w:val="single" w:sz="4" w:space="0" w:color="auto"/>
            </w:tcBorders>
            <w:hideMark/>
          </w:tcPr>
          <w:p w14:paraId="74B1B7A0"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180.7</w:t>
            </w:r>
          </w:p>
        </w:tc>
        <w:tc>
          <w:tcPr>
            <w:tcW w:w="888" w:type="dxa"/>
            <w:tcBorders>
              <w:top w:val="single" w:sz="4" w:space="0" w:color="auto"/>
              <w:left w:val="single" w:sz="4" w:space="0" w:color="auto"/>
              <w:bottom w:val="single" w:sz="4" w:space="0" w:color="auto"/>
              <w:right w:val="single" w:sz="4" w:space="0" w:color="auto"/>
            </w:tcBorders>
            <w:hideMark/>
          </w:tcPr>
          <w:p w14:paraId="60DE6D8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20.39</w:t>
            </w:r>
          </w:p>
        </w:tc>
        <w:tc>
          <w:tcPr>
            <w:tcW w:w="614" w:type="dxa"/>
            <w:tcBorders>
              <w:top w:val="single" w:sz="4" w:space="0" w:color="auto"/>
              <w:left w:val="single" w:sz="4" w:space="0" w:color="auto"/>
              <w:bottom w:val="single" w:sz="4" w:space="0" w:color="auto"/>
              <w:right w:val="single" w:sz="4" w:space="0" w:color="auto"/>
            </w:tcBorders>
            <w:hideMark/>
          </w:tcPr>
          <w:p w14:paraId="501CF6B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79.605</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02318B13"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00C20668"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3D9BB61B"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0.6</w:t>
            </w:r>
          </w:p>
        </w:tc>
        <w:tc>
          <w:tcPr>
            <w:tcW w:w="802" w:type="dxa"/>
            <w:tcBorders>
              <w:top w:val="single" w:sz="4" w:space="0" w:color="auto"/>
              <w:left w:val="single" w:sz="4" w:space="0" w:color="auto"/>
              <w:bottom w:val="single" w:sz="4" w:space="0" w:color="auto"/>
              <w:right w:val="single" w:sz="4" w:space="0" w:color="auto"/>
            </w:tcBorders>
            <w:hideMark/>
          </w:tcPr>
          <w:p w14:paraId="19A603E0"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477.7</w:t>
            </w:r>
          </w:p>
        </w:tc>
        <w:tc>
          <w:tcPr>
            <w:tcW w:w="888" w:type="dxa"/>
            <w:tcBorders>
              <w:top w:val="single" w:sz="4" w:space="0" w:color="auto"/>
              <w:left w:val="single" w:sz="4" w:space="0" w:color="auto"/>
              <w:bottom w:val="single" w:sz="4" w:space="0" w:color="auto"/>
              <w:right w:val="single" w:sz="4" w:space="0" w:color="auto"/>
            </w:tcBorders>
            <w:hideMark/>
          </w:tcPr>
          <w:p w14:paraId="10EF689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658.4</w:t>
            </w:r>
          </w:p>
        </w:tc>
        <w:tc>
          <w:tcPr>
            <w:tcW w:w="888" w:type="dxa"/>
            <w:tcBorders>
              <w:top w:val="single" w:sz="4" w:space="0" w:color="auto"/>
              <w:left w:val="single" w:sz="4" w:space="0" w:color="auto"/>
              <w:bottom w:val="single" w:sz="4" w:space="0" w:color="auto"/>
              <w:right w:val="single" w:sz="4" w:space="0" w:color="auto"/>
            </w:tcBorders>
            <w:hideMark/>
          </w:tcPr>
          <w:p w14:paraId="4B8C35E2"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74.31</w:t>
            </w:r>
          </w:p>
        </w:tc>
        <w:tc>
          <w:tcPr>
            <w:tcW w:w="614" w:type="dxa"/>
            <w:tcBorders>
              <w:top w:val="single" w:sz="4" w:space="0" w:color="auto"/>
              <w:left w:val="single" w:sz="4" w:space="0" w:color="auto"/>
              <w:bottom w:val="single" w:sz="4" w:space="0" w:color="auto"/>
              <w:right w:val="single" w:sz="4" w:space="0" w:color="auto"/>
            </w:tcBorders>
            <w:hideMark/>
          </w:tcPr>
          <w:p w14:paraId="5CFBEE73"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25.688</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47F79954"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5FF47309"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2E7C83EC"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0.3</w:t>
            </w:r>
          </w:p>
        </w:tc>
        <w:tc>
          <w:tcPr>
            <w:tcW w:w="802" w:type="dxa"/>
            <w:tcBorders>
              <w:top w:val="single" w:sz="4" w:space="0" w:color="auto"/>
              <w:left w:val="single" w:sz="4" w:space="0" w:color="auto"/>
              <w:bottom w:val="single" w:sz="4" w:space="0" w:color="auto"/>
              <w:right w:val="single" w:sz="4" w:space="0" w:color="auto"/>
            </w:tcBorders>
            <w:hideMark/>
          </w:tcPr>
          <w:p w14:paraId="79DDBACA"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140</w:t>
            </w:r>
          </w:p>
        </w:tc>
        <w:tc>
          <w:tcPr>
            <w:tcW w:w="888" w:type="dxa"/>
            <w:tcBorders>
              <w:top w:val="single" w:sz="4" w:space="0" w:color="auto"/>
              <w:left w:val="single" w:sz="4" w:space="0" w:color="auto"/>
              <w:bottom w:val="single" w:sz="4" w:space="0" w:color="auto"/>
              <w:right w:val="single" w:sz="4" w:space="0" w:color="auto"/>
            </w:tcBorders>
            <w:hideMark/>
          </w:tcPr>
          <w:p w14:paraId="4A53DCB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798.4</w:t>
            </w:r>
          </w:p>
        </w:tc>
        <w:tc>
          <w:tcPr>
            <w:tcW w:w="888" w:type="dxa"/>
            <w:tcBorders>
              <w:top w:val="single" w:sz="4" w:space="0" w:color="auto"/>
              <w:left w:val="single" w:sz="4" w:space="0" w:color="auto"/>
              <w:bottom w:val="single" w:sz="4" w:space="0" w:color="auto"/>
              <w:right w:val="single" w:sz="4" w:space="0" w:color="auto"/>
            </w:tcBorders>
            <w:hideMark/>
          </w:tcPr>
          <w:p w14:paraId="0E474E59"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90.11</w:t>
            </w:r>
          </w:p>
        </w:tc>
        <w:tc>
          <w:tcPr>
            <w:tcW w:w="614" w:type="dxa"/>
            <w:tcBorders>
              <w:top w:val="single" w:sz="4" w:space="0" w:color="auto"/>
              <w:left w:val="single" w:sz="4" w:space="0" w:color="auto"/>
              <w:bottom w:val="single" w:sz="4" w:space="0" w:color="auto"/>
              <w:right w:val="single" w:sz="4" w:space="0" w:color="auto"/>
            </w:tcBorders>
            <w:hideMark/>
          </w:tcPr>
          <w:p w14:paraId="6095551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9.887</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5BEE4C5D"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1051ACB7"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3FEE05A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0.15</w:t>
            </w:r>
          </w:p>
        </w:tc>
        <w:tc>
          <w:tcPr>
            <w:tcW w:w="802" w:type="dxa"/>
            <w:tcBorders>
              <w:top w:val="single" w:sz="4" w:space="0" w:color="auto"/>
              <w:left w:val="single" w:sz="4" w:space="0" w:color="auto"/>
              <w:bottom w:val="single" w:sz="4" w:space="0" w:color="auto"/>
              <w:right w:val="single" w:sz="4" w:space="0" w:color="auto"/>
            </w:tcBorders>
            <w:hideMark/>
          </w:tcPr>
          <w:p w14:paraId="295B81EE"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87.6</w:t>
            </w:r>
          </w:p>
        </w:tc>
        <w:tc>
          <w:tcPr>
            <w:tcW w:w="888" w:type="dxa"/>
            <w:tcBorders>
              <w:top w:val="single" w:sz="4" w:space="0" w:color="auto"/>
              <w:left w:val="single" w:sz="4" w:space="0" w:color="auto"/>
              <w:bottom w:val="single" w:sz="4" w:space="0" w:color="auto"/>
              <w:right w:val="single" w:sz="4" w:space="0" w:color="auto"/>
            </w:tcBorders>
            <w:hideMark/>
          </w:tcPr>
          <w:p w14:paraId="36944C0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886</w:t>
            </w:r>
          </w:p>
        </w:tc>
        <w:tc>
          <w:tcPr>
            <w:tcW w:w="888" w:type="dxa"/>
            <w:tcBorders>
              <w:top w:val="single" w:sz="4" w:space="0" w:color="auto"/>
              <w:left w:val="single" w:sz="4" w:space="0" w:color="auto"/>
              <w:bottom w:val="single" w:sz="4" w:space="0" w:color="auto"/>
              <w:right w:val="single" w:sz="4" w:space="0" w:color="auto"/>
            </w:tcBorders>
            <w:hideMark/>
          </w:tcPr>
          <w:p w14:paraId="72353D5F"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100.00</w:t>
            </w:r>
          </w:p>
        </w:tc>
        <w:tc>
          <w:tcPr>
            <w:tcW w:w="614" w:type="dxa"/>
            <w:tcBorders>
              <w:top w:val="single" w:sz="4" w:space="0" w:color="auto"/>
              <w:left w:val="single" w:sz="4" w:space="0" w:color="auto"/>
              <w:bottom w:val="single" w:sz="4" w:space="0" w:color="auto"/>
              <w:right w:val="single" w:sz="4" w:space="0" w:color="auto"/>
            </w:tcBorders>
            <w:hideMark/>
          </w:tcPr>
          <w:p w14:paraId="7F805261"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0.85</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78E55097"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4E4EE740"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285BA5B3"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Pan</w:t>
            </w:r>
          </w:p>
        </w:tc>
        <w:tc>
          <w:tcPr>
            <w:tcW w:w="802" w:type="dxa"/>
            <w:tcBorders>
              <w:top w:val="single" w:sz="4" w:space="0" w:color="auto"/>
              <w:left w:val="single" w:sz="4" w:space="0" w:color="auto"/>
              <w:bottom w:val="single" w:sz="4" w:space="0" w:color="auto"/>
              <w:right w:val="single" w:sz="4" w:space="0" w:color="auto"/>
            </w:tcBorders>
            <w:hideMark/>
          </w:tcPr>
          <w:p w14:paraId="5EF086DD"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w:t>
            </w:r>
          </w:p>
        </w:tc>
        <w:tc>
          <w:tcPr>
            <w:tcW w:w="888" w:type="dxa"/>
            <w:tcBorders>
              <w:top w:val="single" w:sz="4" w:space="0" w:color="auto"/>
              <w:left w:val="single" w:sz="4" w:space="0" w:color="auto"/>
              <w:bottom w:val="single" w:sz="4" w:space="0" w:color="auto"/>
              <w:right w:val="single" w:sz="4" w:space="0" w:color="auto"/>
            </w:tcBorders>
          </w:tcPr>
          <w:p w14:paraId="4C72A706" w14:textId="77777777" w:rsidR="000D0629" w:rsidRPr="00E73192" w:rsidRDefault="000D0629" w:rsidP="00302B15">
            <w:pPr>
              <w:pStyle w:val="NormalWeb"/>
              <w:spacing w:line="360" w:lineRule="auto"/>
              <w:jc w:val="center"/>
              <w:rPr>
                <w:rFonts w:ascii="Calibri" w:hAnsi="Calibri" w:cs="Calibri"/>
                <w:sz w:val="14"/>
                <w:szCs w:val="14"/>
              </w:rPr>
            </w:pPr>
          </w:p>
        </w:tc>
        <w:tc>
          <w:tcPr>
            <w:tcW w:w="888" w:type="dxa"/>
            <w:tcBorders>
              <w:top w:val="single" w:sz="4" w:space="0" w:color="auto"/>
              <w:left w:val="single" w:sz="4" w:space="0" w:color="auto"/>
              <w:bottom w:val="single" w:sz="4" w:space="0" w:color="auto"/>
              <w:right w:val="single" w:sz="4" w:space="0" w:color="auto"/>
            </w:tcBorders>
          </w:tcPr>
          <w:p w14:paraId="657E69BE" w14:textId="77777777" w:rsidR="000D0629" w:rsidRPr="00E73192" w:rsidRDefault="000D0629" w:rsidP="00302B15">
            <w:pPr>
              <w:pStyle w:val="NormalWeb"/>
              <w:spacing w:line="360" w:lineRule="auto"/>
              <w:jc w:val="center"/>
              <w:rPr>
                <w:rFonts w:ascii="Calibri" w:hAnsi="Calibri" w:cs="Calibri"/>
                <w:sz w:val="14"/>
                <w:szCs w:val="14"/>
              </w:rPr>
            </w:pPr>
          </w:p>
        </w:tc>
        <w:tc>
          <w:tcPr>
            <w:tcW w:w="614" w:type="dxa"/>
            <w:tcBorders>
              <w:top w:val="single" w:sz="4" w:space="0" w:color="auto"/>
              <w:left w:val="single" w:sz="4" w:space="0" w:color="auto"/>
              <w:bottom w:val="single" w:sz="4" w:space="0" w:color="auto"/>
              <w:right w:val="single" w:sz="4" w:space="0" w:color="auto"/>
            </w:tcBorders>
          </w:tcPr>
          <w:p w14:paraId="3DAB92B0" w14:textId="77777777" w:rsidR="000D0629" w:rsidRPr="00E73192" w:rsidRDefault="000D0629" w:rsidP="00302B15">
            <w:pPr>
              <w:pStyle w:val="NormalWeb"/>
              <w:spacing w:line="360" w:lineRule="auto"/>
              <w:jc w:val="center"/>
              <w:rPr>
                <w:rFonts w:ascii="Calibri" w:hAnsi="Calibri" w:cs="Calibri"/>
                <w:sz w:val="14"/>
                <w:szCs w:val="14"/>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7A273CA8"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7BB6C5EF"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440A639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Total</w:t>
            </w:r>
          </w:p>
        </w:tc>
        <w:tc>
          <w:tcPr>
            <w:tcW w:w="802" w:type="dxa"/>
            <w:tcBorders>
              <w:top w:val="single" w:sz="4" w:space="0" w:color="auto"/>
              <w:left w:val="single" w:sz="4" w:space="0" w:color="auto"/>
              <w:bottom w:val="single" w:sz="4" w:space="0" w:color="auto"/>
              <w:right w:val="single" w:sz="4" w:space="0" w:color="auto"/>
            </w:tcBorders>
            <w:hideMark/>
          </w:tcPr>
          <w:p w14:paraId="5D9B231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886</w:t>
            </w:r>
          </w:p>
        </w:tc>
        <w:tc>
          <w:tcPr>
            <w:tcW w:w="888" w:type="dxa"/>
            <w:tcBorders>
              <w:top w:val="single" w:sz="4" w:space="0" w:color="auto"/>
              <w:left w:val="single" w:sz="4" w:space="0" w:color="auto"/>
              <w:bottom w:val="single" w:sz="4" w:space="0" w:color="auto"/>
              <w:right w:val="single" w:sz="4" w:space="0" w:color="auto"/>
            </w:tcBorders>
          </w:tcPr>
          <w:p w14:paraId="239E3300" w14:textId="77777777" w:rsidR="000D0629" w:rsidRPr="00E73192" w:rsidRDefault="000D0629" w:rsidP="00302B15">
            <w:pPr>
              <w:pStyle w:val="NormalWeb"/>
              <w:spacing w:line="360" w:lineRule="auto"/>
              <w:jc w:val="center"/>
              <w:rPr>
                <w:rFonts w:ascii="Calibri" w:hAnsi="Calibri" w:cs="Calibri"/>
                <w:sz w:val="14"/>
                <w:szCs w:val="14"/>
              </w:rPr>
            </w:pPr>
          </w:p>
        </w:tc>
        <w:tc>
          <w:tcPr>
            <w:tcW w:w="888" w:type="dxa"/>
            <w:tcBorders>
              <w:top w:val="single" w:sz="4" w:space="0" w:color="auto"/>
              <w:left w:val="single" w:sz="4" w:space="0" w:color="auto"/>
              <w:bottom w:val="single" w:sz="4" w:space="0" w:color="auto"/>
              <w:right w:val="single" w:sz="4" w:space="0" w:color="auto"/>
            </w:tcBorders>
            <w:hideMark/>
          </w:tcPr>
          <w:p w14:paraId="0717545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291.23</w:t>
            </w:r>
          </w:p>
        </w:tc>
        <w:tc>
          <w:tcPr>
            <w:tcW w:w="614" w:type="dxa"/>
            <w:tcBorders>
              <w:top w:val="single" w:sz="4" w:space="0" w:color="auto"/>
              <w:left w:val="single" w:sz="4" w:space="0" w:color="auto"/>
              <w:bottom w:val="single" w:sz="4" w:space="0" w:color="auto"/>
              <w:right w:val="single" w:sz="4" w:space="0" w:color="auto"/>
            </w:tcBorders>
          </w:tcPr>
          <w:p w14:paraId="250ADF60" w14:textId="77777777" w:rsidR="000D0629" w:rsidRPr="00E73192" w:rsidRDefault="000D0629" w:rsidP="00302B15">
            <w:pPr>
              <w:pStyle w:val="NormalWeb"/>
              <w:spacing w:line="360" w:lineRule="auto"/>
              <w:jc w:val="center"/>
              <w:rPr>
                <w:rFonts w:ascii="Calibri" w:hAnsi="Calibri" w:cs="Calibri"/>
                <w:sz w:val="14"/>
                <w:szCs w:val="14"/>
              </w:rPr>
            </w:pPr>
          </w:p>
        </w:tc>
        <w:tc>
          <w:tcPr>
            <w:tcW w:w="739" w:type="dxa"/>
            <w:tcBorders>
              <w:top w:val="single" w:sz="4" w:space="0" w:color="auto"/>
              <w:left w:val="single" w:sz="4" w:space="0" w:color="auto"/>
              <w:bottom w:val="single" w:sz="4" w:space="0" w:color="auto"/>
              <w:right w:val="single" w:sz="4" w:space="0" w:color="auto"/>
            </w:tcBorders>
          </w:tcPr>
          <w:p w14:paraId="2D283CF1" w14:textId="77777777" w:rsidR="000D0629" w:rsidRPr="00E73192" w:rsidRDefault="000D0629" w:rsidP="00302B15">
            <w:pPr>
              <w:pStyle w:val="NormalWeb"/>
              <w:spacing w:line="360" w:lineRule="auto"/>
              <w:rPr>
                <w:rFonts w:ascii="Calibri" w:hAnsi="Calibri" w:cs="Calibri"/>
                <w:sz w:val="14"/>
                <w:szCs w:val="14"/>
              </w:rPr>
            </w:pPr>
          </w:p>
        </w:tc>
      </w:tr>
    </w:tbl>
    <w:p w14:paraId="5C3B5E42" w14:textId="77777777" w:rsidR="000D0629" w:rsidRDefault="000D0629" w:rsidP="001E3615">
      <w:pPr>
        <w:ind w:left="0" w:right="35" w:firstLine="0"/>
      </w:pPr>
    </w:p>
    <w:p w14:paraId="23F27D00" w14:textId="28B21C8D" w:rsidR="001E3615" w:rsidRPr="001E3615" w:rsidRDefault="001E3615" w:rsidP="00195F21">
      <w:pPr>
        <w:pStyle w:val="NormalWeb"/>
        <w:spacing w:before="0" w:beforeAutospacing="0" w:after="0" w:afterAutospacing="0"/>
        <w:jc w:val="both"/>
        <w:rPr>
          <w:rFonts w:ascii="Calibri" w:hAnsi="Calibri" w:cs="Calibri"/>
          <w:sz w:val="18"/>
          <w:szCs w:val="18"/>
        </w:rPr>
      </w:pPr>
      <w:r w:rsidRPr="001E3615">
        <w:rPr>
          <w:rFonts w:ascii="Calibri" w:hAnsi="Calibri" w:cs="Calibri"/>
          <w:b/>
          <w:bCs/>
          <w:sz w:val="18"/>
          <w:szCs w:val="18"/>
        </w:rPr>
        <w:t>Tests for Cement</w:t>
      </w:r>
      <w:r>
        <w:rPr>
          <w:rFonts w:ascii="Calibri" w:hAnsi="Calibri" w:cs="Calibri"/>
          <w:b/>
          <w:bCs/>
          <w:sz w:val="18"/>
          <w:szCs w:val="18"/>
        </w:rPr>
        <w:t xml:space="preserve">: </w:t>
      </w:r>
      <w:r w:rsidRPr="001E3615">
        <w:rPr>
          <w:rFonts w:ascii="Calibri" w:hAnsi="Calibri" w:cs="Calibri"/>
          <w:sz w:val="18"/>
          <w:szCs w:val="18"/>
        </w:rPr>
        <w:t>The duration for which cement remains workable when incorporated into a concrete mixture is referred to as its setting time. The assessment of normal consistency and setting times was conducted utilizing the Vicat apparatus, following the testing protocols established by the ASTM specifications C187 (ASTM C187, 2016) and C191 (ASTM C191, 2019), respectively.</w:t>
      </w:r>
    </w:p>
    <w:p w14:paraId="33F3FBEE" w14:textId="77777777" w:rsidR="001E3615" w:rsidRPr="001E3615" w:rsidRDefault="001E3615" w:rsidP="001E3615">
      <w:pPr>
        <w:pStyle w:val="NormalWeb"/>
        <w:spacing w:before="0" w:beforeAutospacing="0" w:after="0" w:afterAutospacing="0"/>
        <w:jc w:val="both"/>
        <w:rPr>
          <w:rFonts w:ascii="Calibri" w:hAnsi="Calibri" w:cs="Calibri"/>
          <w:noProof/>
          <w:sz w:val="18"/>
          <w:szCs w:val="18"/>
        </w:rPr>
      </w:pPr>
      <w:r w:rsidRPr="001E3615">
        <w:rPr>
          <w:rFonts w:ascii="Calibri" w:hAnsi="Calibri" w:cs="Calibri"/>
          <w:noProof/>
          <w:sz w:val="18"/>
          <w:szCs w:val="18"/>
        </w:rPr>
        <w:t xml:space="preserve">                   </w:t>
      </w:r>
      <w:r w:rsidRPr="001E3615">
        <w:rPr>
          <w:rFonts w:ascii="Calibri" w:hAnsi="Calibri" w:cs="Calibri"/>
          <w:noProof/>
          <w:sz w:val="18"/>
          <w:szCs w:val="18"/>
        </w:rPr>
        <w:drawing>
          <wp:inline distT="0" distB="0" distL="0" distR="0" wp14:anchorId="5FC1FC0C" wp14:editId="065D3ABC">
            <wp:extent cx="1047509" cy="1135081"/>
            <wp:effectExtent l="0" t="0" r="635" b="8255"/>
            <wp:docPr id="9" name="Picture 8">
              <a:extLst xmlns:a="http://schemas.openxmlformats.org/drawingml/2006/main">
                <a:ext uri="{FF2B5EF4-FFF2-40B4-BE49-F238E27FC236}">
                  <a16:creationId xmlns:a16="http://schemas.microsoft.com/office/drawing/2014/main" id="{4484C7C9-6491-728D-F501-4F368ECF5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84C7C9-6491-728D-F501-4F368ECF540C}"/>
                        </a:ext>
                      </a:extLst>
                    </pic:cNvPr>
                    <pic:cNvPicPr>
                      <a:picLocks noChangeAspect="1"/>
                    </pic:cNvPicPr>
                  </pic:nvPicPr>
                  <pic:blipFill>
                    <a:blip r:embed="rId22"/>
                    <a:stretch>
                      <a:fillRect/>
                    </a:stretch>
                  </pic:blipFill>
                  <pic:spPr>
                    <a:xfrm>
                      <a:off x="0" y="0"/>
                      <a:ext cx="1094363" cy="1185852"/>
                    </a:xfrm>
                    <a:prstGeom prst="rect">
                      <a:avLst/>
                    </a:prstGeom>
                  </pic:spPr>
                </pic:pic>
              </a:graphicData>
            </a:graphic>
          </wp:inline>
        </w:drawing>
      </w:r>
      <w:r w:rsidRPr="001E3615">
        <w:rPr>
          <w:rFonts w:ascii="Calibri" w:hAnsi="Calibri" w:cs="Calibri"/>
          <w:noProof/>
          <w:sz w:val="18"/>
          <w:szCs w:val="18"/>
        </w:rPr>
        <w:t xml:space="preserve">            </w:t>
      </w:r>
      <w:r w:rsidRPr="001E3615">
        <w:rPr>
          <w:rFonts w:ascii="Calibri" w:hAnsi="Calibri" w:cs="Calibri"/>
          <w:noProof/>
          <w:sz w:val="18"/>
          <w:szCs w:val="18"/>
        </w:rPr>
        <w:drawing>
          <wp:inline distT="0" distB="0" distL="0" distR="0" wp14:anchorId="0953DE73" wp14:editId="45E4CCDF">
            <wp:extent cx="983848" cy="1138820"/>
            <wp:effectExtent l="0" t="0" r="6985" b="4445"/>
            <wp:docPr id="1548329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89" cy="1181232"/>
                    </a:xfrm>
                    <a:prstGeom prst="rect">
                      <a:avLst/>
                    </a:prstGeom>
                    <a:noFill/>
                  </pic:spPr>
                </pic:pic>
              </a:graphicData>
            </a:graphic>
          </wp:inline>
        </w:drawing>
      </w:r>
    </w:p>
    <w:p w14:paraId="3214B71F" w14:textId="190CD4CF"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sz w:val="18"/>
          <w:szCs w:val="18"/>
        </w:rPr>
        <w:t xml:space="preserve">Figure </w:t>
      </w:r>
      <w:r w:rsidR="00195F21">
        <w:rPr>
          <w:rFonts w:ascii="Calibri" w:hAnsi="Calibri" w:cs="Calibri"/>
          <w:sz w:val="18"/>
          <w:szCs w:val="18"/>
        </w:rPr>
        <w:t>8</w:t>
      </w:r>
      <w:r w:rsidRPr="001E3615">
        <w:rPr>
          <w:rFonts w:ascii="Calibri" w:hAnsi="Calibri" w:cs="Calibri"/>
          <w:sz w:val="18"/>
          <w:szCs w:val="18"/>
        </w:rPr>
        <w:t>: Setting time of OPC</w:t>
      </w:r>
    </w:p>
    <w:p w14:paraId="4A819F0A" w14:textId="1FC995F6" w:rsidR="001E3615" w:rsidRPr="001E3615" w:rsidRDefault="001E3615" w:rsidP="001E3615">
      <w:pPr>
        <w:pStyle w:val="NormalWeb"/>
        <w:spacing w:before="0" w:beforeAutospacing="0" w:after="0" w:afterAutospacing="0"/>
        <w:jc w:val="both"/>
        <w:rPr>
          <w:rFonts w:ascii="Calibri" w:hAnsi="Calibri" w:cs="Calibri"/>
          <w:b/>
          <w:bCs/>
          <w:sz w:val="18"/>
          <w:szCs w:val="18"/>
        </w:rPr>
      </w:pPr>
      <w:r w:rsidRPr="001E3615">
        <w:rPr>
          <w:rFonts w:ascii="Calibri" w:hAnsi="Calibri" w:cs="Calibri"/>
          <w:b/>
          <w:bCs/>
          <w:sz w:val="18"/>
          <w:szCs w:val="18"/>
        </w:rPr>
        <w:t>W</w:t>
      </w:r>
      <w:r>
        <w:rPr>
          <w:rFonts w:ascii="Calibri" w:hAnsi="Calibri" w:cs="Calibri"/>
          <w:b/>
          <w:bCs/>
          <w:sz w:val="18"/>
          <w:szCs w:val="18"/>
        </w:rPr>
        <w:t xml:space="preserve">ater: </w:t>
      </w:r>
      <w:r w:rsidRPr="001E3615">
        <w:rPr>
          <w:rFonts w:ascii="Calibri" w:hAnsi="Calibri" w:cs="Calibri"/>
          <w:sz w:val="18"/>
          <w:szCs w:val="18"/>
        </w:rPr>
        <w:t>Contaminants present in water can negatively impact the setting time, strength, and durability of concrete. To achieve optimal results, it is essential to use clean water that is devoid of harmful concentrations of oils, alkalis, salts, organic substances, or other impurities in the concrete mixing process. In this research, potable tap water was employed in the concrete mixture. According to established regulations and standards, the typical water-cement ratio ranges from 0.4 to 0.45. For this study, a water-cement ratio of 0.45 by weight has been adopted, while ensuring that all other materials are maintained in a saturated surface dry (SSD) condition.</w:t>
      </w:r>
    </w:p>
    <w:p w14:paraId="78555FCD" w14:textId="77777777" w:rsidR="001E3615" w:rsidRDefault="001E3615" w:rsidP="001E3615">
      <w:pPr>
        <w:pStyle w:val="NormalWeb"/>
        <w:spacing w:before="0" w:beforeAutospacing="0" w:after="0" w:afterAutospacing="0"/>
        <w:jc w:val="both"/>
        <w:rPr>
          <w:rFonts w:ascii="Calibri" w:hAnsi="Calibri" w:cs="Calibri"/>
          <w:b/>
          <w:bCs/>
          <w:sz w:val="18"/>
          <w:szCs w:val="18"/>
        </w:rPr>
      </w:pPr>
    </w:p>
    <w:p w14:paraId="634124CD" w14:textId="3141832D" w:rsidR="001E3615" w:rsidRPr="001E3615" w:rsidRDefault="001E3615" w:rsidP="001E3615">
      <w:pPr>
        <w:pStyle w:val="NormalWeb"/>
        <w:spacing w:before="0" w:beforeAutospacing="0" w:after="0" w:afterAutospacing="0"/>
        <w:jc w:val="both"/>
        <w:rPr>
          <w:rFonts w:ascii="Calibri" w:hAnsi="Calibri" w:cs="Calibri"/>
          <w:b/>
          <w:bCs/>
          <w:sz w:val="18"/>
          <w:szCs w:val="18"/>
        </w:rPr>
      </w:pPr>
      <w:r w:rsidRPr="001E3615">
        <w:rPr>
          <w:rFonts w:ascii="Calibri" w:hAnsi="Calibri" w:cs="Calibri"/>
          <w:b/>
          <w:bCs/>
          <w:sz w:val="18"/>
          <w:szCs w:val="18"/>
        </w:rPr>
        <w:t>S</w:t>
      </w:r>
      <w:r>
        <w:rPr>
          <w:rFonts w:ascii="Calibri" w:hAnsi="Calibri" w:cs="Calibri"/>
          <w:b/>
          <w:bCs/>
          <w:sz w:val="18"/>
          <w:szCs w:val="18"/>
        </w:rPr>
        <w:t xml:space="preserve">uperplasticizer: </w:t>
      </w:r>
      <w:r w:rsidR="00AC3D85" w:rsidRPr="00AC3D85">
        <w:rPr>
          <w:rFonts w:ascii="Calibri" w:hAnsi="Calibri" w:cs="Calibri"/>
          <w:sz w:val="18"/>
          <w:szCs w:val="18"/>
        </w:rPr>
        <w:t xml:space="preserve">High-range water reducers, commonly referred to as superplasticizers (SP), serve as additives that enhance the strength of concrete. These plasticizers are chemical agents that enable the formulation of concrete with </w:t>
      </w:r>
      <w:r w:rsidR="00AC3D85" w:rsidRPr="00AC3D85">
        <w:rPr>
          <w:rFonts w:ascii="Calibri" w:hAnsi="Calibri" w:cs="Calibri"/>
          <w:sz w:val="18"/>
          <w:szCs w:val="18"/>
        </w:rPr>
        <w:lastRenderedPageBreak/>
        <w:t xml:space="preserve">approximately 15% less water. The incorporation of supplementary cementitious materials is recognized for the numerous advancements in concrete composites it facilitates, as well as for its economic benefits (Hiroshi </w:t>
      </w:r>
      <w:proofErr w:type="spellStart"/>
      <w:r w:rsidR="00AC3D85" w:rsidRPr="00AC3D85">
        <w:rPr>
          <w:rFonts w:ascii="Calibri" w:hAnsi="Calibri" w:cs="Calibri"/>
          <w:sz w:val="18"/>
          <w:szCs w:val="18"/>
        </w:rPr>
        <w:t>Uchikawa</w:t>
      </w:r>
      <w:proofErr w:type="spellEnd"/>
      <w:r w:rsidR="00AC3D85" w:rsidRPr="00AC3D85">
        <w:rPr>
          <w:rFonts w:ascii="Calibri" w:hAnsi="Calibri" w:cs="Calibri"/>
          <w:sz w:val="18"/>
          <w:szCs w:val="18"/>
        </w:rPr>
        <w:t>, 1995). When compared to concrete composed solely of cement, the inclusion of these mineral admixtures can improve the fluidity of the concrete and diminish the requirement for superplasticizers to achieve a similar slump flow (Yun-Xing Shi, 2004).</w:t>
      </w:r>
    </w:p>
    <w:p w14:paraId="552DB140" w14:textId="77777777"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b/>
          <w:bCs/>
          <w:noProof/>
          <w:sz w:val="18"/>
          <w:szCs w:val="18"/>
        </w:rPr>
        <w:drawing>
          <wp:inline distT="0" distB="0" distL="0" distR="0" wp14:anchorId="744D95B8" wp14:editId="103F1CB9">
            <wp:extent cx="1232703" cy="1663782"/>
            <wp:effectExtent l="0" t="0" r="5715" b="0"/>
            <wp:docPr id="77937326" name="Picture 6" descr="A blue contain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7326" name="Picture 6" descr="A blue container with a labe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646" cy="1674503"/>
                    </a:xfrm>
                    <a:prstGeom prst="rect">
                      <a:avLst/>
                    </a:prstGeom>
                    <a:noFill/>
                  </pic:spPr>
                </pic:pic>
              </a:graphicData>
            </a:graphic>
          </wp:inline>
        </w:drawing>
      </w:r>
    </w:p>
    <w:p w14:paraId="54F5C9DA" w14:textId="7A4082E5"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sz w:val="18"/>
          <w:szCs w:val="18"/>
        </w:rPr>
        <w:t xml:space="preserve">Figure </w:t>
      </w:r>
      <w:r w:rsidR="002E4B2F">
        <w:rPr>
          <w:rFonts w:ascii="Calibri" w:hAnsi="Calibri" w:cs="Calibri"/>
          <w:sz w:val="18"/>
          <w:szCs w:val="18"/>
        </w:rPr>
        <w:t>9</w:t>
      </w:r>
      <w:r w:rsidRPr="001E3615">
        <w:rPr>
          <w:rFonts w:ascii="Calibri" w:hAnsi="Calibri" w:cs="Calibri"/>
          <w:sz w:val="18"/>
          <w:szCs w:val="18"/>
        </w:rPr>
        <w:t>: Superplasticizer Con-</w:t>
      </w:r>
      <w:proofErr w:type="spellStart"/>
      <w:r w:rsidRPr="001E3615">
        <w:rPr>
          <w:rFonts w:ascii="Calibri" w:hAnsi="Calibri" w:cs="Calibri"/>
          <w:sz w:val="18"/>
          <w:szCs w:val="18"/>
        </w:rPr>
        <w:t>Lub</w:t>
      </w:r>
      <w:proofErr w:type="spellEnd"/>
      <w:r w:rsidRPr="001E3615">
        <w:rPr>
          <w:rFonts w:ascii="Calibri" w:hAnsi="Calibri" w:cs="Calibri"/>
          <w:sz w:val="18"/>
          <w:szCs w:val="18"/>
        </w:rPr>
        <w:t xml:space="preserve"> SP</w:t>
      </w:r>
    </w:p>
    <w:p w14:paraId="2945EBB5" w14:textId="77777777" w:rsidR="001E3615" w:rsidRDefault="001E3615" w:rsidP="003951C0">
      <w:pPr>
        <w:ind w:left="-5" w:right="35"/>
      </w:pPr>
    </w:p>
    <w:p w14:paraId="2CD55ABF" w14:textId="5D7EA7E1" w:rsidR="004D543B" w:rsidRDefault="002E4B2F">
      <w:pPr>
        <w:pStyle w:val="Heading2"/>
        <w:ind w:left="-5"/>
      </w:pPr>
      <w:r>
        <w:t>PREPARATION OF SPECIMEN</w:t>
      </w:r>
    </w:p>
    <w:p w14:paraId="3B275CD9" w14:textId="76FFD0D4"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sz w:val="18"/>
          <w:szCs w:val="18"/>
        </w:rPr>
        <w:t>A feasibility study was carried out to assess the production of self-compacting concrete (SCC) utilizing brick aggregate. This involved the preparation of trial mixes for concrete casting, incorporating crushed brick as the coarse aggregate, along with fine aggregate, cement, water, and a high-range water-reducing agent. The subsequent sections will detail the production of all concrete mixtures and outline the various stages involved in the casting of the test specimens.</w:t>
      </w:r>
      <w:r>
        <w:rPr>
          <w:rFonts w:ascii="Calibri" w:hAnsi="Calibri" w:cs="Calibri"/>
          <w:sz w:val="18"/>
          <w:szCs w:val="18"/>
        </w:rPr>
        <w:t xml:space="preserve"> </w:t>
      </w:r>
    </w:p>
    <w:p w14:paraId="1A2980B8" w14:textId="77777777" w:rsidR="002E4B2F" w:rsidRPr="002E4B2F" w:rsidRDefault="002E4B2F" w:rsidP="002E4B2F">
      <w:pPr>
        <w:pStyle w:val="NormalWeb"/>
        <w:spacing w:before="0" w:beforeAutospacing="0" w:after="0" w:afterAutospacing="0"/>
        <w:jc w:val="both"/>
        <w:rPr>
          <w:rFonts w:ascii="Calibri" w:hAnsi="Calibri" w:cs="Calibri"/>
          <w:sz w:val="18"/>
          <w:szCs w:val="18"/>
        </w:rPr>
      </w:pPr>
    </w:p>
    <w:p w14:paraId="3DAD766F" w14:textId="6DB43D96"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Batching of Materials</w:t>
      </w:r>
      <w:r>
        <w:rPr>
          <w:rFonts w:ascii="Calibri" w:hAnsi="Calibri" w:cs="Calibri"/>
          <w:b/>
          <w:bCs/>
          <w:sz w:val="18"/>
          <w:szCs w:val="18"/>
        </w:rPr>
        <w:t>:</w:t>
      </w:r>
      <w:r w:rsidRPr="002E4B2F">
        <w:t xml:space="preserve"> </w:t>
      </w:r>
      <w:r w:rsidRPr="002E4B2F">
        <w:rPr>
          <w:rFonts w:ascii="Calibri" w:hAnsi="Calibri" w:cs="Calibri"/>
          <w:sz w:val="18"/>
          <w:szCs w:val="18"/>
        </w:rPr>
        <w:t>Every component utilized in the formulation of concrete was meticulously and accurately measured. It is essential to maintain uniformity in the ratios and aggregate grading of future batches. This study employed gravimetric batching to quantify the materials.</w:t>
      </w:r>
    </w:p>
    <w:p w14:paraId="371A6BC9"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5A16CABC" w14:textId="7C745309"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Mixing of Concrete</w:t>
      </w:r>
      <w:r>
        <w:rPr>
          <w:rFonts w:ascii="Calibri" w:hAnsi="Calibri" w:cs="Calibri"/>
          <w:b/>
          <w:bCs/>
          <w:sz w:val="18"/>
          <w:szCs w:val="18"/>
        </w:rPr>
        <w:t xml:space="preserve">: </w:t>
      </w:r>
      <w:r w:rsidRPr="002E4B2F">
        <w:rPr>
          <w:rFonts w:ascii="Calibri" w:hAnsi="Calibri" w:cs="Calibri"/>
          <w:sz w:val="18"/>
          <w:szCs w:val="18"/>
        </w:rPr>
        <w:t>T</w:t>
      </w:r>
      <w:r w:rsidRPr="002E4B2F">
        <w:t xml:space="preserve"> </w:t>
      </w:r>
      <w:r w:rsidRPr="002E4B2F">
        <w:rPr>
          <w:rFonts w:ascii="Calibri" w:hAnsi="Calibri" w:cs="Calibri"/>
          <w:sz w:val="18"/>
          <w:szCs w:val="18"/>
        </w:rPr>
        <w:t>The purpose of the mixing process is to achieve a uniform mixture of all components of the concrete and to ensure that the cement paste coats each aggregate particle. In this study, a tilting mixer was employed for concrete mixing. The mixer operated at a speed of 15 to 20 revolutions per minute. Initially, only the aggregates were mixed for a duration of 30 seconds. Following this, cementitious materials were introduced, and the mixture was stirred for an additional minute after the water was added and mixed for five minutes with 75% of the total mixing water. Subsequently, the mixture was agitated for another fifteen minutes while incorporating the high-range water-reducing agent (HRWRA) and the remaining water. The mixing continued until the bubbles on the surface began to dissipate, with a total mixing time of approximately 22 to 25 minutes.</w:t>
      </w:r>
    </w:p>
    <w:p w14:paraId="6CB48F09"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1046986C" w14:textId="1308E970"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Testing of Fresh Properties</w:t>
      </w:r>
      <w:r>
        <w:rPr>
          <w:rFonts w:ascii="Calibri" w:hAnsi="Calibri" w:cs="Calibri"/>
          <w:b/>
          <w:bCs/>
          <w:sz w:val="18"/>
          <w:szCs w:val="18"/>
        </w:rPr>
        <w:t xml:space="preserve">: </w:t>
      </w:r>
      <w:r w:rsidRPr="002E4B2F">
        <w:rPr>
          <w:rFonts w:ascii="Calibri" w:hAnsi="Calibri" w:cs="Calibri"/>
          <w:sz w:val="18"/>
          <w:szCs w:val="18"/>
        </w:rPr>
        <w:t xml:space="preserve">To ascertain the fresh properties of self-compacting concrete (SCC), various tests were conducted, including the slump flow method, T50 time, V-funnel, V-funnel at T5 minutes, L-box, and J-ring. These assessments were employed to evaluate the flowability, passing ability, filling </w:t>
      </w:r>
      <w:r w:rsidRPr="002E4B2F">
        <w:rPr>
          <w:rFonts w:ascii="Calibri" w:hAnsi="Calibri" w:cs="Calibri"/>
          <w:sz w:val="18"/>
          <w:szCs w:val="18"/>
        </w:rPr>
        <w:t>capacity, and segregation resistance of the freshly mixed concrete shortly after its preparation. Additionally, unit weight tests were performed on the fresh concrete in the laboratory.</w:t>
      </w:r>
    </w:p>
    <w:p w14:paraId="3420A3D1"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23511501" w14:textId="43968ADB" w:rsidR="002E4B2F" w:rsidRP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Placing of Fresh Concrete</w:t>
      </w:r>
      <w:r>
        <w:rPr>
          <w:rFonts w:ascii="Calibri" w:hAnsi="Calibri" w:cs="Calibri"/>
          <w:b/>
          <w:bCs/>
          <w:sz w:val="18"/>
          <w:szCs w:val="18"/>
        </w:rPr>
        <w:t xml:space="preserve">: </w:t>
      </w:r>
      <w:r w:rsidRPr="002E4B2F">
        <w:rPr>
          <w:rFonts w:ascii="Calibri" w:hAnsi="Calibri" w:cs="Calibri"/>
          <w:sz w:val="18"/>
          <w:szCs w:val="18"/>
        </w:rPr>
        <w:t>The uniformity, density, and functionality of concrete are greatly influenced by the methods employed during its placement in the designated area. To evaluate the mechanical properties, including compressive strength, tensile strength, and elastic modulus, a cylindrical mold measuring Ø100 mm by 200 mm was filled with concrete.</w:t>
      </w:r>
    </w:p>
    <w:p w14:paraId="0F2D4362" w14:textId="77777777" w:rsidR="002E4B2F" w:rsidRPr="002E4B2F" w:rsidRDefault="002E4B2F" w:rsidP="002E4B2F">
      <w:pPr>
        <w:pStyle w:val="NormalWeb"/>
        <w:spacing w:before="0" w:beforeAutospacing="0" w:after="0" w:afterAutospacing="0"/>
        <w:jc w:val="both"/>
        <w:rPr>
          <w:rFonts w:ascii="Calibri" w:hAnsi="Calibri" w:cs="Calibri"/>
          <w:sz w:val="18"/>
          <w:szCs w:val="18"/>
        </w:rPr>
      </w:pPr>
    </w:p>
    <w:p w14:paraId="1D294E63" w14:textId="3BB28F45" w:rsidR="002E4B2F" w:rsidRP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Removal of Mold</w:t>
      </w:r>
      <w:r>
        <w:rPr>
          <w:rFonts w:ascii="Calibri" w:hAnsi="Calibri" w:cs="Calibri"/>
          <w:b/>
          <w:bCs/>
          <w:sz w:val="18"/>
          <w:szCs w:val="18"/>
        </w:rPr>
        <w:t xml:space="preserve">: </w:t>
      </w:r>
      <w:r w:rsidRPr="002E4B2F">
        <w:rPr>
          <w:rFonts w:ascii="Calibri" w:hAnsi="Calibri" w:cs="Calibri"/>
          <w:sz w:val="18"/>
          <w:szCs w:val="18"/>
        </w:rPr>
        <w:t>After a casting period of 48 hours, the hardened cylindrical concrete specimens were extracted from the mold. Following this, a permanent marker pen was utilized to level the surfaces of the specimens, ensuring distinct separation. Considerable caution was exercised during the removal of the mold to prevent any adverse effects on the specimens.</w:t>
      </w:r>
    </w:p>
    <w:p w14:paraId="4282A514" w14:textId="77777777" w:rsidR="002E4B2F" w:rsidRDefault="002E4B2F" w:rsidP="002E4B2F">
      <w:pPr>
        <w:pStyle w:val="NormalWeb"/>
        <w:spacing w:before="0" w:beforeAutospacing="0" w:after="0" w:afterAutospacing="0"/>
        <w:jc w:val="both"/>
        <w:rPr>
          <w:rFonts w:ascii="Calibri" w:hAnsi="Calibri" w:cs="Calibri"/>
          <w:b/>
          <w:bCs/>
          <w:sz w:val="18"/>
          <w:szCs w:val="18"/>
        </w:rPr>
      </w:pPr>
    </w:p>
    <w:p w14:paraId="61189633" w14:textId="2EA3C771" w:rsid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Curing of Concrete</w:t>
      </w:r>
      <w:r>
        <w:rPr>
          <w:rFonts w:ascii="Calibri" w:hAnsi="Calibri" w:cs="Calibri"/>
          <w:b/>
          <w:bCs/>
          <w:sz w:val="18"/>
          <w:szCs w:val="18"/>
        </w:rPr>
        <w:t xml:space="preserve">: </w:t>
      </w:r>
      <w:r w:rsidRPr="002E4B2F">
        <w:rPr>
          <w:rFonts w:ascii="Calibri" w:hAnsi="Calibri" w:cs="Calibri"/>
          <w:sz w:val="18"/>
          <w:szCs w:val="18"/>
        </w:rPr>
        <w:t>The physical characteristics of concrete are primarily influenced by the extent of cement hydration and the microstructure formed because of this hydration. The hydration of cement commences upon the introduction of water, which underscores the necessity for concrete to undergo curing. In this investigation, the method of curing concrete through immersion in water was employed. Test specimens were submerged in standard water within a curing tank for a duration of 28 days.</w:t>
      </w:r>
    </w:p>
    <w:p w14:paraId="4A77665F" w14:textId="77777777" w:rsidR="002E4B2F" w:rsidRDefault="002E4B2F" w:rsidP="002E4B2F">
      <w:pPr>
        <w:pStyle w:val="NormalWeb"/>
        <w:spacing w:before="0" w:beforeAutospacing="0" w:after="0" w:afterAutospacing="0"/>
        <w:jc w:val="both"/>
        <w:rPr>
          <w:rFonts w:ascii="Calibri" w:hAnsi="Calibri" w:cs="Calibri"/>
          <w:b/>
          <w:bCs/>
          <w:sz w:val="18"/>
          <w:szCs w:val="18"/>
        </w:rPr>
      </w:pPr>
    </w:p>
    <w:p w14:paraId="03DA9E6A" w14:textId="187FB444"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Testing of Hardened Concrete</w:t>
      </w:r>
      <w:r>
        <w:rPr>
          <w:rFonts w:ascii="Calibri" w:hAnsi="Calibri" w:cs="Calibri"/>
          <w:b/>
          <w:bCs/>
          <w:sz w:val="18"/>
          <w:szCs w:val="18"/>
        </w:rPr>
        <w:t xml:space="preserve">: </w:t>
      </w:r>
      <w:r w:rsidRPr="002E4B2F">
        <w:rPr>
          <w:rFonts w:ascii="Calibri" w:hAnsi="Calibri" w:cs="Calibri"/>
          <w:sz w:val="18"/>
          <w:szCs w:val="18"/>
        </w:rPr>
        <w:t>T</w:t>
      </w:r>
      <w:r w:rsidRPr="002E4B2F">
        <w:t xml:space="preserve"> </w:t>
      </w:r>
      <w:r w:rsidRPr="002E4B2F">
        <w:rPr>
          <w:rFonts w:ascii="Calibri" w:hAnsi="Calibri" w:cs="Calibri"/>
          <w:sz w:val="18"/>
          <w:szCs w:val="18"/>
        </w:rPr>
        <w:t>The modulus of elasticity, splitting tensile strength, and compressive strength of the cylindrical concrete specimens were assessed through testing procedures. The findings of this study are presented through the analysis of these test results.</w:t>
      </w:r>
    </w:p>
    <w:p w14:paraId="472129F8" w14:textId="77777777" w:rsidR="00A31680" w:rsidRDefault="00A31680" w:rsidP="002E4B2F">
      <w:pPr>
        <w:pStyle w:val="NormalWeb"/>
        <w:spacing w:before="0" w:beforeAutospacing="0" w:after="0" w:afterAutospacing="0"/>
        <w:jc w:val="both"/>
        <w:rPr>
          <w:rFonts w:ascii="Calibri" w:hAnsi="Calibri" w:cs="Calibri"/>
          <w:sz w:val="18"/>
          <w:szCs w:val="18"/>
        </w:rPr>
      </w:pPr>
    </w:p>
    <w:p w14:paraId="6FE2B5FE" w14:textId="77777777" w:rsidR="00A31680" w:rsidRDefault="00A31680" w:rsidP="002E4B2F">
      <w:pPr>
        <w:pStyle w:val="NormalWeb"/>
        <w:spacing w:before="0" w:beforeAutospacing="0" w:after="0" w:afterAutospacing="0"/>
        <w:jc w:val="both"/>
        <w:rPr>
          <w:rFonts w:ascii="Calibri" w:hAnsi="Calibri" w:cs="Calibri"/>
          <w:sz w:val="18"/>
          <w:szCs w:val="18"/>
        </w:rPr>
      </w:pPr>
    </w:p>
    <w:p w14:paraId="1E05C57B" w14:textId="4C921666" w:rsidR="00A31680" w:rsidRDefault="00A31680" w:rsidP="00A31680">
      <w:pPr>
        <w:pStyle w:val="Heading2"/>
        <w:ind w:left="-5"/>
      </w:pPr>
      <w:r>
        <w:t>TEST SETUP</w:t>
      </w:r>
    </w:p>
    <w:p w14:paraId="080C9B67" w14:textId="71390227" w:rsidR="00A31680" w:rsidRDefault="00A31680" w:rsidP="00A31680">
      <w:pPr>
        <w:pStyle w:val="NormalWeb"/>
        <w:spacing w:before="0" w:beforeAutospacing="0" w:after="0" w:afterAutospacing="0"/>
        <w:jc w:val="both"/>
        <w:rPr>
          <w:rFonts w:ascii="Calibri" w:hAnsi="Calibri" w:cs="Calibri"/>
          <w:sz w:val="18"/>
          <w:szCs w:val="18"/>
        </w:rPr>
      </w:pPr>
      <w:r w:rsidRPr="00A31680">
        <w:rPr>
          <w:rFonts w:ascii="Calibri" w:hAnsi="Calibri" w:cs="Calibri"/>
          <w:b/>
          <w:bCs/>
          <w:sz w:val="18"/>
          <w:szCs w:val="18"/>
        </w:rPr>
        <w:t>Compressive Strength</w:t>
      </w:r>
      <w:r>
        <w:rPr>
          <w:rFonts w:ascii="Calibri" w:hAnsi="Calibri" w:cs="Calibri"/>
          <w:b/>
          <w:bCs/>
          <w:sz w:val="18"/>
          <w:szCs w:val="18"/>
        </w:rPr>
        <w:t xml:space="preserve">: </w:t>
      </w:r>
      <w:r w:rsidR="00CD6435" w:rsidRPr="00CD6435">
        <w:rPr>
          <w:rFonts w:ascii="Calibri" w:hAnsi="Calibri" w:cs="Calibri"/>
          <w:sz w:val="18"/>
          <w:szCs w:val="18"/>
        </w:rPr>
        <w:t xml:space="preserve">Concrete cylinders measuring 100 mm in diameter and 200 mm in height were produced utilizing experimental self-compacting concrete (SCC) mixes combined with brick material. A compressive strength test was performed using the Universal Testing Machine (UTM), following the guidelines set forth in ASTM C39 (2002). The compression force was applied incrementally until the specimens failed, at which point the maximum load that each specimen could withstand was recorded. The compressive strength was calculated based on the cross-sectional area of the cylinders and the ultimate load, with the results averaged across three specimens. The compressive strength testing results are illustrated in Figure </w:t>
      </w:r>
      <w:r w:rsidR="00955032">
        <w:rPr>
          <w:rFonts w:ascii="Calibri" w:hAnsi="Calibri" w:cs="Calibri"/>
          <w:sz w:val="18"/>
          <w:szCs w:val="18"/>
        </w:rPr>
        <w:t>10</w:t>
      </w:r>
      <w:r w:rsidR="00CD6435" w:rsidRPr="00CD6435">
        <w:rPr>
          <w:rFonts w:ascii="Calibri" w:hAnsi="Calibri" w:cs="Calibri"/>
          <w:sz w:val="18"/>
          <w:szCs w:val="18"/>
        </w:rPr>
        <w:t>.</w:t>
      </w:r>
    </w:p>
    <w:p w14:paraId="63A1EBA6" w14:textId="77777777" w:rsidR="00CD6435" w:rsidRPr="00A31680" w:rsidRDefault="00CD6435" w:rsidP="00A31680">
      <w:pPr>
        <w:pStyle w:val="NormalWeb"/>
        <w:spacing w:before="0" w:beforeAutospacing="0" w:after="0" w:afterAutospacing="0"/>
        <w:jc w:val="both"/>
        <w:rPr>
          <w:rFonts w:ascii="Calibri" w:hAnsi="Calibri" w:cs="Calibri"/>
          <w:b/>
          <w:bCs/>
          <w:sz w:val="18"/>
          <w:szCs w:val="18"/>
        </w:rPr>
      </w:pPr>
    </w:p>
    <w:p w14:paraId="66B2738A" w14:textId="77777777"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noProof/>
          <w:sz w:val="18"/>
          <w:szCs w:val="18"/>
        </w:rPr>
        <w:drawing>
          <wp:inline distT="0" distB="0" distL="0" distR="0" wp14:anchorId="0E5C37A0" wp14:editId="233CE437">
            <wp:extent cx="1448907" cy="1226916"/>
            <wp:effectExtent l="0" t="0" r="0" b="0"/>
            <wp:docPr id="40397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697" cy="1252989"/>
                    </a:xfrm>
                    <a:prstGeom prst="rect">
                      <a:avLst/>
                    </a:prstGeom>
                    <a:noFill/>
                  </pic:spPr>
                </pic:pic>
              </a:graphicData>
            </a:graphic>
          </wp:inline>
        </w:drawing>
      </w:r>
      <w:r w:rsidRPr="00A31680">
        <w:rPr>
          <w:rFonts w:ascii="Calibri" w:hAnsi="Calibri" w:cs="Calibri"/>
          <w:sz w:val="18"/>
          <w:szCs w:val="18"/>
        </w:rPr>
        <w:t xml:space="preserve">    </w:t>
      </w:r>
      <w:r w:rsidRPr="00A31680">
        <w:rPr>
          <w:rFonts w:ascii="Calibri" w:hAnsi="Calibri" w:cs="Calibri"/>
          <w:noProof/>
          <w:sz w:val="18"/>
          <w:szCs w:val="18"/>
        </w:rPr>
        <w:drawing>
          <wp:inline distT="0" distB="0" distL="0" distR="0" wp14:anchorId="4E7FDE19" wp14:editId="1D09FD08">
            <wp:extent cx="1284790" cy="1258025"/>
            <wp:effectExtent l="0" t="0" r="0" b="0"/>
            <wp:docPr id="45384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6952" cy="1289517"/>
                    </a:xfrm>
                    <a:prstGeom prst="rect">
                      <a:avLst/>
                    </a:prstGeom>
                    <a:noFill/>
                  </pic:spPr>
                </pic:pic>
              </a:graphicData>
            </a:graphic>
          </wp:inline>
        </w:drawing>
      </w:r>
    </w:p>
    <w:p w14:paraId="67076D04" w14:textId="65FD218E"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sz w:val="18"/>
          <w:szCs w:val="18"/>
        </w:rPr>
        <w:t xml:space="preserve">Figure </w:t>
      </w:r>
      <w:r w:rsidR="00955032">
        <w:rPr>
          <w:rFonts w:ascii="Calibri" w:hAnsi="Calibri" w:cs="Calibri"/>
          <w:sz w:val="18"/>
          <w:szCs w:val="18"/>
        </w:rPr>
        <w:t>10</w:t>
      </w:r>
      <w:r w:rsidRPr="00A31680">
        <w:rPr>
          <w:rFonts w:ascii="Calibri" w:hAnsi="Calibri" w:cs="Calibri"/>
          <w:sz w:val="18"/>
          <w:szCs w:val="18"/>
        </w:rPr>
        <w:t>: Testing of compressive strength</w:t>
      </w:r>
    </w:p>
    <w:p w14:paraId="22EE2445" w14:textId="77777777" w:rsidR="00A31680" w:rsidRPr="00A31680" w:rsidRDefault="00A31680" w:rsidP="00A31680">
      <w:pPr>
        <w:pStyle w:val="NormalWeb"/>
        <w:spacing w:before="0" w:beforeAutospacing="0" w:after="0" w:afterAutospacing="0"/>
        <w:jc w:val="both"/>
        <w:rPr>
          <w:rFonts w:ascii="Calibri" w:hAnsi="Calibri" w:cs="Calibri"/>
          <w:b/>
          <w:bCs/>
          <w:sz w:val="18"/>
          <w:szCs w:val="18"/>
        </w:rPr>
      </w:pPr>
      <w:r w:rsidRPr="00A31680">
        <w:rPr>
          <w:rFonts w:ascii="Calibri" w:hAnsi="Calibri" w:cs="Calibri"/>
          <w:b/>
          <w:bCs/>
          <w:sz w:val="18"/>
          <w:szCs w:val="18"/>
        </w:rPr>
        <w:lastRenderedPageBreak/>
        <w:t xml:space="preserve">          </w:t>
      </w:r>
      <w:r w:rsidRPr="00A31680">
        <w:rPr>
          <w:rFonts w:ascii="Calibri" w:hAnsi="Calibri" w:cs="Calibri"/>
          <w:sz w:val="18"/>
          <w:szCs w:val="18"/>
        </w:rPr>
        <w:t xml:space="preserve">Calculation for compressive strength, </w:t>
      </w:r>
      <m:oMath>
        <m:sSubSup>
          <m:sSubSupPr>
            <m:ctrlPr>
              <w:rPr>
                <w:rFonts w:ascii="Cambria Math" w:hAnsi="Cambria Math" w:cs="Calibri"/>
                <w:i/>
                <w:sz w:val="18"/>
                <w:szCs w:val="18"/>
              </w:rPr>
            </m:ctrlPr>
          </m:sSubSupPr>
          <m:e>
            <m:r>
              <w:rPr>
                <w:rFonts w:ascii="Cambria Math" w:hAnsi="Cambria Math" w:cs="Calibri"/>
                <w:sz w:val="18"/>
                <w:szCs w:val="18"/>
              </w:rPr>
              <m:t>f</m:t>
            </m:r>
          </m:e>
          <m:sub>
            <m:r>
              <w:rPr>
                <w:rFonts w:ascii="Cambria Math" w:hAnsi="Cambria Math" w:cs="Calibri"/>
                <w:sz w:val="18"/>
                <w:szCs w:val="18"/>
              </w:rPr>
              <m:t>c</m:t>
            </m:r>
          </m:sub>
          <m:sup>
            <m:r>
              <w:rPr>
                <w:rFonts w:ascii="Cambria Math" w:hAnsi="Cambria Math" w:cs="Calibri"/>
                <w:sz w:val="18"/>
                <w:szCs w:val="18"/>
              </w:rPr>
              <m:t>'</m:t>
            </m:r>
          </m:sup>
        </m:sSubSup>
      </m:oMath>
      <w:r w:rsidRPr="00A31680">
        <w:rPr>
          <w:rFonts w:ascii="Calibri" w:hAnsi="Calibri" w:cs="Calibri"/>
          <w:sz w:val="18"/>
          <w:szCs w:val="18"/>
        </w:rPr>
        <w:t xml:space="preserve"> = </w:t>
      </w:r>
      <m:oMath>
        <m:f>
          <m:fPr>
            <m:ctrlPr>
              <w:rPr>
                <w:rFonts w:ascii="Cambria Math" w:hAnsi="Cambria Math" w:cs="Calibri"/>
                <w:i/>
                <w:sz w:val="18"/>
                <w:szCs w:val="18"/>
              </w:rPr>
            </m:ctrlPr>
          </m:fPr>
          <m:num>
            <m:r>
              <w:rPr>
                <w:rFonts w:ascii="Cambria Math" w:hAnsi="Cambria Math" w:cs="Calibri"/>
                <w:sz w:val="18"/>
                <w:szCs w:val="18"/>
              </w:rPr>
              <m:t>P</m:t>
            </m:r>
          </m:num>
          <m:den>
            <m:r>
              <w:rPr>
                <w:rFonts w:ascii="Cambria Math" w:hAnsi="Cambria Math" w:cs="Calibri"/>
                <w:sz w:val="18"/>
                <w:szCs w:val="18"/>
              </w:rPr>
              <m:t>Ac</m:t>
            </m:r>
          </m:den>
        </m:f>
      </m:oMath>
    </w:p>
    <w:p w14:paraId="24F24189" w14:textId="77777777" w:rsidR="00A31680" w:rsidRPr="00A31680" w:rsidRDefault="00A31680" w:rsidP="00A31680">
      <w:pPr>
        <w:pStyle w:val="NormalWeb"/>
        <w:spacing w:before="0" w:beforeAutospacing="0" w:after="0" w:afterAutospacing="0"/>
        <w:rPr>
          <w:rFonts w:ascii="Calibri" w:hAnsi="Calibri" w:cs="Calibri"/>
          <w:sz w:val="18"/>
          <w:szCs w:val="18"/>
        </w:rPr>
      </w:pPr>
      <w:r w:rsidRPr="00A31680">
        <w:rPr>
          <w:rFonts w:ascii="Calibri" w:hAnsi="Calibri" w:cs="Calibri"/>
          <w:sz w:val="18"/>
          <w:szCs w:val="18"/>
        </w:rPr>
        <w:tab/>
        <w:t>Here, P = Crushing load</w:t>
      </w:r>
    </w:p>
    <w:p w14:paraId="7CC8EFC5" w14:textId="77777777" w:rsidR="00A31680" w:rsidRDefault="00A31680" w:rsidP="00A31680">
      <w:pPr>
        <w:pStyle w:val="NormalWeb"/>
        <w:spacing w:before="0" w:beforeAutospacing="0" w:after="0" w:afterAutospacing="0"/>
        <w:rPr>
          <w:rFonts w:ascii="Calibri" w:hAnsi="Calibri" w:cs="Calibri"/>
          <w:sz w:val="18"/>
          <w:szCs w:val="18"/>
        </w:rPr>
      </w:pPr>
      <w:r w:rsidRPr="00A31680">
        <w:rPr>
          <w:rFonts w:ascii="Calibri" w:hAnsi="Calibri" w:cs="Calibri"/>
          <w:sz w:val="18"/>
          <w:szCs w:val="18"/>
        </w:rPr>
        <w:t xml:space="preserve">                     A</w:t>
      </w:r>
      <w:r w:rsidRPr="00A31680">
        <w:rPr>
          <w:rFonts w:ascii="Calibri" w:hAnsi="Calibri" w:cs="Calibri"/>
          <w:sz w:val="18"/>
          <w:szCs w:val="18"/>
          <w:vertAlign w:val="subscript"/>
        </w:rPr>
        <w:t>c</w:t>
      </w:r>
      <w:r w:rsidRPr="00A31680">
        <w:rPr>
          <w:rFonts w:ascii="Calibri" w:hAnsi="Calibri" w:cs="Calibri"/>
          <w:sz w:val="18"/>
          <w:szCs w:val="18"/>
        </w:rPr>
        <w:t xml:space="preserve"> = Contact area of the cylinder</w:t>
      </w:r>
    </w:p>
    <w:p w14:paraId="1519B8A4" w14:textId="77777777" w:rsidR="00A31680" w:rsidRPr="00A31680" w:rsidRDefault="00A31680" w:rsidP="00A31680">
      <w:pPr>
        <w:pStyle w:val="NormalWeb"/>
        <w:spacing w:before="0" w:beforeAutospacing="0" w:after="0" w:afterAutospacing="0"/>
        <w:rPr>
          <w:rFonts w:ascii="Calibri" w:hAnsi="Calibri" w:cs="Calibri"/>
          <w:sz w:val="18"/>
          <w:szCs w:val="18"/>
        </w:rPr>
      </w:pPr>
    </w:p>
    <w:p w14:paraId="43A351F3" w14:textId="74B1482E" w:rsidR="00A31680" w:rsidRPr="00A31680" w:rsidRDefault="00A31680" w:rsidP="00A31680">
      <w:pPr>
        <w:pStyle w:val="NormalWeb"/>
        <w:spacing w:before="0" w:beforeAutospacing="0" w:after="0" w:afterAutospacing="0"/>
        <w:rPr>
          <w:rFonts w:ascii="Calibri" w:hAnsi="Calibri" w:cs="Calibri"/>
          <w:b/>
          <w:bCs/>
          <w:sz w:val="18"/>
          <w:szCs w:val="18"/>
        </w:rPr>
      </w:pPr>
      <w:r w:rsidRPr="00A31680">
        <w:rPr>
          <w:rFonts w:ascii="Calibri" w:hAnsi="Calibri" w:cs="Calibri"/>
          <w:b/>
          <w:bCs/>
          <w:sz w:val="18"/>
          <w:szCs w:val="18"/>
        </w:rPr>
        <w:t>Splitting Tensile Strength</w:t>
      </w:r>
    </w:p>
    <w:p w14:paraId="0314BAE6" w14:textId="6DDC4685" w:rsidR="00A31680" w:rsidRDefault="00CD6435" w:rsidP="00A31680">
      <w:pPr>
        <w:spacing w:after="0" w:line="240" w:lineRule="auto"/>
        <w:rPr>
          <w:szCs w:val="18"/>
        </w:rPr>
      </w:pPr>
      <w:r w:rsidRPr="00CD6435">
        <w:rPr>
          <w:szCs w:val="18"/>
        </w:rPr>
        <w:t xml:space="preserve">The splitting tensile test was carried out in compliance with ASTM C496 (2004). Concrete cylinders measuring 100 mm in diameter and 200 mm in height were subjected to the splitting tensile test utilizing universal testing apparatus after the designated curing period. For each replacement, three specimens were tested in duplicate, and the average values of the splitting tensile strength were recorded for each specimen. The results of the splitting tensile strength testing for self-consolidating concrete (SCC) are illustrated in Fig. </w:t>
      </w:r>
      <w:r w:rsidR="00955032">
        <w:rPr>
          <w:szCs w:val="18"/>
        </w:rPr>
        <w:t>11</w:t>
      </w:r>
      <w:r w:rsidRPr="00CD6435">
        <w:rPr>
          <w:szCs w:val="18"/>
        </w:rPr>
        <w:t>.</w:t>
      </w:r>
    </w:p>
    <w:p w14:paraId="65EB7082" w14:textId="77777777" w:rsidR="00CD6435" w:rsidRPr="00A31680" w:rsidRDefault="00CD6435" w:rsidP="00A31680">
      <w:pPr>
        <w:spacing w:after="0" w:line="240" w:lineRule="auto"/>
        <w:rPr>
          <w:szCs w:val="18"/>
        </w:rPr>
      </w:pPr>
    </w:p>
    <w:p w14:paraId="6A920C7F" w14:textId="77777777" w:rsidR="00A31680" w:rsidRPr="00A31680" w:rsidRDefault="00A31680" w:rsidP="00A31680">
      <w:pPr>
        <w:spacing w:after="0" w:line="240" w:lineRule="auto"/>
        <w:jc w:val="center"/>
        <w:rPr>
          <w:szCs w:val="18"/>
        </w:rPr>
      </w:pPr>
      <w:r w:rsidRPr="00A31680">
        <w:rPr>
          <w:noProof/>
          <w:szCs w:val="18"/>
          <w:lang w:bidi="ar-SA"/>
        </w:rPr>
        <w:drawing>
          <wp:inline distT="0" distB="0" distL="0" distR="0" wp14:anchorId="12A285F2" wp14:editId="093AFB95">
            <wp:extent cx="1279002" cy="997295"/>
            <wp:effectExtent l="0" t="0" r="0" b="0"/>
            <wp:docPr id="2028524204"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4204" name="Picture 1" descr="A close-up of a machine&#10;&#10;Description automatically generated"/>
                    <pic:cNvPicPr/>
                  </pic:nvPicPr>
                  <pic:blipFill>
                    <a:blip r:embed="rId27"/>
                    <a:stretch>
                      <a:fillRect/>
                    </a:stretch>
                  </pic:blipFill>
                  <pic:spPr>
                    <a:xfrm>
                      <a:off x="0" y="0"/>
                      <a:ext cx="1306605" cy="1018818"/>
                    </a:xfrm>
                    <a:prstGeom prst="rect">
                      <a:avLst/>
                    </a:prstGeom>
                  </pic:spPr>
                </pic:pic>
              </a:graphicData>
            </a:graphic>
          </wp:inline>
        </w:drawing>
      </w:r>
      <w:r w:rsidRPr="00A31680">
        <w:rPr>
          <w:szCs w:val="18"/>
        </w:rPr>
        <w:t xml:space="preserve">     </w:t>
      </w:r>
      <w:r w:rsidRPr="00A31680">
        <w:rPr>
          <w:noProof/>
          <w:szCs w:val="18"/>
          <w:lang w:bidi="ar-SA"/>
        </w:rPr>
        <w:drawing>
          <wp:inline distT="0" distB="0" distL="0" distR="0" wp14:anchorId="1B8B7CC9" wp14:editId="71106545">
            <wp:extent cx="1290577" cy="996085"/>
            <wp:effectExtent l="0" t="0" r="5080" b="0"/>
            <wp:docPr id="67743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1613" cy="1012321"/>
                    </a:xfrm>
                    <a:prstGeom prst="rect">
                      <a:avLst/>
                    </a:prstGeom>
                    <a:noFill/>
                  </pic:spPr>
                </pic:pic>
              </a:graphicData>
            </a:graphic>
          </wp:inline>
        </w:drawing>
      </w:r>
    </w:p>
    <w:p w14:paraId="7FF65D24" w14:textId="7F114E8E" w:rsidR="00A31680" w:rsidRPr="00A31680" w:rsidRDefault="00A31680" w:rsidP="00A31680">
      <w:pPr>
        <w:spacing w:after="0" w:line="240" w:lineRule="auto"/>
        <w:jc w:val="center"/>
        <w:rPr>
          <w:szCs w:val="18"/>
        </w:rPr>
      </w:pPr>
      <w:r w:rsidRPr="00A31680">
        <w:rPr>
          <w:szCs w:val="18"/>
        </w:rPr>
        <w:t xml:space="preserve">Figure </w:t>
      </w:r>
      <w:r w:rsidR="00955032">
        <w:rPr>
          <w:szCs w:val="18"/>
        </w:rPr>
        <w:t>11</w:t>
      </w:r>
      <w:r w:rsidRPr="00A31680">
        <w:rPr>
          <w:szCs w:val="18"/>
        </w:rPr>
        <w:t>: Testing of splitting tensile strength</w:t>
      </w:r>
    </w:p>
    <w:p w14:paraId="29603BB2" w14:textId="77777777" w:rsidR="00A31680" w:rsidRPr="00A31680" w:rsidRDefault="00A31680" w:rsidP="00A31680">
      <w:pPr>
        <w:spacing w:after="0" w:line="240" w:lineRule="auto"/>
        <w:rPr>
          <w:szCs w:val="18"/>
        </w:rPr>
      </w:pPr>
      <w:r w:rsidRPr="00A31680">
        <w:rPr>
          <w:szCs w:val="18"/>
        </w:rPr>
        <w:t xml:space="preserve">Splitting tensile strength, </w:t>
      </w:r>
      <m:oMath>
        <m:sSub>
          <m:sSubPr>
            <m:ctrlPr>
              <w:rPr>
                <w:rFonts w:ascii="Cambria Math" w:hAnsi="Cambria Math"/>
                <w:i/>
                <w:szCs w:val="18"/>
              </w:rPr>
            </m:ctrlPr>
          </m:sSubPr>
          <m:e>
            <m:r>
              <w:rPr>
                <w:rFonts w:ascii="Cambria Math" w:hAnsi="Cambria Math"/>
                <w:szCs w:val="18"/>
              </w:rPr>
              <m:t>f</m:t>
            </m:r>
          </m:e>
          <m:sub>
            <m:r>
              <w:rPr>
                <w:rFonts w:ascii="Cambria Math" w:hAnsi="Cambria Math"/>
                <w:szCs w:val="18"/>
              </w:rPr>
              <m:t>sp</m:t>
            </m:r>
          </m:sub>
        </m:sSub>
      </m:oMath>
      <w:r w:rsidRPr="00A31680">
        <w:rPr>
          <w:szCs w:val="18"/>
        </w:rPr>
        <w:t xml:space="preserve"> = </w:t>
      </w:r>
      <m:oMath>
        <m:f>
          <m:fPr>
            <m:ctrlPr>
              <w:rPr>
                <w:rFonts w:ascii="Cambria Math" w:hAnsi="Cambria Math"/>
                <w:i/>
                <w:szCs w:val="18"/>
              </w:rPr>
            </m:ctrlPr>
          </m:fPr>
          <m:num>
            <m:r>
              <w:rPr>
                <w:rFonts w:ascii="Cambria Math" w:hAnsi="Cambria Math"/>
                <w:szCs w:val="18"/>
              </w:rPr>
              <m:t>2P</m:t>
            </m:r>
          </m:num>
          <m:den>
            <m:r>
              <w:rPr>
                <w:rFonts w:ascii="Cambria Math" w:hAnsi="Cambria Math"/>
                <w:szCs w:val="18"/>
              </w:rPr>
              <m:t>πlD</m:t>
            </m:r>
          </m:den>
        </m:f>
      </m:oMath>
    </w:p>
    <w:p w14:paraId="6BDEDAD4" w14:textId="77777777" w:rsidR="00A31680" w:rsidRPr="00A31680" w:rsidRDefault="00A31680" w:rsidP="00A31680">
      <w:pPr>
        <w:spacing w:after="0" w:line="240" w:lineRule="auto"/>
        <w:rPr>
          <w:szCs w:val="18"/>
        </w:rPr>
      </w:pPr>
      <w:r w:rsidRPr="00A31680">
        <w:rPr>
          <w:szCs w:val="18"/>
        </w:rPr>
        <w:t xml:space="preserve">                   Here, P = Maximum applied load</w:t>
      </w:r>
    </w:p>
    <w:p w14:paraId="5F7DD593" w14:textId="77777777" w:rsidR="00A31680" w:rsidRPr="00A31680" w:rsidRDefault="00A31680" w:rsidP="00A31680">
      <w:pPr>
        <w:spacing w:after="0" w:line="240" w:lineRule="auto"/>
        <w:rPr>
          <w:szCs w:val="18"/>
        </w:rPr>
      </w:pPr>
      <w:r w:rsidRPr="00A31680">
        <w:rPr>
          <w:szCs w:val="18"/>
        </w:rPr>
        <w:t xml:space="preserve">                             l = Length of cylinder</w:t>
      </w:r>
    </w:p>
    <w:p w14:paraId="79774B3B" w14:textId="77777777" w:rsidR="00A31680" w:rsidRDefault="00A31680" w:rsidP="00A31680">
      <w:pPr>
        <w:spacing w:after="0" w:line="240" w:lineRule="auto"/>
        <w:rPr>
          <w:szCs w:val="18"/>
        </w:rPr>
      </w:pPr>
      <w:r w:rsidRPr="00A31680">
        <w:rPr>
          <w:szCs w:val="18"/>
        </w:rPr>
        <w:t xml:space="preserve">                            D = Diameter of cylinder</w:t>
      </w:r>
    </w:p>
    <w:p w14:paraId="79F6EFE8" w14:textId="77777777" w:rsidR="00A31680" w:rsidRPr="00A31680" w:rsidRDefault="00A31680" w:rsidP="00A31680">
      <w:pPr>
        <w:spacing w:after="0" w:line="240" w:lineRule="auto"/>
        <w:rPr>
          <w:szCs w:val="18"/>
        </w:rPr>
      </w:pPr>
    </w:p>
    <w:p w14:paraId="49151385" w14:textId="40A55669" w:rsidR="00A31680" w:rsidRPr="00CD6435" w:rsidRDefault="00A31680" w:rsidP="00CD6435">
      <w:pPr>
        <w:spacing w:after="0" w:line="240" w:lineRule="auto"/>
        <w:rPr>
          <w:b/>
          <w:bCs/>
          <w:szCs w:val="18"/>
        </w:rPr>
      </w:pPr>
      <w:r w:rsidRPr="00A31680">
        <w:rPr>
          <w:b/>
          <w:bCs/>
          <w:szCs w:val="18"/>
        </w:rPr>
        <w:t>Modulus of Elasticity</w:t>
      </w:r>
      <w:r w:rsidR="00CD6435">
        <w:rPr>
          <w:b/>
          <w:bCs/>
          <w:szCs w:val="18"/>
        </w:rPr>
        <w:t xml:space="preserve">: </w:t>
      </w:r>
      <w:r w:rsidR="00CD6435" w:rsidRPr="00CD6435">
        <w:rPr>
          <w:szCs w:val="18"/>
        </w:rPr>
        <w:t xml:space="preserve">The stress-strain relationship of concrete exhibits a non-linear behavior. According to ASTM C 469-02 (2002), compressive strength is essential for determining Ec. This standard specifies that the modulus of elasticity is typically calculated within a working stress range of 0 to 40% of the concrete's ultimate strength. In the present study, cylindrical specimens composed of brick aggregate underwent a 28-day evaluation of their modulus of elasticity. A </w:t>
      </w:r>
      <w:proofErr w:type="spellStart"/>
      <w:r w:rsidR="00CD6435" w:rsidRPr="00CD6435">
        <w:rPr>
          <w:szCs w:val="18"/>
        </w:rPr>
        <w:t>compressometer</w:t>
      </w:r>
      <w:proofErr w:type="spellEnd"/>
      <w:r w:rsidR="00CD6435" w:rsidRPr="00CD6435">
        <w:rPr>
          <w:szCs w:val="18"/>
        </w:rPr>
        <w:t xml:space="preserve"> was utilized to assess the specimens, as illustrated in Fig. </w:t>
      </w:r>
      <w:r w:rsidR="00955032">
        <w:rPr>
          <w:szCs w:val="18"/>
        </w:rPr>
        <w:t>12</w:t>
      </w:r>
      <w:r w:rsidR="00CD6435" w:rsidRPr="00CD6435">
        <w:rPr>
          <w:szCs w:val="18"/>
        </w:rPr>
        <w:t>. For this assessment, three molds were tested for each type of mortar, and the molds yielding the highest values were chosen for each sample.</w:t>
      </w:r>
    </w:p>
    <w:p w14:paraId="2BAFEA5B" w14:textId="77777777" w:rsidR="00CD6435" w:rsidRPr="00A31680" w:rsidRDefault="00CD6435" w:rsidP="00A31680">
      <w:pPr>
        <w:pStyle w:val="NormalWeb"/>
        <w:spacing w:before="0" w:beforeAutospacing="0" w:after="0" w:afterAutospacing="0"/>
        <w:jc w:val="both"/>
        <w:rPr>
          <w:rFonts w:ascii="Calibri" w:hAnsi="Calibri" w:cs="Calibri"/>
          <w:sz w:val="18"/>
          <w:szCs w:val="18"/>
        </w:rPr>
      </w:pPr>
    </w:p>
    <w:p w14:paraId="6E274EF5" w14:textId="77777777"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noProof/>
          <w:sz w:val="18"/>
          <w:szCs w:val="18"/>
        </w:rPr>
        <w:drawing>
          <wp:inline distT="0" distB="0" distL="0" distR="0" wp14:anchorId="7429BCF6" wp14:editId="1E833C1C">
            <wp:extent cx="1990971" cy="2203464"/>
            <wp:effectExtent l="0" t="0" r="9525" b="6350"/>
            <wp:docPr id="174533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8208" name=""/>
                    <pic:cNvPicPr/>
                  </pic:nvPicPr>
                  <pic:blipFill>
                    <a:blip r:embed="rId29"/>
                    <a:stretch>
                      <a:fillRect/>
                    </a:stretch>
                  </pic:blipFill>
                  <pic:spPr>
                    <a:xfrm>
                      <a:off x="0" y="0"/>
                      <a:ext cx="2006833" cy="2221018"/>
                    </a:xfrm>
                    <a:prstGeom prst="rect">
                      <a:avLst/>
                    </a:prstGeom>
                  </pic:spPr>
                </pic:pic>
              </a:graphicData>
            </a:graphic>
          </wp:inline>
        </w:drawing>
      </w:r>
    </w:p>
    <w:p w14:paraId="750CFD3E" w14:textId="712FA103"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sz w:val="18"/>
          <w:szCs w:val="18"/>
        </w:rPr>
        <w:t xml:space="preserve">Figure </w:t>
      </w:r>
      <w:r w:rsidR="00955032">
        <w:rPr>
          <w:rFonts w:ascii="Calibri" w:hAnsi="Calibri" w:cs="Calibri"/>
          <w:sz w:val="18"/>
          <w:szCs w:val="18"/>
        </w:rPr>
        <w:t>12</w:t>
      </w:r>
      <w:r w:rsidRPr="00A31680">
        <w:rPr>
          <w:rFonts w:ascii="Calibri" w:hAnsi="Calibri" w:cs="Calibri"/>
          <w:sz w:val="18"/>
          <w:szCs w:val="18"/>
        </w:rPr>
        <w:t>: Testing of modulus of elasticity</w:t>
      </w:r>
    </w:p>
    <w:p w14:paraId="42B1B8B0" w14:textId="77777777" w:rsidR="002E4B2F" w:rsidRPr="002E4B2F" w:rsidRDefault="002E4B2F" w:rsidP="00CD6435">
      <w:pPr>
        <w:ind w:left="0" w:firstLine="0"/>
      </w:pPr>
    </w:p>
    <w:p w14:paraId="14A57AF3" w14:textId="3B697CF5" w:rsidR="002E4B2F" w:rsidRDefault="002E4B2F" w:rsidP="002E4B2F">
      <w:pPr>
        <w:pStyle w:val="Heading2"/>
        <w:ind w:left="-5"/>
      </w:pPr>
      <w:r>
        <w:t>RESULTS</w:t>
      </w:r>
      <w:r w:rsidR="00CD6435">
        <w:t xml:space="preserve"> AND DISCUSSIONS</w:t>
      </w:r>
    </w:p>
    <w:p w14:paraId="5790224B" w14:textId="34F038CC" w:rsidR="00CD6435" w:rsidRPr="00CD6435" w:rsidRDefault="00CD6435" w:rsidP="00CD6435">
      <w:pPr>
        <w:pStyle w:val="NormalWeb"/>
        <w:spacing w:before="0" w:beforeAutospacing="0" w:after="0" w:afterAutospacing="0"/>
        <w:jc w:val="both"/>
        <w:rPr>
          <w:rFonts w:ascii="Calibri" w:hAnsi="Calibri" w:cs="Calibri"/>
          <w:b/>
          <w:bCs/>
          <w:sz w:val="18"/>
          <w:szCs w:val="18"/>
        </w:rPr>
      </w:pPr>
      <w:r>
        <w:rPr>
          <w:rFonts w:ascii="Calibri" w:hAnsi="Calibri" w:cs="Calibri"/>
          <w:b/>
          <w:bCs/>
          <w:sz w:val="18"/>
          <w:szCs w:val="18"/>
        </w:rPr>
        <w:t>Compre</w:t>
      </w:r>
      <w:r w:rsidRPr="00CD6435">
        <w:rPr>
          <w:rFonts w:ascii="Calibri" w:hAnsi="Calibri" w:cs="Calibri"/>
          <w:b/>
          <w:bCs/>
          <w:sz w:val="18"/>
          <w:szCs w:val="18"/>
        </w:rPr>
        <w:t>ssive Strength of SCC</w:t>
      </w:r>
      <w:r>
        <w:rPr>
          <w:rFonts w:ascii="Calibri" w:hAnsi="Calibri" w:cs="Calibri"/>
          <w:b/>
          <w:bCs/>
          <w:sz w:val="18"/>
          <w:szCs w:val="18"/>
        </w:rPr>
        <w:t xml:space="preserve">: </w:t>
      </w:r>
      <w:r w:rsidR="00195F21" w:rsidRPr="00195F21">
        <w:rPr>
          <w:rFonts w:ascii="Calibri" w:hAnsi="Calibri" w:cs="Calibri"/>
          <w:sz w:val="18"/>
          <w:szCs w:val="18"/>
        </w:rPr>
        <w:t>In this research, the newly mixed SCC mortar was poured into molds and allowed to set at ambient temperature for a duration of 24 hours.</w:t>
      </w:r>
      <w:r w:rsidR="00195F21">
        <w:rPr>
          <w:rFonts w:ascii="Calibri" w:hAnsi="Calibri" w:cs="Calibri"/>
          <w:sz w:val="18"/>
          <w:szCs w:val="18"/>
        </w:rPr>
        <w:t xml:space="preserve"> The</w:t>
      </w:r>
      <w:r w:rsidR="00195F21" w:rsidRPr="00195F21">
        <w:rPr>
          <w:rFonts w:ascii="Calibri" w:hAnsi="Calibri" w:cs="Calibri"/>
          <w:sz w:val="18"/>
          <w:szCs w:val="18"/>
        </w:rPr>
        <w:t xml:space="preserve"> mortar was extracted from the molds and subjected to curing at room temperature (20 °C) until the time of evaluation. The compressive strength of the hardened concrete was measured at intervals of 14, 28, and 56 days. </w:t>
      </w:r>
      <w:r w:rsidR="00195F21">
        <w:rPr>
          <w:rFonts w:ascii="Calibri" w:hAnsi="Calibri" w:cs="Calibri"/>
          <w:sz w:val="18"/>
          <w:szCs w:val="18"/>
        </w:rPr>
        <w:t xml:space="preserve">The </w:t>
      </w:r>
      <w:r w:rsidR="00195F21" w:rsidRPr="00195F21">
        <w:rPr>
          <w:rFonts w:ascii="Calibri" w:hAnsi="Calibri" w:cs="Calibri"/>
          <w:sz w:val="18"/>
          <w:szCs w:val="18"/>
        </w:rPr>
        <w:t>minimum compressive strength required for concrete used in earthquake-resistant structures is 20 MPa; however, this requirement may be relaxed to 17 MPa for buildings that are up to four stories tall.</w:t>
      </w:r>
    </w:p>
    <w:p w14:paraId="57827C18"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p>
    <w:p w14:paraId="4F807308" w14:textId="7B6DC4B9"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3</w:t>
      </w:r>
      <w:r w:rsidRPr="00CD6435">
        <w:rPr>
          <w:rFonts w:ascii="Calibri" w:hAnsi="Calibri" w:cs="Calibri"/>
          <w:sz w:val="18"/>
          <w:szCs w:val="18"/>
        </w:rPr>
        <w:t>: Compressive Strength of Normal vs Partial Replacement of Cement in SCC</w:t>
      </w:r>
      <w:r>
        <w:rPr>
          <w:rFonts w:ascii="Calibri" w:hAnsi="Calibri" w:cs="Calibri"/>
          <w:sz w:val="18"/>
          <w:szCs w:val="18"/>
        </w:rPr>
        <w:t xml:space="preserve"> in MPa.</w:t>
      </w:r>
    </w:p>
    <w:tbl>
      <w:tblPr>
        <w:tblStyle w:val="TableGrid0"/>
        <w:tblW w:w="0" w:type="auto"/>
        <w:tblLook w:val="04A0" w:firstRow="1" w:lastRow="0" w:firstColumn="1" w:lastColumn="0" w:noHBand="0" w:noVBand="1"/>
      </w:tblPr>
      <w:tblGrid>
        <w:gridCol w:w="1705"/>
        <w:gridCol w:w="900"/>
        <w:gridCol w:w="990"/>
        <w:gridCol w:w="1028"/>
      </w:tblGrid>
      <w:tr w:rsidR="00CD6435" w:rsidRPr="00CD6435" w14:paraId="32F6CE36" w14:textId="77777777" w:rsidTr="00CD6435">
        <w:trPr>
          <w:trHeight w:val="350"/>
        </w:trPr>
        <w:tc>
          <w:tcPr>
            <w:tcW w:w="1705" w:type="dxa"/>
          </w:tcPr>
          <w:p w14:paraId="4EEAC64D"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bookmarkStart w:id="0" w:name="_Hlk176081186"/>
            <w:r w:rsidRPr="00CD6435">
              <w:rPr>
                <w:rFonts w:ascii="Calibri" w:hAnsi="Calibri" w:cs="Calibri"/>
                <w:b/>
                <w:bCs/>
                <w:sz w:val="18"/>
                <w:szCs w:val="18"/>
              </w:rPr>
              <w:t>Concrete with</w:t>
            </w:r>
          </w:p>
        </w:tc>
        <w:tc>
          <w:tcPr>
            <w:tcW w:w="900" w:type="dxa"/>
          </w:tcPr>
          <w:p w14:paraId="1FC65B4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990" w:type="dxa"/>
          </w:tcPr>
          <w:p w14:paraId="17A799F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1028" w:type="dxa"/>
          </w:tcPr>
          <w:p w14:paraId="13C9776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bookmarkEnd w:id="0"/>
      <w:tr w:rsidR="00CD6435" w:rsidRPr="00CD6435" w14:paraId="5DD7B2A2" w14:textId="77777777" w:rsidTr="00CD6435">
        <w:tc>
          <w:tcPr>
            <w:tcW w:w="1705" w:type="dxa"/>
          </w:tcPr>
          <w:p w14:paraId="4151CA01"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r w:rsidRPr="00CD6435">
              <w:rPr>
                <w:rFonts w:ascii="Calibri" w:hAnsi="Calibri" w:cs="Calibri"/>
                <w:sz w:val="18"/>
                <w:szCs w:val="18"/>
              </w:rPr>
              <w:t>Normal SCC without    LRF &amp; Marble dust</w:t>
            </w:r>
          </w:p>
        </w:tc>
        <w:tc>
          <w:tcPr>
            <w:tcW w:w="900" w:type="dxa"/>
          </w:tcPr>
          <w:p w14:paraId="79BF60C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20.55</w:t>
            </w:r>
          </w:p>
        </w:tc>
        <w:tc>
          <w:tcPr>
            <w:tcW w:w="990" w:type="dxa"/>
          </w:tcPr>
          <w:p w14:paraId="3DF0990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28.03</w:t>
            </w:r>
          </w:p>
        </w:tc>
        <w:tc>
          <w:tcPr>
            <w:tcW w:w="1028" w:type="dxa"/>
          </w:tcPr>
          <w:p w14:paraId="522B2FD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31.62</w:t>
            </w:r>
          </w:p>
        </w:tc>
      </w:tr>
      <w:tr w:rsidR="00CD6435" w:rsidRPr="00CD6435" w14:paraId="16871920" w14:textId="77777777" w:rsidTr="00CD6435">
        <w:trPr>
          <w:trHeight w:val="323"/>
        </w:trPr>
        <w:tc>
          <w:tcPr>
            <w:tcW w:w="1705" w:type="dxa"/>
          </w:tcPr>
          <w:p w14:paraId="36ECD5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900" w:type="dxa"/>
          </w:tcPr>
          <w:p w14:paraId="36B5682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24.57</w:t>
            </w:r>
          </w:p>
        </w:tc>
        <w:tc>
          <w:tcPr>
            <w:tcW w:w="990" w:type="dxa"/>
          </w:tcPr>
          <w:p w14:paraId="686873C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28.77</w:t>
            </w:r>
          </w:p>
        </w:tc>
        <w:tc>
          <w:tcPr>
            <w:tcW w:w="1028" w:type="dxa"/>
          </w:tcPr>
          <w:p w14:paraId="0A2DB50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24.79</w:t>
            </w:r>
          </w:p>
        </w:tc>
      </w:tr>
      <w:tr w:rsidR="00CD6435" w:rsidRPr="00CD6435" w14:paraId="0FED9EB6" w14:textId="77777777" w:rsidTr="00CD6435">
        <w:trPr>
          <w:trHeight w:val="359"/>
        </w:trPr>
        <w:tc>
          <w:tcPr>
            <w:tcW w:w="1705" w:type="dxa"/>
          </w:tcPr>
          <w:p w14:paraId="57DBA7F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900" w:type="dxa"/>
          </w:tcPr>
          <w:p w14:paraId="20C738D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23.72</w:t>
            </w:r>
          </w:p>
        </w:tc>
        <w:tc>
          <w:tcPr>
            <w:tcW w:w="990" w:type="dxa"/>
          </w:tcPr>
          <w:p w14:paraId="15DCA45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29.75</w:t>
            </w:r>
          </w:p>
        </w:tc>
        <w:tc>
          <w:tcPr>
            <w:tcW w:w="1028" w:type="dxa"/>
          </w:tcPr>
          <w:p w14:paraId="4C9875D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25.56</w:t>
            </w:r>
          </w:p>
        </w:tc>
      </w:tr>
      <w:tr w:rsidR="00CD6435" w:rsidRPr="00CD6435" w14:paraId="4D69BF5B" w14:textId="77777777" w:rsidTr="00CD6435">
        <w:trPr>
          <w:trHeight w:val="341"/>
        </w:trPr>
        <w:tc>
          <w:tcPr>
            <w:tcW w:w="1705" w:type="dxa"/>
          </w:tcPr>
          <w:p w14:paraId="29EE6B4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900" w:type="dxa"/>
          </w:tcPr>
          <w:p w14:paraId="3A9687B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24.23</w:t>
            </w:r>
          </w:p>
        </w:tc>
        <w:tc>
          <w:tcPr>
            <w:tcW w:w="990" w:type="dxa"/>
          </w:tcPr>
          <w:p w14:paraId="3BE15A2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28.56</w:t>
            </w:r>
          </w:p>
        </w:tc>
        <w:tc>
          <w:tcPr>
            <w:tcW w:w="1028" w:type="dxa"/>
          </w:tcPr>
          <w:p w14:paraId="4F4CB93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30.67</w:t>
            </w:r>
          </w:p>
        </w:tc>
      </w:tr>
      <w:tr w:rsidR="00CD6435" w:rsidRPr="00CD6435" w14:paraId="1E0445F4" w14:textId="77777777" w:rsidTr="00CD6435">
        <w:trPr>
          <w:trHeight w:val="359"/>
        </w:trPr>
        <w:tc>
          <w:tcPr>
            <w:tcW w:w="1705" w:type="dxa"/>
          </w:tcPr>
          <w:p w14:paraId="6CDEDA2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900" w:type="dxa"/>
          </w:tcPr>
          <w:p w14:paraId="3C62F62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39.59</w:t>
            </w:r>
          </w:p>
        </w:tc>
        <w:tc>
          <w:tcPr>
            <w:tcW w:w="990" w:type="dxa"/>
          </w:tcPr>
          <w:p w14:paraId="3B8B4CF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40.86</w:t>
            </w:r>
          </w:p>
        </w:tc>
        <w:tc>
          <w:tcPr>
            <w:tcW w:w="1028" w:type="dxa"/>
          </w:tcPr>
          <w:p w14:paraId="6A140B5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31.51</w:t>
            </w:r>
          </w:p>
        </w:tc>
      </w:tr>
      <w:tr w:rsidR="00CD6435" w:rsidRPr="00CD6435" w14:paraId="6F37644B" w14:textId="77777777" w:rsidTr="00CD6435">
        <w:trPr>
          <w:trHeight w:val="341"/>
        </w:trPr>
        <w:tc>
          <w:tcPr>
            <w:tcW w:w="1705" w:type="dxa"/>
          </w:tcPr>
          <w:p w14:paraId="24FC555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900" w:type="dxa"/>
          </w:tcPr>
          <w:p w14:paraId="7F62D12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35.14</w:t>
            </w:r>
          </w:p>
        </w:tc>
        <w:tc>
          <w:tcPr>
            <w:tcW w:w="990" w:type="dxa"/>
          </w:tcPr>
          <w:p w14:paraId="0CFFC51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40.11</w:t>
            </w:r>
          </w:p>
        </w:tc>
        <w:tc>
          <w:tcPr>
            <w:tcW w:w="1028" w:type="dxa"/>
          </w:tcPr>
          <w:p w14:paraId="4B3945C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34.33</w:t>
            </w:r>
          </w:p>
        </w:tc>
      </w:tr>
      <w:tr w:rsidR="00CD6435" w:rsidRPr="00CD6435" w14:paraId="2B876A08" w14:textId="77777777" w:rsidTr="00CD6435">
        <w:trPr>
          <w:trHeight w:val="359"/>
        </w:trPr>
        <w:tc>
          <w:tcPr>
            <w:tcW w:w="1705" w:type="dxa"/>
          </w:tcPr>
          <w:p w14:paraId="3B0F927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900" w:type="dxa"/>
          </w:tcPr>
          <w:p w14:paraId="5F73F8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35.79</w:t>
            </w:r>
          </w:p>
        </w:tc>
        <w:tc>
          <w:tcPr>
            <w:tcW w:w="990" w:type="dxa"/>
          </w:tcPr>
          <w:p w14:paraId="7F19518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44.37</w:t>
            </w:r>
          </w:p>
        </w:tc>
        <w:tc>
          <w:tcPr>
            <w:tcW w:w="1028" w:type="dxa"/>
          </w:tcPr>
          <w:p w14:paraId="0958B79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30.51</w:t>
            </w:r>
          </w:p>
        </w:tc>
      </w:tr>
    </w:tbl>
    <w:p w14:paraId="311B86A7" w14:textId="3A4F2DDA" w:rsidR="00CD6435" w:rsidRDefault="00195F21" w:rsidP="00CD6435">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compressive strength of each mortar combination was determined by averaging the results from four specimens. Measurements of compressive strength were taken at 14, 28, and 56 days. Additionally, Figure </w:t>
      </w:r>
      <w:r w:rsidR="00955032">
        <w:rPr>
          <w:rFonts w:ascii="Calibri" w:hAnsi="Calibri" w:cs="Calibri"/>
          <w:sz w:val="18"/>
          <w:szCs w:val="18"/>
        </w:rPr>
        <w:t>13</w:t>
      </w:r>
      <w:r w:rsidRPr="00195F21">
        <w:rPr>
          <w:rFonts w:ascii="Calibri" w:hAnsi="Calibri" w:cs="Calibri"/>
          <w:sz w:val="18"/>
          <w:szCs w:val="18"/>
        </w:rPr>
        <w:t xml:space="preserve"> provides a graphical illustration of the compressive strength outcomes for the mortar samples. The percentage of LRF slag replacement demonstrates superior compressive strength during both the 14-day and 28-day testing periods when compared to the control mix. Conversely, the compressive strength of the control mortar shows an increase in the figure. While strength improved from 14 to 28 days, a decline in strength was observed for nearly all tests at 56 days, with a few exceptions in the sample tests.</w:t>
      </w:r>
    </w:p>
    <w:p w14:paraId="671F03A7" w14:textId="77777777" w:rsidR="00FE1095" w:rsidRPr="00CD6435" w:rsidRDefault="00FE1095" w:rsidP="00CD6435">
      <w:pPr>
        <w:pStyle w:val="NormalWeb"/>
        <w:spacing w:before="0" w:beforeAutospacing="0" w:after="0" w:afterAutospacing="0"/>
        <w:jc w:val="both"/>
        <w:rPr>
          <w:rFonts w:ascii="Calibri" w:hAnsi="Calibri" w:cs="Calibri"/>
          <w:sz w:val="18"/>
          <w:szCs w:val="18"/>
        </w:rPr>
      </w:pPr>
    </w:p>
    <w:p w14:paraId="3D13DB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733A53CC" wp14:editId="6FCF0A28">
            <wp:extent cx="2978586" cy="1626243"/>
            <wp:effectExtent l="0" t="0" r="0" b="0"/>
            <wp:docPr id="1866050362" name="Picture 1" descr="A graph of different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50362" name="Picture 1" descr="A graph of different age&#10;&#10;Description automatically generated"/>
                    <pic:cNvPicPr/>
                  </pic:nvPicPr>
                  <pic:blipFill>
                    <a:blip r:embed="rId30"/>
                    <a:stretch>
                      <a:fillRect/>
                    </a:stretch>
                  </pic:blipFill>
                  <pic:spPr>
                    <a:xfrm>
                      <a:off x="0" y="0"/>
                      <a:ext cx="2987932" cy="1631346"/>
                    </a:xfrm>
                    <a:prstGeom prst="rect">
                      <a:avLst/>
                    </a:prstGeom>
                  </pic:spPr>
                </pic:pic>
              </a:graphicData>
            </a:graphic>
          </wp:inline>
        </w:drawing>
      </w:r>
    </w:p>
    <w:p w14:paraId="3DD61E1F" w14:textId="625776B6" w:rsidR="00CD6435" w:rsidRDefault="00CD6435" w:rsidP="00CD6435">
      <w:pPr>
        <w:pStyle w:val="NormalWeb"/>
        <w:spacing w:before="0" w:beforeAutospacing="0" w:after="0" w:afterAutospacing="0"/>
        <w:jc w:val="center"/>
        <w:rPr>
          <w:rFonts w:ascii="Calibri" w:hAnsi="Calibri" w:cs="Calibri"/>
          <w:sz w:val="18"/>
          <w:szCs w:val="18"/>
        </w:rPr>
      </w:pPr>
      <w:bookmarkStart w:id="1" w:name="_Hlk176044306"/>
      <w:r w:rsidRPr="00CD6435">
        <w:rPr>
          <w:rFonts w:ascii="Calibri" w:hAnsi="Calibri" w:cs="Calibri"/>
          <w:sz w:val="18"/>
          <w:szCs w:val="18"/>
        </w:rPr>
        <w:t xml:space="preserve">Figure </w:t>
      </w:r>
      <w:r w:rsidR="00955032">
        <w:rPr>
          <w:rFonts w:ascii="Calibri" w:hAnsi="Calibri" w:cs="Calibri"/>
          <w:sz w:val="18"/>
          <w:szCs w:val="18"/>
        </w:rPr>
        <w:t>13</w:t>
      </w:r>
      <w:r w:rsidRPr="00CD6435">
        <w:rPr>
          <w:rFonts w:ascii="Calibri" w:hAnsi="Calibri" w:cs="Calibri"/>
          <w:sz w:val="18"/>
          <w:szCs w:val="18"/>
        </w:rPr>
        <w:t>: Compressive strength at different ages for marble dust</w:t>
      </w:r>
    </w:p>
    <w:p w14:paraId="4A62833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5A4E5B35" w14:textId="3307297B"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4</w:t>
      </w:r>
      <w:r w:rsidRPr="00CD6435">
        <w:rPr>
          <w:rFonts w:ascii="Calibri" w:hAnsi="Calibri" w:cs="Calibri"/>
          <w:sz w:val="18"/>
          <w:szCs w:val="18"/>
        </w:rPr>
        <w:t>: Percentage of Change in Compressive Strength for Marble Dust</w:t>
      </w:r>
    </w:p>
    <w:tbl>
      <w:tblPr>
        <w:tblStyle w:val="TableGrid0"/>
        <w:tblW w:w="0" w:type="auto"/>
        <w:jc w:val="center"/>
        <w:tblLook w:val="04A0" w:firstRow="1" w:lastRow="0" w:firstColumn="1" w:lastColumn="0" w:noHBand="0" w:noVBand="1"/>
      </w:tblPr>
      <w:tblGrid>
        <w:gridCol w:w="1313"/>
        <w:gridCol w:w="1103"/>
        <w:gridCol w:w="1103"/>
        <w:gridCol w:w="1104"/>
      </w:tblGrid>
      <w:tr w:rsidR="00CD6435" w:rsidRPr="00CD6435" w14:paraId="321D86B9" w14:textId="77777777" w:rsidTr="00302B15">
        <w:trPr>
          <w:trHeight w:val="397"/>
          <w:jc w:val="center"/>
        </w:trPr>
        <w:tc>
          <w:tcPr>
            <w:tcW w:w="8798" w:type="dxa"/>
            <w:gridSpan w:val="4"/>
          </w:tcPr>
          <w:p w14:paraId="0B0DF93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bookmarkStart w:id="2" w:name="_Hlk176078825"/>
            <w:r w:rsidRPr="00CD6435">
              <w:rPr>
                <w:rFonts w:ascii="Calibri" w:hAnsi="Calibri" w:cs="Calibri"/>
                <w:b/>
                <w:bCs/>
                <w:sz w:val="18"/>
                <w:szCs w:val="18"/>
              </w:rPr>
              <w:t>Percentage of Change in Compressive Strength (%)</w:t>
            </w:r>
          </w:p>
        </w:tc>
      </w:tr>
      <w:tr w:rsidR="00CD6435" w:rsidRPr="00CD6435" w14:paraId="767C54B0" w14:textId="77777777" w:rsidTr="00302B15">
        <w:trPr>
          <w:trHeight w:val="329"/>
          <w:jc w:val="center"/>
        </w:trPr>
        <w:tc>
          <w:tcPr>
            <w:tcW w:w="2199" w:type="dxa"/>
          </w:tcPr>
          <w:p w14:paraId="31C62A58"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lastRenderedPageBreak/>
              <w:t>Concrete with</w:t>
            </w:r>
          </w:p>
        </w:tc>
        <w:tc>
          <w:tcPr>
            <w:tcW w:w="2199" w:type="dxa"/>
          </w:tcPr>
          <w:p w14:paraId="1A534238"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0720266E"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776EF365"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053483B1" w14:textId="77777777" w:rsidTr="00302B15">
        <w:trPr>
          <w:trHeight w:val="512"/>
          <w:jc w:val="center"/>
        </w:trPr>
        <w:tc>
          <w:tcPr>
            <w:tcW w:w="2199" w:type="dxa"/>
          </w:tcPr>
          <w:p w14:paraId="1AC9CC7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Marble Dust</w:t>
            </w:r>
          </w:p>
        </w:tc>
        <w:tc>
          <w:tcPr>
            <w:tcW w:w="2199" w:type="dxa"/>
          </w:tcPr>
          <w:p w14:paraId="4AB5B3B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37BB6B9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2C1A3A1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63C099D2" w14:textId="77777777" w:rsidTr="00302B15">
        <w:trPr>
          <w:trHeight w:val="256"/>
          <w:jc w:val="center"/>
        </w:trPr>
        <w:tc>
          <w:tcPr>
            <w:tcW w:w="2199" w:type="dxa"/>
          </w:tcPr>
          <w:p w14:paraId="4AACDB4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2199" w:type="dxa"/>
          </w:tcPr>
          <w:p w14:paraId="6464A1D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92.7</w:t>
            </w:r>
          </w:p>
        </w:tc>
        <w:tc>
          <w:tcPr>
            <w:tcW w:w="2199" w:type="dxa"/>
          </w:tcPr>
          <w:p w14:paraId="03A24CD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45.8</w:t>
            </w:r>
          </w:p>
        </w:tc>
        <w:tc>
          <w:tcPr>
            <w:tcW w:w="2201" w:type="dxa"/>
          </w:tcPr>
          <w:p w14:paraId="0469A3E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-0.4</w:t>
            </w:r>
          </w:p>
        </w:tc>
      </w:tr>
      <w:tr w:rsidR="00CD6435" w:rsidRPr="00CD6435" w14:paraId="27BDAA4B" w14:textId="77777777" w:rsidTr="00302B15">
        <w:trPr>
          <w:trHeight w:val="267"/>
          <w:jc w:val="center"/>
        </w:trPr>
        <w:tc>
          <w:tcPr>
            <w:tcW w:w="2199" w:type="dxa"/>
          </w:tcPr>
          <w:p w14:paraId="6ED9F82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2199" w:type="dxa"/>
          </w:tcPr>
          <w:p w14:paraId="3B11314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71.0</w:t>
            </w:r>
          </w:p>
        </w:tc>
        <w:tc>
          <w:tcPr>
            <w:tcW w:w="2199" w:type="dxa"/>
          </w:tcPr>
          <w:p w14:paraId="1D9D480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43.1</w:t>
            </w:r>
          </w:p>
        </w:tc>
        <w:tc>
          <w:tcPr>
            <w:tcW w:w="2201" w:type="dxa"/>
          </w:tcPr>
          <w:p w14:paraId="35E1852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8.6</w:t>
            </w:r>
          </w:p>
        </w:tc>
      </w:tr>
      <w:tr w:rsidR="00CD6435" w:rsidRPr="00CD6435" w14:paraId="66E0C4A1" w14:textId="77777777" w:rsidTr="00302B15">
        <w:trPr>
          <w:trHeight w:val="256"/>
          <w:jc w:val="center"/>
        </w:trPr>
        <w:tc>
          <w:tcPr>
            <w:tcW w:w="2199" w:type="dxa"/>
          </w:tcPr>
          <w:p w14:paraId="323ACE8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2199" w:type="dxa"/>
          </w:tcPr>
          <w:p w14:paraId="1511A4E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74.2</w:t>
            </w:r>
          </w:p>
        </w:tc>
        <w:tc>
          <w:tcPr>
            <w:tcW w:w="2199" w:type="dxa"/>
          </w:tcPr>
          <w:p w14:paraId="60EFEA9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58.3</w:t>
            </w:r>
          </w:p>
        </w:tc>
        <w:tc>
          <w:tcPr>
            <w:tcW w:w="2201" w:type="dxa"/>
          </w:tcPr>
          <w:p w14:paraId="6F067C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w:t>
            </w:r>
          </w:p>
        </w:tc>
      </w:tr>
      <w:bookmarkEnd w:id="2"/>
    </w:tbl>
    <w:p w14:paraId="7A4CC5B9" w14:textId="77777777" w:rsidR="00CD6435" w:rsidRDefault="00CD6435" w:rsidP="00CD6435">
      <w:pPr>
        <w:pStyle w:val="NormalWeb"/>
        <w:spacing w:before="0" w:beforeAutospacing="0" w:after="0" w:afterAutospacing="0"/>
        <w:jc w:val="both"/>
        <w:rPr>
          <w:rFonts w:ascii="Calibri" w:hAnsi="Calibri" w:cs="Calibri"/>
          <w:sz w:val="18"/>
          <w:szCs w:val="18"/>
        </w:rPr>
      </w:pPr>
    </w:p>
    <w:bookmarkEnd w:id="1"/>
    <w:p w14:paraId="0DFA2F66" w14:textId="07270C7D" w:rsidR="00FE1095" w:rsidRDefault="00195F21" w:rsidP="00195F21">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graphical data presented in Figure </w:t>
      </w:r>
      <w:r w:rsidR="00955032">
        <w:rPr>
          <w:rFonts w:ascii="Calibri" w:hAnsi="Calibri" w:cs="Calibri"/>
          <w:sz w:val="18"/>
          <w:szCs w:val="18"/>
        </w:rPr>
        <w:t>13</w:t>
      </w:r>
      <w:r w:rsidRPr="00195F21">
        <w:rPr>
          <w:rFonts w:ascii="Calibri" w:hAnsi="Calibri" w:cs="Calibri"/>
          <w:sz w:val="18"/>
          <w:szCs w:val="18"/>
        </w:rPr>
        <w:t xml:space="preserve"> clearly indicates that the strength of self-compacting concrete (SCC) incorporating marble dust improved over the 14 to 28-day period across all tested scenarios, including normal concrete and cement replacement ratios of 5%, 10%, and 15%. Specifically, at the 14-day mark, the strength achieved was 92.8% and 74.2% for the 5% and 15% marble dust replacements, respectively. Subsequently, at 28 days, these strengths increased by an additional 45.8% and 58.3%, respectively. However, a notable decline in strength was observed by day 56, with reductions ranging from 3.5% to 0.4%. In contrast, the 10% marble dust replacement demonstrated a strength increase of approximately 71% at 14 days, followed by an additional 43.1% gain at 28 days. While other replacement ratios exhibited strength loss at 56 days, the 10% marble dust scenario showed an 8.6% strength gain. The graphical representation of this data is also available in Table </w:t>
      </w:r>
      <w:r w:rsidR="0017618D">
        <w:rPr>
          <w:rFonts w:ascii="Calibri" w:hAnsi="Calibri" w:cs="Calibri"/>
          <w:sz w:val="18"/>
          <w:szCs w:val="18"/>
        </w:rPr>
        <w:t>4</w:t>
      </w:r>
      <w:r w:rsidRPr="00195F21">
        <w:rPr>
          <w:rFonts w:ascii="Calibri" w:hAnsi="Calibri" w:cs="Calibri"/>
          <w:sz w:val="18"/>
          <w:szCs w:val="18"/>
        </w:rPr>
        <w:t>. Therefore, it can be concluded that the use of 10% marble dust, as opposed to 5% and 15% replacement ratios, yields slightly better compressive strength results in SCC without the inclusion of normal concrete.</w:t>
      </w:r>
    </w:p>
    <w:p w14:paraId="5E1180D5" w14:textId="77777777" w:rsidR="00FE1095" w:rsidRDefault="00FE1095" w:rsidP="00195F21">
      <w:pPr>
        <w:pStyle w:val="NormalWeb"/>
        <w:spacing w:before="0" w:beforeAutospacing="0" w:after="0" w:afterAutospacing="0"/>
        <w:jc w:val="both"/>
        <w:rPr>
          <w:rFonts w:ascii="Calibri" w:hAnsi="Calibri" w:cs="Calibri"/>
          <w:sz w:val="18"/>
          <w:szCs w:val="18"/>
        </w:rPr>
      </w:pPr>
    </w:p>
    <w:p w14:paraId="69FA055B" w14:textId="51F9251C" w:rsidR="00CD6435" w:rsidRPr="00CD6435" w:rsidRDefault="00CD6435" w:rsidP="00195F21">
      <w:pPr>
        <w:pStyle w:val="NormalWeb"/>
        <w:spacing w:before="0" w:beforeAutospacing="0" w:after="0" w:afterAutospacing="0"/>
        <w:jc w:val="both"/>
        <w:rPr>
          <w:rFonts w:ascii="Calibri" w:hAnsi="Calibri" w:cs="Calibri"/>
          <w:sz w:val="18"/>
          <w:szCs w:val="18"/>
        </w:rPr>
      </w:pPr>
      <w:r w:rsidRPr="00CD6435">
        <w:rPr>
          <w:rFonts w:ascii="Calibri" w:hAnsi="Calibri" w:cs="Calibri"/>
          <w:noProof/>
          <w:sz w:val="18"/>
          <w:szCs w:val="18"/>
        </w:rPr>
        <w:drawing>
          <wp:inline distT="0" distB="0" distL="0" distR="0" wp14:anchorId="6685A590" wp14:editId="1942395E">
            <wp:extent cx="2924169" cy="1586546"/>
            <wp:effectExtent l="0" t="0" r="0" b="0"/>
            <wp:docPr id="1465922520" name="Picture 1" descr="A graph of different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22520" name="Picture 1" descr="A graph of different ag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1526" cy="1606815"/>
                    </a:xfrm>
                    <a:prstGeom prst="rect">
                      <a:avLst/>
                    </a:prstGeom>
                    <a:noFill/>
                  </pic:spPr>
                </pic:pic>
              </a:graphicData>
            </a:graphic>
          </wp:inline>
        </w:drawing>
      </w:r>
    </w:p>
    <w:p w14:paraId="37AC5BD6" w14:textId="4340FF70"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14</w:t>
      </w:r>
      <w:r w:rsidRPr="00CD6435">
        <w:rPr>
          <w:rFonts w:ascii="Calibri" w:hAnsi="Calibri" w:cs="Calibri"/>
          <w:sz w:val="18"/>
          <w:szCs w:val="18"/>
        </w:rPr>
        <w:t>: Compressive strength at different ages for LRF</w:t>
      </w:r>
    </w:p>
    <w:p w14:paraId="0E96773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6A4BEA2B" w14:textId="1343C752"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5</w:t>
      </w:r>
      <w:r w:rsidRPr="00CD6435">
        <w:rPr>
          <w:rFonts w:ascii="Calibri" w:hAnsi="Calibri" w:cs="Calibri"/>
          <w:sz w:val="18"/>
          <w:szCs w:val="18"/>
        </w:rPr>
        <w:t>: Percentage of Change in Compressive Strength for LRF</w:t>
      </w:r>
    </w:p>
    <w:tbl>
      <w:tblPr>
        <w:tblStyle w:val="TableGrid0"/>
        <w:tblW w:w="0" w:type="auto"/>
        <w:jc w:val="center"/>
        <w:tblLook w:val="04A0" w:firstRow="1" w:lastRow="0" w:firstColumn="1" w:lastColumn="0" w:noHBand="0" w:noVBand="1"/>
      </w:tblPr>
      <w:tblGrid>
        <w:gridCol w:w="1313"/>
        <w:gridCol w:w="1103"/>
        <w:gridCol w:w="1103"/>
        <w:gridCol w:w="1104"/>
      </w:tblGrid>
      <w:tr w:rsidR="00CD6435" w:rsidRPr="00CD6435" w14:paraId="6B6AB6CE" w14:textId="77777777" w:rsidTr="00302B15">
        <w:trPr>
          <w:trHeight w:val="397"/>
          <w:jc w:val="center"/>
        </w:trPr>
        <w:tc>
          <w:tcPr>
            <w:tcW w:w="8798" w:type="dxa"/>
            <w:gridSpan w:val="4"/>
          </w:tcPr>
          <w:p w14:paraId="7D63741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Compressive Strength (%)</w:t>
            </w:r>
          </w:p>
        </w:tc>
      </w:tr>
      <w:tr w:rsidR="00CD6435" w:rsidRPr="00CD6435" w14:paraId="746B314C" w14:textId="77777777" w:rsidTr="00302B15">
        <w:trPr>
          <w:trHeight w:val="329"/>
          <w:jc w:val="center"/>
        </w:trPr>
        <w:tc>
          <w:tcPr>
            <w:tcW w:w="2199" w:type="dxa"/>
          </w:tcPr>
          <w:p w14:paraId="77F3EC40"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2199" w:type="dxa"/>
          </w:tcPr>
          <w:p w14:paraId="63BB5759"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2512D42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5E621923"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02867ACB" w14:textId="77777777" w:rsidTr="00302B15">
        <w:trPr>
          <w:trHeight w:val="512"/>
          <w:jc w:val="center"/>
        </w:trPr>
        <w:tc>
          <w:tcPr>
            <w:tcW w:w="2199" w:type="dxa"/>
          </w:tcPr>
          <w:p w14:paraId="4F4F2BC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LRF</w:t>
            </w:r>
          </w:p>
        </w:tc>
        <w:tc>
          <w:tcPr>
            <w:tcW w:w="2199" w:type="dxa"/>
          </w:tcPr>
          <w:p w14:paraId="2B4FD5E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30CDB98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5F52B21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3BE58CB6" w14:textId="77777777" w:rsidTr="00302B15">
        <w:trPr>
          <w:trHeight w:val="256"/>
          <w:jc w:val="center"/>
        </w:trPr>
        <w:tc>
          <w:tcPr>
            <w:tcW w:w="2199" w:type="dxa"/>
          </w:tcPr>
          <w:p w14:paraId="7C2162D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99" w:type="dxa"/>
          </w:tcPr>
          <w:p w14:paraId="27D9823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19.6</w:t>
            </w:r>
          </w:p>
        </w:tc>
        <w:tc>
          <w:tcPr>
            <w:tcW w:w="2199" w:type="dxa"/>
          </w:tcPr>
          <w:p w14:paraId="5E6533B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2.7</w:t>
            </w:r>
          </w:p>
        </w:tc>
        <w:tc>
          <w:tcPr>
            <w:tcW w:w="2201" w:type="dxa"/>
          </w:tcPr>
          <w:p w14:paraId="6B7D2AF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-21.6</w:t>
            </w:r>
          </w:p>
        </w:tc>
      </w:tr>
      <w:tr w:rsidR="00CD6435" w:rsidRPr="00CD6435" w14:paraId="6C0FD1B1" w14:textId="77777777" w:rsidTr="00302B15">
        <w:trPr>
          <w:trHeight w:val="267"/>
          <w:jc w:val="center"/>
        </w:trPr>
        <w:tc>
          <w:tcPr>
            <w:tcW w:w="2199" w:type="dxa"/>
          </w:tcPr>
          <w:p w14:paraId="7053F34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99" w:type="dxa"/>
          </w:tcPr>
          <w:p w14:paraId="5FA846A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15.8</w:t>
            </w:r>
          </w:p>
        </w:tc>
        <w:tc>
          <w:tcPr>
            <w:tcW w:w="2199" w:type="dxa"/>
          </w:tcPr>
          <w:p w14:paraId="55AC461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6.2</w:t>
            </w:r>
          </w:p>
        </w:tc>
        <w:tc>
          <w:tcPr>
            <w:tcW w:w="2201" w:type="dxa"/>
          </w:tcPr>
          <w:p w14:paraId="4D08F79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-19.2</w:t>
            </w:r>
          </w:p>
        </w:tc>
      </w:tr>
      <w:tr w:rsidR="00CD6435" w:rsidRPr="00CD6435" w14:paraId="13878602" w14:textId="77777777" w:rsidTr="00302B15">
        <w:trPr>
          <w:trHeight w:val="256"/>
          <w:jc w:val="center"/>
        </w:trPr>
        <w:tc>
          <w:tcPr>
            <w:tcW w:w="2199" w:type="dxa"/>
          </w:tcPr>
          <w:p w14:paraId="35EC721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99" w:type="dxa"/>
          </w:tcPr>
          <w:p w14:paraId="4AE14FF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17.8</w:t>
            </w:r>
          </w:p>
        </w:tc>
        <w:tc>
          <w:tcPr>
            <w:tcW w:w="2199" w:type="dxa"/>
          </w:tcPr>
          <w:p w14:paraId="40C69E3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w:t>
            </w:r>
          </w:p>
        </w:tc>
        <w:tc>
          <w:tcPr>
            <w:tcW w:w="2201" w:type="dxa"/>
          </w:tcPr>
          <w:p w14:paraId="1EB1514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w:t>
            </w:r>
          </w:p>
        </w:tc>
      </w:tr>
    </w:tbl>
    <w:p w14:paraId="721FDDB9" w14:textId="77777777" w:rsidR="00CD6435" w:rsidRDefault="00CD6435" w:rsidP="00CD6435">
      <w:pPr>
        <w:pStyle w:val="NormalWeb"/>
        <w:spacing w:before="0" w:beforeAutospacing="0" w:after="0" w:afterAutospacing="0"/>
        <w:jc w:val="both"/>
        <w:rPr>
          <w:rFonts w:ascii="Calibri" w:hAnsi="Calibri" w:cs="Calibri"/>
          <w:sz w:val="18"/>
          <w:szCs w:val="18"/>
        </w:rPr>
      </w:pPr>
    </w:p>
    <w:p w14:paraId="393DDCE9" w14:textId="57F7A08C" w:rsidR="00CD6435" w:rsidRDefault="00195F21" w:rsidP="00CD6435">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results of utilizing LRF in SCC concrete, with normal concrete and cement replacement ratios of 5%, 10%, and 15%, exhibit variations as depicted in the graphical data presented in Figure </w:t>
      </w:r>
      <w:r w:rsidR="00955032">
        <w:rPr>
          <w:rFonts w:ascii="Calibri" w:hAnsi="Calibri" w:cs="Calibri"/>
          <w:sz w:val="18"/>
          <w:szCs w:val="18"/>
        </w:rPr>
        <w:t>14</w:t>
      </w:r>
      <w:r w:rsidRPr="00195F21">
        <w:rPr>
          <w:rFonts w:ascii="Calibri" w:hAnsi="Calibri" w:cs="Calibri"/>
          <w:sz w:val="18"/>
          <w:szCs w:val="18"/>
        </w:rPr>
        <w:t xml:space="preserve"> Specifically, the strength achieved at the 5%, 10%, and </w:t>
      </w:r>
      <w:r w:rsidRPr="00195F21">
        <w:rPr>
          <w:rFonts w:ascii="Calibri" w:hAnsi="Calibri" w:cs="Calibri"/>
          <w:sz w:val="18"/>
          <w:szCs w:val="18"/>
        </w:rPr>
        <w:t xml:space="preserve">15% LRF replacement ratios does not match the performance observed with standard SCC. Conversely, there is a notable increase in strength at 14 to 28 days for the 5% and 10% LRF ratios. According to Table </w:t>
      </w:r>
      <w:r w:rsidR="0017618D">
        <w:rPr>
          <w:rFonts w:ascii="Calibri" w:hAnsi="Calibri" w:cs="Calibri"/>
          <w:sz w:val="18"/>
          <w:szCs w:val="18"/>
        </w:rPr>
        <w:t>6</w:t>
      </w:r>
      <w:r w:rsidRPr="00195F21">
        <w:rPr>
          <w:rFonts w:ascii="Calibri" w:hAnsi="Calibri" w:cs="Calibri"/>
          <w:sz w:val="18"/>
          <w:szCs w:val="18"/>
        </w:rPr>
        <w:t xml:space="preserve">, a significant decline in strength is reported at 56 days. Consequently, it is evident from Table </w:t>
      </w:r>
      <w:r w:rsidR="0017618D">
        <w:rPr>
          <w:rFonts w:ascii="Calibri" w:hAnsi="Calibri" w:cs="Calibri"/>
          <w:sz w:val="18"/>
          <w:szCs w:val="18"/>
        </w:rPr>
        <w:t>4</w:t>
      </w:r>
      <w:r w:rsidRPr="00195F21">
        <w:rPr>
          <w:rFonts w:ascii="Calibri" w:hAnsi="Calibri" w:cs="Calibri"/>
          <w:sz w:val="18"/>
          <w:szCs w:val="18"/>
        </w:rPr>
        <w:t xml:space="preserve"> and Figure </w:t>
      </w:r>
      <w:r w:rsidR="00955032">
        <w:rPr>
          <w:rFonts w:ascii="Calibri" w:hAnsi="Calibri" w:cs="Calibri"/>
          <w:sz w:val="18"/>
          <w:szCs w:val="18"/>
        </w:rPr>
        <w:t>14</w:t>
      </w:r>
      <w:r w:rsidRPr="00195F21">
        <w:rPr>
          <w:rFonts w:ascii="Calibri" w:hAnsi="Calibri" w:cs="Calibri"/>
          <w:sz w:val="18"/>
          <w:szCs w:val="18"/>
        </w:rPr>
        <w:t xml:space="preserve"> that the 15% LRF combination shows a slight improvement over regular concrete. In this context, while regular concrete demonstrates superior compressive strength, the 15% LRF option can be employed to achieve comparable strength levels.</w:t>
      </w:r>
    </w:p>
    <w:p w14:paraId="563AB88D" w14:textId="77777777" w:rsidR="00195F21" w:rsidRPr="00CD6435" w:rsidRDefault="00195F21" w:rsidP="00CD6435">
      <w:pPr>
        <w:pStyle w:val="NormalWeb"/>
        <w:spacing w:before="0" w:beforeAutospacing="0" w:after="0" w:afterAutospacing="0"/>
        <w:jc w:val="both"/>
        <w:rPr>
          <w:rFonts w:ascii="Calibri" w:hAnsi="Calibri" w:cs="Calibri"/>
          <w:sz w:val="18"/>
          <w:szCs w:val="18"/>
        </w:rPr>
      </w:pPr>
    </w:p>
    <w:p w14:paraId="51283265" w14:textId="54643877" w:rsidR="00CD6435" w:rsidRPr="00CD6435" w:rsidRDefault="00CD6435" w:rsidP="00CD6435">
      <w:pPr>
        <w:pStyle w:val="NormalWeb"/>
        <w:spacing w:before="0" w:beforeAutospacing="0" w:after="0" w:afterAutospacing="0"/>
        <w:jc w:val="both"/>
        <w:rPr>
          <w:rFonts w:ascii="Calibri" w:hAnsi="Calibri" w:cs="Calibri"/>
          <w:b/>
          <w:bCs/>
          <w:sz w:val="18"/>
          <w:szCs w:val="18"/>
        </w:rPr>
      </w:pPr>
      <w:r w:rsidRPr="00CD6435">
        <w:rPr>
          <w:rFonts w:ascii="Calibri" w:hAnsi="Calibri" w:cs="Calibri"/>
          <w:b/>
          <w:bCs/>
          <w:sz w:val="18"/>
          <w:szCs w:val="18"/>
        </w:rPr>
        <w:t>Splitting Tensile Strength of SCC</w:t>
      </w:r>
      <w:r>
        <w:rPr>
          <w:rFonts w:ascii="Calibri" w:hAnsi="Calibri" w:cs="Calibri"/>
          <w:b/>
          <w:bCs/>
          <w:sz w:val="18"/>
          <w:szCs w:val="18"/>
        </w:rPr>
        <w:t xml:space="preserve">: </w:t>
      </w:r>
      <w:r w:rsidR="00FE1095" w:rsidRPr="00FE1095">
        <w:rPr>
          <w:rFonts w:ascii="Calibri" w:hAnsi="Calibri" w:cs="Calibri"/>
          <w:sz w:val="18"/>
          <w:szCs w:val="18"/>
        </w:rPr>
        <w:t>The splitting tensile strength (</w:t>
      </w:r>
      <w:proofErr w:type="spellStart"/>
      <w:r w:rsidR="00FE1095" w:rsidRPr="00FE1095">
        <w:rPr>
          <w:rFonts w:ascii="Calibri" w:hAnsi="Calibri" w:cs="Calibri"/>
          <w:sz w:val="18"/>
          <w:szCs w:val="18"/>
        </w:rPr>
        <w:t>fsp</w:t>
      </w:r>
      <w:proofErr w:type="spellEnd"/>
      <w:r w:rsidR="00FE1095" w:rsidRPr="00FE1095">
        <w:rPr>
          <w:rFonts w:ascii="Calibri" w:hAnsi="Calibri" w:cs="Calibri"/>
          <w:sz w:val="18"/>
          <w:szCs w:val="18"/>
        </w:rPr>
        <w:t>) is generally greater than the direct tensile strength but less than the flexural strength. It is commonly expressed as a function of the square root of the compressive strength (</w:t>
      </w:r>
      <w:proofErr w:type="spellStart"/>
      <w:r w:rsidR="00FE1095" w:rsidRPr="00FE1095">
        <w:rPr>
          <w:rFonts w:ascii="Calibri" w:hAnsi="Calibri" w:cs="Calibri"/>
          <w:sz w:val="18"/>
          <w:szCs w:val="18"/>
        </w:rPr>
        <w:t>fʹc</w:t>
      </w:r>
      <w:proofErr w:type="spellEnd"/>
      <w:r w:rsidR="00FE1095" w:rsidRPr="00FE1095">
        <w:rPr>
          <w:rFonts w:ascii="Calibri" w:hAnsi="Calibri" w:cs="Calibri"/>
          <w:sz w:val="18"/>
          <w:szCs w:val="18"/>
        </w:rPr>
        <w:t>). In the design of structural concrete components, the splitting tensile strength serves to evaluate the shear resistance provided by the material and to determine the duration required for reinforcement to develop effectively.</w:t>
      </w:r>
    </w:p>
    <w:p w14:paraId="47AA2B24"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p>
    <w:p w14:paraId="0E2225A2" w14:textId="2259B288"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6</w:t>
      </w:r>
      <w:r w:rsidRPr="00CD6435">
        <w:rPr>
          <w:rFonts w:ascii="Calibri" w:hAnsi="Calibri" w:cs="Calibri"/>
          <w:sz w:val="18"/>
          <w:szCs w:val="18"/>
        </w:rPr>
        <w:t>: Splitting Strength of Normal vs Partial Replacement of Cement in SCC</w:t>
      </w:r>
    </w:p>
    <w:tbl>
      <w:tblPr>
        <w:tblStyle w:val="TableGrid0"/>
        <w:tblW w:w="0" w:type="auto"/>
        <w:tblLook w:val="04A0" w:firstRow="1" w:lastRow="0" w:firstColumn="1" w:lastColumn="0" w:noHBand="0" w:noVBand="1"/>
      </w:tblPr>
      <w:tblGrid>
        <w:gridCol w:w="1426"/>
        <w:gridCol w:w="1073"/>
        <w:gridCol w:w="1073"/>
        <w:gridCol w:w="1051"/>
      </w:tblGrid>
      <w:tr w:rsidR="00CD6435" w:rsidRPr="00CD6435" w14:paraId="61423EF7" w14:textId="77777777" w:rsidTr="00302B15">
        <w:trPr>
          <w:trHeight w:val="377"/>
        </w:trPr>
        <w:tc>
          <w:tcPr>
            <w:tcW w:w="9016" w:type="dxa"/>
            <w:gridSpan w:val="4"/>
          </w:tcPr>
          <w:p w14:paraId="4F0A82A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Splitting Tensile Strength of SCC (MPa)</w:t>
            </w:r>
          </w:p>
        </w:tc>
      </w:tr>
      <w:tr w:rsidR="00CD6435" w:rsidRPr="00CD6435" w14:paraId="13EAF33B" w14:textId="77777777" w:rsidTr="00302B15">
        <w:trPr>
          <w:trHeight w:val="359"/>
        </w:trPr>
        <w:tc>
          <w:tcPr>
            <w:tcW w:w="2605" w:type="dxa"/>
          </w:tcPr>
          <w:p w14:paraId="457679D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Concrete with</w:t>
            </w:r>
          </w:p>
        </w:tc>
        <w:tc>
          <w:tcPr>
            <w:tcW w:w="2160" w:type="dxa"/>
          </w:tcPr>
          <w:p w14:paraId="6D2C634C"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60" w:type="dxa"/>
          </w:tcPr>
          <w:p w14:paraId="5AEA5E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28 Days</w:t>
            </w:r>
          </w:p>
        </w:tc>
        <w:tc>
          <w:tcPr>
            <w:tcW w:w="2091" w:type="dxa"/>
          </w:tcPr>
          <w:p w14:paraId="6C2649D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56 Days</w:t>
            </w:r>
          </w:p>
        </w:tc>
      </w:tr>
      <w:tr w:rsidR="00CD6435" w:rsidRPr="00CD6435" w14:paraId="783D0B35" w14:textId="77777777" w:rsidTr="00302B15">
        <w:trPr>
          <w:trHeight w:val="611"/>
        </w:trPr>
        <w:tc>
          <w:tcPr>
            <w:tcW w:w="2605" w:type="dxa"/>
          </w:tcPr>
          <w:p w14:paraId="3781CE5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without    LRF &amp; Marble dust</w:t>
            </w:r>
          </w:p>
        </w:tc>
        <w:tc>
          <w:tcPr>
            <w:tcW w:w="2160" w:type="dxa"/>
          </w:tcPr>
          <w:p w14:paraId="09D4AF8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2.27</w:t>
            </w:r>
          </w:p>
        </w:tc>
        <w:tc>
          <w:tcPr>
            <w:tcW w:w="2160" w:type="dxa"/>
          </w:tcPr>
          <w:p w14:paraId="3F5E871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2.69</w:t>
            </w:r>
          </w:p>
        </w:tc>
        <w:tc>
          <w:tcPr>
            <w:tcW w:w="2091" w:type="dxa"/>
          </w:tcPr>
          <w:p w14:paraId="2870536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2.96</w:t>
            </w:r>
          </w:p>
        </w:tc>
      </w:tr>
      <w:tr w:rsidR="00CD6435" w:rsidRPr="00CD6435" w14:paraId="7F497507" w14:textId="77777777" w:rsidTr="00302B15">
        <w:trPr>
          <w:trHeight w:val="314"/>
        </w:trPr>
        <w:tc>
          <w:tcPr>
            <w:tcW w:w="2605" w:type="dxa"/>
          </w:tcPr>
          <w:p w14:paraId="58E3DA3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60" w:type="dxa"/>
          </w:tcPr>
          <w:p w14:paraId="3836D0B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2.23</w:t>
            </w:r>
          </w:p>
        </w:tc>
        <w:tc>
          <w:tcPr>
            <w:tcW w:w="2160" w:type="dxa"/>
          </w:tcPr>
          <w:p w14:paraId="29F29FF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2.57</w:t>
            </w:r>
          </w:p>
        </w:tc>
        <w:tc>
          <w:tcPr>
            <w:tcW w:w="2091" w:type="dxa"/>
          </w:tcPr>
          <w:p w14:paraId="5BEF1D7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2.30</w:t>
            </w:r>
          </w:p>
        </w:tc>
      </w:tr>
      <w:tr w:rsidR="00CD6435" w:rsidRPr="00CD6435" w14:paraId="4002D826" w14:textId="77777777" w:rsidTr="00302B15">
        <w:trPr>
          <w:trHeight w:val="350"/>
        </w:trPr>
        <w:tc>
          <w:tcPr>
            <w:tcW w:w="2605" w:type="dxa"/>
          </w:tcPr>
          <w:p w14:paraId="401B8CD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60" w:type="dxa"/>
          </w:tcPr>
          <w:p w14:paraId="7BF72BA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2.09</w:t>
            </w:r>
          </w:p>
        </w:tc>
        <w:tc>
          <w:tcPr>
            <w:tcW w:w="2160" w:type="dxa"/>
          </w:tcPr>
          <w:p w14:paraId="5453C40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2.71</w:t>
            </w:r>
          </w:p>
        </w:tc>
        <w:tc>
          <w:tcPr>
            <w:tcW w:w="2091" w:type="dxa"/>
          </w:tcPr>
          <w:p w14:paraId="2C93DFF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2.37</w:t>
            </w:r>
          </w:p>
        </w:tc>
      </w:tr>
      <w:tr w:rsidR="00CD6435" w:rsidRPr="00CD6435" w14:paraId="2569C357" w14:textId="77777777" w:rsidTr="00302B15">
        <w:trPr>
          <w:trHeight w:val="350"/>
        </w:trPr>
        <w:tc>
          <w:tcPr>
            <w:tcW w:w="2605" w:type="dxa"/>
          </w:tcPr>
          <w:p w14:paraId="482AFB1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60" w:type="dxa"/>
          </w:tcPr>
          <w:p w14:paraId="33EFF15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1.98</w:t>
            </w:r>
          </w:p>
        </w:tc>
        <w:tc>
          <w:tcPr>
            <w:tcW w:w="2160" w:type="dxa"/>
          </w:tcPr>
          <w:p w14:paraId="170B12E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2.55</w:t>
            </w:r>
          </w:p>
        </w:tc>
        <w:tc>
          <w:tcPr>
            <w:tcW w:w="2091" w:type="dxa"/>
          </w:tcPr>
          <w:p w14:paraId="1EE07E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3.13</w:t>
            </w:r>
          </w:p>
        </w:tc>
      </w:tr>
      <w:tr w:rsidR="00CD6435" w:rsidRPr="00CD6435" w14:paraId="1E3F060C" w14:textId="77777777" w:rsidTr="00302B15">
        <w:trPr>
          <w:trHeight w:val="350"/>
        </w:trPr>
        <w:tc>
          <w:tcPr>
            <w:tcW w:w="2605" w:type="dxa"/>
          </w:tcPr>
          <w:p w14:paraId="6577B56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2160" w:type="dxa"/>
          </w:tcPr>
          <w:p w14:paraId="3C77E1C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3.11</w:t>
            </w:r>
          </w:p>
        </w:tc>
        <w:tc>
          <w:tcPr>
            <w:tcW w:w="2160" w:type="dxa"/>
          </w:tcPr>
          <w:p w14:paraId="5E1C63B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2.54</w:t>
            </w:r>
          </w:p>
        </w:tc>
        <w:tc>
          <w:tcPr>
            <w:tcW w:w="2091" w:type="dxa"/>
          </w:tcPr>
          <w:p w14:paraId="0229F23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2.45</w:t>
            </w:r>
          </w:p>
        </w:tc>
      </w:tr>
      <w:tr w:rsidR="00CD6435" w:rsidRPr="00CD6435" w14:paraId="0AF222A2" w14:textId="77777777" w:rsidTr="00302B15">
        <w:trPr>
          <w:trHeight w:val="350"/>
        </w:trPr>
        <w:tc>
          <w:tcPr>
            <w:tcW w:w="2605" w:type="dxa"/>
          </w:tcPr>
          <w:p w14:paraId="72D7C5D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2160" w:type="dxa"/>
          </w:tcPr>
          <w:p w14:paraId="5ACCAA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2.93</w:t>
            </w:r>
          </w:p>
        </w:tc>
        <w:tc>
          <w:tcPr>
            <w:tcW w:w="2160" w:type="dxa"/>
          </w:tcPr>
          <w:p w14:paraId="78A3DD4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2.93</w:t>
            </w:r>
          </w:p>
        </w:tc>
        <w:tc>
          <w:tcPr>
            <w:tcW w:w="2091" w:type="dxa"/>
          </w:tcPr>
          <w:p w14:paraId="416CEDF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1.85</w:t>
            </w:r>
          </w:p>
        </w:tc>
      </w:tr>
      <w:tr w:rsidR="00CD6435" w:rsidRPr="00CD6435" w14:paraId="248E1F28" w14:textId="77777777" w:rsidTr="00302B15">
        <w:trPr>
          <w:trHeight w:val="350"/>
        </w:trPr>
        <w:tc>
          <w:tcPr>
            <w:tcW w:w="2605" w:type="dxa"/>
          </w:tcPr>
          <w:p w14:paraId="062744A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2160" w:type="dxa"/>
          </w:tcPr>
          <w:p w14:paraId="2B82273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2.86</w:t>
            </w:r>
          </w:p>
        </w:tc>
        <w:tc>
          <w:tcPr>
            <w:tcW w:w="2160" w:type="dxa"/>
          </w:tcPr>
          <w:p w14:paraId="3B2753A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3.03</w:t>
            </w:r>
          </w:p>
        </w:tc>
        <w:tc>
          <w:tcPr>
            <w:tcW w:w="2091" w:type="dxa"/>
          </w:tcPr>
          <w:p w14:paraId="6EC206D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3.16</w:t>
            </w:r>
          </w:p>
        </w:tc>
      </w:tr>
    </w:tbl>
    <w:p w14:paraId="41A459B9" w14:textId="77777777" w:rsidR="00CD6435" w:rsidRDefault="00CD6435" w:rsidP="00CD6435">
      <w:pPr>
        <w:pStyle w:val="NormalWeb"/>
        <w:spacing w:before="0" w:beforeAutospacing="0" w:after="0" w:afterAutospacing="0"/>
        <w:jc w:val="both"/>
        <w:rPr>
          <w:rFonts w:ascii="Calibri" w:hAnsi="Calibri" w:cs="Calibri"/>
          <w:sz w:val="18"/>
          <w:szCs w:val="18"/>
        </w:rPr>
      </w:pPr>
    </w:p>
    <w:p w14:paraId="32D56615" w14:textId="1DB7ABA9" w:rsidR="00FE1095" w:rsidRDefault="00FE1095" w:rsidP="00FE109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An analysis of standard SCC concrete at 14 and 28 days reveals that it possesses a greater tensile strength compared to the alternative LRF and marble dust mortars. Nevertheless, at the 56-day mark, concrete incorporating 15% LRF slag and marble dust demonstrates superior strength compared to conventional SCC concrete. Additionally, Figures </w:t>
      </w:r>
      <w:r w:rsidR="00955032">
        <w:rPr>
          <w:rFonts w:ascii="Calibri" w:hAnsi="Calibri" w:cs="Calibri"/>
          <w:sz w:val="18"/>
          <w:szCs w:val="18"/>
        </w:rPr>
        <w:t>15</w:t>
      </w:r>
      <w:r w:rsidRPr="00FE1095">
        <w:rPr>
          <w:rFonts w:ascii="Calibri" w:hAnsi="Calibri" w:cs="Calibri"/>
          <w:sz w:val="18"/>
          <w:szCs w:val="18"/>
        </w:rPr>
        <w:t xml:space="preserve"> and </w:t>
      </w:r>
      <w:r w:rsidR="00955032">
        <w:rPr>
          <w:rFonts w:ascii="Calibri" w:hAnsi="Calibri" w:cs="Calibri"/>
          <w:sz w:val="18"/>
          <w:szCs w:val="18"/>
        </w:rPr>
        <w:t>16</w:t>
      </w:r>
      <w:r w:rsidRPr="00FE1095">
        <w:rPr>
          <w:rFonts w:ascii="Calibri" w:hAnsi="Calibri" w:cs="Calibri"/>
          <w:sz w:val="18"/>
          <w:szCs w:val="18"/>
        </w:rPr>
        <w:t xml:space="preserve"> illustrate the splitting strength outcomes for the mortar samples. When evaluating the replacement ratios of LRF slag and marble dust against the control mix throughout the 14-day, 28-day, and 56-day testing intervals, a reduction in tensile strength is observed.</w:t>
      </w:r>
    </w:p>
    <w:p w14:paraId="7DE763E8" w14:textId="0E5375A8"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lastRenderedPageBreak/>
        <w:drawing>
          <wp:inline distT="0" distB="0" distL="0" distR="0" wp14:anchorId="5BF51B4E" wp14:editId="24A84EEB">
            <wp:extent cx="2952750" cy="1851950"/>
            <wp:effectExtent l="0" t="0" r="0" b="0"/>
            <wp:docPr id="574248213" name="Picture 2" descr="A graph of different ag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48213" name="Picture 2" descr="A graph of different age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4248" cy="1877977"/>
                    </a:xfrm>
                    <a:prstGeom prst="rect">
                      <a:avLst/>
                    </a:prstGeom>
                    <a:noFill/>
                  </pic:spPr>
                </pic:pic>
              </a:graphicData>
            </a:graphic>
          </wp:inline>
        </w:drawing>
      </w:r>
    </w:p>
    <w:p w14:paraId="30F0AB4D" w14:textId="16684C7E"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15</w:t>
      </w:r>
      <w:r w:rsidRPr="00CD6435">
        <w:rPr>
          <w:rFonts w:ascii="Calibri" w:hAnsi="Calibri" w:cs="Calibri"/>
          <w:sz w:val="18"/>
          <w:szCs w:val="18"/>
        </w:rPr>
        <w:t>: Splitting Tensile Strength at different ages for marble dust</w:t>
      </w:r>
    </w:p>
    <w:p w14:paraId="1D86E4E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1BE871BB" w14:textId="61D8C98B"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7</w:t>
      </w:r>
      <w:r w:rsidRPr="00CD6435">
        <w:rPr>
          <w:rFonts w:ascii="Calibri" w:hAnsi="Calibri" w:cs="Calibri"/>
          <w:sz w:val="18"/>
          <w:szCs w:val="18"/>
        </w:rPr>
        <w:t>: Percentage of Change in Splitting Tensile Strength for Marble Dust</w:t>
      </w:r>
    </w:p>
    <w:tbl>
      <w:tblPr>
        <w:tblStyle w:val="TableGrid0"/>
        <w:tblW w:w="0" w:type="auto"/>
        <w:jc w:val="center"/>
        <w:tblLook w:val="04A0" w:firstRow="1" w:lastRow="0" w:firstColumn="1" w:lastColumn="0" w:noHBand="0" w:noVBand="1"/>
      </w:tblPr>
      <w:tblGrid>
        <w:gridCol w:w="1292"/>
        <w:gridCol w:w="1110"/>
        <w:gridCol w:w="1110"/>
        <w:gridCol w:w="1111"/>
      </w:tblGrid>
      <w:tr w:rsidR="00CD6435" w:rsidRPr="00CD6435" w14:paraId="5A70831D" w14:textId="77777777" w:rsidTr="00FE1095">
        <w:trPr>
          <w:trHeight w:val="397"/>
          <w:jc w:val="center"/>
        </w:trPr>
        <w:tc>
          <w:tcPr>
            <w:tcW w:w="4623" w:type="dxa"/>
            <w:gridSpan w:val="4"/>
          </w:tcPr>
          <w:p w14:paraId="3F5FD4B9"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Compressive Strength (%)</w:t>
            </w:r>
          </w:p>
        </w:tc>
      </w:tr>
      <w:tr w:rsidR="00CD6435" w:rsidRPr="00CD6435" w14:paraId="426B1600" w14:textId="77777777" w:rsidTr="00FE1095">
        <w:trPr>
          <w:trHeight w:val="329"/>
          <w:jc w:val="center"/>
        </w:trPr>
        <w:tc>
          <w:tcPr>
            <w:tcW w:w="1292" w:type="dxa"/>
          </w:tcPr>
          <w:p w14:paraId="2962DB6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1110" w:type="dxa"/>
          </w:tcPr>
          <w:p w14:paraId="5088FA6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1110" w:type="dxa"/>
          </w:tcPr>
          <w:p w14:paraId="31FA38E6"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1111" w:type="dxa"/>
          </w:tcPr>
          <w:p w14:paraId="6765AB5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5BFA0712" w14:textId="77777777" w:rsidTr="00FE1095">
        <w:trPr>
          <w:trHeight w:val="512"/>
          <w:jc w:val="center"/>
        </w:trPr>
        <w:tc>
          <w:tcPr>
            <w:tcW w:w="1292" w:type="dxa"/>
          </w:tcPr>
          <w:p w14:paraId="2137DF5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Marble Dust</w:t>
            </w:r>
          </w:p>
        </w:tc>
        <w:tc>
          <w:tcPr>
            <w:tcW w:w="1110" w:type="dxa"/>
          </w:tcPr>
          <w:p w14:paraId="777F97D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1110" w:type="dxa"/>
          </w:tcPr>
          <w:p w14:paraId="74F11CB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1111" w:type="dxa"/>
          </w:tcPr>
          <w:p w14:paraId="60E8BF2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5A5E4342" w14:textId="77777777" w:rsidTr="00FE1095">
        <w:trPr>
          <w:trHeight w:val="256"/>
          <w:jc w:val="center"/>
        </w:trPr>
        <w:tc>
          <w:tcPr>
            <w:tcW w:w="1292" w:type="dxa"/>
          </w:tcPr>
          <w:p w14:paraId="21EE177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1110" w:type="dxa"/>
          </w:tcPr>
          <w:p w14:paraId="460695C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37.19</w:t>
            </w:r>
          </w:p>
        </w:tc>
        <w:tc>
          <w:tcPr>
            <w:tcW w:w="1110" w:type="dxa"/>
          </w:tcPr>
          <w:p w14:paraId="05ACEEE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-5.40</w:t>
            </w:r>
          </w:p>
        </w:tc>
        <w:tc>
          <w:tcPr>
            <w:tcW w:w="1111" w:type="dxa"/>
          </w:tcPr>
          <w:p w14:paraId="5656C8B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-17.16</w:t>
            </w:r>
          </w:p>
        </w:tc>
      </w:tr>
      <w:tr w:rsidR="00CD6435" w:rsidRPr="00CD6435" w14:paraId="4094F74C" w14:textId="77777777" w:rsidTr="00FE1095">
        <w:trPr>
          <w:trHeight w:val="267"/>
          <w:jc w:val="center"/>
        </w:trPr>
        <w:tc>
          <w:tcPr>
            <w:tcW w:w="1292" w:type="dxa"/>
          </w:tcPr>
          <w:p w14:paraId="6D4718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1110" w:type="dxa"/>
          </w:tcPr>
          <w:p w14:paraId="5B8BE0D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29.07</w:t>
            </w:r>
          </w:p>
        </w:tc>
        <w:tc>
          <w:tcPr>
            <w:tcW w:w="1110" w:type="dxa"/>
          </w:tcPr>
          <w:p w14:paraId="203EB4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8.98</w:t>
            </w:r>
          </w:p>
        </w:tc>
        <w:tc>
          <w:tcPr>
            <w:tcW w:w="1111" w:type="dxa"/>
          </w:tcPr>
          <w:p w14:paraId="209CF5F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-37.4</w:t>
            </w:r>
          </w:p>
        </w:tc>
      </w:tr>
      <w:tr w:rsidR="00CD6435" w:rsidRPr="00CD6435" w14:paraId="27AF904D" w14:textId="77777777" w:rsidTr="00FE1095">
        <w:trPr>
          <w:trHeight w:val="256"/>
          <w:jc w:val="center"/>
        </w:trPr>
        <w:tc>
          <w:tcPr>
            <w:tcW w:w="1292" w:type="dxa"/>
          </w:tcPr>
          <w:p w14:paraId="2DDFEE0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1110" w:type="dxa"/>
          </w:tcPr>
          <w:p w14:paraId="02BB976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26.11</w:t>
            </w:r>
          </w:p>
        </w:tc>
        <w:tc>
          <w:tcPr>
            <w:tcW w:w="1110" w:type="dxa"/>
          </w:tcPr>
          <w:p w14:paraId="71AD075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12.96</w:t>
            </w:r>
          </w:p>
        </w:tc>
        <w:tc>
          <w:tcPr>
            <w:tcW w:w="1111" w:type="dxa"/>
          </w:tcPr>
          <w:p w14:paraId="160061A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6.6</w:t>
            </w:r>
          </w:p>
        </w:tc>
      </w:tr>
    </w:tbl>
    <w:p w14:paraId="0FCAD5AF" w14:textId="77777777" w:rsidR="00FE1095" w:rsidRDefault="00FE1095" w:rsidP="00FE1095">
      <w:pPr>
        <w:pStyle w:val="NormalWeb"/>
        <w:spacing w:before="0" w:beforeAutospacing="0" w:after="0" w:afterAutospacing="0"/>
        <w:jc w:val="both"/>
        <w:rPr>
          <w:rFonts w:ascii="Calibri" w:hAnsi="Calibri" w:cs="Calibri"/>
          <w:sz w:val="18"/>
          <w:szCs w:val="18"/>
        </w:rPr>
      </w:pPr>
    </w:p>
    <w:p w14:paraId="427B6271" w14:textId="4E34AB5C" w:rsidR="00CD6435" w:rsidRPr="00CD6435" w:rsidRDefault="00FE1095" w:rsidP="00FE109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As illustrated in Figure </w:t>
      </w:r>
      <w:r w:rsidR="00955032">
        <w:rPr>
          <w:rFonts w:ascii="Calibri" w:hAnsi="Calibri" w:cs="Calibri"/>
          <w:sz w:val="18"/>
          <w:szCs w:val="18"/>
        </w:rPr>
        <w:t>16</w:t>
      </w:r>
      <w:r w:rsidRPr="00FE1095">
        <w:rPr>
          <w:rFonts w:ascii="Calibri" w:hAnsi="Calibri" w:cs="Calibri"/>
          <w:sz w:val="18"/>
          <w:szCs w:val="18"/>
        </w:rPr>
        <w:t xml:space="preserve"> and Table </w:t>
      </w:r>
      <w:r w:rsidR="0017618D">
        <w:rPr>
          <w:rFonts w:ascii="Calibri" w:hAnsi="Calibri" w:cs="Calibri"/>
          <w:sz w:val="18"/>
          <w:szCs w:val="18"/>
        </w:rPr>
        <w:t>7</w:t>
      </w:r>
      <w:r w:rsidRPr="00FE1095">
        <w:rPr>
          <w:rFonts w:ascii="Calibri" w:hAnsi="Calibri" w:cs="Calibri"/>
          <w:sz w:val="18"/>
          <w:szCs w:val="18"/>
        </w:rPr>
        <w:t>, standard self-compacting concrete (SCC) exhibits a significant enhancement in splitting tensile strength over time. However, the strength improvements observed with the incorporation of 5%, 10%, and 15% marble dust are minimal. Specifically, the strength gains for the 5% and 10% mixtures during the initial 14 days were recorded at 17.16% and 37.4% by the 56-day mark, respectively. While the 15% marble dust mixture does demonstrate a marginal increase in strength, it remains insignificant when compared to standard SCC. In this context, both the 15% mixture and plain concrete yielded anticipated outcomes.</w:t>
      </w:r>
      <w:r w:rsidR="00CD6435" w:rsidRPr="00CD6435">
        <w:rPr>
          <w:rFonts w:ascii="Calibri" w:hAnsi="Calibri" w:cs="Calibri"/>
          <w:noProof/>
          <w:sz w:val="18"/>
          <w:szCs w:val="18"/>
        </w:rPr>
        <w:drawing>
          <wp:inline distT="0" distB="0" distL="0" distR="0" wp14:anchorId="69B78D05" wp14:editId="457BBC6E">
            <wp:extent cx="2972670" cy="1649392"/>
            <wp:effectExtent l="0" t="0" r="0" b="8255"/>
            <wp:docPr id="583337362" name="Picture 1" descr="A graph of different age and 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7362" name="Picture 1" descr="A graph of different age and age&#10;&#10;Description automatically generated with medium confidence"/>
                    <pic:cNvPicPr/>
                  </pic:nvPicPr>
                  <pic:blipFill>
                    <a:blip r:embed="rId33"/>
                    <a:stretch>
                      <a:fillRect/>
                    </a:stretch>
                  </pic:blipFill>
                  <pic:spPr>
                    <a:xfrm>
                      <a:off x="0" y="0"/>
                      <a:ext cx="3002669" cy="1666037"/>
                    </a:xfrm>
                    <a:prstGeom prst="rect">
                      <a:avLst/>
                    </a:prstGeom>
                  </pic:spPr>
                </pic:pic>
              </a:graphicData>
            </a:graphic>
          </wp:inline>
        </w:drawing>
      </w:r>
    </w:p>
    <w:p w14:paraId="127C55C8" w14:textId="3F524E75"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16</w:t>
      </w:r>
      <w:r w:rsidRPr="00CD6435">
        <w:rPr>
          <w:rFonts w:ascii="Calibri" w:hAnsi="Calibri" w:cs="Calibri"/>
          <w:sz w:val="18"/>
          <w:szCs w:val="18"/>
        </w:rPr>
        <w:t>: Splitting Tensile Strength at different ages for LRF</w:t>
      </w:r>
    </w:p>
    <w:p w14:paraId="7A13B64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46F38D22" w14:textId="54FCD1E3"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8</w:t>
      </w:r>
      <w:r w:rsidRPr="00CD6435">
        <w:rPr>
          <w:rFonts w:ascii="Calibri" w:hAnsi="Calibri" w:cs="Calibri"/>
          <w:sz w:val="18"/>
          <w:szCs w:val="18"/>
        </w:rPr>
        <w:t xml:space="preserve">: Percentage of Change in </w:t>
      </w:r>
      <w:r w:rsidR="008C24FD">
        <w:rPr>
          <w:rFonts w:ascii="Calibri" w:hAnsi="Calibri" w:cs="Calibri"/>
          <w:sz w:val="18"/>
          <w:szCs w:val="18"/>
        </w:rPr>
        <w:t>Splitting Tensile Strength</w:t>
      </w:r>
      <w:r w:rsidRPr="00CD6435">
        <w:rPr>
          <w:rFonts w:ascii="Calibri" w:hAnsi="Calibri" w:cs="Calibri"/>
          <w:sz w:val="18"/>
          <w:szCs w:val="18"/>
        </w:rPr>
        <w:t xml:space="preserve"> for LRF</w:t>
      </w:r>
    </w:p>
    <w:tbl>
      <w:tblPr>
        <w:tblStyle w:val="TableGrid0"/>
        <w:tblW w:w="0" w:type="auto"/>
        <w:jc w:val="center"/>
        <w:tblLook w:val="04A0" w:firstRow="1" w:lastRow="0" w:firstColumn="1" w:lastColumn="0" w:noHBand="0" w:noVBand="1"/>
      </w:tblPr>
      <w:tblGrid>
        <w:gridCol w:w="1298"/>
        <w:gridCol w:w="1120"/>
        <w:gridCol w:w="1120"/>
        <w:gridCol w:w="1085"/>
      </w:tblGrid>
      <w:tr w:rsidR="00CD6435" w:rsidRPr="00CD6435" w14:paraId="509E7692" w14:textId="77777777" w:rsidTr="00302B15">
        <w:trPr>
          <w:trHeight w:val="397"/>
          <w:jc w:val="center"/>
        </w:trPr>
        <w:tc>
          <w:tcPr>
            <w:tcW w:w="8798" w:type="dxa"/>
            <w:gridSpan w:val="4"/>
          </w:tcPr>
          <w:p w14:paraId="087A230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Splitting Tensile Strength (%)</w:t>
            </w:r>
          </w:p>
        </w:tc>
      </w:tr>
      <w:tr w:rsidR="00CD6435" w:rsidRPr="00CD6435" w14:paraId="577DFF03" w14:textId="77777777" w:rsidTr="00302B15">
        <w:trPr>
          <w:trHeight w:val="329"/>
          <w:jc w:val="center"/>
        </w:trPr>
        <w:tc>
          <w:tcPr>
            <w:tcW w:w="2199" w:type="dxa"/>
          </w:tcPr>
          <w:p w14:paraId="6A378D43"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2199" w:type="dxa"/>
          </w:tcPr>
          <w:p w14:paraId="70333574"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7796957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66F170B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69EF8810" w14:textId="77777777" w:rsidTr="00302B15">
        <w:trPr>
          <w:trHeight w:val="512"/>
          <w:jc w:val="center"/>
        </w:trPr>
        <w:tc>
          <w:tcPr>
            <w:tcW w:w="2199" w:type="dxa"/>
          </w:tcPr>
          <w:p w14:paraId="17ACEA7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LRF</w:t>
            </w:r>
          </w:p>
        </w:tc>
        <w:tc>
          <w:tcPr>
            <w:tcW w:w="2199" w:type="dxa"/>
          </w:tcPr>
          <w:p w14:paraId="5FAB789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503D72B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6066FC7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72117D2E" w14:textId="77777777" w:rsidTr="00302B15">
        <w:trPr>
          <w:trHeight w:val="256"/>
          <w:jc w:val="center"/>
        </w:trPr>
        <w:tc>
          <w:tcPr>
            <w:tcW w:w="2199" w:type="dxa"/>
          </w:tcPr>
          <w:p w14:paraId="2543C82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99" w:type="dxa"/>
            <w:tcBorders>
              <w:top w:val="single" w:sz="4" w:space="0" w:color="505050"/>
              <w:left w:val="single" w:sz="4" w:space="0" w:color="505050"/>
              <w:bottom w:val="single" w:sz="4" w:space="0" w:color="505050"/>
              <w:right w:val="single" w:sz="4" w:space="0" w:color="505050"/>
            </w:tcBorders>
            <w:shd w:val="clear" w:color="auto" w:fill="auto"/>
            <w:vAlign w:val="bottom"/>
          </w:tcPr>
          <w:p w14:paraId="34630B3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-1.5</w:t>
            </w:r>
          </w:p>
        </w:tc>
        <w:tc>
          <w:tcPr>
            <w:tcW w:w="2199" w:type="dxa"/>
            <w:tcBorders>
              <w:top w:val="single" w:sz="4" w:space="0" w:color="505050"/>
              <w:left w:val="single" w:sz="4" w:space="0" w:color="505050"/>
              <w:bottom w:val="single" w:sz="4" w:space="0" w:color="505050"/>
              <w:right w:val="single" w:sz="4" w:space="0" w:color="505050"/>
            </w:tcBorders>
            <w:shd w:val="clear" w:color="auto" w:fill="auto"/>
            <w:vAlign w:val="bottom"/>
          </w:tcPr>
          <w:p w14:paraId="56B1FE8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-18.77</w:t>
            </w:r>
          </w:p>
        </w:tc>
        <w:tc>
          <w:tcPr>
            <w:tcW w:w="2201" w:type="dxa"/>
            <w:tcBorders>
              <w:top w:val="single" w:sz="4" w:space="0" w:color="505050"/>
              <w:left w:val="single" w:sz="4" w:space="0" w:color="505050"/>
              <w:bottom w:val="single" w:sz="4" w:space="0" w:color="505050"/>
              <w:right w:val="single" w:sz="4" w:space="0" w:color="505050"/>
            </w:tcBorders>
            <w:shd w:val="clear" w:color="auto" w:fill="auto"/>
            <w:vAlign w:val="bottom"/>
          </w:tcPr>
          <w:p w14:paraId="057EF1D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-22</w:t>
            </w:r>
          </w:p>
        </w:tc>
      </w:tr>
      <w:tr w:rsidR="00CD6435" w:rsidRPr="00CD6435" w14:paraId="76BFFF8B" w14:textId="77777777" w:rsidTr="00302B15">
        <w:trPr>
          <w:trHeight w:val="267"/>
          <w:jc w:val="center"/>
        </w:trPr>
        <w:tc>
          <w:tcPr>
            <w:tcW w:w="2199" w:type="dxa"/>
          </w:tcPr>
          <w:p w14:paraId="23FC3C0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1E96DA9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-7.98</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1C4C9FB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1.01</w:t>
            </w:r>
          </w:p>
        </w:tc>
        <w:tc>
          <w:tcPr>
            <w:tcW w:w="2201" w:type="dxa"/>
            <w:tcBorders>
              <w:top w:val="nil"/>
              <w:left w:val="single" w:sz="4" w:space="0" w:color="505050"/>
              <w:bottom w:val="single" w:sz="4" w:space="0" w:color="505050"/>
              <w:right w:val="single" w:sz="4" w:space="0" w:color="505050"/>
            </w:tcBorders>
            <w:shd w:val="clear" w:color="auto" w:fill="auto"/>
            <w:vAlign w:val="bottom"/>
          </w:tcPr>
          <w:p w14:paraId="4298B0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-20</w:t>
            </w:r>
          </w:p>
        </w:tc>
      </w:tr>
      <w:tr w:rsidR="00CD6435" w:rsidRPr="00CD6435" w14:paraId="7A39BA83" w14:textId="77777777" w:rsidTr="00302B15">
        <w:trPr>
          <w:trHeight w:val="256"/>
          <w:jc w:val="center"/>
        </w:trPr>
        <w:tc>
          <w:tcPr>
            <w:tcW w:w="2199" w:type="dxa"/>
          </w:tcPr>
          <w:p w14:paraId="3EBB780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38F75F4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-12.53</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050E36D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-5.07</w:t>
            </w:r>
          </w:p>
        </w:tc>
        <w:tc>
          <w:tcPr>
            <w:tcW w:w="2201" w:type="dxa"/>
            <w:tcBorders>
              <w:top w:val="nil"/>
              <w:left w:val="single" w:sz="4" w:space="0" w:color="505050"/>
              <w:bottom w:val="single" w:sz="4" w:space="0" w:color="505050"/>
              <w:right w:val="single" w:sz="4" w:space="0" w:color="505050"/>
            </w:tcBorders>
            <w:shd w:val="clear" w:color="auto" w:fill="auto"/>
            <w:vAlign w:val="bottom"/>
          </w:tcPr>
          <w:p w14:paraId="0D5B14C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6</w:t>
            </w:r>
          </w:p>
        </w:tc>
      </w:tr>
    </w:tbl>
    <w:p w14:paraId="47C9CA19" w14:textId="77777777" w:rsidR="00CD6435" w:rsidRDefault="00CD6435" w:rsidP="00CD6435">
      <w:pPr>
        <w:pStyle w:val="NormalWeb"/>
        <w:spacing w:before="0" w:beforeAutospacing="0" w:after="0" w:afterAutospacing="0"/>
        <w:jc w:val="both"/>
        <w:rPr>
          <w:rFonts w:ascii="Calibri" w:hAnsi="Calibri" w:cs="Calibri"/>
          <w:sz w:val="18"/>
          <w:szCs w:val="18"/>
        </w:rPr>
      </w:pPr>
    </w:p>
    <w:p w14:paraId="47F5B7BC" w14:textId="6B0F481A" w:rsidR="00CD6435" w:rsidRPr="00CD643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The incorporation of 5%, 10%, or 15% LRF slag into the mixture results in a reduction of the splitting tensile strength of self-compacting concrete (SCC) at various ages when compared to standard SCC. Specifically, there is a decrease of approximately 1.5% after 14 days, 4.32% after 28 days, and 22% after 56 days when evaluating the tensile strength with the addition of 5% LRF. In the case of a 15% LRF addition, the strength diminishes by 12.53% after 14 days but experiences a 6% increase after 56 days relative to the control mix. The variations in percentage increases and decreases across different ages and LRF percentages are illustrated in Table </w:t>
      </w:r>
      <w:r w:rsidR="0017618D">
        <w:rPr>
          <w:rFonts w:ascii="Calibri" w:hAnsi="Calibri" w:cs="Calibri"/>
          <w:sz w:val="18"/>
          <w:szCs w:val="18"/>
        </w:rPr>
        <w:t>7</w:t>
      </w:r>
      <w:r w:rsidRPr="00FE1095">
        <w:rPr>
          <w:rFonts w:ascii="Calibri" w:hAnsi="Calibri" w:cs="Calibri"/>
          <w:sz w:val="18"/>
          <w:szCs w:val="18"/>
        </w:rPr>
        <w:t xml:space="preserve"> and Figure </w:t>
      </w:r>
      <w:r w:rsidR="00955032">
        <w:rPr>
          <w:rFonts w:ascii="Calibri" w:hAnsi="Calibri" w:cs="Calibri"/>
          <w:sz w:val="18"/>
          <w:szCs w:val="18"/>
        </w:rPr>
        <w:t>17</w:t>
      </w:r>
      <w:r w:rsidRPr="00FE1095">
        <w:rPr>
          <w:rFonts w:ascii="Calibri" w:hAnsi="Calibri" w:cs="Calibri"/>
          <w:sz w:val="18"/>
          <w:szCs w:val="18"/>
        </w:rPr>
        <w:t>.</w:t>
      </w:r>
    </w:p>
    <w:p w14:paraId="05178FD0" w14:textId="5B418C2F" w:rsidR="00CD6435" w:rsidRDefault="00CD6435" w:rsidP="00CD6435">
      <w:pPr>
        <w:pStyle w:val="NormalWeb"/>
        <w:spacing w:before="0" w:beforeAutospacing="0" w:after="0" w:afterAutospacing="0"/>
        <w:jc w:val="both"/>
        <w:rPr>
          <w:rFonts w:ascii="Calibri" w:hAnsi="Calibri" w:cs="Calibri"/>
          <w:sz w:val="18"/>
          <w:szCs w:val="18"/>
        </w:rPr>
      </w:pPr>
      <w:r w:rsidRPr="00CD6435">
        <w:rPr>
          <w:rFonts w:ascii="Calibri" w:hAnsi="Calibri" w:cs="Calibri"/>
          <w:b/>
          <w:bCs/>
          <w:sz w:val="18"/>
          <w:szCs w:val="18"/>
        </w:rPr>
        <w:t>Modulus of Elasticity of SCC</w:t>
      </w:r>
      <w:r>
        <w:rPr>
          <w:rFonts w:ascii="Calibri" w:hAnsi="Calibri" w:cs="Calibri"/>
          <w:b/>
          <w:bCs/>
          <w:sz w:val="18"/>
          <w:szCs w:val="18"/>
        </w:rPr>
        <w:t xml:space="preserve">: </w:t>
      </w:r>
      <w:r w:rsidRPr="00CD6435">
        <w:rPr>
          <w:rFonts w:ascii="Calibri" w:hAnsi="Calibri" w:cs="Calibri"/>
          <w:sz w:val="18"/>
          <w:szCs w:val="18"/>
        </w:rPr>
        <w:t xml:space="preserve">The modulus of elasticity is commonly expressed as a function of the square root of compressive strength. Several codes have established a few empirical relations to determine the concrete's modulus of elasticity. The unit weight, aggregate type and content, additive type, and compressive strength of concrete all affect its modulus of elasticity. The results of the elastic modulus tests are listed in Table </w:t>
      </w:r>
      <w:r w:rsidR="0017618D">
        <w:rPr>
          <w:rFonts w:ascii="Calibri" w:hAnsi="Calibri" w:cs="Calibri"/>
          <w:sz w:val="18"/>
          <w:szCs w:val="18"/>
        </w:rPr>
        <w:t>8</w:t>
      </w:r>
      <w:r w:rsidRPr="00CD6435">
        <w:rPr>
          <w:rFonts w:ascii="Calibri" w:hAnsi="Calibri" w:cs="Calibri"/>
          <w:sz w:val="18"/>
          <w:szCs w:val="18"/>
        </w:rPr>
        <w:t xml:space="preserve">, and Figure </w:t>
      </w:r>
      <w:r w:rsidR="00955032">
        <w:rPr>
          <w:rFonts w:ascii="Calibri" w:hAnsi="Calibri" w:cs="Calibri"/>
          <w:sz w:val="18"/>
          <w:szCs w:val="18"/>
        </w:rPr>
        <w:t>17</w:t>
      </w:r>
      <w:r w:rsidRPr="00CD6435">
        <w:rPr>
          <w:rFonts w:ascii="Calibri" w:hAnsi="Calibri" w:cs="Calibri"/>
          <w:sz w:val="18"/>
          <w:szCs w:val="18"/>
        </w:rPr>
        <w:t xml:space="preserve"> shows representative graphs of the hardened concrete stress-strain diagram.</w:t>
      </w:r>
    </w:p>
    <w:p w14:paraId="6A64E2DF" w14:textId="77777777" w:rsidR="00FE1095" w:rsidRPr="00CD6435" w:rsidRDefault="00FE1095" w:rsidP="00CD6435">
      <w:pPr>
        <w:pStyle w:val="NormalWeb"/>
        <w:spacing w:before="0" w:beforeAutospacing="0" w:after="0" w:afterAutospacing="0"/>
        <w:jc w:val="both"/>
        <w:rPr>
          <w:rFonts w:ascii="Calibri" w:hAnsi="Calibri" w:cs="Calibri"/>
          <w:b/>
          <w:bCs/>
          <w:sz w:val="18"/>
          <w:szCs w:val="18"/>
        </w:rPr>
      </w:pPr>
    </w:p>
    <w:p w14:paraId="41B9D2F2" w14:textId="5DA297A5" w:rsidR="00FE1095" w:rsidRPr="00CD6435" w:rsidRDefault="00CD6435" w:rsidP="00FE109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9</w:t>
      </w:r>
      <w:r w:rsidRPr="00CD6435">
        <w:rPr>
          <w:rFonts w:ascii="Calibri" w:hAnsi="Calibri" w:cs="Calibri"/>
          <w:sz w:val="18"/>
          <w:szCs w:val="18"/>
        </w:rPr>
        <w:t>: Changes in the modulus of elasticity for various SCC mixes</w:t>
      </w:r>
    </w:p>
    <w:tbl>
      <w:tblPr>
        <w:tblStyle w:val="TableGrid0"/>
        <w:tblW w:w="0" w:type="auto"/>
        <w:jc w:val="center"/>
        <w:tblLook w:val="04A0" w:firstRow="1" w:lastRow="0" w:firstColumn="1" w:lastColumn="0" w:noHBand="0" w:noVBand="1"/>
      </w:tblPr>
      <w:tblGrid>
        <w:gridCol w:w="2371"/>
        <w:gridCol w:w="2252"/>
      </w:tblGrid>
      <w:tr w:rsidR="00CD6435" w:rsidRPr="00CD6435" w14:paraId="32801A68" w14:textId="77777777" w:rsidTr="00302B15">
        <w:trPr>
          <w:trHeight w:val="395"/>
          <w:jc w:val="center"/>
        </w:trPr>
        <w:tc>
          <w:tcPr>
            <w:tcW w:w="3708" w:type="dxa"/>
          </w:tcPr>
          <w:p w14:paraId="0FC376FC"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 Replacement (%)</w:t>
            </w:r>
          </w:p>
        </w:tc>
        <w:tc>
          <w:tcPr>
            <w:tcW w:w="3762" w:type="dxa"/>
          </w:tcPr>
          <w:p w14:paraId="58B8541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 xml:space="preserve">Modulus of Elasticity, </w:t>
            </w:r>
            <w:proofErr w:type="spellStart"/>
            <w:r w:rsidRPr="00CD6435">
              <w:rPr>
                <w:rFonts w:ascii="Calibri" w:hAnsi="Calibri" w:cs="Calibri"/>
                <w:b/>
                <w:bCs/>
                <w:sz w:val="18"/>
                <w:szCs w:val="18"/>
              </w:rPr>
              <w:t>E</w:t>
            </w:r>
            <w:r w:rsidRPr="00CD6435">
              <w:rPr>
                <w:rFonts w:ascii="Calibri" w:hAnsi="Calibri" w:cs="Calibri"/>
                <w:b/>
                <w:bCs/>
                <w:sz w:val="18"/>
                <w:szCs w:val="18"/>
                <w:vertAlign w:val="subscript"/>
              </w:rPr>
              <w:t>c</w:t>
            </w:r>
            <w:proofErr w:type="spellEnd"/>
            <w:r w:rsidRPr="00CD6435">
              <w:rPr>
                <w:rFonts w:ascii="Calibri" w:hAnsi="Calibri" w:cs="Calibri"/>
                <w:b/>
                <w:bCs/>
                <w:sz w:val="18"/>
                <w:szCs w:val="18"/>
                <w:vertAlign w:val="subscript"/>
              </w:rPr>
              <w:t xml:space="preserve"> </w:t>
            </w:r>
            <w:r w:rsidRPr="00CD6435">
              <w:rPr>
                <w:rFonts w:ascii="Calibri" w:hAnsi="Calibri" w:cs="Calibri"/>
                <w:b/>
                <w:bCs/>
                <w:sz w:val="18"/>
                <w:szCs w:val="18"/>
              </w:rPr>
              <w:t>(</w:t>
            </w:r>
            <w:proofErr w:type="spellStart"/>
            <w:r w:rsidRPr="00CD6435">
              <w:rPr>
                <w:rFonts w:ascii="Calibri" w:hAnsi="Calibri" w:cs="Calibri"/>
                <w:b/>
                <w:bCs/>
                <w:sz w:val="18"/>
                <w:szCs w:val="18"/>
              </w:rPr>
              <w:t>GPa</w:t>
            </w:r>
            <w:proofErr w:type="spellEnd"/>
            <w:r w:rsidRPr="00CD6435">
              <w:rPr>
                <w:rFonts w:ascii="Calibri" w:hAnsi="Calibri" w:cs="Calibri"/>
                <w:b/>
                <w:bCs/>
                <w:sz w:val="18"/>
                <w:szCs w:val="18"/>
              </w:rPr>
              <w:t>)</w:t>
            </w:r>
          </w:p>
        </w:tc>
      </w:tr>
      <w:tr w:rsidR="00CD6435" w:rsidRPr="00CD6435" w14:paraId="1D3D0A2C" w14:textId="77777777" w:rsidTr="00302B15">
        <w:trPr>
          <w:jc w:val="center"/>
        </w:trPr>
        <w:tc>
          <w:tcPr>
            <w:tcW w:w="3708" w:type="dxa"/>
          </w:tcPr>
          <w:p w14:paraId="7781C5E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without Replacement</w:t>
            </w:r>
          </w:p>
        </w:tc>
        <w:tc>
          <w:tcPr>
            <w:tcW w:w="3762" w:type="dxa"/>
          </w:tcPr>
          <w:p w14:paraId="4891D24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21.51</w:t>
            </w:r>
          </w:p>
        </w:tc>
      </w:tr>
      <w:tr w:rsidR="00CD6435" w:rsidRPr="00CD6435" w14:paraId="778FE5D1" w14:textId="77777777" w:rsidTr="00302B15">
        <w:trPr>
          <w:jc w:val="center"/>
        </w:trPr>
        <w:tc>
          <w:tcPr>
            <w:tcW w:w="3708" w:type="dxa"/>
          </w:tcPr>
          <w:p w14:paraId="49BBF0A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3762" w:type="dxa"/>
          </w:tcPr>
          <w:p w14:paraId="4A0D33F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14.12</w:t>
            </w:r>
          </w:p>
        </w:tc>
      </w:tr>
      <w:tr w:rsidR="00CD6435" w:rsidRPr="00CD6435" w14:paraId="281D9019" w14:textId="77777777" w:rsidTr="00302B15">
        <w:trPr>
          <w:jc w:val="center"/>
        </w:trPr>
        <w:tc>
          <w:tcPr>
            <w:tcW w:w="3708" w:type="dxa"/>
          </w:tcPr>
          <w:p w14:paraId="6670879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3762" w:type="dxa"/>
          </w:tcPr>
          <w:p w14:paraId="060FD2FB" w14:textId="27547885"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w:t>
            </w:r>
            <w:r w:rsidR="00195F21">
              <w:rPr>
                <w:rFonts w:ascii="Calibri" w:hAnsi="Calibri" w:cs="Calibri"/>
                <w:sz w:val="18"/>
                <w:szCs w:val="18"/>
              </w:rPr>
              <w:t>7.1</w:t>
            </w:r>
            <w:r w:rsidRPr="00CD6435">
              <w:rPr>
                <w:rFonts w:ascii="Calibri" w:hAnsi="Calibri" w:cs="Calibri"/>
                <w:sz w:val="18"/>
                <w:szCs w:val="18"/>
              </w:rPr>
              <w:t>4</w:t>
            </w:r>
          </w:p>
        </w:tc>
      </w:tr>
      <w:tr w:rsidR="00CD6435" w:rsidRPr="00CD6435" w14:paraId="53D81C4F" w14:textId="77777777" w:rsidTr="00302B15">
        <w:trPr>
          <w:jc w:val="center"/>
        </w:trPr>
        <w:tc>
          <w:tcPr>
            <w:tcW w:w="3708" w:type="dxa"/>
          </w:tcPr>
          <w:p w14:paraId="112DC94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3762" w:type="dxa"/>
          </w:tcPr>
          <w:p w14:paraId="24906DF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14.46</w:t>
            </w:r>
          </w:p>
        </w:tc>
      </w:tr>
      <w:tr w:rsidR="00CD6435" w:rsidRPr="00CD6435" w14:paraId="5FBF9CF8" w14:textId="77777777" w:rsidTr="00302B15">
        <w:trPr>
          <w:jc w:val="center"/>
        </w:trPr>
        <w:tc>
          <w:tcPr>
            <w:tcW w:w="3708" w:type="dxa"/>
          </w:tcPr>
          <w:p w14:paraId="24C2F2A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3762" w:type="dxa"/>
          </w:tcPr>
          <w:p w14:paraId="65E365A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13.61</w:t>
            </w:r>
          </w:p>
        </w:tc>
      </w:tr>
      <w:tr w:rsidR="00CD6435" w:rsidRPr="00CD6435" w14:paraId="5D5A9229" w14:textId="77777777" w:rsidTr="00302B15">
        <w:trPr>
          <w:jc w:val="center"/>
        </w:trPr>
        <w:tc>
          <w:tcPr>
            <w:tcW w:w="3708" w:type="dxa"/>
          </w:tcPr>
          <w:p w14:paraId="54F5C61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3762" w:type="dxa"/>
          </w:tcPr>
          <w:p w14:paraId="73BE0F3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15.19</w:t>
            </w:r>
          </w:p>
        </w:tc>
      </w:tr>
      <w:tr w:rsidR="00CD6435" w:rsidRPr="00CD6435" w14:paraId="59F91F76" w14:textId="77777777" w:rsidTr="00302B15">
        <w:trPr>
          <w:jc w:val="center"/>
        </w:trPr>
        <w:tc>
          <w:tcPr>
            <w:tcW w:w="3708" w:type="dxa"/>
          </w:tcPr>
          <w:p w14:paraId="76A61F5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3762" w:type="dxa"/>
          </w:tcPr>
          <w:p w14:paraId="5E0DFEE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25.91</w:t>
            </w:r>
          </w:p>
        </w:tc>
      </w:tr>
    </w:tbl>
    <w:p w14:paraId="4538E48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2DBDC947" wp14:editId="7DFACAC7">
            <wp:extent cx="2981730" cy="2089230"/>
            <wp:effectExtent l="0" t="0" r="9525" b="6350"/>
            <wp:docPr id="491716768" name="Picture 3" descr="A graph of stress and stra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6768" name="Picture 3" descr="A graph of stress and strain grap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6617" cy="2106668"/>
                    </a:xfrm>
                    <a:prstGeom prst="rect">
                      <a:avLst/>
                    </a:prstGeom>
                    <a:noFill/>
                  </pic:spPr>
                </pic:pic>
              </a:graphicData>
            </a:graphic>
          </wp:inline>
        </w:drawing>
      </w:r>
    </w:p>
    <w:p w14:paraId="32A3259F" w14:textId="40E00220"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17</w:t>
      </w:r>
      <w:r w:rsidRPr="00CD6435">
        <w:rPr>
          <w:rFonts w:ascii="Calibri" w:hAnsi="Calibri" w:cs="Calibri"/>
          <w:sz w:val="18"/>
          <w:szCs w:val="18"/>
        </w:rPr>
        <w:t xml:space="preserve">: </w:t>
      </w:r>
      <w:r w:rsidR="008C24FD">
        <w:rPr>
          <w:rFonts w:ascii="Calibri" w:hAnsi="Calibri" w:cs="Calibri"/>
          <w:sz w:val="18"/>
          <w:szCs w:val="18"/>
        </w:rPr>
        <w:t>Stress–Strain</w:t>
      </w:r>
      <w:r w:rsidRPr="00CD6435">
        <w:rPr>
          <w:rFonts w:ascii="Calibri" w:hAnsi="Calibri" w:cs="Calibri"/>
          <w:sz w:val="18"/>
          <w:szCs w:val="18"/>
        </w:rPr>
        <w:t xml:space="preserve"> curve for LRF</w:t>
      </w:r>
    </w:p>
    <w:p w14:paraId="37E708C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667CA52C" w14:textId="6002BEEE" w:rsidR="00CD643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Table </w:t>
      </w:r>
      <w:r w:rsidR="0017618D">
        <w:rPr>
          <w:rFonts w:ascii="Calibri" w:hAnsi="Calibri" w:cs="Calibri"/>
          <w:sz w:val="18"/>
          <w:szCs w:val="18"/>
        </w:rPr>
        <w:t>8</w:t>
      </w:r>
      <w:r w:rsidRPr="00FE1095">
        <w:rPr>
          <w:rFonts w:ascii="Calibri" w:hAnsi="Calibri" w:cs="Calibri"/>
          <w:sz w:val="18"/>
          <w:szCs w:val="18"/>
        </w:rPr>
        <w:t xml:space="preserve"> indicates that the modulus of elasticity for standard concrete reached a maximum of 21.51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and a minimum of </w:t>
      </w:r>
      <w:r w:rsidRPr="00FE1095">
        <w:rPr>
          <w:rFonts w:ascii="Calibri" w:hAnsi="Calibri" w:cs="Calibri"/>
          <w:sz w:val="18"/>
          <w:szCs w:val="18"/>
        </w:rPr>
        <w:lastRenderedPageBreak/>
        <w:t xml:space="preserve">14.12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for mixed concrete incorporating 5% LRF. It was observed that the static elastic modulus values for SCC mixes with 5% LRF were the </w:t>
      </w:r>
      <w:r>
        <w:rPr>
          <w:rFonts w:ascii="Calibri" w:hAnsi="Calibri" w:cs="Calibri"/>
          <w:sz w:val="18"/>
          <w:szCs w:val="18"/>
        </w:rPr>
        <w:t>lowest.</w:t>
      </w:r>
      <w:r w:rsidRPr="00FE1095">
        <w:rPr>
          <w:rFonts w:ascii="Calibri" w:hAnsi="Calibri" w:cs="Calibri"/>
          <w:sz w:val="18"/>
          <w:szCs w:val="18"/>
        </w:rPr>
        <w:t xml:space="preserve"> In comparison, the modulus of elasticity for standard SCC was greater than that of LRF by 10%, 15%, and 5%. The stress-strain curve for both conventional SCC and SCC with partial replacement by LRF is illustrated in Figure </w:t>
      </w:r>
      <w:r w:rsidR="00955032">
        <w:rPr>
          <w:rFonts w:ascii="Calibri" w:hAnsi="Calibri" w:cs="Calibri"/>
          <w:sz w:val="18"/>
          <w:szCs w:val="18"/>
        </w:rPr>
        <w:t>17</w:t>
      </w:r>
      <w:r w:rsidRPr="00FE1095">
        <w:rPr>
          <w:rFonts w:ascii="Calibri" w:hAnsi="Calibri" w:cs="Calibri"/>
          <w:sz w:val="18"/>
          <w:szCs w:val="18"/>
        </w:rPr>
        <w:t>.</w:t>
      </w:r>
    </w:p>
    <w:p w14:paraId="6C195DC6" w14:textId="66E0627A" w:rsidR="00FE1095" w:rsidRPr="00FE109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According to Table </w:t>
      </w:r>
      <w:r w:rsidR="0017618D">
        <w:rPr>
          <w:rFonts w:ascii="Calibri" w:hAnsi="Calibri" w:cs="Calibri"/>
          <w:sz w:val="18"/>
          <w:szCs w:val="18"/>
        </w:rPr>
        <w:t>8</w:t>
      </w:r>
      <w:r w:rsidRPr="00FE1095">
        <w:rPr>
          <w:rFonts w:ascii="Calibri" w:hAnsi="Calibri" w:cs="Calibri"/>
          <w:sz w:val="18"/>
          <w:szCs w:val="18"/>
        </w:rPr>
        <w:t xml:space="preserve"> and Figure </w:t>
      </w:r>
      <w:r w:rsidR="00955032">
        <w:rPr>
          <w:rFonts w:ascii="Calibri" w:hAnsi="Calibri" w:cs="Calibri"/>
          <w:sz w:val="18"/>
          <w:szCs w:val="18"/>
        </w:rPr>
        <w:t>18</w:t>
      </w:r>
      <w:r w:rsidRPr="00FE1095">
        <w:rPr>
          <w:rFonts w:ascii="Calibri" w:hAnsi="Calibri" w:cs="Calibri"/>
          <w:sz w:val="18"/>
          <w:szCs w:val="18"/>
        </w:rPr>
        <w:t xml:space="preserve">, the minimum modulus of elasticity for concrete mixed with 5% marble dust is recorded at 13.61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whereas the maximum modulus of elasticity for concrete containing 15% marble dust reaches 25.91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In comparison, standard concrete has a modulus of elasticity of 21.51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and concrete with a 10% marble dust mixture shows a modulus of 15.19 </w:t>
      </w:r>
      <w:proofErr w:type="spellStart"/>
      <w:r w:rsidRPr="00FE1095">
        <w:rPr>
          <w:rFonts w:ascii="Calibri" w:hAnsi="Calibri" w:cs="Calibri"/>
          <w:sz w:val="18"/>
          <w:szCs w:val="18"/>
        </w:rPr>
        <w:t>GPa</w:t>
      </w:r>
      <w:proofErr w:type="spellEnd"/>
      <w:r w:rsidRPr="00FE1095">
        <w:rPr>
          <w:rFonts w:ascii="Calibri" w:hAnsi="Calibri" w:cs="Calibri"/>
          <w:sz w:val="18"/>
          <w:szCs w:val="18"/>
        </w:rPr>
        <w:t>.</w:t>
      </w:r>
    </w:p>
    <w:p w14:paraId="58BEE79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6CF9BA27" wp14:editId="36921A86">
            <wp:extent cx="2964736" cy="2199190"/>
            <wp:effectExtent l="0" t="0" r="7620" b="8255"/>
            <wp:docPr id="646252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4736" cy="2199190"/>
                    </a:xfrm>
                    <a:prstGeom prst="rect">
                      <a:avLst/>
                    </a:prstGeom>
                    <a:noFill/>
                  </pic:spPr>
                </pic:pic>
              </a:graphicData>
            </a:graphic>
          </wp:inline>
        </w:drawing>
      </w:r>
    </w:p>
    <w:p w14:paraId="2EC7F99B" w14:textId="3F74BE60"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18</w:t>
      </w:r>
      <w:r w:rsidRPr="00CD6435">
        <w:rPr>
          <w:rFonts w:ascii="Calibri" w:hAnsi="Calibri" w:cs="Calibri"/>
          <w:sz w:val="18"/>
          <w:szCs w:val="18"/>
        </w:rPr>
        <w:t xml:space="preserve">: </w:t>
      </w:r>
      <w:r w:rsidR="00505FF7">
        <w:rPr>
          <w:rFonts w:ascii="Calibri" w:hAnsi="Calibri" w:cs="Calibri"/>
          <w:sz w:val="18"/>
          <w:szCs w:val="18"/>
        </w:rPr>
        <w:t>Stress–Strain</w:t>
      </w:r>
      <w:r w:rsidRPr="00CD6435">
        <w:rPr>
          <w:rFonts w:ascii="Calibri" w:hAnsi="Calibri" w:cs="Calibri"/>
          <w:sz w:val="18"/>
          <w:szCs w:val="18"/>
        </w:rPr>
        <w:t xml:space="preserve"> curve for marble dust</w:t>
      </w:r>
    </w:p>
    <w:p w14:paraId="6CFEA6D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39CDC734" w14:textId="0831F838" w:rsidR="00505FF7" w:rsidRDefault="00FE1095" w:rsidP="00505FF7">
      <w:pPr>
        <w:rPr>
          <w:rFonts w:eastAsia="Times New Roman"/>
          <w:color w:val="auto"/>
          <w:kern w:val="0"/>
          <w:szCs w:val="18"/>
          <w:lang w:bidi="ar-SA"/>
          <w14:ligatures w14:val="none"/>
        </w:rPr>
      </w:pPr>
      <w:r w:rsidRPr="00FE1095">
        <w:rPr>
          <w:rFonts w:eastAsia="Times New Roman"/>
          <w:color w:val="auto"/>
          <w:kern w:val="0"/>
          <w:szCs w:val="18"/>
          <w:lang w:bidi="ar-SA"/>
          <w14:ligatures w14:val="none"/>
        </w:rPr>
        <w:t xml:space="preserve">This data suggests that conventional concrete offers more advantages than concrete with 5% or 10% marble dust. However, the concrete incorporating 15% marble dust demonstrates enhanced performance, indicating its potential for producing </w:t>
      </w:r>
      <w:r w:rsidR="00505FF7">
        <w:rPr>
          <w:rFonts w:eastAsia="Times New Roman"/>
          <w:color w:val="auto"/>
          <w:kern w:val="0"/>
          <w:szCs w:val="18"/>
          <w:lang w:bidi="ar-SA"/>
          <w14:ligatures w14:val="none"/>
        </w:rPr>
        <w:t>higher-quality</w:t>
      </w:r>
      <w:r w:rsidRPr="00FE1095">
        <w:rPr>
          <w:rFonts w:eastAsia="Times New Roman"/>
          <w:color w:val="auto"/>
          <w:kern w:val="0"/>
          <w:szCs w:val="18"/>
          <w:lang w:bidi="ar-SA"/>
          <w14:ligatures w14:val="none"/>
        </w:rPr>
        <w:t xml:space="preserve"> concrete.</w:t>
      </w:r>
    </w:p>
    <w:p w14:paraId="11C38F38" w14:textId="77777777" w:rsidR="00505FF7" w:rsidRDefault="00505FF7" w:rsidP="00505FF7">
      <w:pPr>
        <w:rPr>
          <w:rFonts w:eastAsia="Times New Roman"/>
          <w:color w:val="auto"/>
          <w:kern w:val="0"/>
          <w:szCs w:val="18"/>
          <w:lang w:bidi="ar-SA"/>
          <w14:ligatures w14:val="none"/>
        </w:rPr>
      </w:pPr>
    </w:p>
    <w:p w14:paraId="49C4875F" w14:textId="7621A781" w:rsidR="00505FF7" w:rsidRPr="002E4B2F" w:rsidRDefault="00505FF7" w:rsidP="002E4B2F"/>
    <w:p w14:paraId="241E6901" w14:textId="228F037D" w:rsidR="004D543B" w:rsidRDefault="00FD7001">
      <w:pPr>
        <w:pStyle w:val="Heading2"/>
        <w:ind w:left="-5"/>
      </w:pPr>
      <w:r>
        <w:t>CONCLUSION</w:t>
      </w:r>
    </w:p>
    <w:p w14:paraId="21A1C976" w14:textId="77777777" w:rsidR="00FD7001" w:rsidRDefault="00FD7001">
      <w:pPr>
        <w:spacing w:after="223"/>
        <w:ind w:left="-5" w:right="35"/>
      </w:pPr>
      <w:r w:rsidRPr="00FD7001">
        <w:t>The primary objective of the experiment was to assess the impact of self-compacting concrete, which predominantly replaces cement with marble dust and LRF, on the mechanical and fresh properties of the material. From the analysis and test outcomes, several conclusions can be derived.</w:t>
      </w:r>
    </w:p>
    <w:p w14:paraId="70447D65" w14:textId="77777777" w:rsidR="00FD7001" w:rsidRPr="00FD7001" w:rsidRDefault="00FD7001" w:rsidP="00FD7001">
      <w:pPr>
        <w:spacing w:after="223"/>
        <w:ind w:left="-5" w:right="35"/>
        <w:rPr>
          <w:b/>
          <w:bCs/>
        </w:rPr>
      </w:pPr>
      <w:r w:rsidRPr="00FD7001">
        <w:rPr>
          <w:b/>
          <w:bCs/>
        </w:rPr>
        <w:t xml:space="preserve">Fresh Properties of SCC  </w:t>
      </w:r>
    </w:p>
    <w:p w14:paraId="0E8B8740" w14:textId="0BA94110" w:rsidR="00FD7001" w:rsidRDefault="00FD7001" w:rsidP="00FD7001">
      <w:pPr>
        <w:pStyle w:val="ListParagraph"/>
        <w:numPr>
          <w:ilvl w:val="0"/>
          <w:numId w:val="8"/>
        </w:numPr>
        <w:spacing w:after="223"/>
        <w:ind w:right="35"/>
        <w:jc w:val="both"/>
        <w:rPr>
          <w:rFonts w:ascii="Calibri" w:hAnsi="Calibri" w:cs="Calibri"/>
          <w:sz w:val="18"/>
          <w:szCs w:val="18"/>
        </w:rPr>
      </w:pPr>
      <w:r w:rsidRPr="00FD7001">
        <w:rPr>
          <w:rFonts w:ascii="Calibri" w:hAnsi="Calibri" w:cs="Calibri"/>
          <w:sz w:val="18"/>
          <w:szCs w:val="18"/>
        </w:rPr>
        <w:t xml:space="preserve">Marble dust is utilized to replace 5%, 10%, and 15% of the cement in SCC, enhancing flowability, with the 10% substitution demonstrating optimal performance in accordance with EFNARC flow spread standards.  </w:t>
      </w:r>
    </w:p>
    <w:p w14:paraId="5425205F" w14:textId="77777777" w:rsidR="005F0B24" w:rsidRPr="00FD7001" w:rsidRDefault="005F0B24" w:rsidP="005F0B24">
      <w:pPr>
        <w:pStyle w:val="ListParagraph"/>
        <w:spacing w:after="223"/>
        <w:ind w:left="450" w:right="35"/>
        <w:jc w:val="both"/>
        <w:rPr>
          <w:rFonts w:ascii="Calibri" w:hAnsi="Calibri" w:cs="Calibri"/>
          <w:sz w:val="18"/>
          <w:szCs w:val="18"/>
        </w:rPr>
      </w:pPr>
    </w:p>
    <w:p w14:paraId="549679DF" w14:textId="77777777" w:rsidR="005F0B24" w:rsidRDefault="00FD7001" w:rsidP="00FD7001">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 xml:space="preserve">The incorporation of marble dust consistently improves workability, particularly at the 10% level, which aids in the handling and placement of SCC while meeting EFNARC criteria for self-compacting characteristics. </w:t>
      </w:r>
    </w:p>
    <w:p w14:paraId="19D069F6" w14:textId="2F57C111" w:rsidR="00FD7001" w:rsidRPr="00FD7001" w:rsidRDefault="00FD7001" w:rsidP="005F0B24">
      <w:pPr>
        <w:pStyle w:val="ListParagraph"/>
        <w:spacing w:after="223"/>
        <w:ind w:left="450" w:right="35"/>
        <w:jc w:val="both"/>
        <w:rPr>
          <w:rFonts w:ascii="Calibri" w:hAnsi="Calibri" w:cs="Calibri"/>
          <w:sz w:val="18"/>
          <w:szCs w:val="18"/>
        </w:rPr>
      </w:pPr>
      <w:r w:rsidRPr="00FD7001">
        <w:rPr>
          <w:rFonts w:ascii="Calibri" w:hAnsi="Calibri" w:cs="Calibri"/>
          <w:sz w:val="18"/>
          <w:szCs w:val="18"/>
        </w:rPr>
        <w:t xml:space="preserve"> </w:t>
      </w:r>
    </w:p>
    <w:p w14:paraId="574D40CF" w14:textId="53DD458B" w:rsidR="005F0B24" w:rsidRDefault="00FD7001" w:rsidP="005F0B24">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 xml:space="preserve">LRF contributes to an increase in flowability and workability to a moderate extent when used at 5% to 10%; however, at a 15% level, these advantages start to decline, necessitating careful adjustments to the mix to adhere to EFNARC standards. </w:t>
      </w:r>
    </w:p>
    <w:p w14:paraId="3C9C4FD4" w14:textId="77777777" w:rsidR="005F0B24" w:rsidRPr="005F0B24" w:rsidRDefault="005F0B24" w:rsidP="005F0B24">
      <w:pPr>
        <w:pStyle w:val="ListParagraph"/>
        <w:rPr>
          <w:rFonts w:ascii="Calibri" w:hAnsi="Calibri" w:cs="Calibri"/>
          <w:sz w:val="18"/>
          <w:szCs w:val="18"/>
        </w:rPr>
      </w:pPr>
    </w:p>
    <w:p w14:paraId="27D8A0C4" w14:textId="77777777" w:rsidR="005F0B24" w:rsidRPr="005F0B24" w:rsidRDefault="005F0B24" w:rsidP="005F0B24">
      <w:pPr>
        <w:pStyle w:val="ListParagraph"/>
        <w:spacing w:after="223"/>
        <w:ind w:left="450" w:right="35"/>
        <w:jc w:val="both"/>
        <w:rPr>
          <w:rFonts w:ascii="Calibri" w:hAnsi="Calibri" w:cs="Calibri"/>
          <w:sz w:val="18"/>
          <w:szCs w:val="18"/>
        </w:rPr>
      </w:pPr>
    </w:p>
    <w:p w14:paraId="4FBBDC64" w14:textId="69BEDDE5" w:rsidR="00FD7001" w:rsidRPr="00FD7001" w:rsidRDefault="00FD7001" w:rsidP="00FD7001">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Both marble dust and LRF achieve a satisfactory level of p</w:t>
      </w:r>
      <w:r>
        <w:rPr>
          <w:rFonts w:ascii="Calibri" w:hAnsi="Calibri" w:cs="Calibri"/>
          <w:sz w:val="18"/>
          <w:szCs w:val="18"/>
        </w:rPr>
        <w:t>o</w:t>
      </w:r>
      <w:r w:rsidRPr="00FD7001">
        <w:rPr>
          <w:rFonts w:ascii="Calibri" w:hAnsi="Calibri" w:cs="Calibri"/>
          <w:sz w:val="18"/>
          <w:szCs w:val="18"/>
        </w:rPr>
        <w:t xml:space="preserve">ssibility; nonetheless, at 10% and higher, marble dust enhances flow through reinforcement, thereby fulfilling EFNARC requirements.  </w:t>
      </w:r>
    </w:p>
    <w:p w14:paraId="500AE9B1" w14:textId="3223932D" w:rsidR="000035A4" w:rsidRPr="00B10FA4" w:rsidRDefault="00FD7001" w:rsidP="00B10FA4">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Across all replacement percentages, marble dust effectively maintains segregation resistance; however, a higher LRF content (15%) elevates the risk of segregation, underscoring the importance of an optimal mix design.</w:t>
      </w:r>
    </w:p>
    <w:p w14:paraId="49BF19C2" w14:textId="46413E96" w:rsidR="00FD7001" w:rsidRPr="000035A4" w:rsidRDefault="00FD7001" w:rsidP="000035A4">
      <w:pPr>
        <w:spacing w:after="223"/>
        <w:ind w:right="35"/>
        <w:rPr>
          <w:szCs w:val="18"/>
        </w:rPr>
      </w:pPr>
      <w:r w:rsidRPr="000035A4">
        <w:rPr>
          <w:szCs w:val="18"/>
        </w:rPr>
        <w:t xml:space="preserve">  </w:t>
      </w:r>
    </w:p>
    <w:p w14:paraId="05BA82FB" w14:textId="59FDEBDD" w:rsidR="005F0B24" w:rsidRPr="005F0B24" w:rsidRDefault="005F0B24" w:rsidP="005F0B24">
      <w:pPr>
        <w:spacing w:line="240" w:lineRule="auto"/>
        <w:ind w:left="-5" w:right="35"/>
        <w:rPr>
          <w:b/>
          <w:bCs/>
          <w:szCs w:val="18"/>
        </w:rPr>
      </w:pPr>
      <w:r w:rsidRPr="005F0B24">
        <w:rPr>
          <w:b/>
          <w:bCs/>
          <w:szCs w:val="18"/>
        </w:rPr>
        <w:t>Mechanical Properties of SCC</w:t>
      </w:r>
    </w:p>
    <w:p w14:paraId="23F3A45A" w14:textId="4BF22971" w:rsidR="005F0B24" w:rsidRDefault="005F0B24" w:rsidP="005F0B24">
      <w:pPr>
        <w:pStyle w:val="ListParagraph"/>
        <w:numPr>
          <w:ilvl w:val="0"/>
          <w:numId w:val="13"/>
        </w:numPr>
        <w:spacing w:after="0" w:line="240" w:lineRule="auto"/>
        <w:ind w:right="35"/>
        <w:jc w:val="both"/>
        <w:rPr>
          <w:rFonts w:ascii="Calibri" w:hAnsi="Calibri" w:cs="Calibri"/>
          <w:sz w:val="18"/>
          <w:szCs w:val="18"/>
        </w:rPr>
      </w:pPr>
      <w:r w:rsidRPr="005F0B24">
        <w:rPr>
          <w:rFonts w:ascii="Calibri" w:hAnsi="Calibri" w:cs="Calibri"/>
          <w:sz w:val="18"/>
          <w:szCs w:val="18"/>
        </w:rPr>
        <w:t>When cement is partially replaced with 15% marble dust, there is a significant enhancement in compressive strength at both 14 and 28 days, achieving a peak strength of 44.37 MPa at 28 days</w:t>
      </w:r>
      <w:r>
        <w:rPr>
          <w:rFonts w:ascii="Calibri" w:hAnsi="Calibri" w:cs="Calibri"/>
          <w:sz w:val="18"/>
          <w:szCs w:val="18"/>
        </w:rPr>
        <w:t>.</w:t>
      </w:r>
    </w:p>
    <w:p w14:paraId="051E2541" w14:textId="77777777" w:rsidR="005F0B24" w:rsidRPr="005F0B24" w:rsidRDefault="005F0B24" w:rsidP="005F0B24">
      <w:pPr>
        <w:spacing w:after="0" w:line="240" w:lineRule="auto"/>
        <w:ind w:left="0" w:right="35" w:firstLine="0"/>
        <w:rPr>
          <w:szCs w:val="18"/>
        </w:rPr>
      </w:pPr>
    </w:p>
    <w:p w14:paraId="514C8D29" w14:textId="12B8E38A" w:rsidR="005F0B24" w:rsidRDefault="005F0B24" w:rsidP="005F0B24">
      <w:pPr>
        <w:pStyle w:val="ListParagraph"/>
        <w:numPr>
          <w:ilvl w:val="0"/>
          <w:numId w:val="12"/>
        </w:numPr>
        <w:spacing w:after="0" w:line="240" w:lineRule="auto"/>
        <w:ind w:right="35"/>
        <w:jc w:val="both"/>
        <w:rPr>
          <w:rFonts w:ascii="Calibri" w:hAnsi="Calibri" w:cs="Calibri"/>
          <w:sz w:val="18"/>
          <w:szCs w:val="18"/>
        </w:rPr>
      </w:pPr>
      <w:r w:rsidRPr="005F0B24">
        <w:rPr>
          <w:rFonts w:ascii="Calibri" w:hAnsi="Calibri" w:cs="Calibri"/>
          <w:sz w:val="18"/>
          <w:szCs w:val="18"/>
        </w:rPr>
        <w:t>The incorporation of 15% marble dust also leads to improved splitting tensile strength at 28 and 56 days, with a maximum value of 3.16 MPa recorded at 56 days, which exceeds the performance of conventional SCC</w:t>
      </w:r>
      <w:r>
        <w:rPr>
          <w:rFonts w:ascii="Calibri" w:hAnsi="Calibri" w:cs="Calibri"/>
          <w:sz w:val="18"/>
          <w:szCs w:val="18"/>
        </w:rPr>
        <w:t>.</w:t>
      </w:r>
    </w:p>
    <w:p w14:paraId="1B4004A3" w14:textId="77777777" w:rsidR="00633905" w:rsidRDefault="00633905" w:rsidP="00633905">
      <w:pPr>
        <w:pStyle w:val="ListParagraph"/>
        <w:spacing w:after="0" w:line="240" w:lineRule="auto"/>
        <w:ind w:left="450" w:right="35"/>
        <w:jc w:val="both"/>
        <w:rPr>
          <w:rFonts w:ascii="Calibri" w:hAnsi="Calibri" w:cs="Calibri"/>
          <w:sz w:val="18"/>
          <w:szCs w:val="18"/>
        </w:rPr>
      </w:pPr>
    </w:p>
    <w:p w14:paraId="7B52167D" w14:textId="5E2D8B1A" w:rsidR="005F0B24" w:rsidRPr="005F0B24" w:rsidRDefault="005F0B24" w:rsidP="005F0B24">
      <w:pPr>
        <w:pStyle w:val="ListParagraph"/>
        <w:spacing w:after="0" w:line="240" w:lineRule="auto"/>
        <w:ind w:left="450" w:right="35"/>
        <w:jc w:val="both"/>
        <w:rPr>
          <w:rFonts w:ascii="Calibri" w:hAnsi="Calibri" w:cs="Calibri"/>
          <w:sz w:val="18"/>
          <w:szCs w:val="18"/>
        </w:rPr>
      </w:pPr>
    </w:p>
    <w:p w14:paraId="4D44EC7F" w14:textId="0A9A6D93" w:rsidR="005F0B24" w:rsidRDefault="005F0B24" w:rsidP="005F0B24">
      <w:pPr>
        <w:pStyle w:val="ListParagraph"/>
        <w:numPr>
          <w:ilvl w:val="0"/>
          <w:numId w:val="11"/>
        </w:numPr>
        <w:spacing w:after="0" w:line="240" w:lineRule="auto"/>
        <w:ind w:right="35"/>
        <w:jc w:val="both"/>
        <w:rPr>
          <w:rFonts w:ascii="Calibri" w:hAnsi="Calibri" w:cs="Calibri"/>
          <w:sz w:val="18"/>
          <w:szCs w:val="18"/>
        </w:rPr>
      </w:pPr>
      <w:r w:rsidRPr="005F0B24">
        <w:rPr>
          <w:rFonts w:ascii="Calibri" w:hAnsi="Calibri" w:cs="Calibri"/>
          <w:sz w:val="18"/>
          <w:szCs w:val="18"/>
        </w:rPr>
        <w:t>The influence of LRF replacement on splitting tensile strength is inconsistent; the highest strength of 3.13 MPa was observed at 15% LRF by 56 days</w:t>
      </w:r>
      <w:r>
        <w:rPr>
          <w:rFonts w:ascii="Calibri" w:hAnsi="Calibri" w:cs="Calibri"/>
          <w:sz w:val="18"/>
          <w:szCs w:val="18"/>
        </w:rPr>
        <w:t>.</w:t>
      </w:r>
    </w:p>
    <w:p w14:paraId="72608D14" w14:textId="4F35C9FF" w:rsidR="005F0B24" w:rsidRPr="005F0B24" w:rsidRDefault="005F0B24" w:rsidP="005F0B24">
      <w:pPr>
        <w:spacing w:after="0" w:line="240" w:lineRule="auto"/>
        <w:ind w:left="0" w:right="35" w:firstLine="0"/>
        <w:rPr>
          <w:szCs w:val="18"/>
        </w:rPr>
      </w:pPr>
    </w:p>
    <w:p w14:paraId="0F3CCACC" w14:textId="2B9D9583" w:rsidR="005F0B24" w:rsidRDefault="005F0B24" w:rsidP="005F0B24">
      <w:pPr>
        <w:pStyle w:val="ListParagraph"/>
        <w:numPr>
          <w:ilvl w:val="0"/>
          <w:numId w:val="9"/>
        </w:numPr>
        <w:spacing w:after="0" w:line="240" w:lineRule="auto"/>
        <w:ind w:right="35"/>
        <w:jc w:val="both"/>
        <w:rPr>
          <w:rFonts w:ascii="Calibri" w:hAnsi="Calibri" w:cs="Calibri"/>
          <w:sz w:val="18"/>
          <w:szCs w:val="18"/>
        </w:rPr>
      </w:pPr>
      <w:r w:rsidRPr="005F0B24">
        <w:rPr>
          <w:rFonts w:ascii="Calibri" w:hAnsi="Calibri" w:cs="Calibri"/>
          <w:sz w:val="18"/>
          <w:szCs w:val="18"/>
        </w:rPr>
        <w:t xml:space="preserve">The introduction of 15% marble dust elevates the modulus of elasticity to 25.91 </w:t>
      </w:r>
      <w:proofErr w:type="spellStart"/>
      <w:r w:rsidRPr="005F0B24">
        <w:rPr>
          <w:rFonts w:ascii="Calibri" w:hAnsi="Calibri" w:cs="Calibri"/>
          <w:sz w:val="18"/>
          <w:szCs w:val="18"/>
        </w:rPr>
        <w:t>GPa</w:t>
      </w:r>
      <w:proofErr w:type="spellEnd"/>
      <w:r w:rsidRPr="005F0B24">
        <w:rPr>
          <w:rFonts w:ascii="Calibri" w:hAnsi="Calibri" w:cs="Calibri"/>
          <w:sz w:val="18"/>
          <w:szCs w:val="18"/>
        </w:rPr>
        <w:t xml:space="preserve">, representing a substantial increase in stiffness compared to the standard 21.51 </w:t>
      </w:r>
      <w:proofErr w:type="spellStart"/>
      <w:r w:rsidRPr="005F0B24">
        <w:rPr>
          <w:rFonts w:ascii="Calibri" w:hAnsi="Calibri" w:cs="Calibri"/>
          <w:sz w:val="18"/>
          <w:szCs w:val="18"/>
        </w:rPr>
        <w:t>GPa</w:t>
      </w:r>
      <w:proofErr w:type="spellEnd"/>
      <w:r w:rsidRPr="005F0B24">
        <w:rPr>
          <w:rFonts w:ascii="Calibri" w:hAnsi="Calibri" w:cs="Calibri"/>
          <w:sz w:val="18"/>
          <w:szCs w:val="18"/>
        </w:rPr>
        <w:t xml:space="preserve"> of SCC</w:t>
      </w:r>
      <w:r>
        <w:rPr>
          <w:rFonts w:ascii="Calibri" w:hAnsi="Calibri" w:cs="Calibri"/>
          <w:sz w:val="18"/>
          <w:szCs w:val="18"/>
        </w:rPr>
        <w:t>.</w:t>
      </w:r>
    </w:p>
    <w:p w14:paraId="73DEF832" w14:textId="77777777" w:rsidR="005F0B24" w:rsidRDefault="005F0B24" w:rsidP="005F0B24">
      <w:pPr>
        <w:pStyle w:val="ListParagraph"/>
        <w:spacing w:after="0" w:line="240" w:lineRule="auto"/>
        <w:ind w:left="450" w:right="35"/>
        <w:jc w:val="both"/>
        <w:rPr>
          <w:rFonts w:ascii="Calibri" w:hAnsi="Calibri" w:cs="Calibri"/>
          <w:sz w:val="18"/>
          <w:szCs w:val="18"/>
        </w:rPr>
      </w:pPr>
    </w:p>
    <w:p w14:paraId="579BBDEC" w14:textId="56E44BCD" w:rsidR="00FD7001" w:rsidRDefault="005F0B24" w:rsidP="005F0B24">
      <w:pPr>
        <w:pStyle w:val="ListParagraph"/>
        <w:numPr>
          <w:ilvl w:val="0"/>
          <w:numId w:val="9"/>
        </w:numPr>
        <w:spacing w:after="0" w:line="240" w:lineRule="auto"/>
        <w:ind w:right="35"/>
        <w:jc w:val="both"/>
        <w:rPr>
          <w:rFonts w:ascii="Calibri" w:hAnsi="Calibri" w:cs="Calibri"/>
          <w:sz w:val="18"/>
          <w:szCs w:val="18"/>
        </w:rPr>
      </w:pPr>
      <w:r w:rsidRPr="005F0B24">
        <w:rPr>
          <w:rFonts w:ascii="Calibri" w:hAnsi="Calibri" w:cs="Calibri"/>
          <w:sz w:val="18"/>
          <w:szCs w:val="18"/>
        </w:rPr>
        <w:t xml:space="preserve">Marble dust proves to be a more effective option for enhancing the modulus of elasticity in SCC, as evidenced by the reduction in modulus of elasticity across all levels of LRF replacement, which ranged from 14.12 to 14.84 </w:t>
      </w:r>
      <w:proofErr w:type="spellStart"/>
      <w:r w:rsidRPr="005F0B24">
        <w:rPr>
          <w:rFonts w:ascii="Calibri" w:hAnsi="Calibri" w:cs="Calibri"/>
          <w:sz w:val="18"/>
          <w:szCs w:val="18"/>
        </w:rPr>
        <w:t>GPa</w:t>
      </w:r>
      <w:proofErr w:type="spellEnd"/>
      <w:r w:rsidRPr="005F0B24">
        <w:rPr>
          <w:rFonts w:ascii="Calibri" w:hAnsi="Calibri" w:cs="Calibri"/>
          <w:sz w:val="18"/>
          <w:szCs w:val="18"/>
        </w:rPr>
        <w:t>, indicating a decrease in stiffness relative to normal SCC.</w:t>
      </w:r>
    </w:p>
    <w:p w14:paraId="69ED70AC" w14:textId="77777777" w:rsidR="00633905" w:rsidRPr="00633905" w:rsidRDefault="00633905" w:rsidP="00633905">
      <w:pPr>
        <w:pStyle w:val="ListParagraph"/>
        <w:rPr>
          <w:rFonts w:ascii="Calibri" w:hAnsi="Calibri" w:cs="Calibri"/>
          <w:sz w:val="18"/>
          <w:szCs w:val="18"/>
        </w:rPr>
      </w:pPr>
    </w:p>
    <w:p w14:paraId="114046EB" w14:textId="77777777" w:rsidR="00633905" w:rsidRDefault="00633905" w:rsidP="00633905">
      <w:pPr>
        <w:pStyle w:val="ListParagraph"/>
        <w:spacing w:after="0" w:line="240" w:lineRule="auto"/>
        <w:ind w:left="450" w:right="35"/>
        <w:jc w:val="both"/>
        <w:rPr>
          <w:rFonts w:ascii="Calibri" w:hAnsi="Calibri" w:cs="Calibri"/>
          <w:sz w:val="18"/>
          <w:szCs w:val="18"/>
        </w:rPr>
      </w:pPr>
    </w:p>
    <w:p w14:paraId="7123F461" w14:textId="77777777" w:rsidR="00633905" w:rsidRDefault="00633905" w:rsidP="00633905">
      <w:pPr>
        <w:pStyle w:val="Heading2"/>
        <w:ind w:left="0" w:firstLine="0"/>
        <w:rPr>
          <w:szCs w:val="20"/>
          <w:lang w:bidi="ar-SA"/>
        </w:rPr>
      </w:pPr>
      <w:r w:rsidRPr="00E15A32">
        <w:rPr>
          <w:szCs w:val="20"/>
          <w:lang w:bidi="ar-SA"/>
        </w:rPr>
        <w:t>LIMITATIONS AND FUTURE RECOMMENDATIONS</w:t>
      </w:r>
    </w:p>
    <w:p w14:paraId="0B6319E3" w14:textId="77777777" w:rsidR="00633905" w:rsidRPr="00207F27" w:rsidRDefault="00633905" w:rsidP="00633905">
      <w:pPr>
        <w:rPr>
          <w:lang w:bidi="ar-SA"/>
        </w:rPr>
      </w:pPr>
      <w:r w:rsidRPr="00207F27">
        <w:rPr>
          <w:lang w:bidi="ar-SA"/>
        </w:rPr>
        <w:t>Brick aggregate, marble dust, and lime refining sludge (LRF) were effectively shown to have prospective applications in self-compacting concrete (SCC) in this study; nevertheless, there are a number of significant drawbacks and issues that should be addressed going forward:</w:t>
      </w:r>
    </w:p>
    <w:p w14:paraId="73E4DBA0" w14:textId="77777777" w:rsidR="00633905" w:rsidRPr="00633905" w:rsidRDefault="00633905" w:rsidP="00633905">
      <w:pPr>
        <w:rPr>
          <w:b/>
          <w:bCs/>
          <w:lang w:bidi="ar-SA"/>
        </w:rPr>
      </w:pPr>
      <w:r w:rsidRPr="00633905">
        <w:rPr>
          <w:b/>
          <w:bCs/>
          <w:lang w:bidi="ar-SA"/>
        </w:rPr>
        <w:t>1. Segregation Resistance Not Evaluated</w:t>
      </w:r>
    </w:p>
    <w:p w14:paraId="2DCA71E0" w14:textId="77777777" w:rsidR="00633905" w:rsidRPr="00207F27" w:rsidRDefault="00633905" w:rsidP="00633905">
      <w:pPr>
        <w:rPr>
          <w:lang w:bidi="ar-SA"/>
        </w:rPr>
      </w:pPr>
      <w:r w:rsidRPr="00207F27">
        <w:rPr>
          <w:lang w:bidi="ar-SA"/>
        </w:rPr>
        <w:lastRenderedPageBreak/>
        <w:t>A systematic quantitative evaluation of segregation resistance was not included in the study, despite the fact that the SCC mixtures attained acceptable flow parameters (slump flow diameter, T500 duration, and L-box ratio) and that no visual segregation was seen during fresh-state testing. The Column Segregation Test (ASTM C1610) is the ideal method for evaluating segregation resistance, which is a crucial characteristic of SCC according to EFNARC and ASTM recommendations. A constraint in the complete characterization of novel features is the lack of this evaluation. Future research should use ASTM C1610 or other techniques to quantitatively confirm the matrix's resistance to segregation and guarantee that the constituents are distributed uniformly.</w:t>
      </w:r>
    </w:p>
    <w:p w14:paraId="4A7F75D1" w14:textId="77777777" w:rsidR="00633905" w:rsidRPr="00633905" w:rsidRDefault="00633905" w:rsidP="00633905">
      <w:pPr>
        <w:rPr>
          <w:b/>
          <w:bCs/>
          <w:lang w:bidi="ar-SA"/>
        </w:rPr>
      </w:pPr>
      <w:r w:rsidRPr="00633905">
        <w:rPr>
          <w:b/>
          <w:bCs/>
          <w:lang w:bidi="ar-SA"/>
        </w:rPr>
        <w:t>2.</w:t>
      </w:r>
      <w:r w:rsidRPr="00633905">
        <w:rPr>
          <w:rFonts w:ascii="Times New Roman" w:eastAsia="Times New Roman" w:hAnsi="Times New Roman" w:cs="Times New Roman"/>
          <w:b/>
          <w:bCs/>
          <w:color w:val="auto"/>
          <w:kern w:val="0"/>
          <w:sz w:val="24"/>
          <w:szCs w:val="24"/>
          <w:lang w:bidi="ar-SA"/>
          <w14:ligatures w14:val="none"/>
        </w:rPr>
        <w:t xml:space="preserve"> </w:t>
      </w:r>
      <w:r w:rsidRPr="00633905">
        <w:rPr>
          <w:b/>
          <w:bCs/>
          <w:lang w:bidi="ar-SA"/>
        </w:rPr>
        <w:t>Considerable Decline in 56-Day Strength at 15% Replacement of Marble Dust</w:t>
      </w:r>
    </w:p>
    <w:p w14:paraId="16D7ABCB" w14:textId="77777777" w:rsidR="00633905" w:rsidRDefault="00633905" w:rsidP="00633905">
      <w:pPr>
        <w:rPr>
          <w:lang w:bidi="ar-SA"/>
        </w:rPr>
      </w:pPr>
      <w:r w:rsidRPr="00207F27">
        <w:rPr>
          <w:lang w:bidi="ar-SA"/>
        </w:rPr>
        <w:t xml:space="preserve">The mix containing 15% marble dust showed a considerable decrease in compressive strength at 56 days, dropping more than 10 MPa below the 28-day strength. This odd strength decrease points to a potential inconsistency in the pozzolanic response or long-term hydration kinetics brought on by excessive replacement. To find out if there is a delayed strength gain or if the drop continues, additional testing is advised at 90 and 120 days. </w:t>
      </w:r>
      <w:r>
        <w:rPr>
          <w:lang w:bidi="ar-SA"/>
        </w:rPr>
        <w:t>To</w:t>
      </w:r>
      <w:r w:rsidRPr="00207F27">
        <w:rPr>
          <w:lang w:bidi="ar-SA"/>
        </w:rPr>
        <w:t xml:space="preserve"> balance the advantages of early withering with long-term mechanical performance, further investigations might additionally investigate the most suitable replacement limits for marble dust.</w:t>
      </w:r>
    </w:p>
    <w:p w14:paraId="22AF49D1" w14:textId="77777777" w:rsidR="006A2FDD" w:rsidRDefault="006A2FDD" w:rsidP="00633905">
      <w:pPr>
        <w:rPr>
          <w:lang w:bidi="ar-SA"/>
        </w:rPr>
      </w:pPr>
    </w:p>
    <w:p w14:paraId="604539F8" w14:textId="77777777" w:rsidR="006A2FDD" w:rsidRDefault="006A2FDD" w:rsidP="00633905">
      <w:pPr>
        <w:rPr>
          <w:lang w:bidi="ar-SA"/>
        </w:rPr>
      </w:pPr>
    </w:p>
    <w:p w14:paraId="6AE64E8E" w14:textId="77777777" w:rsidR="00633905" w:rsidRPr="00633905" w:rsidRDefault="00633905" w:rsidP="00633905">
      <w:pPr>
        <w:rPr>
          <w:b/>
          <w:bCs/>
          <w:lang w:bidi="ar-SA"/>
        </w:rPr>
      </w:pPr>
      <w:r w:rsidRPr="00633905">
        <w:rPr>
          <w:b/>
          <w:bCs/>
          <w:lang w:bidi="ar-SA"/>
        </w:rPr>
        <w:t>3. Absence of Microstructural Analysis</w:t>
      </w:r>
    </w:p>
    <w:p w14:paraId="3ED9CDA3" w14:textId="33CC3BC1" w:rsidR="00633905" w:rsidRDefault="00633905" w:rsidP="00633905">
      <w:pPr>
        <w:rPr>
          <w:lang w:bidi="ar-SA"/>
        </w:rPr>
      </w:pPr>
      <w:r w:rsidRPr="00207F27">
        <w:rPr>
          <w:lang w:bidi="ar-SA"/>
        </w:rPr>
        <w:t>Energy Dispersive X-ray Spectroscopy (EDS), X-ray Diffraction (XRD), and Scanning Electron Microscopy (SEM) were not used in this study. Understanding the interface bonding between recycled materials and the cementitious matrix, as well as the formation of hydration products, is made easier with the use of such analyses. For instance, microcracking or inadequate interfacial transition zones (ITZs) may be detected by SEM imaging, which could account for the strength reduction at larger dosages of marble dust or LRF. To enhance the comprehension of material behavior at the microscopic level and supplement mechanical testing, future research should include microstructural characterization</w:t>
      </w:r>
      <w:r>
        <w:rPr>
          <w:lang w:bidi="ar-SA"/>
        </w:rPr>
        <w:t>.</w:t>
      </w:r>
    </w:p>
    <w:p w14:paraId="735C659F" w14:textId="77777777" w:rsidR="00C336AB" w:rsidRPr="00C336AB" w:rsidRDefault="00C336AB" w:rsidP="00C336AB">
      <w:pPr>
        <w:spacing w:after="200" w:line="276" w:lineRule="auto"/>
        <w:ind w:left="0" w:right="0" w:firstLine="0"/>
        <w:jc w:val="left"/>
        <w:outlineLvl w:val="0"/>
        <w:rPr>
          <w:rFonts w:ascii="Arial" w:hAnsi="Arial" w:cs="Arial"/>
          <w:b/>
          <w:color w:val="auto"/>
          <w:kern w:val="0"/>
          <w:sz w:val="20"/>
          <w:szCs w:val="20"/>
          <w:highlight w:val="yellow"/>
          <w:lang w:bidi="ar-SA"/>
          <w14:ligatures w14:val="none"/>
        </w:rPr>
      </w:pPr>
      <w:r w:rsidRPr="00C336AB">
        <w:rPr>
          <w:rFonts w:ascii="Arial" w:hAnsi="Arial" w:cs="Arial"/>
          <w:b/>
          <w:color w:val="auto"/>
          <w:kern w:val="0"/>
          <w:sz w:val="20"/>
          <w:szCs w:val="20"/>
          <w:highlight w:val="yellow"/>
          <w:lang w:bidi="ar-SA"/>
          <w14:ligatures w14:val="none"/>
        </w:rPr>
        <w:t>Disclaimer</w:t>
      </w:r>
    </w:p>
    <w:p w14:paraId="3AB38D35" w14:textId="1F3E9B4F" w:rsidR="00C336AB" w:rsidRPr="00C336AB" w:rsidRDefault="00C336AB" w:rsidP="00C336AB">
      <w:pPr>
        <w:spacing w:after="200" w:line="276" w:lineRule="auto"/>
        <w:ind w:left="0" w:right="0" w:firstLine="0"/>
        <w:jc w:val="left"/>
        <w:rPr>
          <w:rFonts w:ascii="Arial" w:hAnsi="Arial" w:cs="Arial"/>
          <w:color w:val="auto"/>
          <w:kern w:val="0"/>
          <w:sz w:val="20"/>
          <w:szCs w:val="20"/>
          <w:lang w:bidi="ar-SA"/>
          <w14:ligatures w14:val="none"/>
        </w:rPr>
      </w:pPr>
      <w:r w:rsidRPr="00C336AB">
        <w:rPr>
          <w:rFonts w:ascii="Arial" w:hAnsi="Arial" w:cs="Arial"/>
          <w:color w:val="auto"/>
          <w:kern w:val="0"/>
          <w:sz w:val="20"/>
          <w:szCs w:val="20"/>
          <w:lang w:bidi="ar-SA"/>
          <w14:ligatures w14:val="none"/>
        </w:rPr>
        <w:t xml:space="preserve">This paper is an extended version of a </w:t>
      </w:r>
      <w:r w:rsidRPr="00C336AB">
        <w:rPr>
          <w:rFonts w:ascii="Arial" w:hAnsi="Arial" w:cs="Arial"/>
          <w:color w:val="FF0000"/>
          <w:kern w:val="0"/>
          <w:sz w:val="20"/>
          <w:szCs w:val="20"/>
          <w:lang w:bidi="ar-SA"/>
          <w14:ligatures w14:val="none"/>
        </w:rPr>
        <w:t xml:space="preserve">preprint </w:t>
      </w:r>
      <w:r w:rsidRPr="00C336AB">
        <w:rPr>
          <w:rFonts w:ascii="Arial" w:hAnsi="Arial" w:cs="Arial"/>
          <w:color w:val="auto"/>
          <w:kern w:val="0"/>
          <w:sz w:val="20"/>
          <w:szCs w:val="20"/>
          <w:lang w:bidi="ar-SA"/>
          <w14:ligatures w14:val="none"/>
        </w:rPr>
        <w:t>document of the same author.</w:t>
      </w:r>
    </w:p>
    <w:p w14:paraId="153CFB41" w14:textId="3FD8ED8E" w:rsidR="00C336AB" w:rsidRPr="00C336AB" w:rsidRDefault="00C336AB" w:rsidP="00C336AB">
      <w:pPr>
        <w:spacing w:after="200" w:line="276" w:lineRule="auto"/>
        <w:ind w:left="0" w:right="0" w:firstLine="0"/>
        <w:jc w:val="left"/>
        <w:rPr>
          <w:rFonts w:ascii="Arial" w:hAnsi="Arial" w:cs="Arial"/>
          <w:color w:val="auto"/>
          <w:kern w:val="0"/>
          <w:sz w:val="20"/>
          <w:szCs w:val="20"/>
          <w:lang w:bidi="ar-SA"/>
          <w14:ligatures w14:val="none"/>
        </w:rPr>
      </w:pPr>
      <w:r w:rsidRPr="00C336AB">
        <w:rPr>
          <w:rFonts w:ascii="Arial" w:hAnsi="Arial" w:cs="Arial"/>
          <w:color w:val="auto"/>
          <w:kern w:val="0"/>
          <w:sz w:val="20"/>
          <w:szCs w:val="20"/>
          <w:lang w:bidi="ar-SA"/>
          <w14:ligatures w14:val="none"/>
        </w:rPr>
        <w:t xml:space="preserve">The </w:t>
      </w:r>
      <w:r w:rsidRPr="00C336AB">
        <w:rPr>
          <w:rFonts w:ascii="Arial" w:hAnsi="Arial" w:cs="Arial"/>
          <w:color w:val="FF0000"/>
          <w:kern w:val="0"/>
          <w:sz w:val="20"/>
          <w:szCs w:val="20"/>
          <w:lang w:bidi="ar-SA"/>
          <w14:ligatures w14:val="none"/>
        </w:rPr>
        <w:t xml:space="preserve">preprint </w:t>
      </w:r>
      <w:r w:rsidRPr="00C336AB">
        <w:rPr>
          <w:rFonts w:ascii="Arial" w:hAnsi="Arial" w:cs="Arial"/>
          <w:color w:val="auto"/>
          <w:kern w:val="0"/>
          <w:sz w:val="20"/>
          <w:szCs w:val="20"/>
          <w:lang w:bidi="ar-SA"/>
          <w14:ligatures w14:val="none"/>
        </w:rPr>
        <w:t xml:space="preserve">document is available in this link: </w:t>
      </w:r>
      <w:hyperlink r:id="rId36" w:history="1">
        <w:r w:rsidRPr="002D1F5D">
          <w:rPr>
            <w:rStyle w:val="Hyperlink"/>
            <w:rFonts w:ascii="Arial" w:hAnsi="Arial" w:cs="Arial"/>
            <w:kern w:val="0"/>
            <w:sz w:val="20"/>
            <w:szCs w:val="20"/>
            <w:lang w:bidi="ar-SA"/>
            <w14:ligatures w14:val="none"/>
          </w:rPr>
          <w:t>https://www.researchgate.net/publication/386320848_RESEARCH_ON_THE_IMPACT_OF_INERT_AND_HYDRAULIC_ADDITIVES_ON_SELF-COMPACTING_CONCRETE_UTILIZING_BRICK_</w:t>
        </w:r>
        <w:r w:rsidRPr="002D1F5D">
          <w:rPr>
            <w:rStyle w:val="Hyperlink"/>
            <w:rFonts w:ascii="Arial" w:hAnsi="Arial" w:cs="Arial"/>
            <w:kern w:val="0"/>
            <w:sz w:val="20"/>
            <w:szCs w:val="20"/>
            <w:lang w:bidi="ar-SA"/>
            <w14:ligatures w14:val="none"/>
          </w:rPr>
          <w:t>AGGREGATE?channel=doi&amp;linkId=674cb4c9359dcb4d9d49ec39&amp;showFulltext=true</w:t>
        </w:r>
      </w:hyperlink>
      <w:r>
        <w:rPr>
          <w:rFonts w:ascii="Arial" w:hAnsi="Arial" w:cs="Arial"/>
          <w:color w:val="auto"/>
          <w:kern w:val="0"/>
          <w:sz w:val="20"/>
          <w:szCs w:val="20"/>
          <w:lang w:bidi="ar-SA"/>
          <w14:ligatures w14:val="none"/>
        </w:rPr>
        <w:t xml:space="preserve"> </w:t>
      </w:r>
    </w:p>
    <w:p w14:paraId="5F7FADA6" w14:textId="77777777" w:rsidR="00C336AB" w:rsidRPr="00C336AB" w:rsidRDefault="00C336AB" w:rsidP="00C336AB">
      <w:pPr>
        <w:spacing w:after="200" w:line="276" w:lineRule="auto"/>
        <w:ind w:left="0" w:right="0" w:firstLine="0"/>
        <w:jc w:val="left"/>
        <w:rPr>
          <w:rFonts w:ascii="Arial" w:hAnsi="Arial" w:cs="Arial"/>
          <w:color w:val="auto"/>
          <w:kern w:val="0"/>
          <w:szCs w:val="20"/>
          <w:lang w:bidi="ar-SA"/>
          <w14:ligatures w14:val="none"/>
        </w:rPr>
      </w:pPr>
      <w:r w:rsidRPr="00C336AB">
        <w:rPr>
          <w:rFonts w:ascii="Arial" w:hAnsi="Arial" w:cs="Arial"/>
          <w:color w:val="auto"/>
          <w:kern w:val="0"/>
          <w:szCs w:val="20"/>
          <w:highlight w:val="yellow"/>
          <w:lang w:bidi="ar-SA"/>
          <w14:ligatures w14:val="none"/>
        </w:rPr>
        <w:t>[As per journal policy, preprint /repository article</w:t>
      </w:r>
      <w:r w:rsidRPr="00C336AB">
        <w:rPr>
          <w:rFonts w:ascii="Arial" w:hAnsi="Arial" w:cs="Arial"/>
          <w:color w:val="auto"/>
          <w:kern w:val="0"/>
          <w:szCs w:val="20"/>
          <w:lang w:bidi="ar-SA"/>
          <w14:ligatures w14:val="none"/>
        </w:rPr>
        <w:t xml:space="preserve"> </w:t>
      </w:r>
      <w:r w:rsidRPr="00C336AB">
        <w:rPr>
          <w:rFonts w:ascii="Arial" w:hAnsi="Arial" w:cs="Arial"/>
          <w:color w:val="auto"/>
          <w:kern w:val="0"/>
          <w:szCs w:val="20"/>
          <w:highlight w:val="yellow"/>
          <w:lang w:bidi="ar-SA"/>
          <w14:ligatures w14:val="none"/>
        </w:rPr>
        <w:t>can be published as a journal article, provided it is not published in any other journal]</w:t>
      </w:r>
    </w:p>
    <w:p w14:paraId="388925E5" w14:textId="77777777" w:rsidR="00C336AB" w:rsidRPr="00633905" w:rsidRDefault="00C336AB" w:rsidP="00633905">
      <w:pPr>
        <w:rPr>
          <w:lang w:bidi="ar-SA"/>
        </w:rPr>
      </w:pPr>
    </w:p>
    <w:p w14:paraId="5639594E" w14:textId="77777777" w:rsidR="00633905" w:rsidRDefault="00633905" w:rsidP="00633905">
      <w:pPr>
        <w:spacing w:after="0" w:line="240" w:lineRule="auto"/>
        <w:ind w:left="90" w:firstLine="0"/>
        <w:rPr>
          <w:b/>
          <w:color w:val="00ADEF"/>
        </w:rPr>
      </w:pPr>
    </w:p>
    <w:p w14:paraId="4F811838" w14:textId="581BD57C" w:rsidR="00633905" w:rsidRDefault="00633905" w:rsidP="00633905">
      <w:pPr>
        <w:spacing w:after="0" w:line="240" w:lineRule="auto"/>
      </w:pPr>
      <w:r w:rsidRPr="00633905">
        <w:rPr>
          <w:b/>
          <w:color w:val="00ADEF"/>
        </w:rPr>
        <w:t>Acknowledgment:</w:t>
      </w:r>
    </w:p>
    <w:p w14:paraId="268AF6C9" w14:textId="77777777" w:rsidR="00633905" w:rsidRPr="00633905" w:rsidRDefault="00633905" w:rsidP="00633905">
      <w:pPr>
        <w:spacing w:after="0" w:line="240" w:lineRule="auto"/>
        <w:ind w:left="0"/>
        <w:rPr>
          <w:rFonts w:ascii="Times New Roman" w:hAnsi="Times New Roman" w:cs="Times New Roman"/>
          <w:b/>
          <w:bCs/>
          <w:sz w:val="24"/>
          <w:szCs w:val="24"/>
        </w:rPr>
      </w:pPr>
      <w:r w:rsidRPr="00633905">
        <w:rPr>
          <w:szCs w:val="18"/>
        </w:rPr>
        <w:t>The authors express their sincere appreciation to the anonymous referees of the journal for their invaluable recommendations, which significantly enhanced the quality of the article.</w:t>
      </w:r>
    </w:p>
    <w:p w14:paraId="3C2A39B6" w14:textId="77777777" w:rsidR="00633905" w:rsidRDefault="00633905" w:rsidP="00633905">
      <w:pPr>
        <w:pStyle w:val="ListParagraph"/>
        <w:spacing w:after="85"/>
        <w:ind w:left="450"/>
      </w:pPr>
    </w:p>
    <w:p w14:paraId="3AF4D9E7" w14:textId="77777777" w:rsidR="00633905" w:rsidRDefault="00633905" w:rsidP="00633905">
      <w:pPr>
        <w:spacing w:after="0" w:line="240" w:lineRule="auto"/>
        <w:ind w:left="0"/>
      </w:pPr>
      <w:r w:rsidRPr="00633905">
        <w:rPr>
          <w:b/>
          <w:color w:val="00ADEF"/>
        </w:rPr>
        <w:t>Conflict of Interest:</w:t>
      </w:r>
    </w:p>
    <w:p w14:paraId="5E584424" w14:textId="759F5674" w:rsidR="00633905" w:rsidRDefault="00633905" w:rsidP="00633905">
      <w:pPr>
        <w:spacing w:after="0" w:line="240" w:lineRule="auto"/>
        <w:ind w:left="0"/>
        <w:rPr>
          <w:rFonts w:ascii="Times New Roman" w:hAnsi="Times New Roman" w:cs="Times New Roman"/>
          <w:sz w:val="24"/>
          <w:szCs w:val="24"/>
        </w:rPr>
      </w:pPr>
      <w:r w:rsidRPr="00633905">
        <w:rPr>
          <w:szCs w:val="18"/>
        </w:rPr>
        <w:t>The authors have stated that there are no possible conflicts of interest related to research or personal associations that could have appeared to influence the findings presented in this paper</w:t>
      </w:r>
      <w:r w:rsidRPr="00633905">
        <w:rPr>
          <w:rFonts w:ascii="Times New Roman" w:hAnsi="Times New Roman" w:cs="Times New Roman"/>
          <w:sz w:val="24"/>
          <w:szCs w:val="24"/>
        </w:rPr>
        <w:t>.</w:t>
      </w:r>
    </w:p>
    <w:p w14:paraId="07023427" w14:textId="77777777" w:rsidR="00633905" w:rsidRPr="00633905" w:rsidRDefault="00633905" w:rsidP="00633905">
      <w:pPr>
        <w:spacing w:after="0" w:line="240" w:lineRule="auto"/>
        <w:ind w:left="0"/>
        <w:rPr>
          <w:rFonts w:ascii="Times New Roman" w:hAnsi="Times New Roman" w:cs="Times New Roman"/>
          <w:sz w:val="24"/>
          <w:szCs w:val="24"/>
        </w:rPr>
      </w:pPr>
    </w:p>
    <w:p w14:paraId="7B3AEF05" w14:textId="77777777" w:rsidR="00633905" w:rsidRDefault="00633905" w:rsidP="00633905">
      <w:pPr>
        <w:spacing w:after="6"/>
        <w:ind w:left="0"/>
      </w:pPr>
      <w:r w:rsidRPr="00633905">
        <w:rPr>
          <w:b/>
          <w:color w:val="00ADEF"/>
        </w:rPr>
        <w:t>Authors’ Contribution:</w:t>
      </w:r>
      <w:r>
        <w:t xml:space="preserve"> </w:t>
      </w:r>
    </w:p>
    <w:p w14:paraId="1EF079C5" w14:textId="285DEA35" w:rsidR="00633905" w:rsidRPr="00633905" w:rsidRDefault="00633905" w:rsidP="00633905">
      <w:pPr>
        <w:spacing w:after="6"/>
        <w:ind w:left="0"/>
        <w:rPr>
          <w:b/>
        </w:rPr>
      </w:pPr>
      <w:r w:rsidRPr="00633905">
        <w:rPr>
          <w:b/>
        </w:rPr>
        <w:t>Suman Jyoti</w:t>
      </w:r>
    </w:p>
    <w:p w14:paraId="0A7C4439" w14:textId="5018174F" w:rsidR="00633905" w:rsidRDefault="00633905" w:rsidP="00633905">
      <w:pPr>
        <w:ind w:left="0" w:right="35"/>
      </w:pPr>
      <w:r>
        <w:t>Conceptualization, Methodology, Resources, Visualization, Supervision, Writing - Editing, Project administration</w:t>
      </w:r>
    </w:p>
    <w:p w14:paraId="3C27CC24" w14:textId="77777777" w:rsidR="00633905" w:rsidRDefault="00633905" w:rsidP="00633905">
      <w:pPr>
        <w:ind w:left="-5" w:right="35"/>
      </w:pPr>
      <w:r>
        <w:rPr>
          <w:b/>
        </w:rPr>
        <w:t>Garima Bista &amp; Bishnu Prasad Bhandari</w:t>
      </w:r>
    </w:p>
    <w:p w14:paraId="53854EAB" w14:textId="73EFC2FB" w:rsidR="00633905" w:rsidRDefault="00633905" w:rsidP="00633905">
      <w:pPr>
        <w:ind w:left="-5" w:right="35"/>
      </w:pPr>
      <w:r>
        <w:t>Formal Analysis; Editing; Writing – Rough Draft, Visualization</w:t>
      </w:r>
    </w:p>
    <w:p w14:paraId="38B5219D" w14:textId="77777777" w:rsidR="005F0B24" w:rsidRPr="005F0B24" w:rsidRDefault="005F0B24" w:rsidP="005F0B24">
      <w:pPr>
        <w:spacing w:after="0" w:line="240" w:lineRule="auto"/>
        <w:ind w:right="35"/>
        <w:rPr>
          <w:szCs w:val="18"/>
        </w:rPr>
      </w:pPr>
    </w:p>
    <w:p w14:paraId="5E9B3EBA" w14:textId="77777777" w:rsidR="00E4559A" w:rsidRDefault="00E4559A">
      <w:pPr>
        <w:ind w:left="-5" w:right="35"/>
        <w:rPr>
          <w:b/>
          <w:color w:val="00ADEF"/>
        </w:rPr>
      </w:pPr>
      <w:r>
        <w:rPr>
          <w:b/>
          <w:color w:val="00ADEF"/>
        </w:rPr>
        <w:t xml:space="preserve">Declaration </w:t>
      </w:r>
    </w:p>
    <w:p w14:paraId="29DD859A" w14:textId="16B5FC42" w:rsidR="004D543B" w:rsidRDefault="00B773EC">
      <w:pPr>
        <w:ind w:left="-5" w:right="35"/>
      </w:pPr>
      <w:r>
        <w:t xml:space="preserve"> Ethical issues (Including Plagiarism, Data Fabrication, and Double Publication) have been completely observed by the authors.</w:t>
      </w:r>
    </w:p>
    <w:p w14:paraId="18F564F4" w14:textId="77777777" w:rsidR="003E691E" w:rsidRDefault="003E691E">
      <w:pPr>
        <w:ind w:left="-5" w:right="35"/>
      </w:pPr>
    </w:p>
    <w:p w14:paraId="74F14D45"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Disclaimer (Artificial intelligence)</w:t>
      </w:r>
    </w:p>
    <w:p w14:paraId="682E33CB"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 xml:space="preserve">Option 1: </w:t>
      </w:r>
    </w:p>
    <w:p w14:paraId="4F85E9F5"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 xml:space="preserve">Author(s) hereby declare that NO generative AI technologies such as Large Language Models (ChatGPT, COPILOT, etc.) and text-to-image generators have been used during the writing or editing of this manuscript. </w:t>
      </w:r>
    </w:p>
    <w:p w14:paraId="5F6D3577"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 xml:space="preserve">Option 2: </w:t>
      </w:r>
    </w:p>
    <w:p w14:paraId="7BA911C9"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 xml:space="preserve">Author(s) hereby declare that generative AI technologies such as Large Language Models, etc. have been used during the writing or editing of manuscripts. This explanation will include the </w:t>
      </w:r>
      <w:r w:rsidRPr="003E691E">
        <w:rPr>
          <w:rFonts w:cs="Times New Roman"/>
          <w:color w:val="auto"/>
          <w:sz w:val="22"/>
          <w:szCs w:val="22"/>
          <w:lang w:bidi="ar-SA"/>
        </w:rPr>
        <w:lastRenderedPageBreak/>
        <w:t>name, version, model, and source of the generative AI technology and as well as all input prompts provided to the generative AI technology</w:t>
      </w:r>
    </w:p>
    <w:p w14:paraId="201C3A04"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Details of the AI usage are given below:</w:t>
      </w:r>
    </w:p>
    <w:p w14:paraId="75EA77CD"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1.</w:t>
      </w:r>
    </w:p>
    <w:p w14:paraId="3F02F732"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2.</w:t>
      </w:r>
    </w:p>
    <w:p w14:paraId="6FD21F97" w14:textId="77777777" w:rsidR="003E691E" w:rsidRPr="003E691E" w:rsidRDefault="003E691E" w:rsidP="003E691E">
      <w:pPr>
        <w:spacing w:after="200" w:line="276" w:lineRule="auto"/>
        <w:ind w:left="0" w:right="0" w:firstLine="0"/>
        <w:jc w:val="left"/>
        <w:rPr>
          <w:rFonts w:cs="Times New Roman"/>
          <w:color w:val="auto"/>
          <w:sz w:val="22"/>
          <w:szCs w:val="22"/>
          <w:lang w:bidi="ar-SA"/>
        </w:rPr>
      </w:pPr>
      <w:r w:rsidRPr="003E691E">
        <w:rPr>
          <w:rFonts w:cs="Times New Roman"/>
          <w:color w:val="auto"/>
          <w:sz w:val="22"/>
          <w:szCs w:val="22"/>
          <w:lang w:bidi="ar-SA"/>
        </w:rPr>
        <w:t>3.</w:t>
      </w:r>
    </w:p>
    <w:p w14:paraId="2C2F8154" w14:textId="77777777" w:rsidR="003E691E" w:rsidRDefault="003E691E">
      <w:pPr>
        <w:ind w:left="-5" w:right="35"/>
      </w:pPr>
    </w:p>
    <w:p w14:paraId="159F29B5" w14:textId="46523C64" w:rsidR="004D543B" w:rsidRDefault="00FE2AAB">
      <w:r>
        <w:rPr>
          <w:noProof/>
          <w:sz w:val="22"/>
          <w:lang w:bidi="ar-SA"/>
        </w:rPr>
        <mc:AlternateContent>
          <mc:Choice Requires="wpg">
            <w:drawing>
              <wp:inline distT="0" distB="0" distL="0" distR="0" wp14:anchorId="5BE390C8" wp14:editId="0C3246E7">
                <wp:extent cx="2941955" cy="3707"/>
                <wp:effectExtent l="0" t="0" r="0" b="0"/>
                <wp:docPr id="1224233998" name="Group 1224233998"/>
                <wp:cNvGraphicFramePr/>
                <a:graphic xmlns:a="http://schemas.openxmlformats.org/drawingml/2006/main">
                  <a:graphicData uri="http://schemas.microsoft.com/office/word/2010/wordprocessingGroup">
                    <wpg:wgp>
                      <wpg:cNvGrpSpPr/>
                      <wpg:grpSpPr>
                        <a:xfrm>
                          <a:off x="0" y="0"/>
                          <a:ext cx="2941955" cy="3707"/>
                          <a:chOff x="0" y="0"/>
                          <a:chExt cx="5039996" cy="6350"/>
                        </a:xfrm>
                      </wpg:grpSpPr>
                      <wps:wsp>
                        <wps:cNvPr id="2143401110" name="Shape 84"/>
                        <wps:cNvSpPr/>
                        <wps:spPr>
                          <a:xfrm>
                            <a:off x="0" y="0"/>
                            <a:ext cx="5039996" cy="0"/>
                          </a:xfrm>
                          <a:custGeom>
                            <a:avLst/>
                            <a:gdLst/>
                            <a:ahLst/>
                            <a:cxnLst/>
                            <a:rect l="0" t="0" r="0" b="0"/>
                            <a:pathLst>
                              <a:path w="5039996">
                                <a:moveTo>
                                  <a:pt x="0" y="0"/>
                                </a:moveTo>
                                <a:lnTo>
                                  <a:pt x="5039996" y="0"/>
                                </a:lnTo>
                              </a:path>
                            </a:pathLst>
                          </a:custGeom>
                          <a:ln w="6350" cap="flat">
                            <a:miter lim="127000"/>
                          </a:ln>
                        </wps:spPr>
                        <wps:style>
                          <a:lnRef idx="1">
                            <a:srgbClr val="00B9F1"/>
                          </a:lnRef>
                          <a:fillRef idx="0">
                            <a:srgbClr val="000000">
                              <a:alpha val="0"/>
                            </a:srgbClr>
                          </a:fillRef>
                          <a:effectRef idx="0">
                            <a:scrgbClr r="0" g="0" b="0"/>
                          </a:effectRef>
                          <a:fontRef idx="none"/>
                        </wps:style>
                        <wps:bodyPr/>
                      </wps:wsp>
                    </wpg:wgp>
                  </a:graphicData>
                </a:graphic>
              </wp:inline>
            </w:drawing>
          </mc:Choice>
          <mc:Fallback>
            <w:pict>
              <v:group w14:anchorId="4CB71B95" id="Group 1224233998" o:spid="_x0000_s1026" style="width:231.65pt;height:.3pt;mso-position-horizontal-relative:char;mso-position-vertical-relative:line" coordsize="50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">
                <v:shape id="Shape 84"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" path="m,l5039996,e" filled="f" strokecolor="#00b9f1" strokeweight=".5pt">
                  <v:stroke miterlimit="83231f" joinstyle="miter"/>
                  <v:path arrowok="t" textboxrect="0,0,5039996,0"/>
                </v:shape>
                <w10:anchorlock/>
              </v:group>
            </w:pict>
          </mc:Fallback>
        </mc:AlternateContent>
      </w:r>
    </w:p>
    <w:p w14:paraId="782092CE" w14:textId="77777777" w:rsidR="00FE2AAB" w:rsidRDefault="00FE2AAB"/>
    <w:p w14:paraId="6F5F6F64" w14:textId="77777777" w:rsidR="00FE2AAB" w:rsidRDefault="00FE2AAB">
      <w:pPr>
        <w:sectPr w:rsidR="00FE2AAB">
          <w:type w:val="continuous"/>
          <w:pgSz w:w="11906" w:h="16441"/>
          <w:pgMar w:top="1417" w:right="1132" w:bottom="1455" w:left="1134" w:header="720" w:footer="720" w:gutter="0"/>
          <w:cols w:num="2" w:space="373"/>
        </w:sectPr>
      </w:pPr>
    </w:p>
    <w:p w14:paraId="3B413C93" w14:textId="4AF72963" w:rsidR="004D543B" w:rsidRDefault="00B773EC">
      <w:pPr>
        <w:pStyle w:val="Heading2"/>
        <w:spacing w:after="60"/>
        <w:ind w:left="-5"/>
      </w:pPr>
      <w:r>
        <w:t>REFERENCES</w:t>
      </w:r>
    </w:p>
    <w:p w14:paraId="40506BF1" w14:textId="77777777" w:rsidR="00C87AE7" w:rsidRPr="00C32529" w:rsidRDefault="00C87AE7" w:rsidP="00C87AE7">
      <w:pPr>
        <w:spacing w:after="0" w:line="240" w:lineRule="auto"/>
        <w:ind w:left="0" w:right="578" w:firstLine="0"/>
        <w:rPr>
          <w:color w:val="156082" w:themeColor="accent1"/>
        </w:rPr>
      </w:pPr>
      <w:r w:rsidRPr="00C32529">
        <w:rPr>
          <w:color w:val="156082" w:themeColor="accent1"/>
        </w:rPr>
        <w:t>ACI 237R-07 (2007). Self-Consolidating Concrete. American Concrete Institute, Farmington Hills, Mich.</w:t>
      </w:r>
    </w:p>
    <w:p w14:paraId="799B5D88" w14:textId="77777777" w:rsidR="00C87AE7" w:rsidRPr="00C32529" w:rsidRDefault="00C87AE7" w:rsidP="00C87AE7">
      <w:pPr>
        <w:spacing w:after="0" w:line="240" w:lineRule="auto"/>
        <w:ind w:left="0" w:right="578" w:firstLine="0"/>
        <w:rPr>
          <w:color w:val="156082" w:themeColor="accent1"/>
        </w:rPr>
      </w:pPr>
    </w:p>
    <w:p w14:paraId="6849E646"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Ankica </w:t>
      </w:r>
      <w:proofErr w:type="spellStart"/>
      <w:r w:rsidRPr="00C32529">
        <w:rPr>
          <w:color w:val="156082" w:themeColor="accent1"/>
        </w:rPr>
        <w:t>RaZenoviT</w:t>
      </w:r>
      <w:proofErr w:type="spellEnd"/>
      <w:r w:rsidRPr="00C32529">
        <w:rPr>
          <w:color w:val="156082" w:themeColor="accent1"/>
        </w:rPr>
        <w:t>, J. M. a. T. S., 2013. Characterization of Ladle Furnace Slag from Carbon Steel. Hindawi Publishing Corporation, 2013(Article ID 198240), p. 6.</w:t>
      </w:r>
    </w:p>
    <w:p w14:paraId="7B9A5C7D" w14:textId="77777777" w:rsidR="00C87AE7" w:rsidRPr="00C32529" w:rsidRDefault="00C87AE7" w:rsidP="00FE2AAB">
      <w:pPr>
        <w:spacing w:after="0" w:line="240" w:lineRule="auto"/>
        <w:ind w:left="0" w:right="580"/>
        <w:rPr>
          <w:color w:val="156082" w:themeColor="accent1"/>
        </w:rPr>
      </w:pPr>
    </w:p>
    <w:p w14:paraId="7613F094" w14:textId="77777777" w:rsidR="00C87AE7" w:rsidRPr="00C32529" w:rsidRDefault="00C87AE7" w:rsidP="00FE2AAB">
      <w:pPr>
        <w:pStyle w:val="BodyText"/>
        <w:ind w:right="582"/>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C128 (2015). Standard Test Method for Density, Relative Density (Specific Gravity), and Absorption of Fine Aggregate. ASTM International, West Conshohocken, PA, USA.</w:t>
      </w:r>
    </w:p>
    <w:p w14:paraId="50243406" w14:textId="77777777" w:rsidR="00C87AE7" w:rsidRPr="00C32529" w:rsidRDefault="00C87AE7" w:rsidP="00FE2AAB">
      <w:pPr>
        <w:pStyle w:val="BodyText"/>
        <w:ind w:right="582"/>
        <w:jc w:val="both"/>
        <w:rPr>
          <w:rFonts w:ascii="Calibri" w:hAnsi="Calibri" w:cs="Calibri"/>
          <w:color w:val="156082" w:themeColor="accent1"/>
          <w:sz w:val="18"/>
          <w:szCs w:val="18"/>
        </w:rPr>
      </w:pPr>
    </w:p>
    <w:p w14:paraId="76016635"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C136 (2019). Standard Test Method for Sieve Analysis of Fine and Coarse Aggregates. ASTM International, West Conshohocken, PA, USA.</w:t>
      </w:r>
    </w:p>
    <w:p w14:paraId="6B1B33F8"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2EBAF69E"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C138 (2001). Standard Test Method for Density</w:t>
      </w:r>
      <w:r w:rsidRPr="00C32529">
        <w:rPr>
          <w:rFonts w:ascii="Calibri" w:hAnsi="Calibri" w:cs="Calibri"/>
          <w:color w:val="156082" w:themeColor="accent1"/>
          <w:spacing w:val="-4"/>
          <w:sz w:val="18"/>
          <w:szCs w:val="18"/>
        </w:rPr>
        <w:t xml:space="preserve"> </w:t>
      </w:r>
      <w:r w:rsidRPr="00C32529">
        <w:rPr>
          <w:rFonts w:ascii="Calibri" w:hAnsi="Calibri" w:cs="Calibri"/>
          <w:color w:val="156082" w:themeColor="accent1"/>
          <w:sz w:val="18"/>
          <w:szCs w:val="18"/>
        </w:rPr>
        <w:t>(Unit Weight), Yield, and Air Content (Gravimetric) of Concrete. ASTM International, West Conshohocken, PA, USA.</w:t>
      </w:r>
    </w:p>
    <w:p w14:paraId="28AC4111"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5593CC83"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C191 (2019). Standard Test Method for Time of Setting of Hydraulic Cement by Vicat Needle. ASTM International, West Conshohocken, PA, USA.</w:t>
      </w:r>
    </w:p>
    <w:p w14:paraId="4DD29E01"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22199183"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C29</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(2017).</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Standard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Method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Test</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for</w:t>
      </w:r>
      <w:r w:rsidRPr="00C32529">
        <w:rPr>
          <w:rFonts w:ascii="Calibri" w:hAnsi="Calibri" w:cs="Calibri"/>
          <w:color w:val="156082" w:themeColor="accent1"/>
          <w:spacing w:val="-14"/>
          <w:sz w:val="18"/>
          <w:szCs w:val="18"/>
        </w:rPr>
        <w:t xml:space="preserve"> </w:t>
      </w:r>
      <w:r w:rsidRPr="00C32529">
        <w:rPr>
          <w:rFonts w:ascii="Calibri" w:hAnsi="Calibri" w:cs="Calibri"/>
          <w:color w:val="156082" w:themeColor="accent1"/>
          <w:sz w:val="18"/>
          <w:szCs w:val="18"/>
        </w:rPr>
        <w:t>Bulk</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Density</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(Unit</w:t>
      </w:r>
      <w:r w:rsidRPr="00C32529">
        <w:rPr>
          <w:rFonts w:ascii="Calibri" w:hAnsi="Calibri" w:cs="Calibri"/>
          <w:color w:val="156082" w:themeColor="accent1"/>
          <w:spacing w:val="-14"/>
          <w:sz w:val="18"/>
          <w:szCs w:val="18"/>
        </w:rPr>
        <w:t xml:space="preserve"> </w:t>
      </w:r>
      <w:r w:rsidRPr="00C32529">
        <w:rPr>
          <w:rFonts w:ascii="Calibri" w:hAnsi="Calibri" w:cs="Calibri"/>
          <w:color w:val="156082" w:themeColor="accent1"/>
          <w:sz w:val="18"/>
          <w:szCs w:val="18"/>
        </w:rPr>
        <w:t>Weight)</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and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Voids in Aggregate. ASTM International, West Conshohocken, PA, USA.</w:t>
      </w:r>
    </w:p>
    <w:p w14:paraId="563F3CAB"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49F012D9" w14:textId="77777777" w:rsidR="00C87AE7" w:rsidRPr="00C32529" w:rsidRDefault="00C87AE7" w:rsidP="00FE2AAB">
      <w:pPr>
        <w:pStyle w:val="BodyText"/>
        <w:ind w:right="581"/>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C39 (2002). Standard Test Method for Compressive Strength of Cylindrical Concrete Specimens. ASTM International, West Conshohocken, PA, USA.</w:t>
      </w:r>
    </w:p>
    <w:p w14:paraId="593BFE3A" w14:textId="77777777" w:rsidR="00C87AE7" w:rsidRPr="00C32529" w:rsidRDefault="00C87AE7" w:rsidP="00FE2AAB">
      <w:pPr>
        <w:pStyle w:val="BodyText"/>
        <w:ind w:right="581"/>
        <w:jc w:val="both"/>
        <w:rPr>
          <w:rFonts w:ascii="Calibri" w:hAnsi="Calibri" w:cs="Calibri"/>
          <w:color w:val="156082" w:themeColor="accent1"/>
          <w:sz w:val="18"/>
          <w:szCs w:val="18"/>
        </w:rPr>
      </w:pPr>
    </w:p>
    <w:p w14:paraId="1A0FFAE2"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C469-02 (2002). Standard Test Method for Static Modulus of Elasticity and Poisson’s Ratio of Concrete in Compression. ASTM International, West Conshohocken, PA, USA.</w:t>
      </w:r>
    </w:p>
    <w:p w14:paraId="03E82C3F"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721860BA" w14:textId="77777777" w:rsidR="00C87AE7" w:rsidRDefault="00C87AE7" w:rsidP="00FE2AAB">
      <w:pPr>
        <w:spacing w:after="0" w:line="240" w:lineRule="auto"/>
        <w:ind w:left="0" w:right="578"/>
        <w:rPr>
          <w:color w:val="156082" w:themeColor="accent1"/>
        </w:rPr>
      </w:pPr>
      <w:r w:rsidRPr="00C32529">
        <w:rPr>
          <w:color w:val="156082" w:themeColor="accent1"/>
        </w:rPr>
        <w:t>Billberg, P. (1999). Self-Compacting Concrete for Civil Engineering Structures the Swedish Experience.</w:t>
      </w:r>
    </w:p>
    <w:p w14:paraId="20509B44" w14:textId="77777777" w:rsidR="008F1B7C" w:rsidRDefault="008F1B7C" w:rsidP="00FE2AAB">
      <w:pPr>
        <w:spacing w:after="0" w:line="240" w:lineRule="auto"/>
        <w:ind w:left="0" w:right="578"/>
        <w:rPr>
          <w:color w:val="156082" w:themeColor="accent1"/>
        </w:rPr>
      </w:pPr>
    </w:p>
    <w:p w14:paraId="0D9E4B42" w14:textId="77777777" w:rsidR="008F1B7C" w:rsidRPr="00AA4185" w:rsidRDefault="008F1B7C" w:rsidP="008F1B7C">
      <w:pPr>
        <w:spacing w:after="0" w:line="240" w:lineRule="auto"/>
        <w:ind w:left="0" w:right="580"/>
        <w:rPr>
          <w:color w:val="156082" w:themeColor="accent1"/>
        </w:rPr>
      </w:pPr>
      <w:r w:rsidRPr="00AA4185">
        <w:rPr>
          <w:color w:val="156082" w:themeColor="accent1"/>
        </w:rPr>
        <w:t xml:space="preserve">Boateng E, Kankam CK, Danso AK, </w:t>
      </w:r>
      <w:proofErr w:type="spellStart"/>
      <w:r w:rsidRPr="00AA4185">
        <w:rPr>
          <w:color w:val="156082" w:themeColor="accent1"/>
        </w:rPr>
        <w:t>Ayarkwa</w:t>
      </w:r>
      <w:proofErr w:type="spellEnd"/>
      <w:r w:rsidRPr="00AA4185">
        <w:rPr>
          <w:color w:val="156082" w:themeColor="accent1"/>
        </w:rPr>
        <w:t xml:space="preserve"> J, Acheampong A. Assessing Compressive Strength of Concrete with Waste Automobile Tire and Palm Kernel shells as Aggregates. J. Eng. Res. Rep. [Internet]. 2023 Feb. 24 [cited</w:t>
      </w:r>
    </w:p>
    <w:p w14:paraId="0CB9D58E" w14:textId="5E289F5F" w:rsidR="008F1B7C" w:rsidRPr="00C32529" w:rsidRDefault="008F1B7C" w:rsidP="008F1B7C">
      <w:pPr>
        <w:spacing w:after="0" w:line="240" w:lineRule="auto"/>
        <w:ind w:left="0" w:right="580"/>
        <w:rPr>
          <w:color w:val="156082" w:themeColor="accent1"/>
        </w:rPr>
      </w:pPr>
      <w:r w:rsidRPr="00AA4185">
        <w:rPr>
          <w:color w:val="156082" w:themeColor="accent1"/>
        </w:rPr>
        <w:t xml:space="preserve">2025 May 8];24(6):1-12. Available from: </w:t>
      </w:r>
      <w:hyperlink r:id="rId37" w:history="1">
        <w:r w:rsidRPr="008F1B7C">
          <w:rPr>
            <w:rStyle w:val="Hyperlink"/>
          </w:rPr>
          <w:t>https://journaljerr.com/index.php/JERR/article/view/819</w:t>
        </w:r>
      </w:hyperlink>
    </w:p>
    <w:p w14:paraId="0B49CA2F" w14:textId="77777777" w:rsidR="00C87AE7" w:rsidRPr="00C32529" w:rsidRDefault="00C87AE7" w:rsidP="00FE2AAB">
      <w:pPr>
        <w:spacing w:after="0" w:line="240" w:lineRule="auto"/>
        <w:ind w:left="0" w:right="578"/>
        <w:rPr>
          <w:color w:val="156082" w:themeColor="accent1"/>
        </w:rPr>
      </w:pPr>
    </w:p>
    <w:p w14:paraId="6A99A9A7" w14:textId="240E67D4" w:rsidR="00C87AE7" w:rsidRPr="00C32529" w:rsidRDefault="00C87AE7" w:rsidP="00C87AE7">
      <w:pPr>
        <w:spacing w:after="0" w:line="240" w:lineRule="auto"/>
        <w:ind w:left="0" w:right="580"/>
        <w:rPr>
          <w:color w:val="156082" w:themeColor="accent1"/>
          <w:shd w:val="clear" w:color="auto" w:fill="FFFFFF"/>
        </w:rPr>
      </w:pPr>
      <w:r w:rsidRPr="00C32529">
        <w:rPr>
          <w:color w:val="156082" w:themeColor="accent1"/>
          <w:shd w:val="clear" w:color="auto" w:fill="FFFFFF"/>
        </w:rPr>
        <w:t>Brough, C., Garside, R., Staniforth, B., Garner, C., Fletcher, J. and Strongman, J., Framboidal pyrite in concrete block: Reassessing EN 12620 in light of the degradation observed across the Republic of Ireland.</w:t>
      </w:r>
    </w:p>
    <w:p w14:paraId="1C57433F" w14:textId="4F61496F" w:rsidR="008F1B7C" w:rsidRPr="00C32529" w:rsidRDefault="00C87AE7" w:rsidP="008F1B7C">
      <w:pPr>
        <w:spacing w:after="0" w:line="240" w:lineRule="auto"/>
        <w:ind w:left="0" w:right="577"/>
        <w:rPr>
          <w:color w:val="156082" w:themeColor="accent1"/>
        </w:rPr>
      </w:pPr>
      <w:r w:rsidRPr="00C32529">
        <w:rPr>
          <w:color w:val="156082" w:themeColor="accent1"/>
        </w:rPr>
        <w:t>EFNARC (2002). Specification and Guidelines for Self-Compacting Concrete February, 1–32.</w:t>
      </w:r>
    </w:p>
    <w:p w14:paraId="5E518BDE" w14:textId="77777777" w:rsidR="00C87AE7" w:rsidRPr="00C32529" w:rsidRDefault="00C87AE7" w:rsidP="00FE2AAB">
      <w:pPr>
        <w:spacing w:after="0" w:line="240" w:lineRule="auto"/>
        <w:ind w:left="0" w:right="577"/>
        <w:rPr>
          <w:color w:val="156082" w:themeColor="accent1"/>
        </w:rPr>
      </w:pPr>
    </w:p>
    <w:p w14:paraId="241AE5CA" w14:textId="4AD460E0" w:rsidR="00C87AE7" w:rsidRPr="00C32529" w:rsidRDefault="00C87AE7" w:rsidP="00FE2AAB">
      <w:pPr>
        <w:spacing w:after="0" w:line="240" w:lineRule="auto"/>
        <w:ind w:left="0" w:right="580"/>
        <w:rPr>
          <w:color w:val="156082" w:themeColor="accent1"/>
        </w:rPr>
      </w:pPr>
      <w:r w:rsidRPr="00C32529">
        <w:rPr>
          <w:color w:val="156082" w:themeColor="accent1"/>
        </w:rPr>
        <w:t>EN 197-1 (2011). General rules and rules for buildings, Part 1-2; General rules- Structural file design. In: Eurocode 2:</w:t>
      </w:r>
      <w:r w:rsidR="00C32529">
        <w:rPr>
          <w:color w:val="156082" w:themeColor="accent1"/>
        </w:rPr>
        <w:t xml:space="preserve"> </w:t>
      </w:r>
      <w:r w:rsidRPr="00C32529">
        <w:rPr>
          <w:color w:val="156082" w:themeColor="accent1"/>
        </w:rPr>
        <w:t>Design of Concrete Structures Part 1 –1.</w:t>
      </w:r>
    </w:p>
    <w:p w14:paraId="4AF3AAD5" w14:textId="77777777" w:rsidR="00C87AE7" w:rsidRPr="00C32529" w:rsidRDefault="00C87AE7" w:rsidP="00FE2AAB">
      <w:pPr>
        <w:spacing w:after="0" w:line="240" w:lineRule="auto"/>
        <w:ind w:left="0" w:right="580"/>
        <w:rPr>
          <w:color w:val="156082" w:themeColor="accent1"/>
        </w:rPr>
      </w:pPr>
    </w:p>
    <w:p w14:paraId="36EE2E81" w14:textId="77777777" w:rsidR="00C87AE7" w:rsidRPr="00C32529" w:rsidRDefault="00C87AE7" w:rsidP="00FE2AAB">
      <w:pPr>
        <w:spacing w:after="0" w:line="240" w:lineRule="auto"/>
        <w:ind w:right="576"/>
        <w:rPr>
          <w:color w:val="156082" w:themeColor="accent1"/>
          <w:spacing w:val="-2"/>
        </w:rPr>
      </w:pPr>
      <w:r w:rsidRPr="00C32529">
        <w:rPr>
          <w:color w:val="156082" w:themeColor="accent1"/>
        </w:rPr>
        <w:t>Ferraris,</w:t>
      </w:r>
      <w:r w:rsidRPr="00C32529">
        <w:rPr>
          <w:color w:val="156082" w:themeColor="accent1"/>
          <w:spacing w:val="-9"/>
        </w:rPr>
        <w:t xml:space="preserve"> </w:t>
      </w:r>
      <w:r w:rsidRPr="00C32529">
        <w:rPr>
          <w:color w:val="156082" w:themeColor="accent1"/>
        </w:rPr>
        <w:t>C.F.</w:t>
      </w:r>
      <w:r w:rsidRPr="00C32529">
        <w:rPr>
          <w:color w:val="156082" w:themeColor="accent1"/>
          <w:spacing w:val="-9"/>
        </w:rPr>
        <w:t xml:space="preserve"> </w:t>
      </w:r>
      <w:r w:rsidRPr="00C32529">
        <w:rPr>
          <w:color w:val="156082" w:themeColor="accent1"/>
        </w:rPr>
        <w:t>(1999).</w:t>
      </w:r>
      <w:r w:rsidRPr="00C32529">
        <w:rPr>
          <w:color w:val="156082" w:themeColor="accent1"/>
          <w:spacing w:val="-9"/>
        </w:rPr>
        <w:t xml:space="preserve"> </w:t>
      </w:r>
      <w:r w:rsidRPr="00C32529">
        <w:rPr>
          <w:color w:val="156082" w:themeColor="accent1"/>
        </w:rPr>
        <w:t>Measurement</w:t>
      </w:r>
      <w:r w:rsidRPr="00C32529">
        <w:rPr>
          <w:color w:val="156082" w:themeColor="accent1"/>
          <w:spacing w:val="-9"/>
        </w:rPr>
        <w:t xml:space="preserve"> </w:t>
      </w:r>
      <w:r w:rsidRPr="00C32529">
        <w:rPr>
          <w:color w:val="156082" w:themeColor="accent1"/>
        </w:rPr>
        <w:t>of</w:t>
      </w:r>
      <w:r w:rsidRPr="00C32529">
        <w:rPr>
          <w:color w:val="156082" w:themeColor="accent1"/>
          <w:spacing w:val="-10"/>
        </w:rPr>
        <w:t xml:space="preserve"> </w:t>
      </w:r>
      <w:r w:rsidRPr="00C32529">
        <w:rPr>
          <w:color w:val="156082" w:themeColor="accent1"/>
        </w:rPr>
        <w:t>the</w:t>
      </w:r>
      <w:r w:rsidRPr="00C32529">
        <w:rPr>
          <w:color w:val="156082" w:themeColor="accent1"/>
          <w:spacing w:val="-10"/>
        </w:rPr>
        <w:t xml:space="preserve"> </w:t>
      </w:r>
      <w:r w:rsidRPr="00C32529">
        <w:rPr>
          <w:color w:val="156082" w:themeColor="accent1"/>
        </w:rPr>
        <w:t>Rheological</w:t>
      </w:r>
      <w:r w:rsidRPr="00C32529">
        <w:rPr>
          <w:color w:val="156082" w:themeColor="accent1"/>
          <w:spacing w:val="-9"/>
        </w:rPr>
        <w:t xml:space="preserve"> </w:t>
      </w:r>
      <w:r w:rsidRPr="00C32529">
        <w:rPr>
          <w:color w:val="156082" w:themeColor="accent1"/>
        </w:rPr>
        <w:t>Properties</w:t>
      </w:r>
      <w:r w:rsidRPr="00C32529">
        <w:rPr>
          <w:color w:val="156082" w:themeColor="accent1"/>
          <w:spacing w:val="-7"/>
        </w:rPr>
        <w:t xml:space="preserve"> </w:t>
      </w:r>
      <w:r w:rsidRPr="00C32529">
        <w:rPr>
          <w:color w:val="156082" w:themeColor="accent1"/>
        </w:rPr>
        <w:t>of</w:t>
      </w:r>
      <w:r w:rsidRPr="00C32529">
        <w:rPr>
          <w:color w:val="156082" w:themeColor="accent1"/>
          <w:spacing w:val="-10"/>
        </w:rPr>
        <w:t xml:space="preserve"> </w:t>
      </w:r>
      <w:r w:rsidRPr="00C32529">
        <w:rPr>
          <w:color w:val="156082" w:themeColor="accent1"/>
        </w:rPr>
        <w:t>High</w:t>
      </w:r>
      <w:r w:rsidRPr="00C32529">
        <w:rPr>
          <w:color w:val="156082" w:themeColor="accent1"/>
          <w:spacing w:val="-7"/>
        </w:rPr>
        <w:t xml:space="preserve"> </w:t>
      </w:r>
      <w:r w:rsidRPr="00C32529">
        <w:rPr>
          <w:color w:val="156082" w:themeColor="accent1"/>
        </w:rPr>
        <w:t>Performance Concrete:</w:t>
      </w:r>
      <w:r w:rsidRPr="00C32529">
        <w:rPr>
          <w:color w:val="156082" w:themeColor="accent1"/>
          <w:spacing w:val="-12"/>
        </w:rPr>
        <w:t xml:space="preserve"> </w:t>
      </w:r>
      <w:r w:rsidRPr="00C32529">
        <w:rPr>
          <w:color w:val="156082" w:themeColor="accent1"/>
        </w:rPr>
        <w:t>State</w:t>
      </w:r>
      <w:r w:rsidRPr="00C32529">
        <w:rPr>
          <w:color w:val="156082" w:themeColor="accent1"/>
          <w:spacing w:val="-12"/>
        </w:rPr>
        <w:t xml:space="preserve"> </w:t>
      </w:r>
      <w:r w:rsidRPr="00C32529">
        <w:rPr>
          <w:color w:val="156082" w:themeColor="accent1"/>
        </w:rPr>
        <w:t>of</w:t>
      </w:r>
      <w:r w:rsidRPr="00C32529">
        <w:rPr>
          <w:color w:val="156082" w:themeColor="accent1"/>
          <w:spacing w:val="-12"/>
        </w:rPr>
        <w:t xml:space="preserve"> </w:t>
      </w:r>
      <w:r w:rsidRPr="00C32529">
        <w:rPr>
          <w:color w:val="156082" w:themeColor="accent1"/>
        </w:rPr>
        <w:t>the</w:t>
      </w:r>
      <w:r w:rsidRPr="00C32529">
        <w:rPr>
          <w:color w:val="156082" w:themeColor="accent1"/>
          <w:spacing w:val="-12"/>
        </w:rPr>
        <w:t xml:space="preserve"> </w:t>
      </w:r>
      <w:r w:rsidRPr="00C32529">
        <w:rPr>
          <w:color w:val="156082" w:themeColor="accent1"/>
        </w:rPr>
        <w:t>Art</w:t>
      </w:r>
      <w:r w:rsidRPr="00C32529">
        <w:rPr>
          <w:color w:val="156082" w:themeColor="accent1"/>
          <w:spacing w:val="-9"/>
        </w:rPr>
        <w:t xml:space="preserve"> </w:t>
      </w:r>
      <w:r w:rsidRPr="00C32529">
        <w:rPr>
          <w:color w:val="156082" w:themeColor="accent1"/>
        </w:rPr>
        <w:t>Report.</w:t>
      </w:r>
      <w:r w:rsidRPr="00C32529">
        <w:rPr>
          <w:color w:val="156082" w:themeColor="accent1"/>
          <w:spacing w:val="-11"/>
        </w:rPr>
        <w:t xml:space="preserve"> </w:t>
      </w:r>
      <w:r w:rsidRPr="00C32529">
        <w:rPr>
          <w:color w:val="156082" w:themeColor="accent1"/>
        </w:rPr>
        <w:t>J.</w:t>
      </w:r>
      <w:r w:rsidRPr="00C32529">
        <w:rPr>
          <w:color w:val="156082" w:themeColor="accent1"/>
          <w:spacing w:val="-13"/>
        </w:rPr>
        <w:t xml:space="preserve"> </w:t>
      </w:r>
      <w:r w:rsidRPr="00C32529">
        <w:rPr>
          <w:color w:val="156082" w:themeColor="accent1"/>
        </w:rPr>
        <w:t>Res.</w:t>
      </w:r>
      <w:r w:rsidRPr="00C32529">
        <w:rPr>
          <w:color w:val="156082" w:themeColor="accent1"/>
          <w:spacing w:val="-11"/>
        </w:rPr>
        <w:t xml:space="preserve"> </w:t>
      </w:r>
      <w:r w:rsidRPr="00C32529">
        <w:rPr>
          <w:color w:val="156082" w:themeColor="accent1"/>
        </w:rPr>
        <w:t>Natl.</w:t>
      </w:r>
      <w:r w:rsidRPr="00C32529">
        <w:rPr>
          <w:color w:val="156082" w:themeColor="accent1"/>
          <w:spacing w:val="-12"/>
        </w:rPr>
        <w:t xml:space="preserve"> </w:t>
      </w:r>
      <w:r w:rsidRPr="00C32529">
        <w:rPr>
          <w:color w:val="156082" w:themeColor="accent1"/>
        </w:rPr>
        <w:t>Inst.</w:t>
      </w:r>
      <w:r w:rsidRPr="00C32529">
        <w:rPr>
          <w:color w:val="156082" w:themeColor="accent1"/>
          <w:spacing w:val="-8"/>
        </w:rPr>
        <w:t xml:space="preserve"> </w:t>
      </w:r>
      <w:r w:rsidRPr="00C32529">
        <w:rPr>
          <w:color w:val="156082" w:themeColor="accent1"/>
        </w:rPr>
        <w:t>Stand.</w:t>
      </w:r>
      <w:r w:rsidRPr="00C32529">
        <w:rPr>
          <w:color w:val="156082" w:themeColor="accent1"/>
          <w:spacing w:val="-12"/>
        </w:rPr>
        <w:t xml:space="preserve"> </w:t>
      </w:r>
      <w:r w:rsidRPr="00C32529">
        <w:rPr>
          <w:color w:val="156082" w:themeColor="accent1"/>
        </w:rPr>
        <w:t>Technol.</w:t>
      </w:r>
      <w:r w:rsidRPr="00C32529">
        <w:rPr>
          <w:color w:val="156082" w:themeColor="accent1"/>
          <w:spacing w:val="-11"/>
        </w:rPr>
        <w:t xml:space="preserve"> </w:t>
      </w:r>
      <w:r w:rsidRPr="00C32529">
        <w:rPr>
          <w:color w:val="156082" w:themeColor="accent1"/>
        </w:rPr>
        <w:t>104,</w:t>
      </w:r>
      <w:r w:rsidRPr="00C32529">
        <w:rPr>
          <w:color w:val="156082" w:themeColor="accent1"/>
          <w:spacing w:val="-11"/>
        </w:rPr>
        <w:t xml:space="preserve"> </w:t>
      </w:r>
      <w:r w:rsidRPr="00C32529">
        <w:rPr>
          <w:color w:val="156082" w:themeColor="accent1"/>
          <w:spacing w:val="-2"/>
        </w:rPr>
        <w:t>461–467.</w:t>
      </w:r>
    </w:p>
    <w:p w14:paraId="315E188E" w14:textId="77777777" w:rsidR="00C87AE7" w:rsidRPr="00C32529" w:rsidRDefault="00C87AE7" w:rsidP="00FE2AAB">
      <w:pPr>
        <w:spacing w:after="0" w:line="240" w:lineRule="auto"/>
        <w:ind w:right="576"/>
        <w:rPr>
          <w:color w:val="156082" w:themeColor="accent1"/>
        </w:rPr>
      </w:pPr>
    </w:p>
    <w:p w14:paraId="6A7AE693" w14:textId="77777777" w:rsidR="00C87AE7" w:rsidRPr="00C32529" w:rsidRDefault="00C87AE7" w:rsidP="00FE2AAB">
      <w:pPr>
        <w:spacing w:after="0" w:line="240" w:lineRule="auto"/>
        <w:ind w:left="0" w:right="580"/>
        <w:rPr>
          <w:color w:val="156082" w:themeColor="accent1"/>
        </w:rPr>
      </w:pPr>
      <w:r w:rsidRPr="00C32529">
        <w:rPr>
          <w:color w:val="156082" w:themeColor="accent1"/>
        </w:rPr>
        <w:t>G. S. Islam, S. A. a. T. B. R., 2022. Sustainable high-performance, self-compacting concrete using ladle slag,. Cleaner Engineering and Technology, 7(100439).</w:t>
      </w:r>
    </w:p>
    <w:p w14:paraId="6F244818" w14:textId="77777777" w:rsidR="00C87AE7" w:rsidRPr="00C32529" w:rsidRDefault="00C87AE7" w:rsidP="00FE2AAB">
      <w:pPr>
        <w:spacing w:after="0" w:line="240" w:lineRule="auto"/>
        <w:ind w:left="0" w:right="580"/>
        <w:rPr>
          <w:color w:val="156082" w:themeColor="accent1"/>
        </w:rPr>
      </w:pPr>
    </w:p>
    <w:p w14:paraId="07EC7BD5" w14:textId="77777777" w:rsidR="00C87AE7" w:rsidRPr="00C32529" w:rsidRDefault="00C87AE7" w:rsidP="00FE2AAB">
      <w:pPr>
        <w:spacing w:after="0" w:line="240" w:lineRule="auto"/>
        <w:ind w:left="0" w:right="580"/>
        <w:rPr>
          <w:color w:val="156082" w:themeColor="accent1"/>
        </w:rPr>
      </w:pPr>
      <w:r w:rsidRPr="00C32529">
        <w:rPr>
          <w:color w:val="156082" w:themeColor="accent1"/>
        </w:rPr>
        <w:t>Ganesan, A. G., Reddy, A. K. M., &amp; Kumar, K. S. (2013). "Properties of Self-Compacting Concrete with Partial Replacement of Cement by Marble Powder," International Journal of Engineering Research and Applications.</w:t>
      </w:r>
    </w:p>
    <w:p w14:paraId="275BA64B" w14:textId="77777777" w:rsidR="00C87AE7" w:rsidRPr="00C32529" w:rsidRDefault="00C87AE7" w:rsidP="00FE2AAB">
      <w:pPr>
        <w:spacing w:after="0" w:line="240" w:lineRule="auto"/>
        <w:ind w:left="0" w:right="580"/>
        <w:rPr>
          <w:color w:val="156082" w:themeColor="accent1"/>
        </w:rPr>
      </w:pPr>
    </w:p>
    <w:p w14:paraId="16575979" w14:textId="77777777" w:rsidR="00C87AE7" w:rsidRPr="00C32529" w:rsidRDefault="00C87AE7" w:rsidP="00FE2AAB">
      <w:pPr>
        <w:spacing w:after="0" w:line="240" w:lineRule="auto"/>
        <w:ind w:left="0" w:right="576"/>
        <w:rPr>
          <w:color w:val="156082" w:themeColor="accent1"/>
          <w:spacing w:val="-2"/>
        </w:rPr>
      </w:pPr>
      <w:proofErr w:type="spellStart"/>
      <w:r w:rsidRPr="00C32529">
        <w:rPr>
          <w:color w:val="156082" w:themeColor="accent1"/>
        </w:rPr>
        <w:t>Grdic</w:t>
      </w:r>
      <w:proofErr w:type="spellEnd"/>
      <w:r w:rsidRPr="00C32529">
        <w:rPr>
          <w:color w:val="156082" w:themeColor="accent1"/>
        </w:rPr>
        <w:t xml:space="preserve">, Z., </w:t>
      </w:r>
      <w:proofErr w:type="spellStart"/>
      <w:r w:rsidRPr="00C32529">
        <w:rPr>
          <w:color w:val="156082" w:themeColor="accent1"/>
        </w:rPr>
        <w:t>Despotovic</w:t>
      </w:r>
      <w:proofErr w:type="spellEnd"/>
      <w:r w:rsidRPr="00C32529">
        <w:rPr>
          <w:color w:val="156082" w:themeColor="accent1"/>
        </w:rPr>
        <w:t xml:space="preserve">, I., </w:t>
      </w:r>
      <w:proofErr w:type="spellStart"/>
      <w:r w:rsidRPr="00C32529">
        <w:rPr>
          <w:color w:val="156082" w:themeColor="accent1"/>
        </w:rPr>
        <w:t>Toplicic</w:t>
      </w:r>
      <w:proofErr w:type="spellEnd"/>
      <w:r w:rsidRPr="00C32529">
        <w:rPr>
          <w:color w:val="156082" w:themeColor="accent1"/>
        </w:rPr>
        <w:t xml:space="preserve">-Curcic, G. (2008). Properties of self-compacting concrete with different types of additives. </w:t>
      </w:r>
      <w:proofErr w:type="spellStart"/>
      <w:r w:rsidRPr="00C32529">
        <w:rPr>
          <w:color w:val="156082" w:themeColor="accent1"/>
        </w:rPr>
        <w:t>Facta</w:t>
      </w:r>
      <w:proofErr w:type="spellEnd"/>
      <w:r w:rsidRPr="00C32529">
        <w:rPr>
          <w:color w:val="156082" w:themeColor="accent1"/>
        </w:rPr>
        <w:t xml:space="preserve"> Univ. - Ser. Archit. Civ. Eng. 6, </w:t>
      </w:r>
      <w:r w:rsidRPr="00C32529">
        <w:rPr>
          <w:color w:val="156082" w:themeColor="accent1"/>
          <w:spacing w:val="-2"/>
        </w:rPr>
        <w:t>173–177.</w:t>
      </w:r>
    </w:p>
    <w:p w14:paraId="28E3D3B0" w14:textId="77777777" w:rsidR="00C87AE7" w:rsidRPr="00C32529" w:rsidRDefault="00C87AE7" w:rsidP="00FE2AAB">
      <w:pPr>
        <w:spacing w:after="0" w:line="240" w:lineRule="auto"/>
        <w:ind w:left="0" w:right="576"/>
        <w:rPr>
          <w:color w:val="156082" w:themeColor="accent1"/>
        </w:rPr>
      </w:pPr>
    </w:p>
    <w:p w14:paraId="30102830" w14:textId="77777777" w:rsidR="00C87AE7" w:rsidRPr="00C32529" w:rsidRDefault="00C87AE7" w:rsidP="00FE2AAB">
      <w:pPr>
        <w:spacing w:after="0" w:line="240" w:lineRule="auto"/>
        <w:ind w:left="0" w:right="580"/>
        <w:rPr>
          <w:color w:val="156082" w:themeColor="accent1"/>
        </w:rPr>
      </w:pPr>
      <w:r w:rsidRPr="00C32529">
        <w:rPr>
          <w:color w:val="156082" w:themeColor="accent1"/>
        </w:rPr>
        <w:t>Gupta, V. K., Agrawal, R. K., &amp; Jain, A. K. (2013). "Effect of Marble Dust on Concrete Properties," Journal of Civil Engineering and Construction Technology.</w:t>
      </w:r>
    </w:p>
    <w:p w14:paraId="013555C2" w14:textId="77777777" w:rsidR="00C87AE7" w:rsidRPr="00C32529" w:rsidRDefault="00C87AE7" w:rsidP="00FE2AAB">
      <w:pPr>
        <w:spacing w:after="0" w:line="240" w:lineRule="auto"/>
        <w:ind w:left="0" w:right="580"/>
        <w:rPr>
          <w:color w:val="156082" w:themeColor="accent1"/>
        </w:rPr>
      </w:pPr>
    </w:p>
    <w:p w14:paraId="76E279DF"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Irem Zeynep </w:t>
      </w:r>
      <w:proofErr w:type="spellStart"/>
      <w:r w:rsidRPr="00C32529">
        <w:rPr>
          <w:color w:val="156082" w:themeColor="accent1"/>
        </w:rPr>
        <w:t>Yildiri</w:t>
      </w:r>
      <w:proofErr w:type="spellEnd"/>
      <w:r w:rsidRPr="00C32529">
        <w:rPr>
          <w:color w:val="156082" w:themeColor="accent1"/>
        </w:rPr>
        <w:t>, M. P., 2011. Chemical, Mineralogical, and Morphological Properties of Steel Slag. Advances in Civil Engineering, 2011(463638 ), pp. 1-13.</w:t>
      </w:r>
    </w:p>
    <w:p w14:paraId="6C39796C" w14:textId="77777777" w:rsidR="00C87AE7" w:rsidRPr="00C32529" w:rsidRDefault="00C87AE7" w:rsidP="00FE2AAB">
      <w:pPr>
        <w:spacing w:after="0" w:line="240" w:lineRule="auto"/>
        <w:ind w:left="0" w:right="580"/>
        <w:rPr>
          <w:color w:val="156082" w:themeColor="accent1"/>
        </w:rPr>
      </w:pPr>
    </w:p>
    <w:p w14:paraId="696A684E" w14:textId="77777777" w:rsidR="00C87AE7" w:rsidRPr="00C32529" w:rsidRDefault="00C87AE7" w:rsidP="00FE2AAB">
      <w:pPr>
        <w:spacing w:after="0" w:line="240" w:lineRule="auto"/>
        <w:ind w:left="0" w:right="580"/>
        <w:rPr>
          <w:color w:val="156082" w:themeColor="accent1"/>
        </w:rPr>
      </w:pPr>
      <w:r w:rsidRPr="00C32529">
        <w:rPr>
          <w:color w:val="156082" w:themeColor="accent1"/>
        </w:rPr>
        <w:t>J. M. Manso, M. L. J. A. P. a. J. J. G., 2005. Ladle furnace slag in construction. Journal of Materials in Civil Engineering, Volume 17, pp. 513-518.</w:t>
      </w:r>
    </w:p>
    <w:p w14:paraId="73FF1E48" w14:textId="77777777" w:rsidR="00C87AE7" w:rsidRPr="00C32529" w:rsidRDefault="00C87AE7" w:rsidP="00FE2AAB">
      <w:pPr>
        <w:spacing w:after="0" w:line="240" w:lineRule="auto"/>
        <w:ind w:left="0" w:right="580"/>
        <w:rPr>
          <w:color w:val="156082" w:themeColor="accent1"/>
        </w:rPr>
      </w:pPr>
    </w:p>
    <w:p w14:paraId="323061C3"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J. M. Manso, V. O.-L. J. A. P. a. J. S., 2013. The use of ladle furnace slag in soil stabilization. Construction and Building Materials, Volume 40, pp. 126-134. </w:t>
      </w:r>
    </w:p>
    <w:p w14:paraId="48B6D09A" w14:textId="77777777" w:rsidR="00C87AE7" w:rsidRPr="00C32529" w:rsidRDefault="00C87AE7" w:rsidP="00FE2AAB">
      <w:pPr>
        <w:spacing w:after="0" w:line="240" w:lineRule="auto"/>
        <w:ind w:left="0" w:right="580"/>
        <w:rPr>
          <w:color w:val="156082" w:themeColor="accent1"/>
        </w:rPr>
      </w:pPr>
    </w:p>
    <w:p w14:paraId="05233F20" w14:textId="77777777" w:rsidR="00C87AE7" w:rsidRPr="00C32529" w:rsidRDefault="00C87AE7" w:rsidP="00FE2AAB">
      <w:pPr>
        <w:spacing w:after="0" w:line="240" w:lineRule="auto"/>
        <w:ind w:left="0" w:right="580"/>
        <w:rPr>
          <w:color w:val="156082" w:themeColor="accent1"/>
        </w:rPr>
      </w:pPr>
      <w:r w:rsidRPr="00C32529">
        <w:rPr>
          <w:color w:val="156082" w:themeColor="accent1"/>
        </w:rPr>
        <w:lastRenderedPageBreak/>
        <w:t>J. M. Montenegro, D. P. J. C. D. P. J. S. a. D. P., 2013. Ladle Furnace Slag in the Construction of Embankments: Expansive Behavior Ladle Furnace Slag in the Construction of Embankments. Expansive Behavior, Journal of Materials in Civil Engineering, Volume 25.</w:t>
      </w:r>
    </w:p>
    <w:p w14:paraId="09AACEC6" w14:textId="77777777" w:rsidR="00C87AE7" w:rsidRPr="00C32529" w:rsidRDefault="00C87AE7" w:rsidP="00FE2AAB">
      <w:pPr>
        <w:spacing w:after="0" w:line="240" w:lineRule="auto"/>
        <w:ind w:left="0" w:right="580"/>
        <w:rPr>
          <w:color w:val="156082" w:themeColor="accent1"/>
        </w:rPr>
      </w:pPr>
    </w:p>
    <w:p w14:paraId="34395477" w14:textId="77777777" w:rsidR="00C87AE7" w:rsidRPr="00C32529" w:rsidRDefault="00C87AE7" w:rsidP="00FE2AAB">
      <w:pPr>
        <w:spacing w:after="0" w:line="240" w:lineRule="auto"/>
        <w:ind w:right="580"/>
        <w:rPr>
          <w:color w:val="156082" w:themeColor="accent1"/>
        </w:rPr>
      </w:pPr>
      <w:r w:rsidRPr="00C32529">
        <w:rPr>
          <w:color w:val="156082" w:themeColor="accent1"/>
        </w:rPr>
        <w:t xml:space="preserve">J. </w:t>
      </w:r>
      <w:proofErr w:type="spellStart"/>
      <w:r w:rsidRPr="00C32529">
        <w:rPr>
          <w:color w:val="156082" w:themeColor="accent1"/>
        </w:rPr>
        <w:t>Setién</w:t>
      </w:r>
      <w:proofErr w:type="spellEnd"/>
      <w:r w:rsidRPr="00C32529">
        <w:rPr>
          <w:color w:val="156082" w:themeColor="accent1"/>
        </w:rPr>
        <w:t>, D. H. a. J. J. G., 2009. Characterization of ladle furnace basic slag for use as a construction material. Construction and Building Materials, Volume 23, pp. 1788-1794.</w:t>
      </w:r>
    </w:p>
    <w:p w14:paraId="29A9A77A" w14:textId="77777777" w:rsidR="00C87AE7" w:rsidRPr="00C32529" w:rsidRDefault="00C87AE7" w:rsidP="00FE2AAB">
      <w:pPr>
        <w:spacing w:after="0" w:line="240" w:lineRule="auto"/>
        <w:ind w:right="580"/>
        <w:rPr>
          <w:color w:val="156082" w:themeColor="accent1"/>
        </w:rPr>
      </w:pPr>
    </w:p>
    <w:p w14:paraId="166A28A8" w14:textId="1906C2A4" w:rsidR="00C87AE7" w:rsidRPr="002F2D3B" w:rsidRDefault="002F2D3B" w:rsidP="00FE2AAB">
      <w:pPr>
        <w:spacing w:after="0" w:line="240" w:lineRule="auto"/>
        <w:ind w:left="0" w:right="578"/>
        <w:rPr>
          <w:rStyle w:val="Hyperlink"/>
        </w:rPr>
      </w:pPr>
      <w:r>
        <w:rPr>
          <w:color w:val="156082" w:themeColor="accent1"/>
        </w:rPr>
        <w:fldChar w:fldCharType="begin"/>
      </w:r>
      <w:r>
        <w:rPr>
          <w:color w:val="156082" w:themeColor="accent1"/>
        </w:rPr>
        <w:instrText>HYPERLINK "https://trid.trb.org/View/1325606"</w:instrText>
      </w:r>
      <w:r>
        <w:rPr>
          <w:color w:val="156082" w:themeColor="accent1"/>
        </w:rPr>
      </w:r>
      <w:r>
        <w:rPr>
          <w:color w:val="156082" w:themeColor="accent1"/>
        </w:rPr>
        <w:fldChar w:fldCharType="separate"/>
      </w:r>
      <w:r w:rsidR="00C87AE7" w:rsidRPr="002F2D3B">
        <w:rPr>
          <w:rStyle w:val="Hyperlink"/>
        </w:rPr>
        <w:t>Japan Society</w:t>
      </w:r>
      <w:r w:rsidR="00C87AE7" w:rsidRPr="002F2D3B">
        <w:rPr>
          <w:rStyle w:val="Hyperlink"/>
          <w:spacing w:val="-1"/>
        </w:rPr>
        <w:t xml:space="preserve"> </w:t>
      </w:r>
      <w:r w:rsidR="00C87AE7" w:rsidRPr="002F2D3B">
        <w:rPr>
          <w:rStyle w:val="Hyperlink"/>
        </w:rPr>
        <w:t xml:space="preserve">of Civil Engineers (JSCE) (2007). Standard Specification </w:t>
      </w:r>
      <w:r w:rsidR="003F5F0F" w:rsidRPr="002F2D3B">
        <w:rPr>
          <w:rStyle w:val="Hyperlink"/>
        </w:rPr>
        <w:t>for</w:t>
      </w:r>
      <w:r w:rsidR="00C87AE7" w:rsidRPr="002F2D3B">
        <w:rPr>
          <w:rStyle w:val="Hyperlink"/>
        </w:rPr>
        <w:t xml:space="preserve"> Concrete Structures - 2007. Materials and Construction.</w:t>
      </w:r>
    </w:p>
    <w:p w14:paraId="01A67D31" w14:textId="56D9A95E" w:rsidR="00C87AE7" w:rsidRPr="00C32529" w:rsidRDefault="00C87AE7" w:rsidP="00FE2AAB">
      <w:pPr>
        <w:spacing w:after="0" w:line="240" w:lineRule="auto"/>
        <w:ind w:left="0" w:right="576"/>
        <w:rPr>
          <w:color w:val="156082" w:themeColor="accent1"/>
          <w:spacing w:val="-2"/>
        </w:rPr>
      </w:pPr>
      <w:r w:rsidRPr="002F2D3B">
        <w:rPr>
          <w:rStyle w:val="Hyperlink"/>
        </w:rPr>
        <w:t xml:space="preserve">Kandemir, A., </w:t>
      </w:r>
      <w:proofErr w:type="spellStart"/>
      <w:r w:rsidRPr="002F2D3B">
        <w:rPr>
          <w:rStyle w:val="Hyperlink"/>
        </w:rPr>
        <w:t>Türkel</w:t>
      </w:r>
      <w:proofErr w:type="spellEnd"/>
      <w:r w:rsidRPr="002F2D3B">
        <w:rPr>
          <w:rStyle w:val="Hyperlink"/>
        </w:rPr>
        <w:t>, S. (2010). Fresh and Hardened Properties of SCC Made with Different</w:t>
      </w:r>
      <w:r w:rsidRPr="002F2D3B">
        <w:rPr>
          <w:rStyle w:val="Hyperlink"/>
          <w:spacing w:val="-4"/>
        </w:rPr>
        <w:t xml:space="preserve"> </w:t>
      </w:r>
      <w:r w:rsidRPr="002F2D3B">
        <w:rPr>
          <w:rStyle w:val="Hyperlink"/>
        </w:rPr>
        <w:t>Aggregate</w:t>
      </w:r>
      <w:r w:rsidRPr="002F2D3B">
        <w:rPr>
          <w:rStyle w:val="Hyperlink"/>
          <w:spacing w:val="-5"/>
        </w:rPr>
        <w:t xml:space="preserve"> </w:t>
      </w:r>
      <w:r w:rsidRPr="002F2D3B">
        <w:rPr>
          <w:rStyle w:val="Hyperlink"/>
        </w:rPr>
        <w:t>and</w:t>
      </w:r>
      <w:r w:rsidRPr="002F2D3B">
        <w:rPr>
          <w:rStyle w:val="Hyperlink"/>
          <w:spacing w:val="-4"/>
        </w:rPr>
        <w:t xml:space="preserve"> </w:t>
      </w:r>
      <w:r w:rsidRPr="002F2D3B">
        <w:rPr>
          <w:rStyle w:val="Hyperlink"/>
        </w:rPr>
        <w:t>Mineral</w:t>
      </w:r>
      <w:r w:rsidRPr="002F2D3B">
        <w:rPr>
          <w:rStyle w:val="Hyperlink"/>
          <w:spacing w:val="-3"/>
        </w:rPr>
        <w:t xml:space="preserve"> </w:t>
      </w:r>
      <w:r w:rsidRPr="002F2D3B">
        <w:rPr>
          <w:rStyle w:val="Hyperlink"/>
        </w:rPr>
        <w:t>Admixtures.</w:t>
      </w:r>
      <w:r w:rsidRPr="002F2D3B">
        <w:rPr>
          <w:rStyle w:val="Hyperlink"/>
          <w:spacing w:val="-5"/>
        </w:rPr>
        <w:t xml:space="preserve"> </w:t>
      </w:r>
      <w:r w:rsidRPr="002F2D3B">
        <w:rPr>
          <w:rStyle w:val="Hyperlink"/>
        </w:rPr>
        <w:t>J.</w:t>
      </w:r>
      <w:r w:rsidRPr="002F2D3B">
        <w:rPr>
          <w:rStyle w:val="Hyperlink"/>
          <w:spacing w:val="-6"/>
        </w:rPr>
        <w:t xml:space="preserve"> </w:t>
      </w:r>
      <w:r w:rsidRPr="002F2D3B">
        <w:rPr>
          <w:rStyle w:val="Hyperlink"/>
        </w:rPr>
        <w:t>Mater.</w:t>
      </w:r>
      <w:r w:rsidRPr="002F2D3B">
        <w:rPr>
          <w:rStyle w:val="Hyperlink"/>
          <w:spacing w:val="-4"/>
        </w:rPr>
        <w:t xml:space="preserve"> </w:t>
      </w:r>
      <w:r w:rsidRPr="002F2D3B">
        <w:rPr>
          <w:rStyle w:val="Hyperlink"/>
        </w:rPr>
        <w:t>Civ.</w:t>
      </w:r>
      <w:r w:rsidRPr="002F2D3B">
        <w:rPr>
          <w:rStyle w:val="Hyperlink"/>
          <w:spacing w:val="-4"/>
        </w:rPr>
        <w:t xml:space="preserve"> </w:t>
      </w:r>
      <w:r w:rsidRPr="002F2D3B">
        <w:rPr>
          <w:rStyle w:val="Hyperlink"/>
        </w:rPr>
        <w:t>Eng.</w:t>
      </w:r>
      <w:r w:rsidRPr="002F2D3B">
        <w:rPr>
          <w:rStyle w:val="Hyperlink"/>
          <w:spacing w:val="-4"/>
        </w:rPr>
        <w:t xml:space="preserve"> </w:t>
      </w:r>
      <w:r w:rsidRPr="002F2D3B">
        <w:rPr>
          <w:rStyle w:val="Hyperlink"/>
        </w:rPr>
        <w:t>22,</w:t>
      </w:r>
      <w:r w:rsidRPr="002F2D3B">
        <w:rPr>
          <w:rStyle w:val="Hyperlink"/>
          <w:spacing w:val="-4"/>
        </w:rPr>
        <w:t xml:space="preserve"> </w:t>
      </w:r>
      <w:r w:rsidRPr="002F2D3B">
        <w:rPr>
          <w:rStyle w:val="Hyperlink"/>
          <w:spacing w:val="-2"/>
        </w:rPr>
        <w:t>1025–1032.</w:t>
      </w:r>
      <w:r w:rsidR="002F2D3B">
        <w:rPr>
          <w:color w:val="156082" w:themeColor="accent1"/>
        </w:rPr>
        <w:fldChar w:fldCharType="end"/>
      </w:r>
    </w:p>
    <w:p w14:paraId="219D4A36" w14:textId="77777777" w:rsidR="00C87AE7" w:rsidRPr="00C32529" w:rsidRDefault="00C87AE7" w:rsidP="00FE2AAB">
      <w:pPr>
        <w:spacing w:after="0" w:line="240" w:lineRule="auto"/>
        <w:ind w:left="0" w:right="576"/>
        <w:rPr>
          <w:color w:val="156082" w:themeColor="accent1"/>
          <w:spacing w:val="-2"/>
        </w:rPr>
      </w:pPr>
    </w:p>
    <w:p w14:paraId="6B1D7134" w14:textId="77777777" w:rsidR="00C87AE7" w:rsidRPr="00C32529" w:rsidRDefault="00C87AE7" w:rsidP="00FE2AAB">
      <w:pPr>
        <w:spacing w:after="0" w:line="240" w:lineRule="auto"/>
        <w:ind w:left="0" w:right="576"/>
        <w:rPr>
          <w:color w:val="156082" w:themeColor="accent1"/>
        </w:rPr>
      </w:pPr>
      <w:r w:rsidRPr="00C32529">
        <w:rPr>
          <w:color w:val="156082" w:themeColor="accent1"/>
        </w:rPr>
        <w:t>O. Najm, H. E.-H. a. A. E.-D., 2021. Ladle slag characteristics and use in mortar and concrete: a comprehensive review. Journal of Cleaner Production, 288(125584).</w:t>
      </w:r>
    </w:p>
    <w:p w14:paraId="428DBBA2" w14:textId="77777777" w:rsidR="00C87AE7" w:rsidRPr="00C32529" w:rsidRDefault="00C87AE7" w:rsidP="00FE2AAB">
      <w:pPr>
        <w:spacing w:after="0" w:line="240" w:lineRule="auto"/>
        <w:ind w:left="0" w:right="576"/>
        <w:rPr>
          <w:color w:val="156082" w:themeColor="accent1"/>
          <w:spacing w:val="-2"/>
        </w:rPr>
      </w:pPr>
    </w:p>
    <w:p w14:paraId="638CBEC4" w14:textId="77777777" w:rsidR="00C87AE7" w:rsidRPr="00C32529" w:rsidRDefault="00C87AE7" w:rsidP="00FE2AAB">
      <w:pPr>
        <w:spacing w:after="0" w:line="240" w:lineRule="auto"/>
        <w:ind w:right="576"/>
        <w:rPr>
          <w:color w:val="156082" w:themeColor="accent1"/>
        </w:rPr>
      </w:pPr>
      <w:r w:rsidRPr="00C32529">
        <w:rPr>
          <w:color w:val="156082" w:themeColor="accent1"/>
        </w:rPr>
        <w:t xml:space="preserve">Okamura, H. (1986). Waiting for innovation in concrete materials, Cement and Concrete. Cem. </w:t>
      </w:r>
      <w:proofErr w:type="spellStart"/>
      <w:r w:rsidRPr="00C32529">
        <w:rPr>
          <w:color w:val="156082" w:themeColor="accent1"/>
        </w:rPr>
        <w:t>Concr</w:t>
      </w:r>
      <w:proofErr w:type="spellEnd"/>
      <w:r w:rsidRPr="00C32529">
        <w:rPr>
          <w:color w:val="156082" w:themeColor="accent1"/>
        </w:rPr>
        <w:t>. Japan. 475.</w:t>
      </w:r>
    </w:p>
    <w:p w14:paraId="611A293C" w14:textId="77777777" w:rsidR="00C87AE7" w:rsidRPr="00C32529" w:rsidRDefault="00C87AE7" w:rsidP="00FE2AAB">
      <w:pPr>
        <w:spacing w:after="0" w:line="240" w:lineRule="auto"/>
        <w:ind w:right="576"/>
        <w:rPr>
          <w:color w:val="156082" w:themeColor="accent1"/>
        </w:rPr>
      </w:pPr>
    </w:p>
    <w:p w14:paraId="297F59B8" w14:textId="77777777" w:rsidR="00C87AE7" w:rsidRPr="00C32529" w:rsidRDefault="00C87AE7" w:rsidP="00FE2AAB">
      <w:pPr>
        <w:spacing w:after="0" w:line="240" w:lineRule="auto"/>
        <w:ind w:left="0" w:right="581"/>
        <w:rPr>
          <w:color w:val="156082" w:themeColor="accent1"/>
          <w:spacing w:val="-2"/>
        </w:rPr>
      </w:pPr>
      <w:r w:rsidRPr="00C32529">
        <w:rPr>
          <w:color w:val="156082" w:themeColor="accent1"/>
        </w:rPr>
        <w:t xml:space="preserve">Ouchi, M. (2001). Current Condition of Self-Compacting Concrete in Japan. In: Proceedings of the Second International Symposium on SCC. Tokyo, </w:t>
      </w:r>
      <w:proofErr w:type="spellStart"/>
      <w:r w:rsidRPr="00C32529">
        <w:rPr>
          <w:color w:val="156082" w:themeColor="accent1"/>
        </w:rPr>
        <w:t>japan</w:t>
      </w:r>
      <w:proofErr w:type="spellEnd"/>
      <w:r w:rsidRPr="00C32529">
        <w:rPr>
          <w:color w:val="156082" w:themeColor="accent1"/>
        </w:rPr>
        <w:t xml:space="preserve">, pp. </w:t>
      </w:r>
      <w:r w:rsidRPr="00C32529">
        <w:rPr>
          <w:color w:val="156082" w:themeColor="accent1"/>
          <w:spacing w:val="-2"/>
        </w:rPr>
        <w:t>63–68.</w:t>
      </w:r>
    </w:p>
    <w:p w14:paraId="5585829C" w14:textId="77777777" w:rsidR="00C87AE7" w:rsidRPr="00C32529" w:rsidRDefault="00C87AE7" w:rsidP="00FE2AAB">
      <w:pPr>
        <w:spacing w:after="0" w:line="240" w:lineRule="auto"/>
        <w:ind w:left="0" w:right="581"/>
        <w:rPr>
          <w:color w:val="156082" w:themeColor="accent1"/>
          <w:spacing w:val="-2"/>
        </w:rPr>
      </w:pPr>
    </w:p>
    <w:p w14:paraId="15A1ACA1" w14:textId="77777777" w:rsidR="00C87AE7" w:rsidRPr="00C32529" w:rsidRDefault="00C87AE7" w:rsidP="00FE2AAB">
      <w:pPr>
        <w:spacing w:after="0" w:line="240" w:lineRule="auto"/>
        <w:ind w:left="0" w:right="576"/>
        <w:rPr>
          <w:color w:val="156082" w:themeColor="accent1"/>
        </w:rPr>
      </w:pPr>
      <w:r w:rsidRPr="00C32529">
        <w:rPr>
          <w:color w:val="156082" w:themeColor="accent1"/>
        </w:rPr>
        <w:t>Ozawa, K., Maekawa, K., Okamura, H. (1992). Development of High Performance Concrete. J. Fac. Eng. Univ. Tokyo Volume-XLI, 381–432.</w:t>
      </w:r>
    </w:p>
    <w:p w14:paraId="0D594FC4" w14:textId="77777777" w:rsidR="00C87AE7" w:rsidRPr="00C32529" w:rsidRDefault="00C87AE7" w:rsidP="00FE2AAB">
      <w:pPr>
        <w:spacing w:after="0" w:line="240" w:lineRule="auto"/>
        <w:ind w:left="0" w:right="576"/>
        <w:rPr>
          <w:color w:val="156082" w:themeColor="accent1"/>
        </w:rPr>
      </w:pPr>
    </w:p>
    <w:p w14:paraId="76686C95" w14:textId="77777777" w:rsidR="00C87AE7" w:rsidRPr="00C32529" w:rsidRDefault="00C87AE7" w:rsidP="00FE2AAB">
      <w:pPr>
        <w:spacing w:after="0" w:line="240" w:lineRule="auto"/>
        <w:ind w:left="0" w:right="580"/>
        <w:rPr>
          <w:color w:val="156082" w:themeColor="accent1"/>
        </w:rPr>
      </w:pPr>
      <w:r w:rsidRPr="00C32529">
        <w:rPr>
          <w:color w:val="156082" w:themeColor="accent1"/>
        </w:rPr>
        <w:t>Rao, S. S., Gopalan, R. P., &amp; Reddy, K. V. (2013). "Effect of Marble Powder on Durability Properties of Self-Compacting Concrete," Construction and Building Materials.</w:t>
      </w:r>
    </w:p>
    <w:p w14:paraId="122905EC" w14:textId="77777777" w:rsidR="00C87AE7" w:rsidRPr="00C32529" w:rsidRDefault="00C87AE7" w:rsidP="00FE2AAB">
      <w:pPr>
        <w:spacing w:after="0" w:line="240" w:lineRule="auto"/>
        <w:ind w:left="0" w:right="580"/>
        <w:rPr>
          <w:color w:val="156082" w:themeColor="accent1"/>
        </w:rPr>
      </w:pPr>
    </w:p>
    <w:p w14:paraId="1F1A9701" w14:textId="77777777" w:rsidR="00C87AE7" w:rsidRPr="00C32529" w:rsidRDefault="00C87AE7" w:rsidP="00FE2AAB">
      <w:pPr>
        <w:pStyle w:val="BodyText"/>
        <w:ind w:right="580"/>
        <w:jc w:val="both"/>
        <w:rPr>
          <w:rFonts w:ascii="Calibri" w:hAnsi="Calibri" w:cs="Calibri"/>
          <w:color w:val="156082" w:themeColor="accent1"/>
          <w:spacing w:val="-4"/>
          <w:sz w:val="18"/>
          <w:szCs w:val="18"/>
        </w:rPr>
      </w:pPr>
      <w:r w:rsidRPr="00C32529">
        <w:rPr>
          <w:rFonts w:ascii="Calibri" w:hAnsi="Calibri" w:cs="Calibri"/>
          <w:color w:val="156082" w:themeColor="accent1"/>
          <w:sz w:val="18"/>
          <w:szCs w:val="18"/>
        </w:rPr>
        <w:t>Rashid,</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M.A.,</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Salam,</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M.A.,</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Shill,</w:t>
      </w:r>
      <w:r w:rsidRPr="00C32529">
        <w:rPr>
          <w:rFonts w:ascii="Calibri" w:hAnsi="Calibri" w:cs="Calibri"/>
          <w:color w:val="156082" w:themeColor="accent1"/>
          <w:spacing w:val="-13"/>
          <w:sz w:val="18"/>
          <w:szCs w:val="18"/>
        </w:rPr>
        <w:t xml:space="preserve"> </w:t>
      </w:r>
      <w:r w:rsidRPr="00C32529">
        <w:rPr>
          <w:rFonts w:ascii="Calibri" w:hAnsi="Calibri" w:cs="Calibri"/>
          <w:color w:val="156082" w:themeColor="accent1"/>
          <w:sz w:val="18"/>
          <w:szCs w:val="18"/>
        </w:rPr>
        <w:t>S.K.,</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Hasan,</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M.K.(2012).</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Effect</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replacing</w:t>
      </w:r>
      <w:r w:rsidRPr="00C32529">
        <w:rPr>
          <w:rFonts w:ascii="Calibri" w:hAnsi="Calibri" w:cs="Calibri"/>
          <w:color w:val="156082" w:themeColor="accent1"/>
          <w:spacing w:val="-13"/>
          <w:sz w:val="18"/>
          <w:szCs w:val="18"/>
        </w:rPr>
        <w:t xml:space="preserve"> </w:t>
      </w:r>
      <w:r w:rsidRPr="00C32529">
        <w:rPr>
          <w:rFonts w:ascii="Calibri" w:hAnsi="Calibri" w:cs="Calibri"/>
          <w:color w:val="156082" w:themeColor="accent1"/>
          <w:sz w:val="18"/>
          <w:szCs w:val="18"/>
        </w:rPr>
        <w:t>natural coarse</w:t>
      </w:r>
      <w:r w:rsidRPr="00C32529">
        <w:rPr>
          <w:rFonts w:ascii="Calibri" w:hAnsi="Calibri" w:cs="Calibri"/>
          <w:color w:val="156082" w:themeColor="accent1"/>
          <w:spacing w:val="-6"/>
          <w:sz w:val="18"/>
          <w:szCs w:val="18"/>
        </w:rPr>
        <w:t xml:space="preserve"> </w:t>
      </w:r>
      <w:r w:rsidRPr="00C32529">
        <w:rPr>
          <w:rFonts w:ascii="Calibri" w:hAnsi="Calibri" w:cs="Calibri"/>
          <w:color w:val="156082" w:themeColor="accent1"/>
          <w:sz w:val="18"/>
          <w:szCs w:val="18"/>
        </w:rPr>
        <w:t>aggregate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by</w:t>
      </w:r>
      <w:r w:rsidRPr="00C32529">
        <w:rPr>
          <w:rFonts w:ascii="Calibri" w:hAnsi="Calibri" w:cs="Calibri"/>
          <w:color w:val="156082" w:themeColor="accent1"/>
          <w:spacing w:val="-12"/>
          <w:sz w:val="18"/>
          <w:szCs w:val="18"/>
        </w:rPr>
        <w:t xml:space="preserve"> </w:t>
      </w:r>
      <w:r w:rsidRPr="00C32529">
        <w:rPr>
          <w:rFonts w:ascii="Calibri" w:hAnsi="Calibri" w:cs="Calibri"/>
          <w:color w:val="156082" w:themeColor="accent1"/>
          <w:sz w:val="18"/>
          <w:szCs w:val="18"/>
        </w:rPr>
        <w:t>brick</w:t>
      </w:r>
      <w:r w:rsidRPr="00C32529">
        <w:rPr>
          <w:rFonts w:ascii="Calibri" w:hAnsi="Calibri" w:cs="Calibri"/>
          <w:color w:val="156082" w:themeColor="accent1"/>
          <w:spacing w:val="-5"/>
          <w:sz w:val="18"/>
          <w:szCs w:val="18"/>
        </w:rPr>
        <w:t xml:space="preserve"> </w:t>
      </w:r>
      <w:r w:rsidRPr="00C32529">
        <w:rPr>
          <w:rFonts w:ascii="Calibri" w:hAnsi="Calibri" w:cs="Calibri"/>
          <w:color w:val="156082" w:themeColor="accent1"/>
          <w:sz w:val="18"/>
          <w:szCs w:val="18"/>
        </w:rPr>
        <w:t>aggregate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on</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the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properties</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concrete.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DUET</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J.</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1,</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 xml:space="preserve">17– </w:t>
      </w:r>
      <w:r w:rsidRPr="00C32529">
        <w:rPr>
          <w:rFonts w:ascii="Calibri" w:hAnsi="Calibri" w:cs="Calibri"/>
          <w:color w:val="156082" w:themeColor="accent1"/>
          <w:spacing w:val="-4"/>
          <w:sz w:val="18"/>
          <w:szCs w:val="18"/>
        </w:rPr>
        <w:t>22.</w:t>
      </w:r>
    </w:p>
    <w:p w14:paraId="65BD2EDB"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5A1FB30A" w14:textId="77777777" w:rsidR="00C87AE7" w:rsidRPr="00C32529" w:rsidRDefault="00C87AE7" w:rsidP="00FE2AAB">
      <w:pPr>
        <w:spacing w:after="0" w:line="240" w:lineRule="auto"/>
        <w:ind w:left="0" w:right="580"/>
        <w:rPr>
          <w:color w:val="156082" w:themeColor="accent1"/>
        </w:rPr>
      </w:pPr>
      <w:r w:rsidRPr="00C32529">
        <w:rPr>
          <w:color w:val="156082" w:themeColor="accent1"/>
        </w:rPr>
        <w:t>Shi, C., 2004. Steel Slag—Its Production, Processing, Characteristics, and Cementitious Properties. TECHNICAL PAPERS, p. vol 3.</w:t>
      </w:r>
    </w:p>
    <w:p w14:paraId="20AB56B2" w14:textId="77777777" w:rsidR="00C87AE7" w:rsidRPr="00C32529" w:rsidRDefault="00C87AE7" w:rsidP="00FE2AAB">
      <w:pPr>
        <w:spacing w:after="0" w:line="240" w:lineRule="auto"/>
        <w:ind w:left="0" w:right="580"/>
        <w:rPr>
          <w:color w:val="156082" w:themeColor="accent1"/>
        </w:rPr>
      </w:pPr>
    </w:p>
    <w:p w14:paraId="0D2470E2" w14:textId="77777777" w:rsidR="00C87AE7" w:rsidRPr="00C32529" w:rsidRDefault="00C87AE7" w:rsidP="00FE2AAB">
      <w:pPr>
        <w:spacing w:after="0" w:line="240" w:lineRule="auto"/>
        <w:ind w:left="0" w:right="575"/>
        <w:rPr>
          <w:color w:val="156082" w:themeColor="accent1"/>
        </w:rPr>
      </w:pPr>
      <w:r w:rsidRPr="00C32529">
        <w:rPr>
          <w:color w:val="156082" w:themeColor="accent1"/>
        </w:rPr>
        <w:t>Skarendahl (2001). Market Acceptance of Self- Compacting Concrete, the Swedish Experience. In: Proceedings of the Second International Symposium on SCC. Tokyo, Japan, 1–12.</w:t>
      </w:r>
    </w:p>
    <w:p w14:paraId="20625437" w14:textId="77777777" w:rsidR="00C87AE7" w:rsidRPr="00C32529" w:rsidRDefault="00C87AE7" w:rsidP="00FE2AAB">
      <w:pPr>
        <w:spacing w:after="0" w:line="240" w:lineRule="auto"/>
        <w:ind w:left="0" w:right="575"/>
        <w:rPr>
          <w:color w:val="156082" w:themeColor="accent1"/>
        </w:rPr>
      </w:pPr>
    </w:p>
    <w:p w14:paraId="4A0B574E" w14:textId="77777777" w:rsidR="00C87AE7" w:rsidRPr="00C32529" w:rsidRDefault="00C87AE7" w:rsidP="00FE2AAB">
      <w:pPr>
        <w:pStyle w:val="BodyText"/>
        <w:ind w:right="582"/>
        <w:jc w:val="both"/>
        <w:rPr>
          <w:rFonts w:ascii="Calibri" w:hAnsi="Calibri" w:cs="Calibri"/>
          <w:color w:val="156082" w:themeColor="accent1"/>
          <w:sz w:val="18"/>
          <w:szCs w:val="18"/>
        </w:rPr>
      </w:pPr>
      <w:r w:rsidRPr="00C32529">
        <w:rPr>
          <w:rFonts w:ascii="Calibri" w:hAnsi="Calibri" w:cs="Calibri"/>
          <w:color w:val="156082" w:themeColor="accent1"/>
          <w:sz w:val="18"/>
          <w:szCs w:val="18"/>
        </w:rPr>
        <w:t>Standard Test Method for Density, Relative Density (Specific Gravity), and Absorption of Coarse Aggregate. ASTM International, West Conshohocken, PA, USA.</w:t>
      </w:r>
    </w:p>
    <w:p w14:paraId="302136EF" w14:textId="77777777" w:rsidR="00C87AE7" w:rsidRPr="00C32529" w:rsidRDefault="00C87AE7" w:rsidP="00FE2AAB">
      <w:pPr>
        <w:spacing w:after="0" w:line="240" w:lineRule="auto"/>
        <w:ind w:left="0" w:right="578"/>
        <w:rPr>
          <w:color w:val="156082" w:themeColor="accent1"/>
        </w:rPr>
      </w:pPr>
      <w:r w:rsidRPr="00C32529">
        <w:rPr>
          <w:color w:val="156082" w:themeColor="accent1"/>
        </w:rPr>
        <w:t>Uomoto, T., Ozawa, K. (1999). Recommendation for Self-Compacting Concrete. JSCE  1–19.</w:t>
      </w:r>
    </w:p>
    <w:p w14:paraId="43E21FB0" w14:textId="77777777" w:rsidR="00C87AE7" w:rsidRPr="00C32529" w:rsidRDefault="00C87AE7" w:rsidP="00FE2AAB">
      <w:pPr>
        <w:spacing w:after="0" w:line="240" w:lineRule="auto"/>
        <w:ind w:left="0" w:right="578"/>
        <w:rPr>
          <w:color w:val="156082" w:themeColor="accent1"/>
        </w:rPr>
      </w:pPr>
    </w:p>
    <w:p w14:paraId="05454260" w14:textId="68C0F90D" w:rsidR="00C87AE7" w:rsidRDefault="00C87AE7" w:rsidP="00FE2AAB">
      <w:pPr>
        <w:spacing w:after="0" w:line="240" w:lineRule="auto"/>
        <w:ind w:left="0" w:right="580"/>
        <w:rPr>
          <w:color w:val="156082" w:themeColor="accent1"/>
        </w:rPr>
      </w:pPr>
      <w:r w:rsidRPr="00C32529">
        <w:rPr>
          <w:color w:val="156082" w:themeColor="accent1"/>
        </w:rPr>
        <w:t>Yadav, D. K., &amp; Kumar, M. K. (2014). "Rheological Properties of Self-Compacting Concrete with Marble Dust," Journal of Building Performance.</w:t>
      </w:r>
    </w:p>
    <w:p w14:paraId="4E1F4FA6" w14:textId="446FF92D" w:rsidR="00526F6A" w:rsidRDefault="00526F6A" w:rsidP="00FE2AAB">
      <w:pPr>
        <w:spacing w:after="0" w:line="240" w:lineRule="auto"/>
        <w:ind w:left="0" w:right="580"/>
        <w:rPr>
          <w:color w:val="156082" w:themeColor="accent1"/>
        </w:rPr>
      </w:pPr>
    </w:p>
    <w:p w14:paraId="16B71AFA" w14:textId="30D64E07" w:rsidR="00526F6A" w:rsidRDefault="00526F6A" w:rsidP="00FE2AAB">
      <w:pPr>
        <w:spacing w:after="0" w:line="240" w:lineRule="auto"/>
        <w:ind w:left="0" w:right="580"/>
        <w:rPr>
          <w:color w:val="156082" w:themeColor="accent1"/>
        </w:rPr>
      </w:pPr>
      <w:r w:rsidRPr="00526F6A">
        <w:rPr>
          <w:color w:val="156082" w:themeColor="accent1"/>
        </w:rPr>
        <w:t xml:space="preserve">Zaidi, F. H. A., Ahmad, R., Abdullah, M. M. A. B., Abd Rahim, S. Z., Yahya, Z., Li, L. Y., &amp; </w:t>
      </w:r>
      <w:proofErr w:type="spellStart"/>
      <w:r w:rsidRPr="00526F6A">
        <w:rPr>
          <w:color w:val="156082" w:themeColor="accent1"/>
        </w:rPr>
        <w:t>Ediati</w:t>
      </w:r>
      <w:proofErr w:type="spellEnd"/>
      <w:r w:rsidRPr="00526F6A">
        <w:rPr>
          <w:color w:val="156082" w:themeColor="accent1"/>
        </w:rPr>
        <w:t>, R. (2021). Geopolymer as underwater concreting material: A review. </w:t>
      </w:r>
      <w:r w:rsidRPr="00526F6A">
        <w:rPr>
          <w:i/>
          <w:iCs/>
          <w:color w:val="156082" w:themeColor="accent1"/>
        </w:rPr>
        <w:t>Construction and Building Materials</w:t>
      </w:r>
      <w:r w:rsidRPr="00526F6A">
        <w:rPr>
          <w:color w:val="156082" w:themeColor="accent1"/>
        </w:rPr>
        <w:t>, </w:t>
      </w:r>
      <w:r w:rsidRPr="00526F6A">
        <w:rPr>
          <w:i/>
          <w:iCs/>
          <w:color w:val="156082" w:themeColor="accent1"/>
        </w:rPr>
        <w:t>291</w:t>
      </w:r>
      <w:r w:rsidRPr="00526F6A">
        <w:rPr>
          <w:color w:val="156082" w:themeColor="accent1"/>
        </w:rPr>
        <w:t>, 123276.</w:t>
      </w:r>
    </w:p>
    <w:p w14:paraId="766686B0" w14:textId="77777777" w:rsidR="00AA4185" w:rsidRDefault="00AA4185" w:rsidP="00FE2AAB">
      <w:pPr>
        <w:spacing w:after="0" w:line="240" w:lineRule="auto"/>
        <w:ind w:left="0" w:right="580"/>
        <w:rPr>
          <w:color w:val="156082" w:themeColor="accent1"/>
        </w:rPr>
      </w:pPr>
    </w:p>
    <w:p w14:paraId="5922B90C" w14:textId="39AF8F6C" w:rsidR="008C24FD" w:rsidRDefault="00C87AE7" w:rsidP="006A2FDD">
      <w:pPr>
        <w:spacing w:after="0" w:line="240" w:lineRule="auto"/>
        <w:ind w:left="0" w:right="580"/>
      </w:pPr>
      <w:r>
        <w:rPr>
          <w:noProof/>
          <w:sz w:val="22"/>
          <w:lang w:bidi="ar-SA"/>
        </w:rPr>
        <mc:AlternateContent>
          <mc:Choice Requires="wpg">
            <w:drawing>
              <wp:inline distT="0" distB="0" distL="0" distR="0" wp14:anchorId="6A8EFE9C" wp14:editId="1EF7BACC">
                <wp:extent cx="2938145" cy="3171"/>
                <wp:effectExtent l="0" t="0" r="0" b="0"/>
                <wp:docPr id="170807238" name="Group 170807238"/>
                <wp:cNvGraphicFramePr/>
                <a:graphic xmlns:a="http://schemas.openxmlformats.org/drawingml/2006/main">
                  <a:graphicData uri="http://schemas.microsoft.com/office/word/2010/wordprocessingGroup">
                    <wpg:wgp>
                      <wpg:cNvGrpSpPr/>
                      <wpg:grpSpPr>
                        <a:xfrm>
                          <a:off x="0" y="0"/>
                          <a:ext cx="2938145" cy="3171"/>
                          <a:chOff x="0" y="0"/>
                          <a:chExt cx="5039996" cy="6350"/>
                        </a:xfrm>
                      </wpg:grpSpPr>
                      <wps:wsp>
                        <wps:cNvPr id="400396157" name="Shape 84"/>
                        <wps:cNvSpPr/>
                        <wps:spPr>
                          <a:xfrm>
                            <a:off x="0" y="0"/>
                            <a:ext cx="5039996" cy="0"/>
                          </a:xfrm>
                          <a:custGeom>
                            <a:avLst/>
                            <a:gdLst/>
                            <a:ahLst/>
                            <a:cxnLst/>
                            <a:rect l="0" t="0" r="0" b="0"/>
                            <a:pathLst>
                              <a:path w="5039996">
                                <a:moveTo>
                                  <a:pt x="0" y="0"/>
                                </a:moveTo>
                                <a:lnTo>
                                  <a:pt x="5039996" y="0"/>
                                </a:lnTo>
                              </a:path>
                            </a:pathLst>
                          </a:custGeom>
                          <a:ln w="6350" cap="flat">
                            <a:miter lim="127000"/>
                          </a:ln>
                        </wps:spPr>
                        <wps:style>
                          <a:lnRef idx="1">
                            <a:srgbClr val="00B9F1"/>
                          </a:lnRef>
                          <a:fillRef idx="0">
                            <a:srgbClr val="000000">
                              <a:alpha val="0"/>
                            </a:srgbClr>
                          </a:fillRef>
                          <a:effectRef idx="0">
                            <a:scrgbClr r="0" g="0" b="0"/>
                          </a:effectRef>
                          <a:fontRef idx="none"/>
                        </wps:style>
                        <wps:bodyPr/>
                      </wps:wsp>
                    </wpg:wgp>
                  </a:graphicData>
                </a:graphic>
              </wp:inline>
            </w:drawing>
          </mc:Choice>
          <mc:Fallback>
            <w:pict>
              <v:group w14:anchorId="1E981D1F" id="Group 170807238" o:spid="_x0000_s1026" style="width:231.35pt;height:.25pt;mso-position-horizontal-relative:char;mso-position-vertical-relative:line" coordsize="50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">
                <v:shape id="Shape 84"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" path="m,l5039996,e" filled="f" strokecolor="#00b9f1" strokeweight=".5pt">
                  <v:stroke miterlimit="83231f" joinstyle="miter"/>
                  <v:path arrowok="t" textboxrect="0,0,5039996,0"/>
                </v:shape>
                <w10:anchorlock/>
              </v:group>
            </w:pict>
          </mc:Fallback>
        </mc:AlternateContent>
      </w:r>
    </w:p>
    <w:p w14:paraId="1E624611" w14:textId="77777777" w:rsidR="008C24FD" w:rsidRDefault="008C24FD" w:rsidP="00C87AE7">
      <w:pPr>
        <w:spacing w:after="0" w:line="240" w:lineRule="auto"/>
        <w:ind w:left="0" w:right="577" w:firstLine="0"/>
      </w:pPr>
    </w:p>
    <w:p w14:paraId="418FA8F3" w14:textId="75803A03" w:rsidR="008C24FD" w:rsidRDefault="008C24FD" w:rsidP="006A2FDD">
      <w:pPr>
        <w:pStyle w:val="Heading2"/>
        <w:ind w:left="0" w:firstLine="0"/>
      </w:pPr>
      <w:r w:rsidRPr="008C24FD">
        <w:t>APPENDIX</w:t>
      </w:r>
    </w:p>
    <w:p w14:paraId="010461FF" w14:textId="1D30E697" w:rsidR="00E22198" w:rsidRPr="00E22198" w:rsidRDefault="00E22198" w:rsidP="00E22198">
      <w:pPr>
        <w:spacing w:after="0" w:line="240" w:lineRule="auto"/>
        <w:ind w:left="0" w:right="577" w:firstLine="0"/>
      </w:pPr>
      <w:r w:rsidRPr="00E22198">
        <w:rPr>
          <w:b/>
          <w:bCs/>
        </w:rPr>
        <w:t xml:space="preserve">Appendix </w:t>
      </w:r>
      <w:r w:rsidR="006A2FDD">
        <w:rPr>
          <w:b/>
          <w:bCs/>
        </w:rPr>
        <w:t>A</w:t>
      </w:r>
      <w:r w:rsidRPr="00E22198">
        <w:rPr>
          <w:b/>
          <w:bCs/>
        </w:rPr>
        <w:t>: Calculations and Test Data</w:t>
      </w:r>
    </w:p>
    <w:p w14:paraId="2030295D" w14:textId="77777777" w:rsidR="00E22198" w:rsidRPr="00E22198" w:rsidRDefault="00E22198" w:rsidP="00E22198">
      <w:pPr>
        <w:numPr>
          <w:ilvl w:val="0"/>
          <w:numId w:val="15"/>
        </w:numPr>
        <w:spacing w:after="0" w:line="240" w:lineRule="auto"/>
        <w:ind w:right="577"/>
      </w:pPr>
      <w:r w:rsidRPr="00E22198">
        <w:rPr>
          <w:b/>
          <w:bCs/>
        </w:rPr>
        <w:t>Compressive Strength Computations</w:t>
      </w:r>
    </w:p>
    <w:p w14:paraId="72AF9153" w14:textId="794AD373" w:rsidR="00E22198" w:rsidRPr="00E22198" w:rsidRDefault="00E22198" w:rsidP="00E22198">
      <w:pPr>
        <w:numPr>
          <w:ilvl w:val="1"/>
          <w:numId w:val="15"/>
        </w:numPr>
        <w:tabs>
          <w:tab w:val="num" w:pos="1440"/>
        </w:tabs>
        <w:spacing w:after="0" w:line="240" w:lineRule="auto"/>
        <w:ind w:right="577"/>
      </w:pPr>
      <w:r w:rsidRPr="00E22198">
        <w:t xml:space="preserve">Formula used: </w:t>
      </w:r>
      <w:proofErr w:type="spellStart"/>
      <w:r w:rsidRPr="00E22198">
        <w:t>f'c</w:t>
      </w:r>
      <w:proofErr w:type="spellEnd"/>
      <w:r w:rsidRPr="00E22198">
        <w:t>=</w:t>
      </w:r>
      <m:oMath>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A</m:t>
                </m:r>
              </m:e>
              <m:sub>
                <m:r>
                  <w:rPr>
                    <w:rFonts w:ascii="Cambria Math" w:hAnsi="Cambria Math"/>
                  </w:rPr>
                  <m:t>c</m:t>
                </m:r>
              </m:sub>
            </m:sSub>
          </m:den>
        </m:f>
      </m:oMath>
    </w:p>
    <w:p w14:paraId="54671FDD" w14:textId="77777777" w:rsidR="00E22198" w:rsidRDefault="00E22198" w:rsidP="00E22198">
      <w:pPr>
        <w:numPr>
          <w:ilvl w:val="1"/>
          <w:numId w:val="15"/>
        </w:numPr>
        <w:spacing w:after="0" w:line="240" w:lineRule="auto"/>
        <w:ind w:right="577"/>
      </w:pPr>
      <w:r w:rsidRPr="00E22198">
        <w:t>Sample calculations for different SCC mixes</w:t>
      </w:r>
    </w:p>
    <w:p w14:paraId="043141F0" w14:textId="77777777" w:rsidR="00E22198" w:rsidRPr="00E22198" w:rsidRDefault="00E22198" w:rsidP="00E22198">
      <w:pPr>
        <w:spacing w:after="0" w:line="240" w:lineRule="auto"/>
        <w:ind w:left="1440" w:right="577" w:firstLine="0"/>
      </w:pPr>
    </w:p>
    <w:p w14:paraId="133E4983" w14:textId="77777777" w:rsidR="00E22198" w:rsidRPr="00E22198" w:rsidRDefault="00E22198" w:rsidP="00E22198">
      <w:pPr>
        <w:numPr>
          <w:ilvl w:val="0"/>
          <w:numId w:val="15"/>
        </w:numPr>
        <w:spacing w:after="0" w:line="240" w:lineRule="auto"/>
        <w:ind w:right="577"/>
      </w:pPr>
      <w:r w:rsidRPr="00E22198">
        <w:rPr>
          <w:b/>
          <w:bCs/>
        </w:rPr>
        <w:t>Splitting Tensile Strength Computations</w:t>
      </w:r>
    </w:p>
    <w:p w14:paraId="5796F377" w14:textId="2FA7F191" w:rsidR="00E22198" w:rsidRPr="00E22198" w:rsidRDefault="00E22198" w:rsidP="00E22198">
      <w:pPr>
        <w:numPr>
          <w:ilvl w:val="1"/>
          <w:numId w:val="15"/>
        </w:numPr>
        <w:tabs>
          <w:tab w:val="num" w:pos="1440"/>
        </w:tabs>
        <w:spacing w:after="0" w:line="240" w:lineRule="auto"/>
        <w:ind w:right="577"/>
      </w:pPr>
      <w:r w:rsidRPr="00E22198">
        <w:t xml:space="preserve">Formula used: </w:t>
      </w:r>
      <w:proofErr w:type="spellStart"/>
      <w:r w:rsidRPr="00E22198">
        <w:t>f</w:t>
      </w:r>
      <w:r w:rsidRPr="00E22198">
        <w:rPr>
          <w:vertAlign w:val="subscript"/>
        </w:rPr>
        <w:t>sp</w:t>
      </w:r>
      <w:proofErr w:type="spellEnd"/>
      <w:r w:rsidRPr="00E22198">
        <w:t>=</w:t>
      </w:r>
      <m:oMath>
        <m:f>
          <m:fPr>
            <m:ctrlPr>
              <w:rPr>
                <w:rFonts w:ascii="Cambria Math" w:hAnsi="Cambria Math"/>
                <w:i/>
              </w:rPr>
            </m:ctrlPr>
          </m:fPr>
          <m:num>
            <m:r>
              <w:rPr>
                <w:rFonts w:ascii="Cambria Math" w:hAnsi="Cambria Math"/>
              </w:rPr>
              <m:t>2P</m:t>
            </m:r>
          </m:num>
          <m:den>
            <m:r>
              <m:rPr>
                <m:sty m:val="p"/>
              </m:rPr>
              <w:rPr>
                <w:rFonts w:ascii="Cambria Math" w:hAnsi="Cambria Math"/>
              </w:rPr>
              <m:t>πlD</m:t>
            </m:r>
          </m:den>
        </m:f>
      </m:oMath>
    </w:p>
    <w:p w14:paraId="55070401" w14:textId="74DA34BA" w:rsidR="00E22198" w:rsidRDefault="00E22198" w:rsidP="00E22198">
      <w:pPr>
        <w:numPr>
          <w:ilvl w:val="1"/>
          <w:numId w:val="15"/>
        </w:numPr>
        <w:spacing w:after="0" w:line="240" w:lineRule="auto"/>
        <w:ind w:right="577"/>
      </w:pPr>
      <w:r w:rsidRPr="00E22198">
        <w:t>Example calculations for 5%, 10%, and 15% marble dust and LRF substitutions</w:t>
      </w:r>
      <w:r>
        <w:t>.</w:t>
      </w:r>
    </w:p>
    <w:p w14:paraId="19A45151" w14:textId="77777777" w:rsidR="00E22198" w:rsidRPr="00E22198" w:rsidRDefault="00E22198" w:rsidP="00E22198">
      <w:pPr>
        <w:spacing w:after="0" w:line="240" w:lineRule="auto"/>
        <w:ind w:left="1440" w:right="577" w:firstLine="0"/>
      </w:pPr>
    </w:p>
    <w:p w14:paraId="09318A29" w14:textId="77777777" w:rsidR="00E22198" w:rsidRPr="00E22198" w:rsidRDefault="00E22198" w:rsidP="00E22198">
      <w:pPr>
        <w:numPr>
          <w:ilvl w:val="0"/>
          <w:numId w:val="15"/>
        </w:numPr>
        <w:spacing w:after="0" w:line="240" w:lineRule="auto"/>
        <w:ind w:right="577"/>
      </w:pPr>
      <w:r w:rsidRPr="00E22198">
        <w:rPr>
          <w:b/>
          <w:bCs/>
        </w:rPr>
        <w:t>Modulus of Elasticity Calculations</w:t>
      </w:r>
    </w:p>
    <w:p w14:paraId="4C8DFAAB" w14:textId="77777777" w:rsidR="00E22198" w:rsidRPr="00E22198" w:rsidRDefault="00E22198" w:rsidP="00E22198">
      <w:pPr>
        <w:numPr>
          <w:ilvl w:val="1"/>
          <w:numId w:val="15"/>
        </w:numPr>
        <w:tabs>
          <w:tab w:val="num" w:pos="1440"/>
        </w:tabs>
        <w:spacing w:after="0" w:line="240" w:lineRule="auto"/>
        <w:ind w:right="577"/>
      </w:pPr>
      <w:r w:rsidRPr="00E22198">
        <w:t>Formula used: Based on ASTM C469-02</w:t>
      </w:r>
    </w:p>
    <w:p w14:paraId="7DD65FAA" w14:textId="58EB1B98" w:rsidR="00E22198" w:rsidRDefault="00E22198" w:rsidP="00E22198">
      <w:pPr>
        <w:numPr>
          <w:ilvl w:val="1"/>
          <w:numId w:val="15"/>
        </w:numPr>
        <w:spacing w:after="0" w:line="240" w:lineRule="auto"/>
        <w:ind w:right="577"/>
      </w:pPr>
      <w:r w:rsidRPr="00E22198">
        <w:t>Comparative analysis of normal SCC vs replacements</w:t>
      </w:r>
      <w:r>
        <w:t>.</w:t>
      </w:r>
    </w:p>
    <w:p w14:paraId="4BF1A427" w14:textId="77777777" w:rsidR="00E22198" w:rsidRPr="00E22198" w:rsidRDefault="00E22198" w:rsidP="006A2FDD">
      <w:pPr>
        <w:spacing w:after="0" w:line="240" w:lineRule="auto"/>
        <w:ind w:left="990" w:right="577" w:firstLine="0"/>
      </w:pPr>
    </w:p>
    <w:p w14:paraId="2420EC07" w14:textId="5537C170" w:rsidR="00E22198" w:rsidRPr="00E22198" w:rsidRDefault="00E22198" w:rsidP="00E22198">
      <w:pPr>
        <w:spacing w:after="0" w:line="240" w:lineRule="auto"/>
        <w:ind w:left="0" w:right="577" w:firstLine="0"/>
      </w:pPr>
      <w:r w:rsidRPr="00E22198">
        <w:rPr>
          <w:b/>
          <w:bCs/>
        </w:rPr>
        <w:t xml:space="preserve">Appendix </w:t>
      </w:r>
      <w:r w:rsidR="006A2FDD">
        <w:rPr>
          <w:b/>
          <w:bCs/>
        </w:rPr>
        <w:t>B</w:t>
      </w:r>
      <w:r w:rsidRPr="00E22198">
        <w:rPr>
          <w:b/>
          <w:bCs/>
        </w:rPr>
        <w:t>: Raw Data from Experimental Tests</w:t>
      </w:r>
    </w:p>
    <w:p w14:paraId="1E0B9858" w14:textId="77777777" w:rsidR="00E22198" w:rsidRPr="00E22198" w:rsidRDefault="00E22198" w:rsidP="00E22198">
      <w:pPr>
        <w:numPr>
          <w:ilvl w:val="0"/>
          <w:numId w:val="16"/>
        </w:numPr>
        <w:spacing w:after="0" w:line="240" w:lineRule="auto"/>
        <w:ind w:right="577"/>
      </w:pPr>
      <w:r w:rsidRPr="00E22198">
        <w:rPr>
          <w:b/>
          <w:bCs/>
        </w:rPr>
        <w:t>Sieve Analysis Data for Coarse and Fine Aggregates</w:t>
      </w:r>
    </w:p>
    <w:p w14:paraId="3DE02C9B" w14:textId="77777777" w:rsidR="00E22198" w:rsidRPr="00E22198" w:rsidRDefault="00E22198" w:rsidP="00E22198">
      <w:pPr>
        <w:numPr>
          <w:ilvl w:val="1"/>
          <w:numId w:val="16"/>
        </w:numPr>
        <w:tabs>
          <w:tab w:val="num" w:pos="1440"/>
        </w:tabs>
        <w:spacing w:after="0" w:line="240" w:lineRule="auto"/>
        <w:ind w:right="577"/>
      </w:pPr>
      <w:r w:rsidRPr="00E22198">
        <w:t>Detailed tabulation of retained weights</w:t>
      </w:r>
    </w:p>
    <w:p w14:paraId="5C1BF878" w14:textId="77777777" w:rsidR="00E22198" w:rsidRPr="00E22198" w:rsidRDefault="00E22198" w:rsidP="00E22198">
      <w:pPr>
        <w:numPr>
          <w:ilvl w:val="1"/>
          <w:numId w:val="16"/>
        </w:numPr>
        <w:tabs>
          <w:tab w:val="num" w:pos="1440"/>
        </w:tabs>
        <w:spacing w:after="0" w:line="240" w:lineRule="auto"/>
        <w:ind w:right="577"/>
      </w:pPr>
      <w:r w:rsidRPr="00E22198">
        <w:t>Gradation curves</w:t>
      </w:r>
    </w:p>
    <w:p w14:paraId="3817FC58" w14:textId="77777777" w:rsidR="00E22198" w:rsidRPr="00E22198" w:rsidRDefault="00E22198" w:rsidP="00E22198">
      <w:pPr>
        <w:numPr>
          <w:ilvl w:val="0"/>
          <w:numId w:val="16"/>
        </w:numPr>
        <w:spacing w:after="0" w:line="240" w:lineRule="auto"/>
        <w:ind w:right="577"/>
      </w:pPr>
      <w:r w:rsidRPr="00E22198">
        <w:rPr>
          <w:b/>
          <w:bCs/>
        </w:rPr>
        <w:t>Fresh Property Test Results</w:t>
      </w:r>
    </w:p>
    <w:p w14:paraId="0B389344" w14:textId="77777777" w:rsidR="00E22198" w:rsidRPr="00E22198" w:rsidRDefault="00E22198" w:rsidP="00E22198">
      <w:pPr>
        <w:numPr>
          <w:ilvl w:val="1"/>
          <w:numId w:val="16"/>
        </w:numPr>
        <w:tabs>
          <w:tab w:val="num" w:pos="1440"/>
        </w:tabs>
        <w:spacing w:after="0" w:line="240" w:lineRule="auto"/>
        <w:ind w:right="577"/>
      </w:pPr>
      <w:r w:rsidRPr="00E22198">
        <w:t>Slump flow, V-Funnel, L-Box test values</w:t>
      </w:r>
    </w:p>
    <w:p w14:paraId="14763C45" w14:textId="77777777" w:rsidR="00E22198" w:rsidRPr="00E22198" w:rsidRDefault="00E22198" w:rsidP="00E22198">
      <w:pPr>
        <w:numPr>
          <w:ilvl w:val="0"/>
          <w:numId w:val="16"/>
        </w:numPr>
        <w:spacing w:after="0" w:line="240" w:lineRule="auto"/>
        <w:ind w:right="577"/>
      </w:pPr>
      <w:r w:rsidRPr="00E22198">
        <w:rPr>
          <w:b/>
          <w:bCs/>
        </w:rPr>
        <w:t>Strength Test Results</w:t>
      </w:r>
    </w:p>
    <w:p w14:paraId="16F2EF1F" w14:textId="0AAE9667" w:rsidR="00E22198" w:rsidRDefault="00E22198" w:rsidP="00E22198">
      <w:pPr>
        <w:numPr>
          <w:ilvl w:val="1"/>
          <w:numId w:val="16"/>
        </w:numPr>
        <w:spacing w:after="0" w:line="240" w:lineRule="auto"/>
        <w:ind w:right="577"/>
      </w:pPr>
      <w:r w:rsidRPr="00E22198">
        <w:t>Compressive strength, tensile strength, and elasticity modulus values for different curing ages</w:t>
      </w:r>
      <w:r w:rsidR="006A2FDD">
        <w:t>.</w:t>
      </w:r>
    </w:p>
    <w:p w14:paraId="569AFC74" w14:textId="77777777" w:rsidR="006A2FDD" w:rsidRPr="00E22198" w:rsidRDefault="006A2FDD" w:rsidP="006A2FDD">
      <w:pPr>
        <w:spacing w:after="0" w:line="240" w:lineRule="auto"/>
        <w:ind w:left="1440" w:right="577" w:firstLine="0"/>
      </w:pPr>
    </w:p>
    <w:p w14:paraId="00CC39C1" w14:textId="6CAD2A48" w:rsidR="00E22198" w:rsidRPr="00E22198" w:rsidRDefault="00E22198" w:rsidP="00E22198">
      <w:pPr>
        <w:spacing w:after="0" w:line="240" w:lineRule="auto"/>
        <w:ind w:left="0" w:right="577" w:firstLine="0"/>
      </w:pPr>
      <w:r w:rsidRPr="00E22198">
        <w:rPr>
          <w:b/>
          <w:bCs/>
        </w:rPr>
        <w:t xml:space="preserve">Appendix </w:t>
      </w:r>
      <w:r w:rsidR="006A2FDD">
        <w:rPr>
          <w:b/>
          <w:bCs/>
        </w:rPr>
        <w:t>C</w:t>
      </w:r>
      <w:r w:rsidRPr="00E22198">
        <w:rPr>
          <w:b/>
          <w:bCs/>
        </w:rPr>
        <w:t>: Figures and Graphs</w:t>
      </w:r>
    </w:p>
    <w:p w14:paraId="35D04B26" w14:textId="77777777" w:rsidR="00E22198" w:rsidRPr="00E22198" w:rsidRDefault="00E22198" w:rsidP="00E22198">
      <w:pPr>
        <w:numPr>
          <w:ilvl w:val="0"/>
          <w:numId w:val="17"/>
        </w:numPr>
        <w:spacing w:after="0" w:line="240" w:lineRule="auto"/>
        <w:ind w:right="577"/>
      </w:pPr>
      <w:r w:rsidRPr="00E22198">
        <w:t>Stress-strain curves for SCC with marble dust and LRF</w:t>
      </w:r>
    </w:p>
    <w:p w14:paraId="12DFC6D4" w14:textId="77777777" w:rsidR="00E22198" w:rsidRPr="00E22198" w:rsidRDefault="00E22198" w:rsidP="00E22198">
      <w:pPr>
        <w:numPr>
          <w:ilvl w:val="0"/>
          <w:numId w:val="17"/>
        </w:numPr>
        <w:spacing w:after="0" w:line="240" w:lineRule="auto"/>
        <w:ind w:right="577"/>
      </w:pPr>
      <w:r w:rsidRPr="00E22198">
        <w:t>Gradation charts for aggregate selection</w:t>
      </w:r>
    </w:p>
    <w:p w14:paraId="2DDB5FAD" w14:textId="070A3249" w:rsidR="00E22198" w:rsidRDefault="00E22198" w:rsidP="00E22198">
      <w:pPr>
        <w:numPr>
          <w:ilvl w:val="0"/>
          <w:numId w:val="17"/>
        </w:numPr>
        <w:spacing w:after="0" w:line="240" w:lineRule="auto"/>
        <w:ind w:right="577"/>
      </w:pPr>
      <w:r w:rsidRPr="00E22198">
        <w:t>Photographs documenting the experimental setup</w:t>
      </w:r>
      <w:r w:rsidR="006A2FDD">
        <w:t>.</w:t>
      </w:r>
    </w:p>
    <w:p w14:paraId="50C402DC" w14:textId="77777777" w:rsidR="006A2FDD" w:rsidRPr="00E22198" w:rsidRDefault="006A2FDD" w:rsidP="006A2FDD">
      <w:pPr>
        <w:spacing w:after="0" w:line="240" w:lineRule="auto"/>
        <w:ind w:left="720" w:right="577" w:firstLine="0"/>
      </w:pPr>
    </w:p>
    <w:p w14:paraId="53F22D37" w14:textId="79B099D3" w:rsidR="00E22198" w:rsidRPr="00E22198" w:rsidRDefault="00E22198" w:rsidP="00E22198">
      <w:pPr>
        <w:spacing w:after="0" w:line="240" w:lineRule="auto"/>
        <w:ind w:left="0" w:right="577" w:firstLine="0"/>
      </w:pPr>
      <w:r w:rsidRPr="00E22198">
        <w:rPr>
          <w:b/>
          <w:bCs/>
        </w:rPr>
        <w:t xml:space="preserve">Appendix </w:t>
      </w:r>
      <w:r w:rsidR="006A2FDD">
        <w:rPr>
          <w:b/>
          <w:bCs/>
        </w:rPr>
        <w:t>D</w:t>
      </w:r>
      <w:r w:rsidRPr="00E22198">
        <w:rPr>
          <w:b/>
          <w:bCs/>
        </w:rPr>
        <w:t>: Standards and Guidelines Used</w:t>
      </w:r>
    </w:p>
    <w:p w14:paraId="0CBD67C2" w14:textId="77777777" w:rsidR="00E22198" w:rsidRPr="00E22198" w:rsidRDefault="00E22198" w:rsidP="00E22198">
      <w:pPr>
        <w:numPr>
          <w:ilvl w:val="0"/>
          <w:numId w:val="18"/>
        </w:numPr>
        <w:spacing w:after="0" w:line="240" w:lineRule="auto"/>
        <w:ind w:right="577"/>
      </w:pPr>
      <w:r w:rsidRPr="00E22198">
        <w:t>ASTM C136 (2019) – Sieve analysis</w:t>
      </w:r>
    </w:p>
    <w:p w14:paraId="5942299C" w14:textId="77777777" w:rsidR="00E22198" w:rsidRPr="00E22198" w:rsidRDefault="00E22198" w:rsidP="00E22198">
      <w:pPr>
        <w:numPr>
          <w:ilvl w:val="0"/>
          <w:numId w:val="18"/>
        </w:numPr>
        <w:spacing w:after="0" w:line="240" w:lineRule="auto"/>
        <w:ind w:right="577"/>
      </w:pPr>
      <w:r w:rsidRPr="00E22198">
        <w:t>ASTM C39 (2002) – Compressive strength testing</w:t>
      </w:r>
    </w:p>
    <w:p w14:paraId="5A431EFC" w14:textId="1F1DFA6D" w:rsidR="00E22198" w:rsidRPr="00E22198" w:rsidRDefault="00E22198" w:rsidP="00E22198">
      <w:pPr>
        <w:numPr>
          <w:ilvl w:val="0"/>
          <w:numId w:val="18"/>
        </w:numPr>
        <w:spacing w:after="0" w:line="240" w:lineRule="auto"/>
        <w:ind w:right="577"/>
      </w:pPr>
      <w:r w:rsidRPr="00E22198">
        <w:t>EFNARC guidelines for SCC</w:t>
      </w:r>
      <w:r w:rsidR="006A2FDD">
        <w:t>.</w:t>
      </w:r>
    </w:p>
    <w:p w14:paraId="6645066B" w14:textId="77777777" w:rsidR="00E22198" w:rsidRDefault="00E22198" w:rsidP="00C87AE7">
      <w:pPr>
        <w:spacing w:after="0" w:line="240" w:lineRule="auto"/>
        <w:ind w:left="0" w:right="577" w:firstLine="0"/>
      </w:pPr>
    </w:p>
    <w:sectPr w:rsidR="00E22198" w:rsidSect="00FE2AAB">
      <w:type w:val="continuous"/>
      <w:pgSz w:w="11906" w:h="16441"/>
      <w:pgMar w:top="1440" w:right="1133" w:bottom="1440" w:left="1134" w:header="720" w:footer="720" w:gutter="0"/>
      <w:cols w:num="2" w:space="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32E76" w14:textId="77777777" w:rsidR="00C64E38" w:rsidRDefault="00C64E38">
      <w:pPr>
        <w:spacing w:after="0" w:line="240" w:lineRule="auto"/>
      </w:pPr>
      <w:r>
        <w:separator/>
      </w:r>
    </w:p>
  </w:endnote>
  <w:endnote w:type="continuationSeparator" w:id="0">
    <w:p w14:paraId="2F840FDA" w14:textId="77777777" w:rsidR="00C64E38" w:rsidRDefault="00C6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4236" w14:textId="77777777" w:rsidR="004D543B" w:rsidRDefault="00B773EC">
    <w:pPr>
      <w:spacing w:after="0" w:line="259" w:lineRule="auto"/>
      <w:ind w:left="-1134" w:right="10727" w:firstLine="0"/>
      <w:jc w:val="left"/>
    </w:pPr>
    <w:r>
      <w:rPr>
        <w:noProof/>
        <w:sz w:val="22"/>
        <w:lang w:bidi="ar-SA"/>
      </w:rPr>
      <mc:AlternateContent>
        <mc:Choice Requires="wpg">
          <w:drawing>
            <wp:anchor distT="0" distB="0" distL="114300" distR="114300" simplePos="0" relativeHeight="251661312" behindDoc="0" locked="0" layoutInCell="1" allowOverlap="1" wp14:anchorId="435DDA98" wp14:editId="0297DCCD">
              <wp:simplePos x="0" y="0"/>
              <wp:positionH relativeFrom="page">
                <wp:posOffset>723111</wp:posOffset>
              </wp:positionH>
              <wp:positionV relativeFrom="page">
                <wp:posOffset>9647999</wp:posOffset>
              </wp:positionV>
              <wp:extent cx="6120004" cy="791997"/>
              <wp:effectExtent l="0" t="0" r="0" b="0"/>
              <wp:wrapSquare wrapText="bothSides"/>
              <wp:docPr id="11091" name="Group 11091"/>
              <wp:cNvGraphicFramePr/>
              <a:graphic xmlns:a="http://schemas.openxmlformats.org/drawingml/2006/main">
                <a:graphicData uri="http://schemas.microsoft.com/office/word/2010/wordprocessingGroup">
                  <wpg:wgp>
                    <wpg:cNvGrpSpPr/>
                    <wpg:grpSpPr>
                      <a:xfrm>
                        <a:off x="0" y="0"/>
                        <a:ext cx="6120004" cy="791997"/>
                        <a:chOff x="0" y="0"/>
                        <a:chExt cx="6120004" cy="791997"/>
                      </a:xfrm>
                    </wpg:grpSpPr>
                    <wps:wsp>
                      <wps:cNvPr id="11092" name="Shape 11092"/>
                      <wps:cNvSpPr/>
                      <wps:spPr>
                        <a:xfrm>
                          <a:off x="0" y="9906"/>
                          <a:ext cx="6120004" cy="0"/>
                        </a:xfrm>
                        <a:custGeom>
                          <a:avLst/>
                          <a:gdLst/>
                          <a:ahLst/>
                          <a:cxnLst/>
                          <a:rect l="0" t="0" r="0" b="0"/>
                          <a:pathLst>
                            <a:path w="6120004">
                              <a:moveTo>
                                <a:pt x="0" y="0"/>
                              </a:moveTo>
                              <a:lnTo>
                                <a:pt x="6120004"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s:wsp>
                      <wps:cNvPr id="11095" name="Rectangle 11095"/>
                      <wps:cNvSpPr/>
                      <wps:spPr>
                        <a:xfrm>
                          <a:off x="1030886" y="41040"/>
                          <a:ext cx="733745" cy="201801"/>
                        </a:xfrm>
                        <a:prstGeom prst="rect">
                          <a:avLst/>
                        </a:prstGeom>
                        <a:ln>
                          <a:noFill/>
                        </a:ln>
                      </wps:spPr>
                      <wps:txbx>
                        <w:txbxContent>
                          <w:p w14:paraId="0B209B98" w14:textId="77777777" w:rsidR="004D543B" w:rsidRDefault="00B773EC">
                            <w:pPr>
                              <w:spacing w:after="160" w:line="259" w:lineRule="auto"/>
                              <w:ind w:left="0" w:right="0" w:firstLine="0"/>
                              <w:jc w:val="left"/>
                            </w:pPr>
                            <w:r>
                              <w:rPr>
                                <w:sz w:val="24"/>
                              </w:rPr>
                              <w:t>JNMA</w:t>
                            </w:r>
                            <w:r>
                              <w:rPr>
                                <w:spacing w:val="39"/>
                                <w:sz w:val="24"/>
                              </w:rPr>
                              <w:t xml:space="preserve"> </w:t>
                            </w:r>
                          </w:p>
                        </w:txbxContent>
                      </wps:txbx>
                      <wps:bodyPr horzOverflow="overflow" vert="horz" lIns="0" tIns="0" rIns="0" bIns="0" rtlCol="0">
                        <a:noAutofit/>
                      </wps:bodyPr>
                    </wps:wsp>
                    <wps:wsp>
                      <wps:cNvPr id="11096" name="Rectangle 11096"/>
                      <wps:cNvSpPr/>
                      <wps:spPr>
                        <a:xfrm>
                          <a:off x="1582592" y="41040"/>
                          <a:ext cx="77834" cy="201801"/>
                        </a:xfrm>
                        <a:prstGeom prst="rect">
                          <a:avLst/>
                        </a:prstGeom>
                        <a:ln>
                          <a:noFill/>
                        </a:ln>
                      </wps:spPr>
                      <wps:txbx>
                        <w:txbxContent>
                          <w:p w14:paraId="2D83369B"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097" name="Rectangle 11097"/>
                      <wps:cNvSpPr/>
                      <wps:spPr>
                        <a:xfrm>
                          <a:off x="1641081" y="41040"/>
                          <a:ext cx="1003123" cy="201801"/>
                        </a:xfrm>
                        <a:prstGeom prst="rect">
                          <a:avLst/>
                        </a:prstGeom>
                        <a:ln>
                          <a:noFill/>
                        </a:ln>
                      </wps:spPr>
                      <wps:txbx>
                        <w:txbxContent>
                          <w:p w14:paraId="37036DBC" w14:textId="77777777" w:rsidR="004D543B" w:rsidRDefault="00B773EC">
                            <w:pPr>
                              <w:spacing w:after="160" w:line="259" w:lineRule="auto"/>
                              <w:ind w:left="0" w:right="0" w:firstLine="0"/>
                              <w:jc w:val="left"/>
                            </w:pPr>
                            <w:r>
                              <w:rPr>
                                <w:spacing w:val="39"/>
                                <w:sz w:val="24"/>
                              </w:rPr>
                              <w:t xml:space="preserve"> </w:t>
                            </w:r>
                            <w:r>
                              <w:rPr>
                                <w:sz w:val="24"/>
                              </w:rPr>
                              <w:t>VOL</w:t>
                            </w:r>
                            <w:r>
                              <w:rPr>
                                <w:spacing w:val="39"/>
                                <w:sz w:val="24"/>
                              </w:rPr>
                              <w:t xml:space="preserve"> </w:t>
                            </w:r>
                            <w:r>
                              <w:rPr>
                                <w:sz w:val="24"/>
                              </w:rPr>
                              <w:t>62</w:t>
                            </w:r>
                            <w:r>
                              <w:rPr>
                                <w:spacing w:val="39"/>
                                <w:sz w:val="24"/>
                              </w:rPr>
                              <w:t xml:space="preserve"> </w:t>
                            </w:r>
                          </w:p>
                        </w:txbxContent>
                      </wps:txbx>
                      <wps:bodyPr horzOverflow="overflow" vert="horz" lIns="0" tIns="0" rIns="0" bIns="0" rtlCol="0">
                        <a:noAutofit/>
                      </wps:bodyPr>
                    </wps:wsp>
                    <wps:wsp>
                      <wps:cNvPr id="11098" name="Rectangle 11098"/>
                      <wps:cNvSpPr/>
                      <wps:spPr>
                        <a:xfrm>
                          <a:off x="2395416" y="41040"/>
                          <a:ext cx="77834" cy="201801"/>
                        </a:xfrm>
                        <a:prstGeom prst="rect">
                          <a:avLst/>
                        </a:prstGeom>
                        <a:ln>
                          <a:noFill/>
                        </a:ln>
                      </wps:spPr>
                      <wps:txbx>
                        <w:txbxContent>
                          <w:p w14:paraId="1D31C5F0"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099" name="Rectangle 11099"/>
                      <wps:cNvSpPr/>
                      <wps:spPr>
                        <a:xfrm>
                          <a:off x="2453906" y="41040"/>
                          <a:ext cx="1432120" cy="201801"/>
                        </a:xfrm>
                        <a:prstGeom prst="rect">
                          <a:avLst/>
                        </a:prstGeom>
                        <a:ln>
                          <a:noFill/>
                        </a:ln>
                      </wps:spPr>
                      <wps:txbx>
                        <w:txbxContent>
                          <w:p w14:paraId="5F46445F" w14:textId="77777777" w:rsidR="004D543B" w:rsidRDefault="00B773EC">
                            <w:pPr>
                              <w:spacing w:after="160" w:line="259" w:lineRule="auto"/>
                              <w:ind w:left="0" w:right="0" w:firstLine="0"/>
                              <w:jc w:val="left"/>
                            </w:pPr>
                            <w:r>
                              <w:rPr>
                                <w:spacing w:val="39"/>
                                <w:sz w:val="24"/>
                              </w:rPr>
                              <w:t xml:space="preserve"> </w:t>
                            </w:r>
                            <w:r>
                              <w:rPr>
                                <w:sz w:val="24"/>
                              </w:rPr>
                              <w:t>ISSUE</w:t>
                            </w:r>
                            <w:r>
                              <w:rPr>
                                <w:spacing w:val="39"/>
                                <w:sz w:val="24"/>
                              </w:rPr>
                              <w:t xml:space="preserve"> </w:t>
                            </w:r>
                            <w:r>
                              <w:rPr>
                                <w:sz w:val="24"/>
                              </w:rPr>
                              <w:t>277</w:t>
                            </w:r>
                            <w:r>
                              <w:rPr>
                                <w:spacing w:val="39"/>
                                <w:sz w:val="24"/>
                              </w:rPr>
                              <w:t xml:space="preserve"> </w:t>
                            </w:r>
                          </w:p>
                        </w:txbxContent>
                      </wps:txbx>
                      <wps:bodyPr horzOverflow="overflow" vert="horz" lIns="0" tIns="0" rIns="0" bIns="0" rtlCol="0">
                        <a:noAutofit/>
                      </wps:bodyPr>
                    </wps:wsp>
                    <wps:wsp>
                      <wps:cNvPr id="11100" name="Rectangle 11100"/>
                      <wps:cNvSpPr/>
                      <wps:spPr>
                        <a:xfrm>
                          <a:off x="3530751" y="41040"/>
                          <a:ext cx="77834" cy="201801"/>
                        </a:xfrm>
                        <a:prstGeom prst="rect">
                          <a:avLst/>
                        </a:prstGeom>
                        <a:ln>
                          <a:noFill/>
                        </a:ln>
                      </wps:spPr>
                      <wps:txbx>
                        <w:txbxContent>
                          <w:p w14:paraId="64132AAD"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101" name="Rectangle 11101"/>
                      <wps:cNvSpPr/>
                      <wps:spPr>
                        <a:xfrm>
                          <a:off x="3589241" y="41040"/>
                          <a:ext cx="1984558" cy="201801"/>
                        </a:xfrm>
                        <a:prstGeom prst="rect">
                          <a:avLst/>
                        </a:prstGeom>
                        <a:ln>
                          <a:noFill/>
                        </a:ln>
                      </wps:spPr>
                      <wps:txbx>
                        <w:txbxContent>
                          <w:p w14:paraId="4A304848" w14:textId="77777777" w:rsidR="004D543B" w:rsidRDefault="00B773EC">
                            <w:pPr>
                              <w:spacing w:after="160" w:line="259" w:lineRule="auto"/>
                              <w:ind w:left="0" w:right="0" w:firstLine="0"/>
                              <w:jc w:val="left"/>
                            </w:pPr>
                            <w:r>
                              <w:rPr>
                                <w:spacing w:val="39"/>
                                <w:sz w:val="24"/>
                              </w:rPr>
                              <w:t xml:space="preserve"> </w:t>
                            </w:r>
                            <w:r>
                              <w:rPr>
                                <w:sz w:val="24"/>
                              </w:rPr>
                              <w:t>September</w:t>
                            </w:r>
                            <w:r>
                              <w:rPr>
                                <w:spacing w:val="39"/>
                                <w:sz w:val="24"/>
                              </w:rPr>
                              <w:t xml:space="preserve"> </w:t>
                            </w:r>
                            <w:r>
                              <w:rPr>
                                <w:sz w:val="24"/>
                              </w:rPr>
                              <w:t>2024</w:t>
                            </w:r>
                          </w:p>
                        </w:txbxContent>
                      </wps:txbx>
                      <wps:bodyPr horzOverflow="overflow" vert="horz" lIns="0" tIns="0" rIns="0" bIns="0" rtlCol="0">
                        <a:noAutofit/>
                      </wps:bodyPr>
                    </wps:wsp>
                    <wps:wsp>
                      <wps:cNvPr id="11577" name="Shape 11577"/>
                      <wps:cNvSpPr/>
                      <wps:spPr>
                        <a:xfrm>
                          <a:off x="484" y="0"/>
                          <a:ext cx="288862" cy="791997"/>
                        </a:xfrm>
                        <a:custGeom>
                          <a:avLst/>
                          <a:gdLst/>
                          <a:ahLst/>
                          <a:cxnLst/>
                          <a:rect l="0" t="0" r="0" b="0"/>
                          <a:pathLst>
                            <a:path w="288862" h="791997">
                              <a:moveTo>
                                <a:pt x="0" y="0"/>
                              </a:moveTo>
                              <a:lnTo>
                                <a:pt x="288862" y="0"/>
                              </a:lnTo>
                              <a:lnTo>
                                <a:pt x="288862" y="791997"/>
                              </a:lnTo>
                              <a:lnTo>
                                <a:pt x="0" y="791997"/>
                              </a:lnTo>
                              <a:lnTo>
                                <a:pt x="0" y="0"/>
                              </a:lnTo>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1094" name="Rectangle 11094"/>
                      <wps:cNvSpPr/>
                      <wps:spPr>
                        <a:xfrm>
                          <a:off x="37913" y="38964"/>
                          <a:ext cx="278702" cy="184168"/>
                        </a:xfrm>
                        <a:prstGeom prst="rect">
                          <a:avLst/>
                        </a:prstGeom>
                        <a:ln>
                          <a:noFill/>
                        </a:ln>
                      </wps:spPr>
                      <wps:txbx>
                        <w:txbxContent>
                          <w:p w14:paraId="0FB5E236" w14:textId="77777777" w:rsidR="004D543B" w:rsidRDefault="00B773EC">
                            <w:pPr>
                              <w:spacing w:after="160" w:line="259" w:lineRule="auto"/>
                              <w:ind w:left="0" w:right="0" w:firstLine="0"/>
                              <w:jc w:val="left"/>
                            </w:pPr>
                            <w:r>
                              <w:fldChar w:fldCharType="begin"/>
                            </w:r>
                            <w:r>
                              <w:instrText xml:space="preserve"> PAGE   \* MERGEFORMAT </w:instrText>
                            </w:r>
                            <w:r>
                              <w:fldChar w:fldCharType="separate"/>
                            </w:r>
                            <w:r>
                              <w:rPr>
                                <w:rFonts w:ascii="Book Antiqua" w:eastAsia="Book Antiqua" w:hAnsi="Book Antiqua" w:cs="Book Antiqua"/>
                                <w:b/>
                                <w:color w:val="FFFFFF"/>
                                <w:sz w:val="22"/>
                              </w:rPr>
                              <w:t>560</w:t>
                            </w:r>
                            <w:r>
                              <w:rPr>
                                <w:rFonts w:ascii="Book Antiqua" w:eastAsia="Book Antiqua" w:hAnsi="Book Antiqua" w:cs="Book Antiqua"/>
                                <w:b/>
                                <w:color w:val="FFFFFF"/>
                                <w:sz w:val="22"/>
                              </w:rPr>
                              <w:fldChar w:fldCharType="end"/>
                            </w:r>
                          </w:p>
                        </w:txbxContent>
                      </wps:txbx>
                      <wps:bodyPr horzOverflow="overflow" vert="horz" lIns="0" tIns="0" rIns="0" bIns="0" rtlCol="0">
                        <a:noAutofit/>
                      </wps:bodyPr>
                    </wps:wsp>
                    <wps:wsp>
                      <wps:cNvPr id="11102" name="Rectangle 11102"/>
                      <wps:cNvSpPr/>
                      <wps:spPr>
                        <a:xfrm>
                          <a:off x="1707036" y="251997"/>
                          <a:ext cx="2390293" cy="133083"/>
                        </a:xfrm>
                        <a:prstGeom prst="rect">
                          <a:avLst/>
                        </a:prstGeom>
                        <a:ln>
                          <a:noFill/>
                        </a:ln>
                      </wps:spPr>
                      <wps:txbx>
                        <w:txbxContent>
                          <w:p w14:paraId="45514568" w14:textId="77777777" w:rsidR="004D543B" w:rsidRDefault="00B773EC">
                            <w:pPr>
                              <w:spacing w:after="160" w:line="259" w:lineRule="auto"/>
                              <w:ind w:left="0" w:right="0" w:firstLine="0"/>
                              <w:jc w:val="left"/>
                            </w:pPr>
                            <w:r>
                              <w:rPr>
                                <w:sz w:val="16"/>
                              </w:rPr>
                              <w:t>Free</w:t>
                            </w:r>
                            <w:r>
                              <w:rPr>
                                <w:spacing w:val="8"/>
                                <w:sz w:val="16"/>
                              </w:rPr>
                              <w:t xml:space="preserve"> </w:t>
                            </w:r>
                            <w:r>
                              <w:rPr>
                                <w:sz w:val="16"/>
                              </w:rPr>
                              <w:t>Full</w:t>
                            </w:r>
                            <w:r>
                              <w:rPr>
                                <w:spacing w:val="-21"/>
                                <w:sz w:val="16"/>
                              </w:rPr>
                              <w:t xml:space="preserve"> </w:t>
                            </w:r>
                            <w:r>
                              <w:rPr>
                                <w:sz w:val="16"/>
                              </w:rPr>
                              <w:t>Text Articles</w:t>
                            </w:r>
                            <w:r>
                              <w:rPr>
                                <w:spacing w:val="7"/>
                                <w:sz w:val="16"/>
                              </w:rPr>
                              <w:t xml:space="preserve"> </w:t>
                            </w:r>
                            <w:r>
                              <w:rPr>
                                <w:sz w:val="16"/>
                              </w:rPr>
                              <w:t>are Available</w:t>
                            </w:r>
                            <w:r>
                              <w:rPr>
                                <w:spacing w:val="7"/>
                                <w:sz w:val="16"/>
                              </w:rPr>
                              <w:t xml:space="preserve"> </w:t>
                            </w:r>
                            <w:r>
                              <w:rPr>
                                <w:sz w:val="16"/>
                              </w:rPr>
                              <w:t>at</w:t>
                            </w:r>
                            <w:r>
                              <w:rPr>
                                <w:spacing w:val="8"/>
                                <w:sz w:val="16"/>
                              </w:rPr>
                              <w:t xml:space="preserve"> </w:t>
                            </w:r>
                          </w:p>
                        </w:txbxContent>
                      </wps:txbx>
                      <wps:bodyPr horzOverflow="overflow" vert="horz" lIns="0" tIns="0" rIns="0" bIns="0" rtlCol="0">
                        <a:noAutofit/>
                      </wps:bodyPr>
                    </wps:wsp>
                    <wps:wsp>
                      <wps:cNvPr id="11103" name="Rectangle 11103"/>
                      <wps:cNvSpPr/>
                      <wps:spPr>
                        <a:xfrm>
                          <a:off x="3496695" y="251997"/>
                          <a:ext cx="1125995" cy="133083"/>
                        </a:xfrm>
                        <a:prstGeom prst="rect">
                          <a:avLst/>
                        </a:prstGeom>
                        <a:ln>
                          <a:noFill/>
                        </a:ln>
                      </wps:spPr>
                      <wps:txbx>
                        <w:txbxContent>
                          <w:p w14:paraId="1320B78B" w14:textId="77777777" w:rsidR="004D543B" w:rsidRDefault="00B773EC">
                            <w:pPr>
                              <w:spacing w:after="160" w:line="259" w:lineRule="auto"/>
                              <w:ind w:left="0" w:right="0" w:firstLine="0"/>
                              <w:jc w:val="left"/>
                            </w:pPr>
                            <w:r>
                              <w:rPr>
                                <w:color w:val="00ADEF"/>
                                <w:sz w:val="16"/>
                              </w:rPr>
                              <w:t>www.jnma.com.n</w:t>
                            </w:r>
                          </w:p>
                        </w:txbxContent>
                      </wps:txbx>
                      <wps:bodyPr horzOverflow="overflow" vert="horz" lIns="0" tIns="0" rIns="0" bIns="0" rtlCol="0">
                        <a:noAutofit/>
                      </wps:bodyPr>
                    </wps:wsp>
                    <wps:wsp>
                      <wps:cNvPr id="11104" name="Rectangle 11104"/>
                      <wps:cNvSpPr/>
                      <wps:spPr>
                        <a:xfrm>
                          <a:off x="4343308" y="251997"/>
                          <a:ext cx="82563" cy="133083"/>
                        </a:xfrm>
                        <a:prstGeom prst="rect">
                          <a:avLst/>
                        </a:prstGeom>
                        <a:ln>
                          <a:noFill/>
                        </a:ln>
                      </wps:spPr>
                      <wps:txbx>
                        <w:txbxContent>
                          <w:p w14:paraId="255D1A52" w14:textId="77777777" w:rsidR="004D543B" w:rsidRDefault="00B773EC">
                            <w:pPr>
                              <w:spacing w:after="160" w:line="259" w:lineRule="auto"/>
                              <w:ind w:left="0" w:right="0" w:firstLine="0"/>
                              <w:jc w:val="left"/>
                            </w:pPr>
                            <w:r>
                              <w:rPr>
                                <w:color w:val="00ADEF"/>
                                <w:sz w:val="16"/>
                              </w:rPr>
                              <w:t>p</w:t>
                            </w:r>
                          </w:p>
                        </w:txbxContent>
                      </wps:txbx>
                      <wps:bodyPr horzOverflow="overflow" vert="horz" lIns="0" tIns="0" rIns="0" bIns="0" rtlCol="0">
                        <a:noAutofit/>
                      </wps:bodyPr>
                    </wps:wsp>
                  </wpg:wgp>
                </a:graphicData>
              </a:graphic>
            </wp:anchor>
          </w:drawing>
        </mc:Choice>
        <mc:Fallback>
          <w:pict>
            <v:group w14:anchorId="435DDA98" id="Group 11091" o:spid="_x0000_s1026" style="position:absolute;left:0;text-align:left;margin-left:56.95pt;margin-top:759.7pt;width:481.9pt;height:62.35pt;z-index:251661312;mso-position-horizontal-relative:page;mso-position-vertical-relative:page" coordsize="6120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">
              <v:shape id="Shape 11092" o:spid="_x0000_s1027" style="position:absolute;top:99;width:61200;height:0;visibility:visible;mso-wrap-style:square;v-text-anchor:top" coordsize="612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" path="m,l6120004,e" filled="f" strokecolor="#c6eafb" strokeweight="1.5pt">
                <v:stroke miterlimit="1" joinstyle="miter"/>
                <v:path arrowok="t" textboxrect="0,0,6120004,0"/>
              </v:shape>
              <v:rect id="Rectangle 11095" o:spid="_x0000_s1028" style="position:absolute;left:10308;top:410;width:733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WLxQAAAN4AAAAPAAAAZHJzL2Rvd25yZXYueG1sRE9Na8JA&#10;EL0X+h+WKXhrNgoV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BEj3WLxQAAAN4AAAAP&#10;AAAAAAAAAAAAAAAAAAcCAABkcnMvZG93bnJldi54bWxQSwUGAAAAAAMAAwC3AAAA+QIAAAAA&#10;" filled="f" stroked="f">
                <v:textbox inset="0,0,0,0">
                  <w:txbxContent>
                    <w:p w14:paraId="0B209B98" w14:textId="77777777" w:rsidR="004D543B" w:rsidRDefault="00B773EC">
                      <w:pPr>
                        <w:spacing w:after="160" w:line="259" w:lineRule="auto"/>
                        <w:ind w:left="0" w:right="0" w:firstLine="0"/>
                        <w:jc w:val="left"/>
                      </w:pPr>
                      <w:r>
                        <w:rPr>
                          <w:sz w:val="24"/>
                        </w:rPr>
                        <w:t>JNMA</w:t>
                      </w:r>
                      <w:r>
                        <w:rPr>
                          <w:spacing w:val="39"/>
                          <w:sz w:val="24"/>
                        </w:rPr>
                        <w:t xml:space="preserve"> </w:t>
                      </w:r>
                    </w:p>
                  </w:txbxContent>
                </v:textbox>
              </v:rect>
              <v:rect id="Rectangle 11096" o:spid="_x0000_s1029" style="position:absolute;left:15825;top:410;width: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" filled="f" stroked="f">
                <v:textbox inset="0,0,0,0">
                  <w:txbxContent>
                    <w:p w14:paraId="2D83369B" w14:textId="77777777" w:rsidR="004D543B" w:rsidRDefault="00B773EC">
                      <w:pPr>
                        <w:spacing w:after="160" w:line="259" w:lineRule="auto"/>
                        <w:ind w:left="0" w:right="0" w:firstLine="0"/>
                        <w:jc w:val="left"/>
                      </w:pPr>
                      <w:r>
                        <w:rPr>
                          <w:color w:val="6DCFF6"/>
                          <w:sz w:val="24"/>
                        </w:rPr>
                        <w:t>I</w:t>
                      </w:r>
                    </w:p>
                  </w:txbxContent>
                </v:textbox>
              </v:rect>
              <v:rect id="Rectangle 11097" o:spid="_x0000_s1030" style="position:absolute;left:16410;top:410;width:10032;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" filled="f" stroked="f">
                <v:textbox inset="0,0,0,0">
                  <w:txbxContent>
                    <w:p w14:paraId="37036DBC" w14:textId="77777777" w:rsidR="004D543B" w:rsidRDefault="00B773EC">
                      <w:pPr>
                        <w:spacing w:after="160" w:line="259" w:lineRule="auto"/>
                        <w:ind w:left="0" w:right="0" w:firstLine="0"/>
                        <w:jc w:val="left"/>
                      </w:pPr>
                      <w:r>
                        <w:rPr>
                          <w:spacing w:val="39"/>
                          <w:sz w:val="24"/>
                        </w:rPr>
                        <w:t xml:space="preserve"> </w:t>
                      </w:r>
                      <w:r>
                        <w:rPr>
                          <w:sz w:val="24"/>
                        </w:rPr>
                        <w:t>VOL</w:t>
                      </w:r>
                      <w:r>
                        <w:rPr>
                          <w:spacing w:val="39"/>
                          <w:sz w:val="24"/>
                        </w:rPr>
                        <w:t xml:space="preserve"> </w:t>
                      </w:r>
                      <w:r>
                        <w:rPr>
                          <w:sz w:val="24"/>
                        </w:rPr>
                        <w:t>62</w:t>
                      </w:r>
                      <w:r>
                        <w:rPr>
                          <w:spacing w:val="39"/>
                          <w:sz w:val="24"/>
                        </w:rPr>
                        <w:t xml:space="preserve"> </w:t>
                      </w:r>
                    </w:p>
                  </w:txbxContent>
                </v:textbox>
              </v:rect>
              <v:rect id="Rectangle 11098" o:spid="_x0000_s1031" style="position:absolute;left:23954;top:410;width:77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" filled="f" stroked="f">
                <v:textbox inset="0,0,0,0">
                  <w:txbxContent>
                    <w:p w14:paraId="1D31C5F0" w14:textId="77777777" w:rsidR="004D543B" w:rsidRDefault="00B773EC">
                      <w:pPr>
                        <w:spacing w:after="160" w:line="259" w:lineRule="auto"/>
                        <w:ind w:left="0" w:right="0" w:firstLine="0"/>
                        <w:jc w:val="left"/>
                      </w:pPr>
                      <w:r>
                        <w:rPr>
                          <w:color w:val="6DCFF6"/>
                          <w:sz w:val="24"/>
                        </w:rPr>
                        <w:t>I</w:t>
                      </w:r>
                    </w:p>
                  </w:txbxContent>
                </v:textbox>
              </v:rect>
              <v:rect id="Rectangle 11099" o:spid="_x0000_s1032" style="position:absolute;left:24539;top:410;width:1432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" filled="f" stroked="f">
                <v:textbox inset="0,0,0,0">
                  <w:txbxContent>
                    <w:p w14:paraId="5F46445F" w14:textId="77777777" w:rsidR="004D543B" w:rsidRDefault="00B773EC">
                      <w:pPr>
                        <w:spacing w:after="160" w:line="259" w:lineRule="auto"/>
                        <w:ind w:left="0" w:right="0" w:firstLine="0"/>
                        <w:jc w:val="left"/>
                      </w:pPr>
                      <w:r>
                        <w:rPr>
                          <w:spacing w:val="39"/>
                          <w:sz w:val="24"/>
                        </w:rPr>
                        <w:t xml:space="preserve"> </w:t>
                      </w:r>
                      <w:r>
                        <w:rPr>
                          <w:sz w:val="24"/>
                        </w:rPr>
                        <w:t>ISSUE</w:t>
                      </w:r>
                      <w:r>
                        <w:rPr>
                          <w:spacing w:val="39"/>
                          <w:sz w:val="24"/>
                        </w:rPr>
                        <w:t xml:space="preserve"> </w:t>
                      </w:r>
                      <w:r>
                        <w:rPr>
                          <w:sz w:val="24"/>
                        </w:rPr>
                        <w:t>277</w:t>
                      </w:r>
                      <w:r>
                        <w:rPr>
                          <w:spacing w:val="39"/>
                          <w:sz w:val="24"/>
                        </w:rPr>
                        <w:t xml:space="preserve"> </w:t>
                      </w:r>
                    </w:p>
                  </w:txbxContent>
                </v:textbox>
              </v:rect>
              <v:rect id="Rectangle 11100" o:spid="_x0000_s1033" style="position:absolute;left:35307;top:410;width:77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" filled="f" stroked="f">
                <v:textbox inset="0,0,0,0">
                  <w:txbxContent>
                    <w:p w14:paraId="64132AAD" w14:textId="77777777" w:rsidR="004D543B" w:rsidRDefault="00B773EC">
                      <w:pPr>
                        <w:spacing w:after="160" w:line="259" w:lineRule="auto"/>
                        <w:ind w:left="0" w:right="0" w:firstLine="0"/>
                        <w:jc w:val="left"/>
                      </w:pPr>
                      <w:r>
                        <w:rPr>
                          <w:color w:val="6DCFF6"/>
                          <w:sz w:val="24"/>
                        </w:rPr>
                        <w:t>I</w:t>
                      </w:r>
                    </w:p>
                  </w:txbxContent>
                </v:textbox>
              </v:rect>
              <v:rect id="Rectangle 11101" o:spid="_x0000_s1034" style="position:absolute;left:35892;top:410;width:19845;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" filled="f" stroked="f">
                <v:textbox inset="0,0,0,0">
                  <w:txbxContent>
                    <w:p w14:paraId="4A304848" w14:textId="77777777" w:rsidR="004D543B" w:rsidRDefault="00B773EC">
                      <w:pPr>
                        <w:spacing w:after="160" w:line="259" w:lineRule="auto"/>
                        <w:ind w:left="0" w:right="0" w:firstLine="0"/>
                        <w:jc w:val="left"/>
                      </w:pPr>
                      <w:r>
                        <w:rPr>
                          <w:spacing w:val="39"/>
                          <w:sz w:val="24"/>
                        </w:rPr>
                        <w:t xml:space="preserve"> </w:t>
                      </w:r>
                      <w:r>
                        <w:rPr>
                          <w:sz w:val="24"/>
                        </w:rPr>
                        <w:t>September</w:t>
                      </w:r>
                      <w:r>
                        <w:rPr>
                          <w:spacing w:val="39"/>
                          <w:sz w:val="24"/>
                        </w:rPr>
                        <w:t xml:space="preserve"> </w:t>
                      </w:r>
                      <w:r>
                        <w:rPr>
                          <w:sz w:val="24"/>
                        </w:rPr>
                        <w:t>2024</w:t>
                      </w:r>
                    </w:p>
                  </w:txbxContent>
                </v:textbox>
              </v:rect>
              <v:shape id="Shape 11577" o:spid="_x0000_s1035" style="position:absolute;left:4;width:2889;height:7919;visibility:visible;mso-wrap-style:square;v-text-anchor:top" coordsize="288862,7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" path="m,l288862,r,791997l,791997,,e" fillcolor="#00adef" stroked="f" strokeweight="0">
                <v:stroke miterlimit="83231f" joinstyle="miter"/>
                <v:path arrowok="t" textboxrect="0,0,288862,791997"/>
              </v:shape>
              <v:rect id="Rectangle 11094" o:spid="_x0000_s1036" style="position:absolute;left:379;top:389;width:27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AQxQAAAN4AAAAPAAAAZHJzL2Rvd25yZXYueG1sRE9Na8JA&#10;EL0X+h+WKXhrNkoR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Arw9AQxQAAAN4AAAAP&#10;AAAAAAAAAAAAAAAAAAcCAABkcnMvZG93bnJldi54bWxQSwUGAAAAAAMAAwC3AAAA+QIAAAAA&#10;" filled="f" stroked="f">
                <v:textbox inset="0,0,0,0">
                  <w:txbxContent>
                    <w:p w14:paraId="0FB5E236" w14:textId="77777777" w:rsidR="004D543B" w:rsidRDefault="00B773EC">
                      <w:pPr>
                        <w:spacing w:after="160" w:line="259" w:lineRule="auto"/>
                        <w:ind w:left="0" w:right="0" w:firstLine="0"/>
                        <w:jc w:val="left"/>
                      </w:pPr>
                      <w:r>
                        <w:fldChar w:fldCharType="begin"/>
                      </w:r>
                      <w:r>
                        <w:instrText xml:space="preserve"> PAGE   \* MERGEFORMAT </w:instrText>
                      </w:r>
                      <w:r>
                        <w:fldChar w:fldCharType="separate"/>
                      </w:r>
                      <w:r>
                        <w:rPr>
                          <w:rFonts w:ascii="Book Antiqua" w:eastAsia="Book Antiqua" w:hAnsi="Book Antiqua" w:cs="Book Antiqua"/>
                          <w:b/>
                          <w:color w:val="FFFFFF"/>
                          <w:sz w:val="22"/>
                        </w:rPr>
                        <w:t>560</w:t>
                      </w:r>
                      <w:r>
                        <w:rPr>
                          <w:rFonts w:ascii="Book Antiqua" w:eastAsia="Book Antiqua" w:hAnsi="Book Antiqua" w:cs="Book Antiqua"/>
                          <w:b/>
                          <w:color w:val="FFFFFF"/>
                          <w:sz w:val="22"/>
                        </w:rPr>
                        <w:fldChar w:fldCharType="end"/>
                      </w:r>
                    </w:p>
                  </w:txbxContent>
                </v:textbox>
              </v:rect>
              <v:rect id="Rectangle 11102" o:spid="_x0000_s1037" style="position:absolute;left:17070;top:2519;width:239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" filled="f" stroked="f">
                <v:textbox inset="0,0,0,0">
                  <w:txbxContent>
                    <w:p w14:paraId="45514568" w14:textId="77777777" w:rsidR="004D543B" w:rsidRDefault="00B773EC">
                      <w:pPr>
                        <w:spacing w:after="160" w:line="259" w:lineRule="auto"/>
                        <w:ind w:left="0" w:right="0" w:firstLine="0"/>
                        <w:jc w:val="left"/>
                      </w:pPr>
                      <w:r>
                        <w:rPr>
                          <w:sz w:val="16"/>
                        </w:rPr>
                        <w:t>Free</w:t>
                      </w:r>
                      <w:r>
                        <w:rPr>
                          <w:spacing w:val="8"/>
                          <w:sz w:val="16"/>
                        </w:rPr>
                        <w:t xml:space="preserve"> </w:t>
                      </w:r>
                      <w:r>
                        <w:rPr>
                          <w:sz w:val="16"/>
                        </w:rPr>
                        <w:t>Full</w:t>
                      </w:r>
                      <w:r>
                        <w:rPr>
                          <w:spacing w:val="-21"/>
                          <w:sz w:val="16"/>
                        </w:rPr>
                        <w:t xml:space="preserve"> </w:t>
                      </w:r>
                      <w:r>
                        <w:rPr>
                          <w:sz w:val="16"/>
                        </w:rPr>
                        <w:t>Text Articles</w:t>
                      </w:r>
                      <w:r>
                        <w:rPr>
                          <w:spacing w:val="7"/>
                          <w:sz w:val="16"/>
                        </w:rPr>
                        <w:t xml:space="preserve"> </w:t>
                      </w:r>
                      <w:r>
                        <w:rPr>
                          <w:sz w:val="16"/>
                        </w:rPr>
                        <w:t>are Available</w:t>
                      </w:r>
                      <w:r>
                        <w:rPr>
                          <w:spacing w:val="7"/>
                          <w:sz w:val="16"/>
                        </w:rPr>
                        <w:t xml:space="preserve"> </w:t>
                      </w:r>
                      <w:r>
                        <w:rPr>
                          <w:sz w:val="16"/>
                        </w:rPr>
                        <w:t>at</w:t>
                      </w:r>
                      <w:r>
                        <w:rPr>
                          <w:spacing w:val="8"/>
                          <w:sz w:val="16"/>
                        </w:rPr>
                        <w:t xml:space="preserve"> </w:t>
                      </w:r>
                    </w:p>
                  </w:txbxContent>
                </v:textbox>
              </v:rect>
              <v:rect id="Rectangle 11103" o:spid="_x0000_s1038" style="position:absolute;left:34966;top:2519;width:1126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J+xAAAAN4AAAAPAAAAZHJzL2Rvd25yZXYueG1sRE9Li8Iw&#10;EL4L+x/CLHjTtAq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DrB0n7EAAAA3gAAAA8A&#10;AAAAAAAAAAAAAAAABwIAAGRycy9kb3ducmV2LnhtbFBLBQYAAAAAAwADALcAAAD4AgAAAAA=&#10;" filled="f" stroked="f">
                <v:textbox inset="0,0,0,0">
                  <w:txbxContent>
                    <w:p w14:paraId="1320B78B" w14:textId="77777777" w:rsidR="004D543B" w:rsidRDefault="00B773EC">
                      <w:pPr>
                        <w:spacing w:after="160" w:line="259" w:lineRule="auto"/>
                        <w:ind w:left="0" w:right="0" w:firstLine="0"/>
                        <w:jc w:val="left"/>
                      </w:pPr>
                      <w:r>
                        <w:rPr>
                          <w:color w:val="00ADEF"/>
                          <w:sz w:val="16"/>
                        </w:rPr>
                        <w:t>www.jnma.com.n</w:t>
                      </w:r>
                    </w:p>
                  </w:txbxContent>
                </v:textbox>
              </v:rect>
              <v:rect id="Rectangle 11104" o:spid="_x0000_s1039" style="position:absolute;left:43433;top:2519;width:82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oKxAAAAN4AAAAPAAAAZHJzL2Rvd25yZXYueG1sRE9Li8Iw&#10;EL4L+x/CLHjTtCK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LUoSgrEAAAA3gAAAA8A&#10;AAAAAAAAAAAAAAAABwIAAGRycy9kb3ducmV2LnhtbFBLBQYAAAAAAwADALcAAAD4AgAAAAA=&#10;" filled="f" stroked="f">
                <v:textbox inset="0,0,0,0">
                  <w:txbxContent>
                    <w:p w14:paraId="255D1A52" w14:textId="77777777" w:rsidR="004D543B" w:rsidRDefault="00B773EC">
                      <w:pPr>
                        <w:spacing w:after="160" w:line="259" w:lineRule="auto"/>
                        <w:ind w:left="0" w:right="0" w:firstLine="0"/>
                        <w:jc w:val="left"/>
                      </w:pPr>
                      <w:r>
                        <w:rPr>
                          <w:color w:val="00ADEF"/>
                          <w:sz w:val="16"/>
                        </w:rPr>
                        <w:t>p</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C480" w14:textId="29290F93" w:rsidR="004D543B" w:rsidRDefault="004D543B">
    <w:pPr>
      <w:spacing w:after="0" w:line="259" w:lineRule="auto"/>
      <w:ind w:left="-1134" w:right="10727"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4EAA" w14:textId="413A9074" w:rsidR="004D543B" w:rsidRDefault="004D543B">
    <w:pPr>
      <w:spacing w:after="0" w:line="259" w:lineRule="auto"/>
      <w:ind w:left="-1134" w:right="10727"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35B0" w14:textId="77777777" w:rsidR="00C64E38" w:rsidRDefault="00C64E38">
      <w:pPr>
        <w:spacing w:after="0" w:line="240" w:lineRule="auto"/>
      </w:pPr>
      <w:r>
        <w:separator/>
      </w:r>
    </w:p>
  </w:footnote>
  <w:footnote w:type="continuationSeparator" w:id="0">
    <w:p w14:paraId="45B265D1" w14:textId="77777777" w:rsidR="00C64E38" w:rsidRDefault="00C64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255A" w14:textId="55ADF02E" w:rsidR="004D543B" w:rsidRDefault="00000000">
    <w:pPr>
      <w:spacing w:after="0" w:line="259" w:lineRule="auto"/>
      <w:ind w:left="44" w:right="0" w:firstLine="0"/>
      <w:jc w:val="center"/>
    </w:pPr>
    <w:r>
      <w:rPr>
        <w:noProof/>
      </w:rPr>
      <w:pict w14:anchorId="4D231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2" o:spid="_x0000_s1026" type="#_x0000_t136" style="position:absolute;left:0;text-align:left;margin-left:0;margin-top:0;width:572.25pt;height:107.3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B773EC">
      <w:rPr>
        <w:noProof/>
        <w:sz w:val="22"/>
        <w:lang w:bidi="ar-SA"/>
      </w:rPr>
      <mc:AlternateContent>
        <mc:Choice Requires="wpg">
          <w:drawing>
            <wp:anchor distT="0" distB="0" distL="114300" distR="114300" simplePos="0" relativeHeight="251658240" behindDoc="0" locked="0" layoutInCell="1" allowOverlap="1" wp14:anchorId="586544A0" wp14:editId="400681BF">
              <wp:simplePos x="0" y="0"/>
              <wp:positionH relativeFrom="page">
                <wp:posOffset>720599</wp:posOffset>
              </wp:positionH>
              <wp:positionV relativeFrom="page">
                <wp:posOffset>782920</wp:posOffset>
              </wp:positionV>
              <wp:extent cx="6120003" cy="19050"/>
              <wp:effectExtent l="0" t="0" r="0" b="0"/>
              <wp:wrapSquare wrapText="bothSides"/>
              <wp:docPr id="11085" name="Group 11085"/>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86" name="Shape 11086"/>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164D288E" id="Group 11085" o:spid="_x0000_s1026" style="position:absolute;margin-left:56.75pt;margin-top:61.65pt;width:481.9pt;height:1.5pt;z-index:251658240;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">
              <v:shape id="Shape 11086"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" path="m,l6120003,e" filled="f" strokecolor="#c6eafb" strokeweight="1.5pt">
                <v:stroke miterlimit="1" joinstyle="miter"/>
                <v:path arrowok="t" textboxrect="0,0,6120003,0"/>
              </v:shape>
              <w10:wrap type="square" anchorx="page" anchory="page"/>
            </v:group>
          </w:pict>
        </mc:Fallback>
      </mc:AlternateContent>
    </w:r>
    <w:r w:rsidR="00B773EC">
      <w:rPr>
        <w:rFonts w:ascii="Bodoni MT" w:eastAsia="Bodoni MT" w:hAnsi="Bodoni MT" w:cs="Bodoni MT"/>
        <w:sz w:val="16"/>
      </w:rPr>
      <w:t>Shrestha et al. Impact of Pictorial Health Warnings on Cigarette Packs among Current Smokers of Sub-Metropolitan City of Nepal...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8683" w14:textId="23A5A52F" w:rsidR="004D543B" w:rsidRDefault="00000000">
    <w:pPr>
      <w:spacing w:after="0" w:line="259" w:lineRule="auto"/>
      <w:ind w:left="44" w:right="0" w:firstLine="0"/>
      <w:jc w:val="center"/>
    </w:pPr>
    <w:r>
      <w:rPr>
        <w:noProof/>
      </w:rPr>
      <w:pict w14:anchorId="10F1B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3" o:spid="_x0000_s1027" type="#_x0000_t136" style="position:absolute;left:0;text-align:left;margin-left:0;margin-top:0;width:572.25pt;height:107.3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B773EC">
      <w:rPr>
        <w:noProof/>
        <w:sz w:val="22"/>
        <w:lang w:bidi="ar-SA"/>
      </w:rPr>
      <mc:AlternateContent>
        <mc:Choice Requires="wpg">
          <w:drawing>
            <wp:anchor distT="0" distB="0" distL="114300" distR="114300" simplePos="0" relativeHeight="251659264" behindDoc="0" locked="0" layoutInCell="1" allowOverlap="1" wp14:anchorId="54AC4B23" wp14:editId="70CB53E1">
              <wp:simplePos x="0" y="0"/>
              <wp:positionH relativeFrom="page">
                <wp:posOffset>720599</wp:posOffset>
              </wp:positionH>
              <wp:positionV relativeFrom="page">
                <wp:posOffset>782920</wp:posOffset>
              </wp:positionV>
              <wp:extent cx="6120003" cy="19050"/>
              <wp:effectExtent l="0" t="0" r="0" b="0"/>
              <wp:wrapSquare wrapText="bothSides"/>
              <wp:docPr id="11059" name="Group 11059"/>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60" name="Shape 11060"/>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6ED82194" id="Group 11059" o:spid="_x0000_s1026" style="position:absolute;margin-left:56.75pt;margin-top:61.65pt;width:481.9pt;height:1.5pt;z-index:251659264;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">
              <v:shape id="Shape 11060"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" path="m,l6120003,e" filled="f" strokecolor="#c6eafb" strokeweight="1.5pt">
                <v:stroke miterlimit="1" joinstyle="miter"/>
                <v:path arrowok="t" textboxrect="0,0,6120003,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48F5" w14:textId="44B5060A" w:rsidR="004D543B" w:rsidRDefault="00000000">
    <w:pPr>
      <w:spacing w:after="0" w:line="259" w:lineRule="auto"/>
      <w:ind w:left="-1134" w:right="10727" w:firstLine="0"/>
      <w:jc w:val="left"/>
    </w:pPr>
    <w:r>
      <w:rPr>
        <w:noProof/>
      </w:rPr>
      <w:pict w14:anchorId="6C925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1" o:spid="_x0000_s1025" type="#_x0000_t136" style="position:absolute;left:0;text-align:left;margin-left:0;margin-top:0;width:572.25pt;height:107.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B773EC">
      <w:rPr>
        <w:noProof/>
        <w:sz w:val="22"/>
        <w:lang w:bidi="ar-SA"/>
      </w:rPr>
      <mc:AlternateContent>
        <mc:Choice Requires="wpg">
          <w:drawing>
            <wp:anchor distT="0" distB="0" distL="114300" distR="114300" simplePos="0" relativeHeight="251660288" behindDoc="0" locked="0" layoutInCell="1" allowOverlap="1" wp14:anchorId="5625E441" wp14:editId="06B27D37">
              <wp:simplePos x="0" y="0"/>
              <wp:positionH relativeFrom="page">
                <wp:posOffset>720599</wp:posOffset>
              </wp:positionH>
              <wp:positionV relativeFrom="page">
                <wp:posOffset>782920</wp:posOffset>
              </wp:positionV>
              <wp:extent cx="6120003" cy="19050"/>
              <wp:effectExtent l="0" t="0" r="0" b="0"/>
              <wp:wrapSquare wrapText="bothSides"/>
              <wp:docPr id="11033" name="Group 11033"/>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34" name="Shape 11034"/>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0C5FFB15" id="Group 11033" o:spid="_x0000_s1026" style="position:absolute;margin-left:56.75pt;margin-top:61.65pt;width:481.9pt;height:1.5pt;z-index:251660288;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">
              <v:shape id="Shape 11034"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" path="m,l6120003,e" filled="f" strokecolor="#c6eafb" strokeweight="1.5pt">
                <v:stroke miterlimit="1" joinstyle="miter"/>
                <v:path arrowok="t" textboxrect="0,0,6120003,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D91"/>
    <w:multiLevelType w:val="hybridMultilevel"/>
    <w:tmpl w:val="A18023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41F90"/>
    <w:multiLevelType w:val="multilevel"/>
    <w:tmpl w:val="0D7E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86D1E"/>
    <w:multiLevelType w:val="multilevel"/>
    <w:tmpl w:val="F1FC0BF0"/>
    <w:lvl w:ilvl="0">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99569EB"/>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BF933CB"/>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D886DED"/>
    <w:multiLevelType w:val="multilevel"/>
    <w:tmpl w:val="CB0AC630"/>
    <w:lvl w:ilvl="0">
      <w:start w:val="1"/>
      <w:numFmt w:val="decimal"/>
      <w:lvlText w:val="%1."/>
      <w:lvlJc w:val="left"/>
      <w:pPr>
        <w:tabs>
          <w:tab w:val="num" w:pos="720"/>
        </w:tabs>
        <w:ind w:left="720" w:hanging="360"/>
      </w:pPr>
    </w:lvl>
    <w:lvl w:ilvl="1">
      <w:start w:val="1"/>
      <w:numFmt w:val="bullet"/>
      <w:lvlText w:val="o"/>
      <w:lvlJc w:val="left"/>
      <w:pPr>
        <w:tabs>
          <w:tab w:val="num" w:pos="990"/>
        </w:tabs>
        <w:ind w:left="99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0B5665"/>
    <w:multiLevelType w:val="multilevel"/>
    <w:tmpl w:val="53B83612"/>
    <w:lvl w:ilvl="0">
      <w:start w:val="1"/>
      <w:numFmt w:val="decimal"/>
      <w:lvlText w:val="%1."/>
      <w:lvlJc w:val="left"/>
      <w:pPr>
        <w:tabs>
          <w:tab w:val="num" w:pos="720"/>
        </w:tabs>
        <w:ind w:left="720" w:hanging="360"/>
      </w:pPr>
    </w:lvl>
    <w:lvl w:ilvl="1">
      <w:start w:val="1"/>
      <w:numFmt w:val="bullet"/>
      <w:lvlText w:val="o"/>
      <w:lvlJc w:val="left"/>
      <w:pPr>
        <w:tabs>
          <w:tab w:val="num" w:pos="990"/>
        </w:tabs>
        <w:ind w:left="99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F3796"/>
    <w:multiLevelType w:val="multilevel"/>
    <w:tmpl w:val="8F10F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F64C78"/>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E673CC7"/>
    <w:multiLevelType w:val="hybridMultilevel"/>
    <w:tmpl w:val="47D043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F6588"/>
    <w:multiLevelType w:val="multilevel"/>
    <w:tmpl w:val="BB84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B1473C"/>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B6E03FE"/>
    <w:multiLevelType w:val="hybridMultilevel"/>
    <w:tmpl w:val="A8D6CB30"/>
    <w:lvl w:ilvl="0" w:tplc="AEB0210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63709"/>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7B12C30"/>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FCD57DA"/>
    <w:multiLevelType w:val="hybridMultilevel"/>
    <w:tmpl w:val="0F023120"/>
    <w:lvl w:ilvl="0" w:tplc="257A0136">
      <w:start w:val="1"/>
      <w:numFmt w:val="decimal"/>
      <w:lvlText w:val="%1."/>
      <w:lvlJc w:val="left"/>
      <w:pPr>
        <w:ind w:left="34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1" w:tplc="E510599C">
      <w:start w:val="1"/>
      <w:numFmt w:val="lowerLetter"/>
      <w:lvlText w:val="%2"/>
      <w:lvlJc w:val="left"/>
      <w:pPr>
        <w:ind w:left="108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2" w:tplc="0F6E60FC">
      <w:start w:val="1"/>
      <w:numFmt w:val="lowerRoman"/>
      <w:lvlText w:val="%3"/>
      <w:lvlJc w:val="left"/>
      <w:pPr>
        <w:ind w:left="180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3" w:tplc="2BE8ACD0">
      <w:start w:val="1"/>
      <w:numFmt w:val="decimal"/>
      <w:lvlText w:val="%4"/>
      <w:lvlJc w:val="left"/>
      <w:pPr>
        <w:ind w:left="252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4" w:tplc="378092BC">
      <w:start w:val="1"/>
      <w:numFmt w:val="lowerLetter"/>
      <w:lvlText w:val="%5"/>
      <w:lvlJc w:val="left"/>
      <w:pPr>
        <w:ind w:left="324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5" w:tplc="B886A048">
      <w:start w:val="1"/>
      <w:numFmt w:val="lowerRoman"/>
      <w:lvlText w:val="%6"/>
      <w:lvlJc w:val="left"/>
      <w:pPr>
        <w:ind w:left="396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6" w:tplc="7BA4DBE4">
      <w:start w:val="1"/>
      <w:numFmt w:val="decimal"/>
      <w:lvlText w:val="%7"/>
      <w:lvlJc w:val="left"/>
      <w:pPr>
        <w:ind w:left="468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7" w:tplc="6F9079A2">
      <w:start w:val="1"/>
      <w:numFmt w:val="lowerLetter"/>
      <w:lvlText w:val="%8"/>
      <w:lvlJc w:val="left"/>
      <w:pPr>
        <w:ind w:left="540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8" w:tplc="BB12167E">
      <w:start w:val="1"/>
      <w:numFmt w:val="lowerRoman"/>
      <w:lvlText w:val="%9"/>
      <w:lvlJc w:val="left"/>
      <w:pPr>
        <w:ind w:left="612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730843D5"/>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73391B68"/>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189487570">
    <w:abstractNumId w:val="15"/>
  </w:num>
  <w:num w:numId="2" w16cid:durableId="734668442">
    <w:abstractNumId w:val="9"/>
  </w:num>
  <w:num w:numId="3" w16cid:durableId="331109228">
    <w:abstractNumId w:val="2"/>
  </w:num>
  <w:num w:numId="4" w16cid:durableId="956447555">
    <w:abstractNumId w:val="0"/>
  </w:num>
  <w:num w:numId="5" w16cid:durableId="3216964">
    <w:abstractNumId w:val="14"/>
  </w:num>
  <w:num w:numId="6" w16cid:durableId="783579400">
    <w:abstractNumId w:val="12"/>
  </w:num>
  <w:num w:numId="7" w16cid:durableId="1253051740">
    <w:abstractNumId w:val="16"/>
  </w:num>
  <w:num w:numId="8" w16cid:durableId="389116090">
    <w:abstractNumId w:val="3"/>
  </w:num>
  <w:num w:numId="9" w16cid:durableId="1653413821">
    <w:abstractNumId w:val="17"/>
  </w:num>
  <w:num w:numId="10" w16cid:durableId="1512257907">
    <w:abstractNumId w:val="11"/>
  </w:num>
  <w:num w:numId="11" w16cid:durableId="298072786">
    <w:abstractNumId w:val="13"/>
  </w:num>
  <w:num w:numId="12" w16cid:durableId="161819551">
    <w:abstractNumId w:val="4"/>
  </w:num>
  <w:num w:numId="13" w16cid:durableId="1672877198">
    <w:abstractNumId w:val="8"/>
  </w:num>
  <w:num w:numId="14" w16cid:durableId="1672678493">
    <w:abstractNumId w:val="1"/>
  </w:num>
  <w:num w:numId="15" w16cid:durableId="1730879877">
    <w:abstractNumId w:val="6"/>
  </w:num>
  <w:num w:numId="16" w16cid:durableId="1744063420">
    <w:abstractNumId w:val="5"/>
  </w:num>
  <w:num w:numId="17" w16cid:durableId="1908612619">
    <w:abstractNumId w:val="7"/>
  </w:num>
  <w:num w:numId="18" w16cid:durableId="13488654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0MzI1NjIwMrY0MjFQ0lEKTi0uzszPAykwrAUAGK0zNywAAAA="/>
  </w:docVars>
  <w:rsids>
    <w:rsidRoot w:val="004D543B"/>
    <w:rsid w:val="000035A4"/>
    <w:rsid w:val="00012B20"/>
    <w:rsid w:val="0002711E"/>
    <w:rsid w:val="00030C77"/>
    <w:rsid w:val="0003674F"/>
    <w:rsid w:val="00092ACF"/>
    <w:rsid w:val="000C5B79"/>
    <w:rsid w:val="000C6A9C"/>
    <w:rsid w:val="000D0629"/>
    <w:rsid w:val="001012B0"/>
    <w:rsid w:val="00140B78"/>
    <w:rsid w:val="0015168A"/>
    <w:rsid w:val="0017618D"/>
    <w:rsid w:val="00180016"/>
    <w:rsid w:val="00195F21"/>
    <w:rsid w:val="001A498B"/>
    <w:rsid w:val="001E3615"/>
    <w:rsid w:val="002065DD"/>
    <w:rsid w:val="00207F27"/>
    <w:rsid w:val="00217F47"/>
    <w:rsid w:val="00227EA3"/>
    <w:rsid w:val="002315E1"/>
    <w:rsid w:val="002378B8"/>
    <w:rsid w:val="0029327C"/>
    <w:rsid w:val="002D1F32"/>
    <w:rsid w:val="002E4B2F"/>
    <w:rsid w:val="002F2D3B"/>
    <w:rsid w:val="00303C50"/>
    <w:rsid w:val="003951C0"/>
    <w:rsid w:val="003B5B3F"/>
    <w:rsid w:val="003E691E"/>
    <w:rsid w:val="003F5F0F"/>
    <w:rsid w:val="00433EDE"/>
    <w:rsid w:val="004D543B"/>
    <w:rsid w:val="005030A4"/>
    <w:rsid w:val="00504098"/>
    <w:rsid w:val="00505FF7"/>
    <w:rsid w:val="005157A3"/>
    <w:rsid w:val="00526F6A"/>
    <w:rsid w:val="00541ADF"/>
    <w:rsid w:val="00561F99"/>
    <w:rsid w:val="00596420"/>
    <w:rsid w:val="005A2ABA"/>
    <w:rsid w:val="005C224F"/>
    <w:rsid w:val="005F0B24"/>
    <w:rsid w:val="005F0F1D"/>
    <w:rsid w:val="00602C6F"/>
    <w:rsid w:val="0061047C"/>
    <w:rsid w:val="00615FC1"/>
    <w:rsid w:val="0061751B"/>
    <w:rsid w:val="006248CD"/>
    <w:rsid w:val="00633175"/>
    <w:rsid w:val="00633905"/>
    <w:rsid w:val="00647A6D"/>
    <w:rsid w:val="00671C68"/>
    <w:rsid w:val="006A2FDD"/>
    <w:rsid w:val="006F087F"/>
    <w:rsid w:val="006F4421"/>
    <w:rsid w:val="006F6F67"/>
    <w:rsid w:val="007265EE"/>
    <w:rsid w:val="0073799F"/>
    <w:rsid w:val="007A05CA"/>
    <w:rsid w:val="007B3BCE"/>
    <w:rsid w:val="00800553"/>
    <w:rsid w:val="008074C0"/>
    <w:rsid w:val="00842C75"/>
    <w:rsid w:val="00850F82"/>
    <w:rsid w:val="00857A4C"/>
    <w:rsid w:val="00863E79"/>
    <w:rsid w:val="00875A4D"/>
    <w:rsid w:val="008A16A4"/>
    <w:rsid w:val="008B6D1B"/>
    <w:rsid w:val="008C24FD"/>
    <w:rsid w:val="008D011D"/>
    <w:rsid w:val="008F1B7C"/>
    <w:rsid w:val="0091209E"/>
    <w:rsid w:val="00923370"/>
    <w:rsid w:val="00941929"/>
    <w:rsid w:val="00955032"/>
    <w:rsid w:val="00970EAD"/>
    <w:rsid w:val="009B4AD0"/>
    <w:rsid w:val="009F6807"/>
    <w:rsid w:val="00A31680"/>
    <w:rsid w:val="00A43FC0"/>
    <w:rsid w:val="00A629FE"/>
    <w:rsid w:val="00A62FCA"/>
    <w:rsid w:val="00A761AA"/>
    <w:rsid w:val="00A93494"/>
    <w:rsid w:val="00A9480D"/>
    <w:rsid w:val="00AA4185"/>
    <w:rsid w:val="00AC3D85"/>
    <w:rsid w:val="00AF4B6C"/>
    <w:rsid w:val="00AF7AAC"/>
    <w:rsid w:val="00B03C4B"/>
    <w:rsid w:val="00B10528"/>
    <w:rsid w:val="00B10FA4"/>
    <w:rsid w:val="00B16720"/>
    <w:rsid w:val="00B26EDA"/>
    <w:rsid w:val="00B26F9D"/>
    <w:rsid w:val="00B413A4"/>
    <w:rsid w:val="00B4277C"/>
    <w:rsid w:val="00B76A82"/>
    <w:rsid w:val="00B773EC"/>
    <w:rsid w:val="00BD3482"/>
    <w:rsid w:val="00BD73DC"/>
    <w:rsid w:val="00BF2AD7"/>
    <w:rsid w:val="00C13096"/>
    <w:rsid w:val="00C14A74"/>
    <w:rsid w:val="00C26AEC"/>
    <w:rsid w:val="00C32529"/>
    <w:rsid w:val="00C336AB"/>
    <w:rsid w:val="00C617F3"/>
    <w:rsid w:val="00C64E38"/>
    <w:rsid w:val="00C82828"/>
    <w:rsid w:val="00C82FC1"/>
    <w:rsid w:val="00C87AE7"/>
    <w:rsid w:val="00C92087"/>
    <w:rsid w:val="00C96D6B"/>
    <w:rsid w:val="00CD34BA"/>
    <w:rsid w:val="00CD6435"/>
    <w:rsid w:val="00D208A9"/>
    <w:rsid w:val="00D466E7"/>
    <w:rsid w:val="00D605D6"/>
    <w:rsid w:val="00D60C1C"/>
    <w:rsid w:val="00D64D11"/>
    <w:rsid w:val="00D73489"/>
    <w:rsid w:val="00DD1ADD"/>
    <w:rsid w:val="00DD4897"/>
    <w:rsid w:val="00DE7CCC"/>
    <w:rsid w:val="00DF04CB"/>
    <w:rsid w:val="00E113B8"/>
    <w:rsid w:val="00E15A32"/>
    <w:rsid w:val="00E22198"/>
    <w:rsid w:val="00E4559A"/>
    <w:rsid w:val="00E661C7"/>
    <w:rsid w:val="00E85F01"/>
    <w:rsid w:val="00EC0DF1"/>
    <w:rsid w:val="00EE1523"/>
    <w:rsid w:val="00EF0874"/>
    <w:rsid w:val="00F055B8"/>
    <w:rsid w:val="00F12C3F"/>
    <w:rsid w:val="00F1549A"/>
    <w:rsid w:val="00F81651"/>
    <w:rsid w:val="00F939B5"/>
    <w:rsid w:val="00FC0838"/>
    <w:rsid w:val="00FD7001"/>
    <w:rsid w:val="00FE1095"/>
    <w:rsid w:val="00FE1B46"/>
    <w:rsid w:val="00FE2AA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24D042"/>
  <w15:docId w15:val="{8BBAF4E7-21BE-455F-8BB2-B566043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6" w:line="256" w:lineRule="auto"/>
      <w:ind w:left="10" w:right="50" w:hanging="10"/>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49" w:line="259" w:lineRule="auto"/>
      <w:ind w:left="860" w:hanging="10"/>
      <w:outlineLvl w:val="0"/>
    </w:pPr>
    <w:rPr>
      <w:rFonts w:ascii="Calibri" w:eastAsia="Calibri" w:hAnsi="Calibri" w:cs="Calibri"/>
      <w:b/>
      <w:color w:val="00ADEF"/>
      <w:sz w:val="20"/>
    </w:rPr>
  </w:style>
  <w:style w:type="paragraph" w:styleId="Heading2">
    <w:name w:val="heading 2"/>
    <w:next w:val="Normal"/>
    <w:link w:val="Heading2Char"/>
    <w:uiPriority w:val="9"/>
    <w:unhideWhenUsed/>
    <w:qFormat/>
    <w:pPr>
      <w:keepNext/>
      <w:keepLines/>
      <w:spacing w:after="149" w:line="259" w:lineRule="auto"/>
      <w:ind w:left="860" w:hanging="10"/>
      <w:outlineLvl w:val="1"/>
    </w:pPr>
    <w:rPr>
      <w:rFonts w:ascii="Calibri" w:eastAsia="Calibri" w:hAnsi="Calibri" w:cs="Calibri"/>
      <w:b/>
      <w:color w:val="00ADE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ADEF"/>
      <w:sz w:val="20"/>
    </w:rPr>
  </w:style>
  <w:style w:type="character" w:customStyle="1" w:styleId="Heading2Char">
    <w:name w:val="Heading 2 Char"/>
    <w:link w:val="Heading2"/>
    <w:rPr>
      <w:rFonts w:ascii="Calibri" w:eastAsia="Calibri" w:hAnsi="Calibri" w:cs="Calibri"/>
      <w:b/>
      <w:color w:val="00ADEF"/>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51C0"/>
    <w:pPr>
      <w:spacing w:after="160" w:line="259" w:lineRule="auto"/>
      <w:ind w:left="720" w:right="0" w:firstLine="0"/>
      <w:contextualSpacing/>
      <w:jc w:val="left"/>
    </w:pPr>
    <w:rPr>
      <w:rFonts w:asciiTheme="minorHAnsi" w:eastAsiaTheme="minorHAnsi" w:hAnsiTheme="minorHAnsi" w:cstheme="minorBidi"/>
      <w:color w:val="auto"/>
      <w:kern w:val="0"/>
      <w:sz w:val="22"/>
      <w:szCs w:val="22"/>
      <w:lang w:bidi="ar-SA"/>
      <w14:ligatures w14:val="none"/>
    </w:rPr>
  </w:style>
  <w:style w:type="paragraph" w:styleId="NormalWeb">
    <w:name w:val="Normal (Web)"/>
    <w:basedOn w:val="Normal"/>
    <w:uiPriority w:val="99"/>
    <w:unhideWhenUsed/>
    <w:rsid w:val="00217F47"/>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bidi="ar-SA"/>
      <w14:ligatures w14:val="none"/>
    </w:rPr>
  </w:style>
  <w:style w:type="table" w:styleId="TableGrid0">
    <w:name w:val="Table Grid"/>
    <w:basedOn w:val="TableNormal"/>
    <w:uiPriority w:val="39"/>
    <w:rsid w:val="00217F47"/>
    <w:pPr>
      <w:spacing w:after="0" w:line="240" w:lineRule="auto"/>
    </w:pPr>
    <w:rPr>
      <w:rFonts w:eastAsiaTheme="minorHAns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2AAB"/>
    <w:pPr>
      <w:widowControl w:val="0"/>
      <w:autoSpaceDE w:val="0"/>
      <w:autoSpaceDN w:val="0"/>
      <w:spacing w:after="0" w:line="240" w:lineRule="auto"/>
      <w:ind w:left="0" w:right="0" w:firstLine="0"/>
      <w:jc w:val="left"/>
    </w:pPr>
    <w:rPr>
      <w:rFonts w:ascii="Times New Roman" w:eastAsia="Times New Roman" w:hAnsi="Times New Roman" w:cs="Times New Roman"/>
      <w:color w:val="auto"/>
      <w:kern w:val="0"/>
      <w:sz w:val="24"/>
      <w:szCs w:val="24"/>
      <w:lang w:bidi="ar-SA"/>
      <w14:ligatures w14:val="none"/>
    </w:rPr>
  </w:style>
  <w:style w:type="character" w:customStyle="1" w:styleId="BodyTextChar">
    <w:name w:val="Body Text Char"/>
    <w:basedOn w:val="DefaultParagraphFont"/>
    <w:link w:val="BodyText"/>
    <w:uiPriority w:val="1"/>
    <w:rsid w:val="00FE2AAB"/>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02711E"/>
    <w:rPr>
      <w:color w:val="467886" w:themeColor="hyperlink"/>
      <w:u w:val="single"/>
    </w:rPr>
  </w:style>
  <w:style w:type="character" w:customStyle="1" w:styleId="UnresolvedMention1">
    <w:name w:val="Unresolved Mention1"/>
    <w:basedOn w:val="DefaultParagraphFont"/>
    <w:uiPriority w:val="99"/>
    <w:semiHidden/>
    <w:unhideWhenUsed/>
    <w:rsid w:val="0002711E"/>
    <w:rPr>
      <w:color w:val="605E5C"/>
      <w:shd w:val="clear" w:color="auto" w:fill="E1DFDD"/>
    </w:rPr>
  </w:style>
  <w:style w:type="paragraph" w:styleId="Revision">
    <w:name w:val="Revision"/>
    <w:hidden/>
    <w:uiPriority w:val="99"/>
    <w:semiHidden/>
    <w:rsid w:val="00AF4B6C"/>
    <w:pPr>
      <w:spacing w:after="0" w:line="240" w:lineRule="auto"/>
    </w:pPr>
    <w:rPr>
      <w:rFonts w:ascii="Calibri" w:eastAsia="Calibri" w:hAnsi="Calibri" w:cs="Calibri"/>
      <w:color w:val="000000"/>
      <w:sz w:val="18"/>
    </w:rPr>
  </w:style>
  <w:style w:type="character" w:styleId="UnresolvedMention">
    <w:name w:val="Unresolved Mention"/>
    <w:basedOn w:val="DefaultParagraphFont"/>
    <w:uiPriority w:val="99"/>
    <w:semiHidden/>
    <w:unhideWhenUsed/>
    <w:rsid w:val="000C6A9C"/>
    <w:rPr>
      <w:color w:val="605E5C"/>
      <w:shd w:val="clear" w:color="auto" w:fill="E1DFDD"/>
    </w:rPr>
  </w:style>
  <w:style w:type="character" w:styleId="CommentReference">
    <w:name w:val="annotation reference"/>
    <w:basedOn w:val="DefaultParagraphFont"/>
    <w:uiPriority w:val="99"/>
    <w:semiHidden/>
    <w:unhideWhenUsed/>
    <w:rsid w:val="002F2D3B"/>
    <w:rPr>
      <w:sz w:val="16"/>
      <w:szCs w:val="16"/>
    </w:rPr>
  </w:style>
  <w:style w:type="paragraph" w:styleId="CommentText">
    <w:name w:val="annotation text"/>
    <w:basedOn w:val="Normal"/>
    <w:link w:val="CommentTextChar"/>
    <w:uiPriority w:val="99"/>
    <w:unhideWhenUsed/>
    <w:rsid w:val="002F2D3B"/>
    <w:pPr>
      <w:spacing w:line="240" w:lineRule="auto"/>
    </w:pPr>
    <w:rPr>
      <w:sz w:val="20"/>
      <w:szCs w:val="18"/>
    </w:rPr>
  </w:style>
  <w:style w:type="character" w:customStyle="1" w:styleId="CommentTextChar">
    <w:name w:val="Comment Text Char"/>
    <w:basedOn w:val="DefaultParagraphFont"/>
    <w:link w:val="CommentText"/>
    <w:uiPriority w:val="99"/>
    <w:rsid w:val="002F2D3B"/>
    <w:rPr>
      <w:rFonts w:ascii="Calibri" w:eastAsia="Calibri" w:hAnsi="Calibri" w:cs="Calibri"/>
      <w:color w:val="000000"/>
      <w:sz w:val="20"/>
      <w:szCs w:val="18"/>
    </w:rPr>
  </w:style>
  <w:style w:type="paragraph" w:styleId="CommentSubject">
    <w:name w:val="annotation subject"/>
    <w:basedOn w:val="CommentText"/>
    <w:next w:val="CommentText"/>
    <w:link w:val="CommentSubjectChar"/>
    <w:uiPriority w:val="99"/>
    <w:semiHidden/>
    <w:unhideWhenUsed/>
    <w:rsid w:val="002F2D3B"/>
    <w:rPr>
      <w:b/>
      <w:bCs/>
    </w:rPr>
  </w:style>
  <w:style w:type="character" w:customStyle="1" w:styleId="CommentSubjectChar">
    <w:name w:val="Comment Subject Char"/>
    <w:basedOn w:val="CommentTextChar"/>
    <w:link w:val="CommentSubject"/>
    <w:uiPriority w:val="99"/>
    <w:semiHidden/>
    <w:rsid w:val="002F2D3B"/>
    <w:rPr>
      <w:rFonts w:ascii="Calibri" w:eastAsia="Calibri" w:hAnsi="Calibri" w:cs="Calibri"/>
      <w:b/>
      <w:bCs/>
      <w:color w:val="000000"/>
      <w:sz w:val="20"/>
      <w:szCs w:val="18"/>
    </w:rPr>
  </w:style>
  <w:style w:type="character" w:styleId="PlaceholderText">
    <w:name w:val="Placeholder Text"/>
    <w:basedOn w:val="DefaultParagraphFont"/>
    <w:uiPriority w:val="99"/>
    <w:semiHidden/>
    <w:rsid w:val="00E221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3341">
      <w:bodyDiv w:val="1"/>
      <w:marLeft w:val="0"/>
      <w:marRight w:val="0"/>
      <w:marTop w:val="0"/>
      <w:marBottom w:val="0"/>
      <w:divBdr>
        <w:top w:val="none" w:sz="0" w:space="0" w:color="auto"/>
        <w:left w:val="none" w:sz="0" w:space="0" w:color="auto"/>
        <w:bottom w:val="none" w:sz="0" w:space="0" w:color="auto"/>
        <w:right w:val="none" w:sz="0" w:space="0" w:color="auto"/>
      </w:divBdr>
    </w:div>
    <w:div w:id="130946072">
      <w:bodyDiv w:val="1"/>
      <w:marLeft w:val="0"/>
      <w:marRight w:val="0"/>
      <w:marTop w:val="0"/>
      <w:marBottom w:val="0"/>
      <w:divBdr>
        <w:top w:val="none" w:sz="0" w:space="0" w:color="auto"/>
        <w:left w:val="none" w:sz="0" w:space="0" w:color="auto"/>
        <w:bottom w:val="none" w:sz="0" w:space="0" w:color="auto"/>
        <w:right w:val="none" w:sz="0" w:space="0" w:color="auto"/>
      </w:divBdr>
    </w:div>
    <w:div w:id="167789208">
      <w:bodyDiv w:val="1"/>
      <w:marLeft w:val="0"/>
      <w:marRight w:val="0"/>
      <w:marTop w:val="0"/>
      <w:marBottom w:val="0"/>
      <w:divBdr>
        <w:top w:val="none" w:sz="0" w:space="0" w:color="auto"/>
        <w:left w:val="none" w:sz="0" w:space="0" w:color="auto"/>
        <w:bottom w:val="none" w:sz="0" w:space="0" w:color="auto"/>
        <w:right w:val="none" w:sz="0" w:space="0" w:color="auto"/>
      </w:divBdr>
    </w:div>
    <w:div w:id="301620356">
      <w:bodyDiv w:val="1"/>
      <w:marLeft w:val="0"/>
      <w:marRight w:val="0"/>
      <w:marTop w:val="0"/>
      <w:marBottom w:val="0"/>
      <w:divBdr>
        <w:top w:val="none" w:sz="0" w:space="0" w:color="auto"/>
        <w:left w:val="none" w:sz="0" w:space="0" w:color="auto"/>
        <w:bottom w:val="none" w:sz="0" w:space="0" w:color="auto"/>
        <w:right w:val="none" w:sz="0" w:space="0" w:color="auto"/>
      </w:divBdr>
    </w:div>
    <w:div w:id="390463544">
      <w:bodyDiv w:val="1"/>
      <w:marLeft w:val="0"/>
      <w:marRight w:val="0"/>
      <w:marTop w:val="0"/>
      <w:marBottom w:val="0"/>
      <w:divBdr>
        <w:top w:val="none" w:sz="0" w:space="0" w:color="auto"/>
        <w:left w:val="none" w:sz="0" w:space="0" w:color="auto"/>
        <w:bottom w:val="none" w:sz="0" w:space="0" w:color="auto"/>
        <w:right w:val="none" w:sz="0" w:space="0" w:color="auto"/>
      </w:divBdr>
    </w:div>
    <w:div w:id="423191389">
      <w:bodyDiv w:val="1"/>
      <w:marLeft w:val="0"/>
      <w:marRight w:val="0"/>
      <w:marTop w:val="0"/>
      <w:marBottom w:val="0"/>
      <w:divBdr>
        <w:top w:val="none" w:sz="0" w:space="0" w:color="auto"/>
        <w:left w:val="none" w:sz="0" w:space="0" w:color="auto"/>
        <w:bottom w:val="none" w:sz="0" w:space="0" w:color="auto"/>
        <w:right w:val="none" w:sz="0" w:space="0" w:color="auto"/>
      </w:divBdr>
    </w:div>
    <w:div w:id="476995362">
      <w:bodyDiv w:val="1"/>
      <w:marLeft w:val="0"/>
      <w:marRight w:val="0"/>
      <w:marTop w:val="0"/>
      <w:marBottom w:val="0"/>
      <w:divBdr>
        <w:top w:val="none" w:sz="0" w:space="0" w:color="auto"/>
        <w:left w:val="none" w:sz="0" w:space="0" w:color="auto"/>
        <w:bottom w:val="none" w:sz="0" w:space="0" w:color="auto"/>
        <w:right w:val="none" w:sz="0" w:space="0" w:color="auto"/>
      </w:divBdr>
    </w:div>
    <w:div w:id="1105613879">
      <w:bodyDiv w:val="1"/>
      <w:marLeft w:val="0"/>
      <w:marRight w:val="0"/>
      <w:marTop w:val="0"/>
      <w:marBottom w:val="0"/>
      <w:divBdr>
        <w:top w:val="none" w:sz="0" w:space="0" w:color="auto"/>
        <w:left w:val="none" w:sz="0" w:space="0" w:color="auto"/>
        <w:bottom w:val="none" w:sz="0" w:space="0" w:color="auto"/>
        <w:right w:val="none" w:sz="0" w:space="0" w:color="auto"/>
      </w:divBdr>
    </w:div>
    <w:div w:id="1188063681">
      <w:bodyDiv w:val="1"/>
      <w:marLeft w:val="0"/>
      <w:marRight w:val="0"/>
      <w:marTop w:val="0"/>
      <w:marBottom w:val="0"/>
      <w:divBdr>
        <w:top w:val="none" w:sz="0" w:space="0" w:color="auto"/>
        <w:left w:val="none" w:sz="0" w:space="0" w:color="auto"/>
        <w:bottom w:val="none" w:sz="0" w:space="0" w:color="auto"/>
        <w:right w:val="none" w:sz="0" w:space="0" w:color="auto"/>
      </w:divBdr>
    </w:div>
    <w:div w:id="1296064303">
      <w:bodyDiv w:val="1"/>
      <w:marLeft w:val="0"/>
      <w:marRight w:val="0"/>
      <w:marTop w:val="0"/>
      <w:marBottom w:val="0"/>
      <w:divBdr>
        <w:top w:val="none" w:sz="0" w:space="0" w:color="auto"/>
        <w:left w:val="none" w:sz="0" w:space="0" w:color="auto"/>
        <w:bottom w:val="none" w:sz="0" w:space="0" w:color="auto"/>
        <w:right w:val="none" w:sz="0" w:space="0" w:color="auto"/>
      </w:divBdr>
    </w:div>
    <w:div w:id="1361709594">
      <w:bodyDiv w:val="1"/>
      <w:marLeft w:val="0"/>
      <w:marRight w:val="0"/>
      <w:marTop w:val="0"/>
      <w:marBottom w:val="0"/>
      <w:divBdr>
        <w:top w:val="none" w:sz="0" w:space="0" w:color="auto"/>
        <w:left w:val="none" w:sz="0" w:space="0" w:color="auto"/>
        <w:bottom w:val="none" w:sz="0" w:space="0" w:color="auto"/>
        <w:right w:val="none" w:sz="0" w:space="0" w:color="auto"/>
      </w:divBdr>
    </w:div>
    <w:div w:id="1659577369">
      <w:bodyDiv w:val="1"/>
      <w:marLeft w:val="0"/>
      <w:marRight w:val="0"/>
      <w:marTop w:val="0"/>
      <w:marBottom w:val="0"/>
      <w:divBdr>
        <w:top w:val="none" w:sz="0" w:space="0" w:color="auto"/>
        <w:left w:val="none" w:sz="0" w:space="0" w:color="auto"/>
        <w:bottom w:val="none" w:sz="0" w:space="0" w:color="auto"/>
        <w:right w:val="none" w:sz="0" w:space="0" w:color="auto"/>
      </w:divBdr>
    </w:div>
    <w:div w:id="1748991401">
      <w:bodyDiv w:val="1"/>
      <w:marLeft w:val="0"/>
      <w:marRight w:val="0"/>
      <w:marTop w:val="0"/>
      <w:marBottom w:val="0"/>
      <w:divBdr>
        <w:top w:val="none" w:sz="0" w:space="0" w:color="auto"/>
        <w:left w:val="none" w:sz="0" w:space="0" w:color="auto"/>
        <w:bottom w:val="none" w:sz="0" w:space="0" w:color="auto"/>
        <w:right w:val="none" w:sz="0" w:space="0" w:color="auto"/>
      </w:divBdr>
    </w:div>
    <w:div w:id="1791824200">
      <w:bodyDiv w:val="1"/>
      <w:marLeft w:val="0"/>
      <w:marRight w:val="0"/>
      <w:marTop w:val="0"/>
      <w:marBottom w:val="0"/>
      <w:divBdr>
        <w:top w:val="none" w:sz="0" w:space="0" w:color="auto"/>
        <w:left w:val="none" w:sz="0" w:space="0" w:color="auto"/>
        <w:bottom w:val="none" w:sz="0" w:space="0" w:color="auto"/>
        <w:right w:val="none" w:sz="0" w:space="0" w:color="auto"/>
      </w:divBdr>
    </w:div>
    <w:div w:id="1836988090">
      <w:bodyDiv w:val="1"/>
      <w:marLeft w:val="0"/>
      <w:marRight w:val="0"/>
      <w:marTop w:val="0"/>
      <w:marBottom w:val="0"/>
      <w:divBdr>
        <w:top w:val="none" w:sz="0" w:space="0" w:color="auto"/>
        <w:left w:val="none" w:sz="0" w:space="0" w:color="auto"/>
        <w:bottom w:val="none" w:sz="0" w:space="0" w:color="auto"/>
        <w:right w:val="none" w:sz="0" w:space="0" w:color="auto"/>
      </w:divBdr>
    </w:div>
    <w:div w:id="1860005771">
      <w:bodyDiv w:val="1"/>
      <w:marLeft w:val="0"/>
      <w:marRight w:val="0"/>
      <w:marTop w:val="0"/>
      <w:marBottom w:val="0"/>
      <w:divBdr>
        <w:top w:val="none" w:sz="0" w:space="0" w:color="auto"/>
        <w:left w:val="none" w:sz="0" w:space="0" w:color="auto"/>
        <w:bottom w:val="none" w:sz="0" w:space="0" w:color="auto"/>
        <w:right w:val="none" w:sz="0" w:space="0" w:color="auto"/>
      </w:divBdr>
    </w:div>
    <w:div w:id="1915973070">
      <w:bodyDiv w:val="1"/>
      <w:marLeft w:val="0"/>
      <w:marRight w:val="0"/>
      <w:marTop w:val="0"/>
      <w:marBottom w:val="0"/>
      <w:divBdr>
        <w:top w:val="none" w:sz="0" w:space="0" w:color="auto"/>
        <w:left w:val="none" w:sz="0" w:space="0" w:color="auto"/>
        <w:bottom w:val="none" w:sz="0" w:space="0" w:color="auto"/>
        <w:right w:val="none" w:sz="0" w:space="0" w:color="auto"/>
      </w:divBdr>
    </w:div>
    <w:div w:id="2021807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journaljerr.com/index.php/JERR/article/view/819"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researchgate.net/publication/386320848_RESEARCH_ON_THE_IMPACT_OF_INERT_AND_HYDRAULIC_ADDITIVES_ON_SELF-COMPACTING_CONCRETE_UTILIZING_BRICK_AGGREGATE?channel=doi&amp;linkId=674cb4c9359dcb4d9d49ec39&amp;showFulltext=true"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6762</Words>
  <Characters>38549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 Jyoti</dc:creator>
  <cp:keywords/>
  <cp:lastModifiedBy>Editor GP 005</cp:lastModifiedBy>
  <cp:revision>14</cp:revision>
  <cp:lastPrinted>2025-05-12T16:58:00Z</cp:lastPrinted>
  <dcterms:created xsi:type="dcterms:W3CDTF">2025-05-12T04:38:00Z</dcterms:created>
  <dcterms:modified xsi:type="dcterms:W3CDTF">2025-05-16T05:44:00Z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f5fcc46e-649f-4ad7-bdcf-41d0280f14a3</vt:lpwstr>
  </property>
</Properties>
</file>