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8415" w14:textId="5FBEC9F2" w:rsidR="00754C9A" w:rsidRDefault="00CA2719" w:rsidP="00441B6F">
      <w:pPr>
        <w:pStyle w:val="Ttulo"/>
        <w:spacing w:after="0"/>
        <w:jc w:val="both"/>
        <w:rPr>
          <w:rFonts w:ascii="Arial" w:hAnsi="Arial" w:cs="Arial"/>
        </w:rPr>
      </w:pPr>
      <w:r w:rsidRPr="00CA2719">
        <w:rPr>
          <w:rFonts w:ascii="Arial" w:hAnsi="Arial" w:cs="Arial"/>
        </w:rPr>
        <w:t>Original Research Article</w:t>
      </w:r>
    </w:p>
    <w:p w14:paraId="51CCFA8B" w14:textId="77777777" w:rsidR="00CA2719" w:rsidRDefault="00CA2719" w:rsidP="00441B6F">
      <w:pPr>
        <w:pStyle w:val="Ttulo"/>
        <w:spacing w:after="0"/>
        <w:jc w:val="both"/>
        <w:rPr>
          <w:rFonts w:ascii="Arial" w:hAnsi="Arial" w:cs="Arial"/>
        </w:rPr>
      </w:pPr>
    </w:p>
    <w:p w14:paraId="3B97FE55" w14:textId="24A1396A" w:rsidR="00163BC4" w:rsidRPr="00163BC4" w:rsidRDefault="006D7ABC" w:rsidP="00441B6F">
      <w:pPr>
        <w:pStyle w:val="Author"/>
        <w:spacing w:line="240" w:lineRule="auto"/>
        <w:rPr>
          <w:rFonts w:ascii="Arial" w:hAnsi="Arial" w:cs="Arial"/>
          <w:bCs/>
          <w:iCs/>
          <w:kern w:val="28"/>
          <w:sz w:val="36"/>
        </w:rPr>
      </w:pPr>
      <w:r w:rsidRPr="006D7ABC">
        <w:rPr>
          <w:rFonts w:ascii="Arial" w:hAnsi="Arial" w:cs="Arial"/>
          <w:bCs/>
          <w:iCs/>
          <w:kern w:val="28"/>
          <w:sz w:val="36"/>
        </w:rPr>
        <w:t>Preserving identities, accessing global knowledge: the educational paradox in indigenous and living language contexts</w:t>
      </w:r>
      <w:r w:rsidR="00231920">
        <w:rPr>
          <w:rFonts w:ascii="Arial" w:hAnsi="Arial" w:cs="Arial"/>
          <w:bCs/>
          <w:iCs/>
          <w:kern w:val="28"/>
          <w:sz w:val="36"/>
        </w:rPr>
        <w:t xml:space="preserve"> </w:t>
      </w:r>
    </w:p>
    <w:p w14:paraId="5104E183" w14:textId="77777777" w:rsidR="00A258C3" w:rsidRPr="00790ADA" w:rsidRDefault="00A258C3" w:rsidP="00441B6F">
      <w:pPr>
        <w:pStyle w:val="Author"/>
        <w:spacing w:line="240" w:lineRule="auto"/>
        <w:jc w:val="both"/>
        <w:rPr>
          <w:rFonts w:ascii="Arial" w:hAnsi="Arial" w:cs="Arial"/>
          <w:sz w:val="36"/>
        </w:rPr>
      </w:pPr>
    </w:p>
    <w:p w14:paraId="196A201A" w14:textId="77777777" w:rsidR="00790ADA" w:rsidRPr="006D7ABC" w:rsidRDefault="00790ADA" w:rsidP="00441B6F">
      <w:pPr>
        <w:pStyle w:val="Affiliation"/>
        <w:spacing w:after="0" w:line="240" w:lineRule="auto"/>
        <w:jc w:val="both"/>
        <w:rPr>
          <w:rFonts w:ascii="Arial" w:hAnsi="Arial" w:cs="Arial"/>
        </w:rPr>
      </w:pPr>
    </w:p>
    <w:p w14:paraId="175E4B95" w14:textId="77777777" w:rsidR="002C57D2" w:rsidRPr="006D7ABC" w:rsidRDefault="002C57D2" w:rsidP="00441B6F">
      <w:pPr>
        <w:pStyle w:val="Affiliation"/>
        <w:spacing w:after="0" w:line="240" w:lineRule="auto"/>
        <w:jc w:val="both"/>
        <w:rPr>
          <w:rFonts w:ascii="Arial" w:hAnsi="Arial" w:cs="Arial"/>
        </w:rPr>
      </w:pPr>
    </w:p>
    <w:p w14:paraId="17864735" w14:textId="4478771B" w:rsidR="00B01FCD" w:rsidRPr="00FB3A86" w:rsidRDefault="00E950ED" w:rsidP="00441B6F">
      <w:pPr>
        <w:pStyle w:val="Copyright"/>
        <w:spacing w:after="0" w:line="240" w:lineRule="auto"/>
        <w:jc w:val="both"/>
        <w:rPr>
          <w:rFonts w:ascii="Arial" w:hAnsi="Arial" w:cs="Arial"/>
        </w:rPr>
        <w:sectPr w:rsidR="00B01FCD" w:rsidRPr="00FB3A86" w:rsidSect="0002791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FFF379" wp14:editId="487826E2">
                <wp:extent cx="5303520" cy="635"/>
                <wp:effectExtent l="13335" t="11430" r="17145" b="17145"/>
                <wp:docPr id="27160377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FDCE9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56678F3" w14:textId="1C63223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73ABAB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A55C22D" w14:textId="77777777" w:rsidTr="001E44FE">
        <w:tc>
          <w:tcPr>
            <w:tcW w:w="9576" w:type="dxa"/>
            <w:shd w:val="clear" w:color="auto" w:fill="F2F2F2"/>
          </w:tcPr>
          <w:p w14:paraId="15B42F0C" w14:textId="77777777" w:rsidR="00617828" w:rsidRDefault="00617828" w:rsidP="00441B6F">
            <w:pPr>
              <w:pStyle w:val="Body"/>
              <w:spacing w:after="0"/>
              <w:rPr>
                <w:rFonts w:ascii="Arial" w:eastAsia="Calibri" w:hAnsi="Arial" w:cs="Arial"/>
                <w:szCs w:val="22"/>
              </w:rPr>
            </w:pPr>
          </w:p>
          <w:p w14:paraId="7D6E43F7" w14:textId="77777777" w:rsidR="006D7ABC" w:rsidRDefault="00802DB1" w:rsidP="00441B6F">
            <w:pPr>
              <w:pStyle w:val="Body"/>
              <w:spacing w:after="0"/>
              <w:rPr>
                <w:rFonts w:ascii="Arial" w:eastAsia="Calibri" w:hAnsi="Arial" w:cs="Arial"/>
                <w:szCs w:val="22"/>
              </w:rPr>
            </w:pPr>
            <w:r w:rsidRPr="00802DB1">
              <w:rPr>
                <w:rFonts w:ascii="Arial" w:eastAsia="Calibri" w:hAnsi="Arial" w:cs="Arial"/>
                <w:szCs w:val="22"/>
              </w:rPr>
              <w:t xml:space="preserve">This article explores the educational paradox faced by Indigenous communities: the challenge of preserving their cultural and linguistic identities while integrating into a global knowledge society. Based on the case of the Northeast Regional Complex of the </w:t>
            </w:r>
            <w:proofErr w:type="spellStart"/>
            <w:r w:rsidRPr="00802DB1">
              <w:rPr>
                <w:rFonts w:ascii="Arial" w:eastAsia="Calibri" w:hAnsi="Arial" w:cs="Arial"/>
                <w:szCs w:val="22"/>
              </w:rPr>
              <w:t>Benemérita</w:t>
            </w:r>
            <w:proofErr w:type="spellEnd"/>
            <w:r w:rsidRPr="00802DB1">
              <w:rPr>
                <w:rFonts w:ascii="Arial" w:eastAsia="Calibri" w:hAnsi="Arial" w:cs="Arial"/>
                <w:szCs w:val="22"/>
              </w:rPr>
              <w:t xml:space="preserve"> Universidad Autónoma de Puebla (BUAP), the study highlights intercultural educational strategies that avoid assimilationist practices by promoting epistemic equity. Programs such as General and Community Medicine include Indigenous languages and traditional health practices alongside scientific training, fostering horizontal dialogue between knowledge systems. The article underscores the importance of moving beyond folkloric inclusion toward structural curricular changes, interculturally sensitive teacher training, and collaboration with Indigenous communities. It advocates for an educational model rooted in epistemic integration, where Indigenous knowledge is validated and empowered rather than subordinated. </w:t>
            </w:r>
            <w:r w:rsidRPr="00E37641">
              <w:rPr>
                <w:rFonts w:ascii="Arial" w:eastAsia="Calibri" w:hAnsi="Arial" w:cs="Arial"/>
                <w:szCs w:val="22"/>
                <w:highlight w:val="yellow"/>
              </w:rPr>
              <w:t>Recent studies highlight the need to move beyond the colonial cognitive frameworks that have historically marginalized Indigenous cultures, recognizing them as dynamic and legitimate forms of knowledge that enrich educational and scientific processes.</w:t>
            </w:r>
            <w:r w:rsidRPr="00802DB1">
              <w:rPr>
                <w:rFonts w:ascii="Arial" w:eastAsia="Calibri" w:hAnsi="Arial" w:cs="Arial"/>
                <w:szCs w:val="22"/>
              </w:rPr>
              <w:t xml:space="preserve"> </w:t>
            </w:r>
            <w:r w:rsidRPr="00E37641">
              <w:rPr>
                <w:rFonts w:ascii="Arial" w:eastAsia="Calibri" w:hAnsi="Arial" w:cs="Arial"/>
                <w:szCs w:val="22"/>
                <w:highlight w:val="yellow"/>
              </w:rPr>
              <w:t>The authors consider that by promoting linguistic revitalization, critical interculturality, and global competencies, including English proficiency, the model will enable all students, especially those from Indigenous communities, to share multiple perspectives from distinct epistemic worlds without renouncing their identities</w:t>
            </w:r>
            <w:r w:rsidRPr="00802DB1">
              <w:rPr>
                <w:rFonts w:ascii="Arial" w:eastAsia="Calibri" w:hAnsi="Arial" w:cs="Arial"/>
                <w:szCs w:val="22"/>
              </w:rPr>
              <w:t>. The BUAP experience demonstrates that it is possible to reconcile the preservation of identity while fulfilling the global commitment to higher education. BUAP is an example of how educational institutions can educate students capable of navigating local and global contexts without sacrificing their cultural heritage, which contributes to the broader goals of educational equity and the decolonization of knowledge.</w:t>
            </w:r>
          </w:p>
          <w:p w14:paraId="70B13BF3" w14:textId="6A1A740B" w:rsidR="00802DB1" w:rsidRPr="00BA1B01" w:rsidRDefault="00802DB1" w:rsidP="00441B6F">
            <w:pPr>
              <w:pStyle w:val="Body"/>
              <w:spacing w:after="0"/>
              <w:rPr>
                <w:rFonts w:ascii="Arial" w:eastAsia="Calibri" w:hAnsi="Arial" w:cs="Arial"/>
                <w:szCs w:val="22"/>
              </w:rPr>
            </w:pPr>
          </w:p>
        </w:tc>
      </w:tr>
    </w:tbl>
    <w:p w14:paraId="27071D94" w14:textId="77777777" w:rsidR="00636EB2" w:rsidRDefault="00636EB2" w:rsidP="00441B6F">
      <w:pPr>
        <w:pStyle w:val="Body"/>
        <w:spacing w:after="0"/>
        <w:rPr>
          <w:rFonts w:ascii="Arial" w:hAnsi="Arial" w:cs="Arial"/>
          <w:i/>
        </w:rPr>
      </w:pPr>
    </w:p>
    <w:p w14:paraId="57067973" w14:textId="194A3626" w:rsidR="00A24E7E" w:rsidRDefault="00A24E7E" w:rsidP="00441B6F">
      <w:pPr>
        <w:pStyle w:val="Body"/>
        <w:spacing w:after="0"/>
        <w:rPr>
          <w:rFonts w:ascii="Arial" w:hAnsi="Arial" w:cs="Arial"/>
          <w:i/>
        </w:rPr>
      </w:pPr>
      <w:r>
        <w:rPr>
          <w:rFonts w:ascii="Arial" w:hAnsi="Arial" w:cs="Arial"/>
          <w:i/>
        </w:rPr>
        <w:t xml:space="preserve">Keywords: </w:t>
      </w:r>
      <w:r w:rsidR="006D7ABC">
        <w:rPr>
          <w:rFonts w:ascii="Arial" w:hAnsi="Arial" w:cs="Arial"/>
          <w:i/>
        </w:rPr>
        <w:t>I</w:t>
      </w:r>
      <w:r w:rsidR="006D7ABC" w:rsidRPr="006D7ABC">
        <w:rPr>
          <w:rFonts w:ascii="Arial" w:hAnsi="Arial" w:cs="Arial"/>
          <w:i/>
        </w:rPr>
        <w:t>ntercultural education, indigenous knowledge, epistemic equity, global integration, cultural preservation, native languages, university and diversity</w:t>
      </w:r>
      <w:r w:rsidR="00617828" w:rsidRPr="00617828">
        <w:rPr>
          <w:rFonts w:ascii="Arial" w:hAnsi="Arial" w:cs="Arial"/>
          <w:i/>
        </w:rPr>
        <w:t>, Northeastern Puebla, Mexico.</w:t>
      </w:r>
    </w:p>
    <w:p w14:paraId="2E6E23F2" w14:textId="77777777" w:rsidR="00790ADA" w:rsidRDefault="00790ADA" w:rsidP="00441B6F">
      <w:pPr>
        <w:pStyle w:val="Body"/>
        <w:spacing w:after="0"/>
        <w:rPr>
          <w:rFonts w:ascii="Arial" w:hAnsi="Arial" w:cs="Arial"/>
          <w:i/>
        </w:rPr>
      </w:pPr>
    </w:p>
    <w:p w14:paraId="0AAE25E3" w14:textId="703F2F3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5F029E0" w14:textId="77777777" w:rsidR="00790ADA" w:rsidRPr="00FB3A86" w:rsidRDefault="00790ADA" w:rsidP="00441B6F">
      <w:pPr>
        <w:pStyle w:val="AbstHead"/>
        <w:spacing w:after="0"/>
        <w:jc w:val="both"/>
        <w:rPr>
          <w:rFonts w:ascii="Arial" w:hAnsi="Arial" w:cs="Arial"/>
        </w:rPr>
      </w:pPr>
    </w:p>
    <w:p w14:paraId="3D671893" w14:textId="77777777" w:rsidR="009A4117" w:rsidRPr="009A4117" w:rsidRDefault="009A4117" w:rsidP="009A4117">
      <w:pPr>
        <w:pStyle w:val="Body"/>
        <w:rPr>
          <w:rFonts w:ascii="Arial" w:hAnsi="Arial" w:cs="Arial"/>
        </w:rPr>
      </w:pPr>
      <w:r w:rsidRPr="009A4117">
        <w:rPr>
          <w:rFonts w:ascii="Arial" w:hAnsi="Arial" w:cs="Arial"/>
        </w:rPr>
        <w:t>Contemporary education faces the challenge of articulating two seemingly opposing dimensions in Indigenous contexts: preserving Indigenous cultural and linguistic identities while simultaneously integrating students into a global knowledge society. This tension—far from being a dilemma to be resolved in favor of one extreme or the other—constitutes an educational paradox that demands sensitive, critical, and decolonial approaches.</w:t>
      </w:r>
    </w:p>
    <w:p w14:paraId="3726902D" w14:textId="77777777" w:rsidR="009A4117" w:rsidRPr="009A4117" w:rsidRDefault="009A4117" w:rsidP="009A4117">
      <w:pPr>
        <w:pStyle w:val="Body"/>
        <w:rPr>
          <w:rFonts w:ascii="Arial" w:hAnsi="Arial" w:cs="Arial"/>
        </w:rPr>
      </w:pPr>
      <w:r w:rsidRPr="009A4117">
        <w:rPr>
          <w:rFonts w:ascii="Arial" w:hAnsi="Arial" w:cs="Arial"/>
        </w:rPr>
        <w:lastRenderedPageBreak/>
        <w:t>Recent research highlights the need to rethink educational practices from perspectives that recognize the epistemic value of Indigenous knowledge and reject the colonial cognitive frameworks that have historically marginalized these cultures [24, 4]. The preservation of Indigenous worldviews cannot be understood as a mere exercise in folklore conservation; it implies recognizing them as legitimate and dynamic forms of knowledge that enrich educational and scientific processes [11, 14]. We need to change how we teach by valuing Indigenous knowledge and moving away from the colonial ideas that have pushed these cultures aside [24, 4].</w:t>
      </w:r>
    </w:p>
    <w:p w14:paraId="5AE3D5BE" w14:textId="77777777" w:rsidR="009A4117" w:rsidRDefault="009A4117" w:rsidP="009A4117">
      <w:pPr>
        <w:pStyle w:val="Body"/>
        <w:rPr>
          <w:rFonts w:ascii="Arial" w:hAnsi="Arial" w:cs="Arial"/>
        </w:rPr>
      </w:pPr>
      <w:r w:rsidRPr="009A4117">
        <w:rPr>
          <w:rFonts w:ascii="Arial" w:hAnsi="Arial" w:cs="Arial"/>
        </w:rPr>
        <w:t xml:space="preserve">At the same time, various contemporary proposals [1, 22] point to the urgency of developing global competencies in Indigenous students for their active and critical participation in social dynamics. Intercultural education, in this sense, must foster spaces where cultural identity is strengthened in dialogue with universal knowledge and not in opposition to it. This challenge is particularly present at the Northeastern Regional Complex of the </w:t>
      </w:r>
      <w:proofErr w:type="spellStart"/>
      <w:r w:rsidRPr="009A4117">
        <w:rPr>
          <w:rFonts w:ascii="Arial" w:hAnsi="Arial" w:cs="Arial"/>
        </w:rPr>
        <w:t>Benemérita</w:t>
      </w:r>
      <w:proofErr w:type="spellEnd"/>
      <w:r w:rsidRPr="009A4117">
        <w:rPr>
          <w:rFonts w:ascii="Arial" w:hAnsi="Arial" w:cs="Arial"/>
        </w:rPr>
        <w:t xml:space="preserve"> Universidad Autónoma de Puebla (BUAP), which has campuses in </w:t>
      </w:r>
      <w:proofErr w:type="spellStart"/>
      <w:r w:rsidRPr="009A4117">
        <w:rPr>
          <w:rFonts w:ascii="Arial" w:hAnsi="Arial" w:cs="Arial"/>
        </w:rPr>
        <w:t>Teziutlán</w:t>
      </w:r>
      <w:proofErr w:type="spellEnd"/>
      <w:r w:rsidRPr="009A4117">
        <w:rPr>
          <w:rFonts w:ascii="Arial" w:hAnsi="Arial" w:cs="Arial"/>
        </w:rPr>
        <w:t xml:space="preserve">, </w:t>
      </w:r>
      <w:proofErr w:type="spellStart"/>
      <w:r w:rsidRPr="009A4117">
        <w:rPr>
          <w:rFonts w:ascii="Arial" w:hAnsi="Arial" w:cs="Arial"/>
        </w:rPr>
        <w:t>Ixtepec</w:t>
      </w:r>
      <w:proofErr w:type="spellEnd"/>
      <w:r w:rsidRPr="009A4117">
        <w:rPr>
          <w:rFonts w:ascii="Arial" w:hAnsi="Arial" w:cs="Arial"/>
        </w:rPr>
        <w:t xml:space="preserve">, </w:t>
      </w:r>
      <w:proofErr w:type="spellStart"/>
      <w:r w:rsidRPr="009A4117">
        <w:rPr>
          <w:rFonts w:ascii="Arial" w:hAnsi="Arial" w:cs="Arial"/>
        </w:rPr>
        <w:t>Cuetzalan</w:t>
      </w:r>
      <w:proofErr w:type="spellEnd"/>
      <w:r w:rsidRPr="009A4117">
        <w:rPr>
          <w:rFonts w:ascii="Arial" w:hAnsi="Arial" w:cs="Arial"/>
        </w:rPr>
        <w:t xml:space="preserve"> del Progreso, </w:t>
      </w:r>
      <w:proofErr w:type="spellStart"/>
      <w:r w:rsidRPr="009A4117">
        <w:rPr>
          <w:rFonts w:ascii="Arial" w:hAnsi="Arial" w:cs="Arial"/>
        </w:rPr>
        <w:t>Zacapoaxtla</w:t>
      </w:r>
      <w:proofErr w:type="spellEnd"/>
      <w:r w:rsidRPr="009A4117">
        <w:rPr>
          <w:rFonts w:ascii="Arial" w:hAnsi="Arial" w:cs="Arial"/>
        </w:rPr>
        <w:t xml:space="preserve">, </w:t>
      </w:r>
      <w:proofErr w:type="spellStart"/>
      <w:r w:rsidRPr="009A4117">
        <w:rPr>
          <w:rFonts w:ascii="Arial" w:hAnsi="Arial" w:cs="Arial"/>
        </w:rPr>
        <w:t>Tlatlauquitepec</w:t>
      </w:r>
      <w:proofErr w:type="spellEnd"/>
      <w:r w:rsidRPr="009A4117">
        <w:rPr>
          <w:rFonts w:ascii="Arial" w:hAnsi="Arial" w:cs="Arial"/>
        </w:rPr>
        <w:t xml:space="preserve">, and Libres, all located in the mountainous region of the state of Puebla. On the </w:t>
      </w:r>
      <w:proofErr w:type="spellStart"/>
      <w:r w:rsidRPr="009A4117">
        <w:rPr>
          <w:rFonts w:ascii="Arial" w:hAnsi="Arial" w:cs="Arial"/>
        </w:rPr>
        <w:t>Ixtepec</w:t>
      </w:r>
      <w:proofErr w:type="spellEnd"/>
      <w:r w:rsidRPr="009A4117">
        <w:rPr>
          <w:rFonts w:ascii="Arial" w:hAnsi="Arial" w:cs="Arial"/>
        </w:rPr>
        <w:t xml:space="preserve"> and </w:t>
      </w:r>
      <w:proofErr w:type="spellStart"/>
      <w:r w:rsidRPr="009A4117">
        <w:rPr>
          <w:rFonts w:ascii="Arial" w:hAnsi="Arial" w:cs="Arial"/>
        </w:rPr>
        <w:t>Cuetzalan</w:t>
      </w:r>
      <w:proofErr w:type="spellEnd"/>
      <w:r w:rsidRPr="009A4117">
        <w:rPr>
          <w:rFonts w:ascii="Arial" w:hAnsi="Arial" w:cs="Arial"/>
        </w:rPr>
        <w:t xml:space="preserve"> del Progreso campuses in particular, more than 80% of the student population comes from Indigenous communities where Nahuatl and Totonac are spoken. This social and cultural situation highlights the need for an educational plan that supports development while respecting diversity, rather than forcing cultural change, and aligns with efforts to connect universities more closely with their communities to improve well-being. The cultural and linguistic relevance of educational projects is essential to avoid epistemic marginalization and promote the effective inclusion of Indigenous Peoples in university spaces [5].</w:t>
      </w:r>
    </w:p>
    <w:p w14:paraId="0F2C45CE" w14:textId="6333607A" w:rsidR="00790ADA" w:rsidRDefault="00902823" w:rsidP="00441B6F">
      <w:pPr>
        <w:pStyle w:val="AbstHead"/>
        <w:spacing w:after="0"/>
        <w:jc w:val="both"/>
        <w:rPr>
          <w:rFonts w:ascii="Arial" w:hAnsi="Arial" w:cs="Arial"/>
        </w:rPr>
      </w:pPr>
      <w:r>
        <w:rPr>
          <w:rFonts w:ascii="Arial" w:hAnsi="Arial" w:cs="Arial"/>
        </w:rPr>
        <w:t xml:space="preserve">2. </w:t>
      </w:r>
      <w:r w:rsidR="009A4117" w:rsidRPr="009A4117">
        <w:rPr>
          <w:rFonts w:ascii="Arial" w:hAnsi="Arial" w:cs="Arial"/>
        </w:rPr>
        <w:t>The educational paradox of teaching without erasing</w:t>
      </w:r>
    </w:p>
    <w:p w14:paraId="1546D07D" w14:textId="77777777" w:rsidR="00617828" w:rsidRPr="00FB3A86" w:rsidRDefault="00617828" w:rsidP="00441B6F">
      <w:pPr>
        <w:pStyle w:val="AbstHead"/>
        <w:spacing w:after="0"/>
        <w:jc w:val="both"/>
        <w:rPr>
          <w:rFonts w:ascii="Arial" w:hAnsi="Arial" w:cs="Arial"/>
        </w:rPr>
      </w:pPr>
    </w:p>
    <w:p w14:paraId="15890C80" w14:textId="77777777" w:rsidR="009A4117" w:rsidRPr="009A4117" w:rsidRDefault="009A4117" w:rsidP="009A4117">
      <w:pPr>
        <w:pStyle w:val="Body"/>
        <w:rPr>
          <w:rFonts w:ascii="Arial" w:hAnsi="Arial" w:cs="Arial"/>
        </w:rPr>
      </w:pPr>
      <w:r w:rsidRPr="009A4117">
        <w:rPr>
          <w:rFonts w:ascii="Arial" w:hAnsi="Arial" w:cs="Arial"/>
        </w:rPr>
        <w:t>The advancement of globalized educational models has generated an ambivalent impact on Indigenous contexts. On the one hand, they offer new opportunities for access to scientific, technological, and humanistic knowledge; on the other, they run the risk of reproducing acculturation dynamics that dismiss or subordinate Indigenous knowledge [5, 16].</w:t>
      </w:r>
    </w:p>
    <w:p w14:paraId="45B14060" w14:textId="77777777" w:rsidR="009A4117" w:rsidRPr="009A4117" w:rsidRDefault="009A4117" w:rsidP="009A4117">
      <w:pPr>
        <w:pStyle w:val="Body"/>
        <w:rPr>
          <w:rFonts w:ascii="Arial" w:hAnsi="Arial" w:cs="Arial"/>
        </w:rPr>
      </w:pPr>
      <w:r w:rsidRPr="009A4117">
        <w:rPr>
          <w:rFonts w:ascii="Arial" w:hAnsi="Arial" w:cs="Arial"/>
        </w:rPr>
        <w:t xml:space="preserve">In educational spaces such as the Northeastern Regional Complex, this tension is particularly visible since, on the one hand, students in the General and Community Medicine program, for example, are preparing for their integration specifically into the contexts of the region's communities, and, on the other, they also aspire to highly specialized training and access to knowledge of global reach [15]. However, when put in practice these seemingly separate aims converge nicely as the global educational approach helps the General and Community Medicine students to develop skills that allow them to address local needs from a critical intercultural perspective, while acquiring cutting-edge scientific and technological tools that enhance their academic mobility, their capacity for innovation and their contribution to sustainable strengthening of their communities. </w:t>
      </w:r>
    </w:p>
    <w:p w14:paraId="3BFF6D5B" w14:textId="77777777" w:rsidR="009A4117" w:rsidRPr="009A4117" w:rsidRDefault="009A4117" w:rsidP="009A4117">
      <w:pPr>
        <w:pStyle w:val="Body"/>
        <w:rPr>
          <w:rFonts w:ascii="Arial" w:hAnsi="Arial" w:cs="Arial"/>
        </w:rPr>
      </w:pPr>
      <w:r w:rsidRPr="009A4117">
        <w:rPr>
          <w:rFonts w:ascii="Arial" w:hAnsi="Arial" w:cs="Arial"/>
        </w:rPr>
        <w:t>Even though programs like the Minerva Project [3] aim to boost regional growth while honoring cultural differences, there is still a challenge in education: making sure that including Indigenous students in the knowledge society doesn't weaken their cultural, language, and knowledge identities [23]. Traditional teaching methods, which are based on one-size-fits-all approaches, often overlook the special ways that Indigenous peoples understand and experience the world. Traditional pedagogical practices, based on universal and homogenizing logics, tend to render invisible the unique ways of knowing, being, and existing in the world that characterize Indigenous peoples.</w:t>
      </w:r>
    </w:p>
    <w:p w14:paraId="511304AA" w14:textId="77777777" w:rsidR="009A4117" w:rsidRPr="009A4117" w:rsidRDefault="009A4117" w:rsidP="009A4117">
      <w:pPr>
        <w:pStyle w:val="Body"/>
        <w:rPr>
          <w:rFonts w:ascii="Arial" w:hAnsi="Arial" w:cs="Arial"/>
        </w:rPr>
      </w:pPr>
      <w:r w:rsidRPr="009A4117">
        <w:rPr>
          <w:rFonts w:ascii="Arial" w:hAnsi="Arial" w:cs="Arial"/>
        </w:rPr>
        <w:lastRenderedPageBreak/>
        <w:t>However, a fundamental problem arises: how to design and implement educational practices that preserve and strengthen the cultural and linguistic identities of Indigenous students while integrating them critically and reflectively into the globalized knowledge landscape without reproducing cultural assimilation processes?</w:t>
      </w:r>
    </w:p>
    <w:p w14:paraId="48923924" w14:textId="77777777" w:rsidR="009A4117" w:rsidRDefault="009A4117" w:rsidP="009A4117">
      <w:pPr>
        <w:pStyle w:val="Body"/>
        <w:rPr>
          <w:rFonts w:ascii="Arial" w:hAnsi="Arial" w:cs="Arial"/>
        </w:rPr>
      </w:pPr>
      <w:r w:rsidRPr="009A4117">
        <w:rPr>
          <w:rFonts w:ascii="Arial" w:hAnsi="Arial" w:cs="Arial"/>
        </w:rPr>
        <w:t>Answering this question involves critically reviewing current intercultural educational policies, analyzing the pedagogical approaches applied in the region, and proposing strategies that promote epistemic equity in the education of Indigenous students [5]. This educational paradox requires rethinking the content of teaching, as well as the epistemological foundations that support it. Within this framework, it is necessary to analyze proposals for epistemic integration as a path to true intercultural education [7].</w:t>
      </w:r>
    </w:p>
    <w:p w14:paraId="19D39C16" w14:textId="67388D04"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9A4117" w:rsidRPr="009A4117">
        <w:rPr>
          <w:rFonts w:ascii="Arial" w:hAnsi="Arial" w:cs="Arial"/>
        </w:rPr>
        <w:t>Intercultural Education and the Paradox of Epistemic Integration</w:t>
      </w:r>
      <w:r w:rsidR="00683BA2">
        <w:rPr>
          <w:rFonts w:ascii="Arial" w:hAnsi="Arial" w:cs="Arial"/>
        </w:rPr>
        <w:t xml:space="preserve"> </w:t>
      </w:r>
    </w:p>
    <w:p w14:paraId="6617B1D6" w14:textId="77777777" w:rsidR="00790ADA" w:rsidRPr="00FB3A86" w:rsidRDefault="00790ADA" w:rsidP="00441B6F">
      <w:pPr>
        <w:pStyle w:val="Head1"/>
        <w:spacing w:after="0"/>
        <w:jc w:val="both"/>
        <w:rPr>
          <w:rFonts w:ascii="Arial" w:hAnsi="Arial" w:cs="Arial"/>
        </w:rPr>
      </w:pPr>
    </w:p>
    <w:p w14:paraId="7D4406BA" w14:textId="77777777" w:rsidR="009A4117" w:rsidRPr="009A4117" w:rsidRDefault="009A4117" w:rsidP="009A4117">
      <w:pPr>
        <w:pStyle w:val="Body"/>
        <w:rPr>
          <w:rFonts w:ascii="Arial" w:hAnsi="Arial" w:cs="Arial"/>
        </w:rPr>
      </w:pPr>
      <w:r w:rsidRPr="009A4117">
        <w:rPr>
          <w:rFonts w:ascii="Arial" w:hAnsi="Arial" w:cs="Arial"/>
        </w:rPr>
        <w:t xml:space="preserve">The Northeastern Regional Complex of the </w:t>
      </w:r>
      <w:proofErr w:type="spellStart"/>
      <w:r w:rsidRPr="009A4117">
        <w:rPr>
          <w:rFonts w:ascii="Arial" w:hAnsi="Arial" w:cs="Arial"/>
        </w:rPr>
        <w:t>Benemérita</w:t>
      </w:r>
      <w:proofErr w:type="spellEnd"/>
      <w:r w:rsidRPr="009A4117">
        <w:rPr>
          <w:rFonts w:ascii="Arial" w:hAnsi="Arial" w:cs="Arial"/>
        </w:rPr>
        <w:t xml:space="preserve"> Universidad Autónoma de Puebla (BUAP) represents a strategic effort to bring higher and upper secondary education closer to regions of high cultural and linguistic diversity in the state of Puebla. The complex has facilities in </w:t>
      </w:r>
      <w:proofErr w:type="spellStart"/>
      <w:r w:rsidRPr="009A4117">
        <w:rPr>
          <w:rFonts w:ascii="Arial" w:hAnsi="Arial" w:cs="Arial"/>
        </w:rPr>
        <w:t>Teziutlán</w:t>
      </w:r>
      <w:proofErr w:type="spellEnd"/>
      <w:r w:rsidRPr="009A4117">
        <w:rPr>
          <w:rFonts w:ascii="Arial" w:hAnsi="Arial" w:cs="Arial"/>
        </w:rPr>
        <w:t xml:space="preserve">, </w:t>
      </w:r>
      <w:proofErr w:type="spellStart"/>
      <w:r w:rsidRPr="009A4117">
        <w:rPr>
          <w:rFonts w:ascii="Arial" w:hAnsi="Arial" w:cs="Arial"/>
        </w:rPr>
        <w:t>Ixtepec</w:t>
      </w:r>
      <w:proofErr w:type="spellEnd"/>
      <w:r w:rsidRPr="009A4117">
        <w:rPr>
          <w:rFonts w:ascii="Arial" w:hAnsi="Arial" w:cs="Arial"/>
        </w:rPr>
        <w:t xml:space="preserve">, </w:t>
      </w:r>
      <w:proofErr w:type="spellStart"/>
      <w:r w:rsidRPr="009A4117">
        <w:rPr>
          <w:rFonts w:ascii="Arial" w:hAnsi="Arial" w:cs="Arial"/>
        </w:rPr>
        <w:t>Cuetzalan</w:t>
      </w:r>
      <w:proofErr w:type="spellEnd"/>
      <w:r w:rsidRPr="009A4117">
        <w:rPr>
          <w:rFonts w:ascii="Arial" w:hAnsi="Arial" w:cs="Arial"/>
        </w:rPr>
        <w:t xml:space="preserve"> del Progreso, </w:t>
      </w:r>
      <w:proofErr w:type="spellStart"/>
      <w:r w:rsidRPr="009A4117">
        <w:rPr>
          <w:rFonts w:ascii="Arial" w:hAnsi="Arial" w:cs="Arial"/>
        </w:rPr>
        <w:t>Zacapoaxtla</w:t>
      </w:r>
      <w:proofErr w:type="spellEnd"/>
      <w:r w:rsidRPr="009A4117">
        <w:rPr>
          <w:rFonts w:ascii="Arial" w:hAnsi="Arial" w:cs="Arial"/>
        </w:rPr>
        <w:t xml:space="preserve">, </w:t>
      </w:r>
      <w:proofErr w:type="spellStart"/>
      <w:r w:rsidRPr="009A4117">
        <w:rPr>
          <w:rFonts w:ascii="Arial" w:hAnsi="Arial" w:cs="Arial"/>
        </w:rPr>
        <w:t>Tlatlauquitepec</w:t>
      </w:r>
      <w:proofErr w:type="spellEnd"/>
      <w:r w:rsidRPr="009A4117">
        <w:rPr>
          <w:rFonts w:ascii="Arial" w:hAnsi="Arial" w:cs="Arial"/>
        </w:rPr>
        <w:t>, and Libres. In 2024 the Complex’s total enrollment was 6,297 students, consisting of 2,960 high school students and 3,337 higher education students enrolled in a bachelor's degree program or advanced technical studies [28].</w:t>
      </w:r>
    </w:p>
    <w:p w14:paraId="35C30981" w14:textId="2FBE2FF6" w:rsidR="009A4117" w:rsidRPr="009A4117" w:rsidRDefault="009A4117" w:rsidP="009A4117">
      <w:pPr>
        <w:pStyle w:val="Body"/>
        <w:rPr>
          <w:rFonts w:ascii="Arial" w:hAnsi="Arial" w:cs="Arial"/>
        </w:rPr>
      </w:pPr>
      <w:r w:rsidRPr="009A4117">
        <w:rPr>
          <w:rFonts w:ascii="Arial" w:hAnsi="Arial" w:cs="Arial"/>
        </w:rPr>
        <w:t xml:space="preserve">The municipalities of </w:t>
      </w:r>
      <w:proofErr w:type="spellStart"/>
      <w:r w:rsidRPr="009A4117">
        <w:rPr>
          <w:rFonts w:ascii="Arial" w:hAnsi="Arial" w:cs="Arial"/>
        </w:rPr>
        <w:t>Ixtepec</w:t>
      </w:r>
      <w:proofErr w:type="spellEnd"/>
      <w:r w:rsidRPr="009A4117">
        <w:rPr>
          <w:rFonts w:ascii="Arial" w:hAnsi="Arial" w:cs="Arial"/>
        </w:rPr>
        <w:t xml:space="preserve"> and </w:t>
      </w:r>
      <w:proofErr w:type="spellStart"/>
      <w:r w:rsidRPr="009A4117">
        <w:rPr>
          <w:rFonts w:ascii="Arial" w:hAnsi="Arial" w:cs="Arial"/>
        </w:rPr>
        <w:t>Cuetzalan</w:t>
      </w:r>
      <w:proofErr w:type="spellEnd"/>
      <w:r w:rsidRPr="009A4117">
        <w:rPr>
          <w:rFonts w:ascii="Arial" w:hAnsi="Arial" w:cs="Arial"/>
        </w:rPr>
        <w:t xml:space="preserve"> del Progreso in particular highlight the unique socio-cultural context of the region. Both have high proportions of Indigenous inhabitants, and more than eight in ten people in these municipalities speak Indigenous languages, mainly Nahuatl and Totonac [28]. This specific social context endows the Complex with a particular challenge and responsibility as it endeavors to serve students who come from culturally diverse contexts, and whos</w:t>
      </w:r>
      <w:r w:rsidR="004D77C0">
        <w:rPr>
          <w:rFonts w:ascii="Arial" w:hAnsi="Arial" w:cs="Arial"/>
        </w:rPr>
        <w:t>e</w:t>
      </w:r>
      <w:r w:rsidRPr="009A4117">
        <w:rPr>
          <w:rFonts w:ascii="Arial" w:hAnsi="Arial" w:cs="Arial"/>
        </w:rPr>
        <w:t xml:space="preserve"> cultural knowledge systems have historically been marginalized in favor of Western models. As such, many of the educational programs offered throughout the Northeastern Regional Complex of BUAP, specifically programs in the areas of health, economics and management, social sciences, and the Complex’s five high schools, are tailored to the unique needs of its multicultural community and student body. Working to include Indigenous perspectives and respond to the needs of the Indigenous communities in these program areas reflects a commitment to the social and economic development of northeastern Puebla, seeking to align academic training with local realities.</w:t>
      </w:r>
    </w:p>
    <w:p w14:paraId="16505E20" w14:textId="77777777" w:rsidR="009A4117" w:rsidRPr="009A4117" w:rsidRDefault="009A4117" w:rsidP="009A4117">
      <w:pPr>
        <w:pStyle w:val="Body"/>
        <w:rPr>
          <w:rFonts w:ascii="Arial" w:hAnsi="Arial" w:cs="Arial"/>
        </w:rPr>
      </w:pPr>
      <w:r w:rsidRPr="009A4117">
        <w:rPr>
          <w:rFonts w:ascii="Arial" w:hAnsi="Arial" w:cs="Arial"/>
        </w:rPr>
        <w:t xml:space="preserve">An example of this vision is the General and Community Medicine Degree. Through this </w:t>
      </w:r>
      <w:proofErr w:type="gramStart"/>
      <w:r w:rsidRPr="009A4117">
        <w:rPr>
          <w:rFonts w:ascii="Arial" w:hAnsi="Arial" w:cs="Arial"/>
        </w:rPr>
        <w:t>particular program</w:t>
      </w:r>
      <w:proofErr w:type="gramEnd"/>
      <w:r w:rsidRPr="009A4117">
        <w:rPr>
          <w:rFonts w:ascii="Arial" w:hAnsi="Arial" w:cs="Arial"/>
        </w:rPr>
        <w:t xml:space="preserve"> medical students are trained to the highest international scientific standards to become leading health professionals, without discounting the </w:t>
      </w:r>
      <w:proofErr w:type="gramStart"/>
      <w:r w:rsidRPr="009A4117">
        <w:rPr>
          <w:rFonts w:ascii="Arial" w:hAnsi="Arial" w:cs="Arial"/>
        </w:rPr>
        <w:t>long held</w:t>
      </w:r>
      <w:proofErr w:type="gramEnd"/>
      <w:r w:rsidRPr="009A4117">
        <w:rPr>
          <w:rFonts w:ascii="Arial" w:hAnsi="Arial" w:cs="Arial"/>
        </w:rPr>
        <w:t xml:space="preserve"> health knowledge and practices of the Indigenous communities they will serve. In contrast to standard medical curricula, this program incorporates an additional cultural component specific to the region, where students can shape their professional sense of self in conversation with local knowledge. Incoming students are required to take language courses in both Totonac and Nahuatl, ensuring that future community doctors recognize the linguistic diversity in the populations where they will work and can communicate effectively in the Indigenous languages, respecting the cultural context of those communities. Additionally, the subjects of General Herbalism, Regional Herbalism, Alternative Therapeutic Procedures, Acupuncture, and Physiotherapeutic Procedures integrate traditional medical practices as a legitimate component of professional health training. Likewise, courses such as History and Philosophy of Community Medicine and Family and Community Medicine I and II reinforce a critical and contextualized perspective, focusing on the social determinants of health, community work, and the transformation of the living conditions of Indigenous peoples. These curriculum </w:t>
      </w:r>
      <w:r w:rsidRPr="009A4117">
        <w:rPr>
          <w:rFonts w:ascii="Arial" w:hAnsi="Arial" w:cs="Arial"/>
        </w:rPr>
        <w:lastRenderedPageBreak/>
        <w:t>characteristics reflect the systematic effort of the educational project promoted by BUAP, in line with the Minerva University Model [3] to advance toward a model of epistemic integration, where Indigenous knowledge and modern scientific knowledge are articulated horizontally, without hierarchies or impositions.</w:t>
      </w:r>
    </w:p>
    <w:p w14:paraId="2437B74F" w14:textId="77777777" w:rsidR="009A4117" w:rsidRPr="009A4117" w:rsidRDefault="009A4117" w:rsidP="009A4117">
      <w:pPr>
        <w:pStyle w:val="Body"/>
        <w:rPr>
          <w:rFonts w:ascii="Arial" w:hAnsi="Arial" w:cs="Arial"/>
        </w:rPr>
      </w:pPr>
      <w:r w:rsidRPr="009A4117">
        <w:rPr>
          <w:rFonts w:ascii="Arial" w:hAnsi="Arial" w:cs="Arial"/>
        </w:rPr>
        <w:t>Within this same vision, the “Original Peoples and Living Languages” project has gained special relevance. This initiative, aimed at fostering critical intercultural education, seeks to preserve and promote Indigenous languages and cultures through academic, artistic, and cultural outreach activities.</w:t>
      </w:r>
    </w:p>
    <w:p w14:paraId="50BB9856" w14:textId="77777777" w:rsidR="009A4117" w:rsidRDefault="009A4117" w:rsidP="009A4117">
      <w:pPr>
        <w:pStyle w:val="Body"/>
        <w:rPr>
          <w:rFonts w:ascii="Arial" w:hAnsi="Arial" w:cs="Arial"/>
        </w:rPr>
      </w:pPr>
      <w:r w:rsidRPr="009A4117">
        <w:rPr>
          <w:rFonts w:ascii="Arial" w:hAnsi="Arial" w:cs="Arial"/>
        </w:rPr>
        <w:t xml:space="preserve">The high representation of Indigenous students at the Complex provides a rare opportunity to develop an educational model that acknowledges that different ways of knowing can live alongside one another. It also necessitates, however, a constant effort to avoid reproducing assimilationist dynamics and to stimulate a real exchange of knowledge, one in which Indigenous epistemologies are considered legitimate foundations of knowledge and education. </w:t>
      </w:r>
    </w:p>
    <w:p w14:paraId="72E59811" w14:textId="794FD8C9" w:rsidR="00296386" w:rsidRPr="00296386" w:rsidRDefault="00296386" w:rsidP="00296386">
      <w:pPr>
        <w:pStyle w:val="Body"/>
        <w:rPr>
          <w:rFonts w:ascii="Arial" w:hAnsi="Arial" w:cs="Arial"/>
          <w:b/>
          <w:caps/>
          <w:sz w:val="22"/>
          <w:highlight w:val="yellow"/>
        </w:rPr>
      </w:pPr>
      <w:r w:rsidRPr="00296386">
        <w:rPr>
          <w:rFonts w:ascii="Arial" w:hAnsi="Arial" w:cs="Arial"/>
          <w:b/>
          <w:caps/>
          <w:sz w:val="22"/>
          <w:highlight w:val="yellow"/>
        </w:rPr>
        <w:t xml:space="preserve">4. </w:t>
      </w:r>
      <w:r w:rsidRPr="00296386">
        <w:rPr>
          <w:rFonts w:ascii="Arial" w:hAnsi="Arial" w:cs="Arial"/>
          <w:b/>
          <w:caps/>
          <w:sz w:val="22"/>
          <w:highlight w:val="yellow"/>
        </w:rPr>
        <w:t>Methodology</w:t>
      </w:r>
    </w:p>
    <w:p w14:paraId="5C8FDFCC" w14:textId="77777777" w:rsidR="00296386" w:rsidRPr="00296386" w:rsidRDefault="00296386" w:rsidP="00296386">
      <w:pPr>
        <w:pStyle w:val="Body"/>
        <w:rPr>
          <w:rFonts w:ascii="Arial" w:hAnsi="Arial" w:cs="Arial"/>
          <w:highlight w:val="yellow"/>
        </w:rPr>
      </w:pPr>
      <w:r w:rsidRPr="00296386">
        <w:rPr>
          <w:rFonts w:ascii="Arial" w:hAnsi="Arial" w:cs="Arial"/>
          <w:highlight w:val="yellow"/>
        </w:rPr>
        <w:t xml:space="preserve">This study adopts a qualitative approach to analyze the educational dynamics at the Northeastern Regional Complex of the </w:t>
      </w:r>
      <w:proofErr w:type="spellStart"/>
      <w:r w:rsidRPr="00296386">
        <w:rPr>
          <w:rFonts w:ascii="Arial" w:hAnsi="Arial" w:cs="Arial"/>
          <w:highlight w:val="yellow"/>
        </w:rPr>
        <w:t>Benemérita</w:t>
      </w:r>
      <w:proofErr w:type="spellEnd"/>
      <w:r w:rsidRPr="00296386">
        <w:rPr>
          <w:rFonts w:ascii="Arial" w:hAnsi="Arial" w:cs="Arial"/>
          <w:highlight w:val="yellow"/>
        </w:rPr>
        <w:t xml:space="preserve"> Universidad Autónoma de Puebla (BUAP), paying special attention to the epistemic and acculturation assimilation problems faced by students from Indigenous communities, especially on the </w:t>
      </w:r>
      <w:proofErr w:type="spellStart"/>
      <w:r w:rsidRPr="00296386">
        <w:rPr>
          <w:rFonts w:ascii="Arial" w:hAnsi="Arial" w:cs="Arial"/>
          <w:highlight w:val="yellow"/>
        </w:rPr>
        <w:t>Ixtepec</w:t>
      </w:r>
      <w:proofErr w:type="spellEnd"/>
      <w:r w:rsidRPr="00296386">
        <w:rPr>
          <w:rFonts w:ascii="Arial" w:hAnsi="Arial" w:cs="Arial"/>
          <w:highlight w:val="yellow"/>
        </w:rPr>
        <w:t xml:space="preserve"> and </w:t>
      </w:r>
      <w:proofErr w:type="spellStart"/>
      <w:r w:rsidRPr="00296386">
        <w:rPr>
          <w:rFonts w:ascii="Arial" w:hAnsi="Arial" w:cs="Arial"/>
          <w:highlight w:val="yellow"/>
        </w:rPr>
        <w:t>Cuetzalan</w:t>
      </w:r>
      <w:proofErr w:type="spellEnd"/>
      <w:r w:rsidRPr="00296386">
        <w:rPr>
          <w:rFonts w:ascii="Arial" w:hAnsi="Arial" w:cs="Arial"/>
          <w:highlight w:val="yellow"/>
        </w:rPr>
        <w:t xml:space="preserve"> del Progreso campuses. These contexts, characterized by a high concentration of speakers of Indigenous languages ​​such as Nahuatl and Totonac, experience tensions between the preservation of cultural and linguistic identities and integration into a global knowledge society.</w:t>
      </w:r>
    </w:p>
    <w:p w14:paraId="323B68E6" w14:textId="47E95924" w:rsidR="00296386" w:rsidRPr="00296386" w:rsidRDefault="00296386" w:rsidP="00296386">
      <w:pPr>
        <w:pStyle w:val="Body"/>
        <w:rPr>
          <w:rFonts w:ascii="Arial" w:hAnsi="Arial" w:cs="Arial"/>
          <w:highlight w:val="yellow"/>
        </w:rPr>
      </w:pPr>
      <w:r w:rsidRPr="00296386">
        <w:rPr>
          <w:rFonts w:ascii="Arial" w:hAnsi="Arial" w:cs="Arial"/>
          <w:highlight w:val="yellow"/>
        </w:rPr>
        <w:t>Data collection was carried out through documentary analysis of curricula, institutional reports, and projects such as the “Indigenous Peoples and Living Languages” Project. In addition, previous research on interculturality, epistemological integration, and Indigenous education in Latin America was reviewed to contextualize the discussions and support the proposals presented, especially using a participatory communication-action approach. The analysis focused on identifying the pedagogical strategies implemented to promote the critical and reflective integration of Indigenous students, as well as evaluating their effectiveness in overcoming assimilationist approaches and fostering a horizontal dialogue between local and global knowledge. To this end, decolonial approaches and critical perspectives that question the dominant epistemological structures in contemporary educational systems were considered.</w:t>
      </w:r>
    </w:p>
    <w:p w14:paraId="5FABD0A9" w14:textId="62B12C8A" w:rsidR="00296386" w:rsidRDefault="00296386" w:rsidP="00296386">
      <w:pPr>
        <w:pStyle w:val="Body"/>
        <w:rPr>
          <w:rFonts w:ascii="Arial" w:hAnsi="Arial" w:cs="Arial"/>
        </w:rPr>
      </w:pPr>
      <w:r w:rsidRPr="00296386">
        <w:rPr>
          <w:rFonts w:ascii="Arial" w:hAnsi="Arial" w:cs="Arial"/>
          <w:highlight w:val="yellow"/>
        </w:rPr>
        <w:t>The results of this analysis seek to contribute to the development of educational models that recognize the value of Indigenous knowledge, foster respect for cultural diversity, and promote true academic inclusion.</w:t>
      </w:r>
    </w:p>
    <w:p w14:paraId="55FE8CA6" w14:textId="4ACDC616" w:rsidR="00683BA2" w:rsidRDefault="00296386" w:rsidP="00683BA2">
      <w:pPr>
        <w:pStyle w:val="Head1"/>
        <w:spacing w:after="0"/>
        <w:jc w:val="both"/>
        <w:rPr>
          <w:rFonts w:ascii="Arial" w:hAnsi="Arial" w:cs="Arial"/>
        </w:rPr>
      </w:pPr>
      <w:r>
        <w:rPr>
          <w:rFonts w:ascii="Arial" w:hAnsi="Arial" w:cs="Arial"/>
        </w:rPr>
        <w:t>5</w:t>
      </w:r>
      <w:r w:rsidR="00683BA2">
        <w:rPr>
          <w:rFonts w:ascii="Arial" w:hAnsi="Arial" w:cs="Arial"/>
        </w:rPr>
        <w:t xml:space="preserve">. </w:t>
      </w:r>
      <w:r w:rsidR="009A4117" w:rsidRPr="009A4117">
        <w:rPr>
          <w:rFonts w:ascii="Arial" w:hAnsi="Arial" w:cs="Arial"/>
        </w:rPr>
        <w:t xml:space="preserve">Critical Reflections: Toward </w:t>
      </w:r>
      <w:proofErr w:type="gramStart"/>
      <w:r w:rsidR="009A4117" w:rsidRPr="009A4117">
        <w:rPr>
          <w:rFonts w:ascii="Arial" w:hAnsi="Arial" w:cs="Arial"/>
        </w:rPr>
        <w:t>a Non</w:t>
      </w:r>
      <w:proofErr w:type="gramEnd"/>
      <w:r w:rsidR="009A4117" w:rsidRPr="009A4117">
        <w:rPr>
          <w:rFonts w:ascii="Arial" w:hAnsi="Arial" w:cs="Arial"/>
        </w:rPr>
        <w:t>-Assimilationist Education</w:t>
      </w:r>
    </w:p>
    <w:p w14:paraId="1029538E" w14:textId="77777777" w:rsidR="00683BA2" w:rsidRPr="00683BA2" w:rsidRDefault="00683BA2" w:rsidP="00683BA2">
      <w:pPr>
        <w:pStyle w:val="Head1"/>
        <w:spacing w:after="0"/>
        <w:jc w:val="both"/>
        <w:rPr>
          <w:rFonts w:ascii="Arial" w:hAnsi="Arial" w:cs="Arial"/>
        </w:rPr>
      </w:pPr>
    </w:p>
    <w:p w14:paraId="687A48DF" w14:textId="77777777" w:rsidR="009A4117" w:rsidRPr="009A4117" w:rsidRDefault="009A4117" w:rsidP="009A4117">
      <w:pPr>
        <w:pStyle w:val="Body"/>
        <w:rPr>
          <w:rFonts w:ascii="Arial" w:hAnsi="Arial" w:cs="Arial"/>
        </w:rPr>
      </w:pPr>
      <w:r w:rsidRPr="009A4117">
        <w:rPr>
          <w:rFonts w:ascii="Arial" w:hAnsi="Arial" w:cs="Arial"/>
        </w:rPr>
        <w:t>The analysis of the context of the BUAP Northeastern Regional Complex and the “Indigenous Peoples and Living Languages” project allows us to reflect on the challenges and possibilities of building a truly intercultural education in contexts of high cultural and linguistic diversity. One of the main lessons learned from this experience is that educational inclusion cannot be understood as a process of unilateral adaptation of Indigenous students to hegemonic epistemic and cultural frameworks but rather as the construction of spaces for a horizontal dialogue of knowledge.</w:t>
      </w:r>
    </w:p>
    <w:p w14:paraId="364A7864" w14:textId="77777777" w:rsidR="009A4117" w:rsidRPr="009A4117" w:rsidRDefault="009A4117" w:rsidP="009A4117">
      <w:pPr>
        <w:pStyle w:val="Body"/>
        <w:rPr>
          <w:rFonts w:ascii="Arial" w:hAnsi="Arial" w:cs="Arial"/>
        </w:rPr>
      </w:pPr>
      <w:r w:rsidRPr="009A4117">
        <w:rPr>
          <w:rFonts w:ascii="Arial" w:hAnsi="Arial" w:cs="Arial"/>
        </w:rPr>
        <w:lastRenderedPageBreak/>
        <w:t>The history of educational policies in Latin America shows that integration projects have frequently resulted in assimilationist practices that seek the “inclusion” of Indigenous Peoples at the cost of the loss of their languages, worldviews, and ways of life [4, 25]. This form of forced integration reproduces colonial power relations that consider Indigenous knowledge as “lesser” or “traditional” knowledge and Western knowledge as the only valid source of social and economic participation.</w:t>
      </w:r>
    </w:p>
    <w:p w14:paraId="61F964F3" w14:textId="77777777" w:rsidR="009A4117" w:rsidRPr="009A4117" w:rsidRDefault="009A4117" w:rsidP="009A4117">
      <w:pPr>
        <w:pStyle w:val="Body"/>
        <w:rPr>
          <w:rFonts w:ascii="Arial" w:hAnsi="Arial" w:cs="Arial"/>
        </w:rPr>
      </w:pPr>
      <w:r w:rsidRPr="009A4117">
        <w:rPr>
          <w:rFonts w:ascii="Arial" w:hAnsi="Arial" w:cs="Arial"/>
        </w:rPr>
        <w:t>To avoid falling into these patterns, it is necessary to recognize that languages, stories, community practices, and ties to the territory constitute knowledge systems as complex and legitimate as global scientific knowledge [11, 14]. From this viewpoint, non-assimilationist education means teaching about Indigenous cultures while also changing how we teach, so these cultures are seen as important sources of understanding, inquiry, and knowledge creation.</w:t>
      </w:r>
    </w:p>
    <w:p w14:paraId="37A2A933" w14:textId="77777777" w:rsidR="009A4117" w:rsidRPr="009A4117" w:rsidRDefault="009A4117" w:rsidP="009A4117">
      <w:pPr>
        <w:pStyle w:val="Body"/>
        <w:rPr>
          <w:rFonts w:ascii="Arial" w:hAnsi="Arial" w:cs="Arial"/>
        </w:rPr>
      </w:pPr>
      <w:r w:rsidRPr="009A4117">
        <w:rPr>
          <w:rFonts w:ascii="Arial" w:hAnsi="Arial" w:cs="Arial"/>
        </w:rPr>
        <w:t>BUAP's intercultural educational project advances in this direction by promoting events, learning centers, and courses in Indigenous languages, in addition to creating spaces for artistic and literary expression that draw on Indigenous epistemologies. However, its sustainability and expansion require addressing several challenges: teacher training with a critical intercultural approach, curricular redesign that overcomes folkloristic views of culture, and the consolidation of alliances with communities to co-construct educational content [1, 6, 9].</w:t>
      </w:r>
    </w:p>
    <w:p w14:paraId="7641EB15" w14:textId="77777777" w:rsidR="009A4117" w:rsidRPr="009A4117" w:rsidRDefault="009A4117" w:rsidP="009A4117">
      <w:pPr>
        <w:pStyle w:val="Body"/>
        <w:rPr>
          <w:rFonts w:ascii="Arial" w:hAnsi="Arial" w:cs="Arial"/>
        </w:rPr>
      </w:pPr>
      <w:r w:rsidRPr="009A4117">
        <w:rPr>
          <w:rFonts w:ascii="Arial" w:hAnsi="Arial" w:cs="Arial"/>
        </w:rPr>
        <w:t>Furthermore, it is essential to position interculturality not as a specific or marginal area of the curriculum but as a transversal principle that permeates all areas of knowledge. This entails transforming language and culture programs while simultaneously integrating science, technology, and humanities programs, creating and strengthening diverse epistemic perspectives that allow Indigenous—and non-Indigenous—students to develop a critical, situated, and pluralistic view of the world [12].</w:t>
      </w:r>
    </w:p>
    <w:p w14:paraId="0694A375" w14:textId="0DDCC321" w:rsidR="00452CCD" w:rsidRDefault="004D77C0" w:rsidP="009A4117">
      <w:pPr>
        <w:pStyle w:val="Body"/>
        <w:rPr>
          <w:rFonts w:ascii="Arial" w:hAnsi="Arial" w:cs="Arial"/>
        </w:rPr>
      </w:pPr>
      <w:r w:rsidRPr="004D77C0">
        <w:rPr>
          <w:rFonts w:ascii="Arial" w:hAnsi="Arial" w:cs="Arial"/>
          <w:highlight w:val="yellow"/>
        </w:rPr>
        <w:t xml:space="preserve">The learning of foreign languages, especially English, acquires strategic importance in a </w:t>
      </w:r>
      <w:proofErr w:type="spellStart"/>
      <w:r w:rsidRPr="003B5BB6">
        <w:rPr>
          <w:rFonts w:ascii="Arial" w:hAnsi="Arial" w:cs="Arial"/>
          <w:i/>
          <w:iCs/>
          <w:highlight w:val="yellow"/>
        </w:rPr>
        <w:t>glocal</w:t>
      </w:r>
      <w:proofErr w:type="spellEnd"/>
      <w:r w:rsidRPr="004D77C0">
        <w:rPr>
          <w:rFonts w:ascii="Arial" w:hAnsi="Arial" w:cs="Arial"/>
          <w:highlight w:val="yellow"/>
        </w:rPr>
        <w:t xml:space="preserve"> educational approach, which promotes the strengthening of local identities and access to global knowledge</w:t>
      </w:r>
      <w:r w:rsidRPr="004D77C0">
        <w:rPr>
          <w:rFonts w:ascii="Arial" w:hAnsi="Arial" w:cs="Arial"/>
          <w:highlight w:val="yellow"/>
        </w:rPr>
        <w:t xml:space="preserve"> </w:t>
      </w:r>
      <w:r w:rsidR="009A4117" w:rsidRPr="004D77C0">
        <w:rPr>
          <w:rFonts w:ascii="Arial" w:hAnsi="Arial" w:cs="Arial"/>
          <w:highlight w:val="yellow"/>
        </w:rPr>
        <w:t>[11, 20].</w:t>
      </w:r>
      <w:r w:rsidR="009A4117" w:rsidRPr="004D77C0">
        <w:rPr>
          <w:rFonts w:ascii="Arial" w:hAnsi="Arial" w:cs="Arial"/>
        </w:rPr>
        <w:t xml:space="preserve"> </w:t>
      </w:r>
      <w:r w:rsidR="00452CCD" w:rsidRPr="00452CCD">
        <w:rPr>
          <w:rFonts w:ascii="Arial" w:hAnsi="Arial" w:cs="Arial"/>
          <w:highlight w:val="yellow"/>
        </w:rPr>
        <w:t xml:space="preserve">Rolan Robertson proposed replacing the traditional view of globalization—as a tension between the global and the local—with the idea of ​​glocalization, where the local is a constituent part of the global. Glocalization transcends the debate between cultural homogenization and heterogenization, showing that both processes coexist and mutually reinforce each other </w:t>
      </w:r>
      <w:r w:rsidR="00F7026F">
        <w:rPr>
          <w:rFonts w:ascii="Arial" w:hAnsi="Arial" w:cs="Arial"/>
          <w:highlight w:val="yellow"/>
        </w:rPr>
        <w:t>[29, 30]</w:t>
      </w:r>
      <w:r w:rsidR="00452CCD" w:rsidRPr="00452CCD">
        <w:rPr>
          <w:rFonts w:ascii="Arial" w:hAnsi="Arial" w:cs="Arial"/>
          <w:highlight w:val="yellow"/>
        </w:rPr>
        <w:t>.</w:t>
      </w:r>
    </w:p>
    <w:p w14:paraId="59E47180" w14:textId="77335018" w:rsidR="009A4117" w:rsidRPr="009A4117" w:rsidRDefault="009A4117" w:rsidP="009A4117">
      <w:pPr>
        <w:pStyle w:val="Body"/>
        <w:rPr>
          <w:rFonts w:ascii="Arial" w:hAnsi="Arial" w:cs="Arial"/>
        </w:rPr>
      </w:pPr>
      <w:r w:rsidRPr="009A4117">
        <w:rPr>
          <w:rFonts w:ascii="Arial" w:hAnsi="Arial" w:cs="Arial"/>
        </w:rPr>
        <w:t>Teaching English at the BUAP Northeastern Regional Complex, especially through native teachers, allows Indigenous and non-Indigenous students to develop communicative skills that expand their possibilities for academic, professional, and cultural integration in international contexts. This language training, far from diluting cultural identities, empowers them by providing students with tools that allow them to represent and project their knowledge and traditions in global spaces of exchange and collaboration [8, 27].</w:t>
      </w:r>
    </w:p>
    <w:p w14:paraId="2BE3127E" w14:textId="77777777" w:rsidR="009A4117" w:rsidRPr="009A4117" w:rsidRDefault="009A4117" w:rsidP="009A4117">
      <w:pPr>
        <w:pStyle w:val="Body"/>
        <w:rPr>
          <w:rFonts w:ascii="Arial" w:hAnsi="Arial" w:cs="Arial"/>
        </w:rPr>
      </w:pPr>
      <w:r w:rsidRPr="009A4117">
        <w:rPr>
          <w:rFonts w:ascii="Arial" w:hAnsi="Arial" w:cs="Arial"/>
        </w:rPr>
        <w:t>Improving cross-border exchange models like the Fulbright-García Robles Scholarship has been shown to be a very effective tactic. The presence of fellows of this program in the Northeast Regional Complex has produced great achievements in the field of student mobility, teacher qualification and reinforcement of international academic networks. These experiences enhance English proficiency academically and also generate genuine intercultural communication, to the benefit of both local and visiting participants, and to the building of a more open, pluralistic education based on the values of epistemic equity and heritage respect.</w:t>
      </w:r>
    </w:p>
    <w:p w14:paraId="2D4428E5" w14:textId="2358E422" w:rsidR="00683BA2" w:rsidRDefault="009A4117" w:rsidP="009A4117">
      <w:pPr>
        <w:pStyle w:val="Body"/>
        <w:rPr>
          <w:rFonts w:ascii="Arial" w:hAnsi="Arial" w:cs="Arial"/>
        </w:rPr>
      </w:pPr>
      <w:r w:rsidRPr="009A4117">
        <w:rPr>
          <w:rFonts w:ascii="Arial" w:hAnsi="Arial" w:cs="Arial"/>
        </w:rPr>
        <w:lastRenderedPageBreak/>
        <w:t>That is, building non-assimilationist education in contexts of cultural diversity requires more than the inclusion of multicultural content: it demands rethinking the power relations that structure knowledge, opening the educational space to other ways of knowing, and developing citizens capable of critically inhabiting multiple epistemic worlds without renouncing their cultural roots [2, 13].</w:t>
      </w:r>
    </w:p>
    <w:p w14:paraId="1B189E4F" w14:textId="34A5D6CE" w:rsidR="00B01FCD" w:rsidRDefault="00296386"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1A7DEB75" w14:textId="77777777" w:rsidR="00790ADA" w:rsidRPr="00FB3A86" w:rsidRDefault="00790ADA" w:rsidP="00441B6F">
      <w:pPr>
        <w:pStyle w:val="ConcHead"/>
        <w:spacing w:after="0"/>
        <w:jc w:val="both"/>
        <w:rPr>
          <w:rFonts w:ascii="Arial" w:hAnsi="Arial" w:cs="Arial"/>
        </w:rPr>
      </w:pPr>
    </w:p>
    <w:p w14:paraId="50605F75" w14:textId="77777777" w:rsidR="009A4117" w:rsidRPr="009A4117" w:rsidRDefault="009A4117" w:rsidP="009A4117">
      <w:pPr>
        <w:pStyle w:val="Body"/>
        <w:rPr>
          <w:rFonts w:ascii="Arial" w:hAnsi="Arial" w:cs="Arial"/>
        </w:rPr>
      </w:pPr>
      <w:r w:rsidRPr="009A4117">
        <w:rPr>
          <w:rFonts w:ascii="Arial" w:hAnsi="Arial" w:cs="Arial"/>
        </w:rPr>
        <w:t xml:space="preserve">The paradox in education experienced by Indigenous people - how to preserve their cultural and linguistic identity while joining the global knowledge society- should not be interpreted as an irresolvable contradiction, but rather as an opportunity to critically re-analyze current educational practices. The case of BUAP Northeastern Regional Complex models how, rather than furthering processes of cultural assimilation, it is possible to devise educational strategies that strengthen Indigenous identities and promote their active participation in multiple epistemic scenarios. The model of epistemic integration that is advocated in this regard consequently challenges conventional educational logics of normalization and cognitive imperialism. By actually teaching the country’s diverse languages, providing spaces for cultural promotion, and encouraging the development of literature in Nahuatl and Totonac, we are taking steps towards an education in which cultural diversity ceases to be a stumbling block and becomes instead a positive driving force that nourishes and enriches the teaching and learning process. </w:t>
      </w:r>
    </w:p>
    <w:p w14:paraId="1C3AEA84" w14:textId="77777777" w:rsidR="009A4117" w:rsidRPr="009A4117" w:rsidRDefault="009A4117" w:rsidP="009A4117">
      <w:pPr>
        <w:pStyle w:val="Body"/>
        <w:rPr>
          <w:rFonts w:ascii="Arial" w:hAnsi="Arial" w:cs="Arial"/>
        </w:rPr>
      </w:pPr>
      <w:r w:rsidRPr="009A4117">
        <w:rPr>
          <w:rFonts w:ascii="Arial" w:hAnsi="Arial" w:cs="Arial"/>
        </w:rPr>
        <w:t xml:space="preserve">Consolidating critical intercultural education means altering the structural elements of the curriculum, ensuring specialized teacher preparation and forging substantive connections with Indigenous communities. It also carries with it an obligation on the part of the university to respect and promote Indigenous knowledge systems as part and parcel of the institution. In a world made ever smaller by technology there can be no genuine inclusion that is founded on denying people’s differences, but must instead be rooted in recognizing people’s differences and celebrating them. We need an education that enables Indigenous learners to live in their own cultural skin and to connect pridefully, and critically, to the wider world of the global knowledge society. </w:t>
      </w:r>
    </w:p>
    <w:p w14:paraId="36C41975" w14:textId="6DDDDB86" w:rsidR="00683BA2" w:rsidRDefault="009A4117" w:rsidP="00441B6F">
      <w:pPr>
        <w:pStyle w:val="Body"/>
        <w:spacing w:after="0"/>
        <w:rPr>
          <w:rFonts w:ascii="Arial" w:hAnsi="Arial" w:cs="Arial"/>
        </w:rPr>
      </w:pPr>
      <w:r w:rsidRPr="009A4117">
        <w:rPr>
          <w:rFonts w:ascii="Arial" w:hAnsi="Arial" w:cs="Arial"/>
        </w:rPr>
        <w:t>In conclusion, it is not only possible but imperative to confront the educational paradox between the preservation of the cultural and linguistic identity of Indigenous Peoples and their critical integration within a globalized knowledge society, in order to develop a genuinely intercultural education. As argued throughout this work, overcoming homogenizing logics implies recognizing Indigenous knowledge as legitimate foundations of knowledge and designing pedagogical practices that promote horizontal dialogue between different epistemologies. Experiences such as those developed at the BUAP Northeastern Regional Complex, through the Minerva Project and the “Indigenous Peoples and Living Languages” program, demonstrate that it is feasible to educate students capable of strengthening their cultural roots while critically and actively accessing global knowledge. Investing in epistemic integration models contributes to educational equity and empowers Indigenous communities to be protagonists of their own development in a global, plural, and constantly changing world</w:t>
      </w:r>
      <w:r w:rsidR="00683BA2" w:rsidRPr="00683BA2">
        <w:rPr>
          <w:rFonts w:ascii="Arial" w:hAnsi="Arial" w:cs="Arial"/>
        </w:rPr>
        <w:t>.</w:t>
      </w:r>
    </w:p>
    <w:p w14:paraId="126303AF" w14:textId="77777777" w:rsidR="009A4117" w:rsidRPr="00FB3A86" w:rsidRDefault="009A4117" w:rsidP="00441B6F">
      <w:pPr>
        <w:pStyle w:val="Body"/>
        <w:spacing w:after="0"/>
        <w:rPr>
          <w:rFonts w:ascii="Arial" w:hAnsi="Arial" w:cs="Arial"/>
        </w:rPr>
      </w:pPr>
    </w:p>
    <w:p w14:paraId="32F4C302" w14:textId="77777777" w:rsidR="00E37641" w:rsidRPr="00E37641" w:rsidRDefault="00E37641" w:rsidP="00E37641">
      <w:pPr>
        <w:pStyle w:val="ReferHead"/>
        <w:jc w:val="both"/>
        <w:rPr>
          <w:rFonts w:ascii="Arial" w:hAnsi="Arial" w:cs="Arial"/>
          <w:bCs/>
          <w:caps w:val="0"/>
          <w:sz w:val="20"/>
          <w:highlight w:val="yellow"/>
        </w:rPr>
      </w:pPr>
      <w:r w:rsidRPr="00E37641">
        <w:rPr>
          <w:rFonts w:ascii="Arial" w:hAnsi="Arial" w:cs="Arial"/>
          <w:bCs/>
          <w:caps w:val="0"/>
          <w:sz w:val="20"/>
          <w:highlight w:val="yellow"/>
        </w:rPr>
        <w:lastRenderedPageBreak/>
        <w:t>Disclaimer (Artificial Intelligence)</w:t>
      </w:r>
    </w:p>
    <w:p w14:paraId="23620DED" w14:textId="550322BD" w:rsidR="005C784C" w:rsidRDefault="00E37641" w:rsidP="00E37641">
      <w:pPr>
        <w:pStyle w:val="ReferHead"/>
        <w:spacing w:after="0"/>
        <w:jc w:val="both"/>
        <w:rPr>
          <w:rFonts w:ascii="Arial" w:hAnsi="Arial" w:cs="Arial"/>
          <w:b w:val="0"/>
          <w:caps w:val="0"/>
          <w:sz w:val="20"/>
        </w:rPr>
      </w:pPr>
      <w:r w:rsidRPr="00E37641">
        <w:rPr>
          <w:rFonts w:ascii="Arial" w:hAnsi="Arial" w:cs="Arial"/>
          <w:b w:val="0"/>
          <w:caps w:val="0"/>
          <w:sz w:val="20"/>
          <w:highlight w:val="yellow"/>
        </w:rPr>
        <w:t>The authors hereby declare that no generative AI technologies, such as large language models (ChatGPT or others), were used during the writing of this manuscript.</w:t>
      </w:r>
    </w:p>
    <w:p w14:paraId="0B0816C7" w14:textId="77777777" w:rsidR="00E37641" w:rsidRDefault="00E37641" w:rsidP="00441B6F">
      <w:pPr>
        <w:pStyle w:val="ReferHead"/>
        <w:spacing w:after="0"/>
        <w:jc w:val="both"/>
        <w:rPr>
          <w:rFonts w:ascii="Arial" w:hAnsi="Arial" w:cs="Arial"/>
        </w:rPr>
      </w:pPr>
    </w:p>
    <w:p w14:paraId="4A870356" w14:textId="3056BFC8" w:rsidR="00B01FCD" w:rsidRPr="00184AFC" w:rsidRDefault="00B01FCD" w:rsidP="00441B6F">
      <w:pPr>
        <w:pStyle w:val="ReferHead"/>
        <w:spacing w:after="0"/>
        <w:jc w:val="both"/>
        <w:rPr>
          <w:rFonts w:ascii="Arial" w:hAnsi="Arial" w:cs="Arial"/>
        </w:rPr>
      </w:pPr>
      <w:r w:rsidRPr="00184AFC">
        <w:rPr>
          <w:rFonts w:ascii="Arial" w:hAnsi="Arial" w:cs="Arial"/>
        </w:rPr>
        <w:t>References</w:t>
      </w:r>
    </w:p>
    <w:p w14:paraId="3897E95D" w14:textId="77777777" w:rsidR="00790ADA" w:rsidRPr="00184AFC" w:rsidRDefault="00790ADA" w:rsidP="00441B6F">
      <w:pPr>
        <w:pStyle w:val="ReferHead"/>
        <w:spacing w:after="0"/>
        <w:jc w:val="both"/>
        <w:rPr>
          <w:rFonts w:ascii="Arial" w:hAnsi="Arial" w:cs="Arial"/>
        </w:rPr>
      </w:pPr>
    </w:p>
    <w:p w14:paraId="47EE6662" w14:textId="22C4BA83" w:rsidR="009A4117" w:rsidRPr="0037664A" w:rsidRDefault="009A4117" w:rsidP="009A4117">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Addae D, Amponsah S, </w:t>
      </w:r>
      <w:proofErr w:type="spellStart"/>
      <w:r w:rsidRPr="0037664A">
        <w:rPr>
          <w:rFonts w:ascii="Arial" w:hAnsi="Arial" w:cs="Arial"/>
        </w:rPr>
        <w:t>Kwapong</w:t>
      </w:r>
      <w:proofErr w:type="spellEnd"/>
      <w:r w:rsidRPr="0037664A">
        <w:rPr>
          <w:rFonts w:ascii="Arial" w:hAnsi="Arial" w:cs="Arial"/>
        </w:rPr>
        <w:t xml:space="preserve"> OATF. Global citizenship education curriculum through the lens of Indigenous knowledge systems: Perspectives from Ghana. </w:t>
      </w:r>
      <w:r w:rsidRPr="0037664A">
        <w:rPr>
          <w:rFonts w:ascii="Arial" w:hAnsi="Arial" w:cs="Arial"/>
          <w:i/>
          <w:iCs/>
        </w:rPr>
        <w:t>Prospects</w:t>
      </w:r>
      <w:r w:rsidRPr="0037664A">
        <w:rPr>
          <w:rFonts w:ascii="Arial" w:hAnsi="Arial" w:cs="Arial"/>
        </w:rPr>
        <w:t xml:space="preserve">. 2024. </w:t>
      </w:r>
      <w:hyperlink r:id="rId14" w:tgtFrame="_new" w:history="1">
        <w:r w:rsidRPr="0037664A">
          <w:rPr>
            <w:rFonts w:ascii="Arial" w:hAnsi="Arial" w:cs="Arial"/>
            <w:u w:val="single"/>
          </w:rPr>
          <w:t>https://doi.org/10.1007/s11125-023-09677-2</w:t>
        </w:r>
      </w:hyperlink>
    </w:p>
    <w:p w14:paraId="02EFDB16" w14:textId="188EA115"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Bonato G. Critical policy analysis of Indigenous knowledges and perspectives within health and physical education: Moving beyond the past. </w:t>
      </w:r>
      <w:r w:rsidRPr="0037664A">
        <w:rPr>
          <w:rFonts w:ascii="Arial" w:hAnsi="Arial" w:cs="Arial"/>
          <w:i/>
          <w:iCs/>
        </w:rPr>
        <w:t>Curriculum Perspectives</w:t>
      </w:r>
      <w:r w:rsidRPr="0037664A">
        <w:rPr>
          <w:rFonts w:ascii="Arial" w:hAnsi="Arial" w:cs="Arial"/>
        </w:rPr>
        <w:t xml:space="preserve">. 2024. </w:t>
      </w:r>
      <w:hyperlink r:id="rId15" w:tgtFrame="_new" w:history="1">
        <w:r w:rsidRPr="0037664A">
          <w:rPr>
            <w:rFonts w:ascii="Arial" w:hAnsi="Arial" w:cs="Arial"/>
            <w:u w:val="single"/>
          </w:rPr>
          <w:t>https://doi.org/10.1007/s41297-024-00290-7</w:t>
        </w:r>
      </w:hyperlink>
    </w:p>
    <w:p w14:paraId="46B47AD6" w14:textId="532C2225" w:rsidR="0037664A" w:rsidRPr="00A208F8" w:rsidRDefault="00671319"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Meritorious Autonomous University of Puebla</w:t>
      </w:r>
      <w:r>
        <w:rPr>
          <w:rFonts w:ascii="Arial" w:hAnsi="Arial" w:cs="Arial"/>
        </w:rPr>
        <w:t xml:space="preserve"> (BUAP)</w:t>
      </w:r>
      <w:r w:rsidRPr="0037664A">
        <w:rPr>
          <w:rFonts w:ascii="Arial" w:hAnsi="Arial" w:cs="Arial"/>
        </w:rPr>
        <w:t xml:space="preserve">. </w:t>
      </w:r>
      <w:r w:rsidRPr="00A208F8">
        <w:rPr>
          <w:rFonts w:ascii="Arial" w:hAnsi="Arial" w:cs="Arial"/>
          <w:i/>
          <w:iCs/>
          <w:lang w:val="es-MX"/>
        </w:rPr>
        <w:t xml:space="preserve">Minerva </w:t>
      </w:r>
      <w:proofErr w:type="spellStart"/>
      <w:r w:rsidRPr="00A208F8">
        <w:rPr>
          <w:rFonts w:ascii="Arial" w:hAnsi="Arial" w:cs="Arial"/>
          <w:i/>
          <w:iCs/>
          <w:lang w:val="es-MX"/>
        </w:rPr>
        <w:t>University</w:t>
      </w:r>
      <w:proofErr w:type="spellEnd"/>
      <w:r w:rsidRPr="00A208F8">
        <w:rPr>
          <w:rFonts w:ascii="Arial" w:hAnsi="Arial" w:cs="Arial"/>
          <w:i/>
          <w:iCs/>
          <w:lang w:val="es-MX"/>
        </w:rPr>
        <w:t xml:space="preserve"> </w:t>
      </w:r>
      <w:proofErr w:type="spellStart"/>
      <w:r w:rsidRPr="00A208F8">
        <w:rPr>
          <w:rFonts w:ascii="Arial" w:hAnsi="Arial" w:cs="Arial"/>
          <w:i/>
          <w:iCs/>
          <w:lang w:val="es-MX"/>
        </w:rPr>
        <w:t>Model</w:t>
      </w:r>
      <w:proofErr w:type="spellEnd"/>
      <w:r w:rsidRPr="00A208F8">
        <w:rPr>
          <w:rFonts w:ascii="Arial" w:hAnsi="Arial" w:cs="Arial"/>
          <w:lang w:val="es-MX"/>
        </w:rPr>
        <w:t xml:space="preserve">: </w:t>
      </w:r>
      <w:proofErr w:type="spellStart"/>
      <w:r w:rsidR="004C5BBD" w:rsidRPr="004C5BBD">
        <w:rPr>
          <w:rFonts w:ascii="Arial" w:hAnsi="Arial" w:cs="Arial"/>
          <w:i/>
          <w:iCs/>
          <w:lang w:val="es-MX"/>
        </w:rPr>
        <w:t>Integration</w:t>
      </w:r>
      <w:proofErr w:type="spellEnd"/>
      <w:r w:rsidR="004C5BBD" w:rsidRPr="004C5BBD">
        <w:rPr>
          <w:rFonts w:ascii="Arial" w:hAnsi="Arial" w:cs="Arial"/>
          <w:i/>
          <w:iCs/>
          <w:lang w:val="es-MX"/>
        </w:rPr>
        <w:t xml:space="preserve"> </w:t>
      </w:r>
      <w:proofErr w:type="spellStart"/>
      <w:r w:rsidR="004C5BBD" w:rsidRPr="004C5BBD">
        <w:rPr>
          <w:rFonts w:ascii="Arial" w:hAnsi="Arial" w:cs="Arial"/>
          <w:i/>
          <w:iCs/>
          <w:lang w:val="es-MX"/>
        </w:rPr>
        <w:t>document</w:t>
      </w:r>
      <w:proofErr w:type="spellEnd"/>
      <w:r w:rsidR="0037664A" w:rsidRPr="0037664A">
        <w:rPr>
          <w:rFonts w:ascii="Arial" w:hAnsi="Arial" w:cs="Arial"/>
          <w:lang w:val="es-MX"/>
        </w:rPr>
        <w:t xml:space="preserve">. Puebla: BUAP; 2007. </w:t>
      </w:r>
      <w:hyperlink r:id="rId16" w:tgtFrame="_new" w:history="1">
        <w:r w:rsidR="0037664A" w:rsidRPr="00A208F8">
          <w:rPr>
            <w:rFonts w:ascii="Arial" w:hAnsi="Arial" w:cs="Arial"/>
            <w:u w:val="single"/>
          </w:rPr>
          <w:t>https://csbiologicas.buap.mx/sites/default/files/MUM_Documentos_de_Integraci%C3%B3n.pdf</w:t>
        </w:r>
      </w:hyperlink>
    </w:p>
    <w:p w14:paraId="14D94527" w14:textId="77777777" w:rsidR="0037664A" w:rsidRPr="0037664A" w:rsidRDefault="0037664A" w:rsidP="0037664A">
      <w:pPr>
        <w:pStyle w:val="Prrafodelista"/>
        <w:numPr>
          <w:ilvl w:val="0"/>
          <w:numId w:val="31"/>
        </w:numPr>
        <w:spacing w:before="100" w:beforeAutospacing="1" w:after="100" w:afterAutospacing="1"/>
        <w:rPr>
          <w:rFonts w:ascii="Arial" w:hAnsi="Arial" w:cs="Arial"/>
          <w:lang w:val="es-MX"/>
        </w:rPr>
      </w:pPr>
      <w:proofErr w:type="spellStart"/>
      <w:r w:rsidRPr="0037664A">
        <w:rPr>
          <w:rFonts w:ascii="Arial" w:hAnsi="Arial" w:cs="Arial"/>
        </w:rPr>
        <w:t>Clarysse</w:t>
      </w:r>
      <w:proofErr w:type="spellEnd"/>
      <w:r w:rsidRPr="0037664A">
        <w:rPr>
          <w:rFonts w:ascii="Arial" w:hAnsi="Arial" w:cs="Arial"/>
        </w:rPr>
        <w:t xml:space="preserve"> LK. Compartmentalizing Indigenous knowledge(s): Binary framing and cognitive imperialism in social studies curriculum. </w:t>
      </w:r>
      <w:proofErr w:type="spellStart"/>
      <w:r w:rsidRPr="0037664A">
        <w:rPr>
          <w:rFonts w:ascii="Arial" w:hAnsi="Arial" w:cs="Arial"/>
          <w:i/>
          <w:iCs/>
          <w:lang w:val="es-MX"/>
        </w:rPr>
        <w:t>Humanit</w:t>
      </w:r>
      <w:proofErr w:type="spellEnd"/>
      <w:r w:rsidRPr="0037664A">
        <w:rPr>
          <w:rFonts w:ascii="Arial" w:hAnsi="Arial" w:cs="Arial"/>
          <w:i/>
          <w:iCs/>
          <w:lang w:val="es-MX"/>
        </w:rPr>
        <w:t xml:space="preserve"> </w:t>
      </w:r>
      <w:proofErr w:type="spellStart"/>
      <w:r w:rsidRPr="0037664A">
        <w:rPr>
          <w:rFonts w:ascii="Arial" w:hAnsi="Arial" w:cs="Arial"/>
          <w:i/>
          <w:iCs/>
          <w:lang w:val="es-MX"/>
        </w:rPr>
        <w:t>Soc</w:t>
      </w:r>
      <w:proofErr w:type="spellEnd"/>
      <w:r w:rsidRPr="0037664A">
        <w:rPr>
          <w:rFonts w:ascii="Arial" w:hAnsi="Arial" w:cs="Arial"/>
          <w:i/>
          <w:iCs/>
          <w:lang w:val="es-MX"/>
        </w:rPr>
        <w:t xml:space="preserve"> </w:t>
      </w:r>
      <w:proofErr w:type="spellStart"/>
      <w:r w:rsidRPr="0037664A">
        <w:rPr>
          <w:rFonts w:ascii="Arial" w:hAnsi="Arial" w:cs="Arial"/>
          <w:i/>
          <w:iCs/>
          <w:lang w:val="es-MX"/>
        </w:rPr>
        <w:t>Sci</w:t>
      </w:r>
      <w:proofErr w:type="spellEnd"/>
      <w:r w:rsidRPr="0037664A">
        <w:rPr>
          <w:rFonts w:ascii="Arial" w:hAnsi="Arial" w:cs="Arial"/>
          <w:i/>
          <w:iCs/>
          <w:lang w:val="es-MX"/>
        </w:rPr>
        <w:t xml:space="preserve"> </w:t>
      </w:r>
      <w:proofErr w:type="spellStart"/>
      <w:r w:rsidRPr="0037664A">
        <w:rPr>
          <w:rFonts w:ascii="Arial" w:hAnsi="Arial" w:cs="Arial"/>
          <w:i/>
          <w:iCs/>
          <w:lang w:val="es-MX"/>
        </w:rPr>
        <w:t>Commun</w:t>
      </w:r>
      <w:proofErr w:type="spellEnd"/>
      <w:r w:rsidRPr="0037664A">
        <w:rPr>
          <w:rFonts w:ascii="Arial" w:hAnsi="Arial" w:cs="Arial"/>
          <w:lang w:val="es-MX"/>
        </w:rPr>
        <w:t xml:space="preserve">. </w:t>
      </w:r>
      <w:proofErr w:type="gramStart"/>
      <w:r w:rsidRPr="0037664A">
        <w:rPr>
          <w:rFonts w:ascii="Arial" w:hAnsi="Arial" w:cs="Arial"/>
          <w:lang w:val="es-MX"/>
        </w:rPr>
        <w:t>2023;10:492</w:t>
      </w:r>
      <w:proofErr w:type="gramEnd"/>
      <w:r w:rsidRPr="0037664A">
        <w:rPr>
          <w:rFonts w:ascii="Arial" w:hAnsi="Arial" w:cs="Arial"/>
          <w:lang w:val="es-MX"/>
        </w:rPr>
        <w:t xml:space="preserve">. </w:t>
      </w:r>
      <w:hyperlink r:id="rId17" w:tgtFrame="_new" w:history="1">
        <w:r w:rsidRPr="0037664A">
          <w:rPr>
            <w:rFonts w:ascii="Arial" w:hAnsi="Arial" w:cs="Arial"/>
            <w:u w:val="single"/>
            <w:lang w:val="es-MX"/>
          </w:rPr>
          <w:t>https://doi.org/10.1057/s41599-023-01972-9</w:t>
        </w:r>
      </w:hyperlink>
    </w:p>
    <w:p w14:paraId="6E3EB8BD" w14:textId="4F3B4592"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lang w:val="es-MX"/>
        </w:rPr>
        <w:t xml:space="preserve">Comboni Salinas S, Juárez Núñez JM. </w:t>
      </w:r>
      <w:r w:rsidR="004C5BBD" w:rsidRPr="00671319">
        <w:rPr>
          <w:rFonts w:ascii="Arial" w:hAnsi="Arial" w:cs="Arial"/>
        </w:rPr>
        <w:t>Towards the decolonization of the teaching task: Elements for the construction of a new educational practice</w:t>
      </w:r>
      <w:r w:rsidRPr="00671319">
        <w:rPr>
          <w:rFonts w:ascii="Arial" w:hAnsi="Arial" w:cs="Arial"/>
        </w:rPr>
        <w:t xml:space="preserve">. </w:t>
      </w:r>
      <w:r w:rsidR="004C5BBD" w:rsidRPr="00A208F8">
        <w:rPr>
          <w:rFonts w:ascii="Arial" w:hAnsi="Arial" w:cs="Arial"/>
        </w:rPr>
        <w:t>I</w:t>
      </w:r>
      <w:r w:rsidRPr="00A208F8">
        <w:rPr>
          <w:rFonts w:ascii="Arial" w:hAnsi="Arial" w:cs="Arial"/>
        </w:rPr>
        <w:t xml:space="preserve">n: Comboni Salinas S, Juárez Núñez JM, </w:t>
      </w:r>
      <w:proofErr w:type="spellStart"/>
      <w:r w:rsidRPr="00A208F8">
        <w:rPr>
          <w:rFonts w:ascii="Arial" w:hAnsi="Arial" w:cs="Arial"/>
        </w:rPr>
        <w:t>editores</w:t>
      </w:r>
      <w:proofErr w:type="spellEnd"/>
      <w:r w:rsidRPr="00A208F8">
        <w:rPr>
          <w:rFonts w:ascii="Arial" w:hAnsi="Arial" w:cs="Arial"/>
        </w:rPr>
        <w:t xml:space="preserve">. </w:t>
      </w:r>
      <w:r w:rsidR="00671319" w:rsidRPr="0037664A">
        <w:rPr>
          <w:rFonts w:ascii="Arial" w:hAnsi="Arial" w:cs="Arial"/>
          <w:i/>
          <w:iCs/>
        </w:rPr>
        <w:t>Interculturality and diversity in education: conceptions, policies and practices</w:t>
      </w:r>
      <w:r w:rsidR="00671319" w:rsidRPr="0037664A">
        <w:rPr>
          <w:rFonts w:ascii="Arial" w:hAnsi="Arial" w:cs="Arial"/>
        </w:rPr>
        <w:t xml:space="preserve">. Mexico: Universidad Autónoma </w:t>
      </w:r>
      <w:proofErr w:type="spellStart"/>
      <w:r w:rsidR="00671319" w:rsidRPr="0037664A">
        <w:rPr>
          <w:rFonts w:ascii="Arial" w:hAnsi="Arial" w:cs="Arial"/>
        </w:rPr>
        <w:t>Metropolitana</w:t>
      </w:r>
      <w:proofErr w:type="spellEnd"/>
      <w:r w:rsidR="00671319" w:rsidRPr="0037664A">
        <w:rPr>
          <w:rFonts w:ascii="Arial" w:hAnsi="Arial" w:cs="Arial"/>
        </w:rPr>
        <w:t xml:space="preserve">; </w:t>
      </w:r>
      <w:r w:rsidRPr="0037664A">
        <w:rPr>
          <w:rFonts w:ascii="Arial" w:hAnsi="Arial" w:cs="Arial"/>
        </w:rPr>
        <w:t>2020. p. 223–253.</w:t>
      </w:r>
    </w:p>
    <w:p w14:paraId="7742271D" w14:textId="77777777"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Couch D, Nesterova Y, Nguyen H. Examining non-Indigenous teacher perceptions of Indigenous students in Taiwan through a Strategic Relational Approach. </w:t>
      </w:r>
      <w:r w:rsidRPr="0037664A">
        <w:rPr>
          <w:rFonts w:ascii="Arial" w:hAnsi="Arial" w:cs="Arial"/>
          <w:i/>
          <w:iCs/>
        </w:rPr>
        <w:t>Asia Pac Educ Rev</w:t>
      </w:r>
      <w:r w:rsidRPr="0037664A">
        <w:rPr>
          <w:rFonts w:ascii="Arial" w:hAnsi="Arial" w:cs="Arial"/>
        </w:rPr>
        <w:t xml:space="preserve">. </w:t>
      </w:r>
      <w:proofErr w:type="gramStart"/>
      <w:r w:rsidRPr="0037664A">
        <w:rPr>
          <w:rFonts w:ascii="Arial" w:hAnsi="Arial" w:cs="Arial"/>
        </w:rPr>
        <w:t>2024;25:255</w:t>
      </w:r>
      <w:proofErr w:type="gramEnd"/>
      <w:r w:rsidRPr="0037664A">
        <w:rPr>
          <w:rFonts w:ascii="Arial" w:hAnsi="Arial" w:cs="Arial"/>
        </w:rPr>
        <w:t xml:space="preserve">–266. </w:t>
      </w:r>
      <w:hyperlink r:id="rId18" w:tgtFrame="_new" w:history="1">
        <w:r w:rsidRPr="0037664A">
          <w:rPr>
            <w:rFonts w:ascii="Arial" w:hAnsi="Arial" w:cs="Arial"/>
            <w:u w:val="single"/>
          </w:rPr>
          <w:t>https://doi.org/10.1007/s12564-023-09830-8</w:t>
        </w:r>
      </w:hyperlink>
    </w:p>
    <w:p w14:paraId="3FE37880" w14:textId="77777777" w:rsidR="0037664A" w:rsidRPr="0037664A" w:rsidRDefault="0037664A" w:rsidP="0037664A">
      <w:pPr>
        <w:pStyle w:val="Prrafodelista"/>
        <w:numPr>
          <w:ilvl w:val="0"/>
          <w:numId w:val="31"/>
        </w:numPr>
        <w:spacing w:before="100" w:beforeAutospacing="1" w:after="100" w:afterAutospacing="1"/>
        <w:rPr>
          <w:rFonts w:ascii="Arial" w:hAnsi="Arial" w:cs="Arial"/>
        </w:rPr>
      </w:pPr>
      <w:proofErr w:type="spellStart"/>
      <w:r w:rsidRPr="0037664A">
        <w:rPr>
          <w:rFonts w:ascii="Arial" w:hAnsi="Arial" w:cs="Arial"/>
        </w:rPr>
        <w:t>Durmush</w:t>
      </w:r>
      <w:proofErr w:type="spellEnd"/>
      <w:r w:rsidRPr="0037664A">
        <w:rPr>
          <w:rFonts w:ascii="Arial" w:hAnsi="Arial" w:cs="Arial"/>
        </w:rPr>
        <w:t xml:space="preserve"> G, Craven RG, Yeung AS, et al. Enabling Indigenous wellbeing in higher education: Indigenous Australian youth-devised strategies and solutions. </w:t>
      </w:r>
      <w:r w:rsidRPr="0037664A">
        <w:rPr>
          <w:rFonts w:ascii="Arial" w:hAnsi="Arial" w:cs="Arial"/>
          <w:i/>
          <w:iCs/>
        </w:rPr>
        <w:t>High Educ</w:t>
      </w:r>
      <w:r w:rsidRPr="0037664A">
        <w:rPr>
          <w:rFonts w:ascii="Arial" w:hAnsi="Arial" w:cs="Arial"/>
        </w:rPr>
        <w:t xml:space="preserve">. </w:t>
      </w:r>
      <w:proofErr w:type="gramStart"/>
      <w:r w:rsidRPr="0037664A">
        <w:rPr>
          <w:rFonts w:ascii="Arial" w:hAnsi="Arial" w:cs="Arial"/>
        </w:rPr>
        <w:t>2024;87:1357</w:t>
      </w:r>
      <w:proofErr w:type="gramEnd"/>
      <w:r w:rsidRPr="0037664A">
        <w:rPr>
          <w:rFonts w:ascii="Arial" w:hAnsi="Arial" w:cs="Arial"/>
        </w:rPr>
        <w:t xml:space="preserve">–1374. </w:t>
      </w:r>
      <w:hyperlink r:id="rId19" w:tgtFrame="_new" w:history="1">
        <w:r w:rsidRPr="0037664A">
          <w:rPr>
            <w:rFonts w:ascii="Arial" w:hAnsi="Arial" w:cs="Arial"/>
            <w:u w:val="single"/>
          </w:rPr>
          <w:t>https://doi.org/10.1007/s10734-023-01067-z</w:t>
        </w:r>
      </w:hyperlink>
    </w:p>
    <w:p w14:paraId="14928ECF" w14:textId="77777777"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Foster AM, Hayes C. Dreamcatchers, Water Protectors, and the Question of Authenticity: Supporting teachers in choosing and using Indigenous children's literature. </w:t>
      </w:r>
      <w:r w:rsidRPr="0037664A">
        <w:rPr>
          <w:rFonts w:ascii="Arial" w:hAnsi="Arial" w:cs="Arial"/>
          <w:i/>
          <w:iCs/>
        </w:rPr>
        <w:t>Early Child Educ J</w:t>
      </w:r>
      <w:r w:rsidRPr="0037664A">
        <w:rPr>
          <w:rFonts w:ascii="Arial" w:hAnsi="Arial" w:cs="Arial"/>
        </w:rPr>
        <w:t xml:space="preserve">. </w:t>
      </w:r>
      <w:proofErr w:type="gramStart"/>
      <w:r w:rsidRPr="0037664A">
        <w:rPr>
          <w:rFonts w:ascii="Arial" w:hAnsi="Arial" w:cs="Arial"/>
        </w:rPr>
        <w:t>2024;52:1405</w:t>
      </w:r>
      <w:proofErr w:type="gramEnd"/>
      <w:r w:rsidRPr="0037664A">
        <w:rPr>
          <w:rFonts w:ascii="Arial" w:hAnsi="Arial" w:cs="Arial"/>
        </w:rPr>
        <w:t xml:space="preserve">–1412. </w:t>
      </w:r>
      <w:hyperlink r:id="rId20" w:tgtFrame="_new" w:history="1">
        <w:r w:rsidRPr="0037664A">
          <w:rPr>
            <w:rFonts w:ascii="Arial" w:hAnsi="Arial" w:cs="Arial"/>
            <w:u w:val="single"/>
          </w:rPr>
          <w:t>https://doi.org/10.1007/s10643-023-01509-4</w:t>
        </w:r>
      </w:hyperlink>
    </w:p>
    <w:p w14:paraId="557D598A" w14:textId="77777777"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Funk J, Woodroffe T. A differentiated approach to Indigenous pedagogies: Addressing gaps in teachers’ knowledge. </w:t>
      </w:r>
      <w:r w:rsidRPr="0037664A">
        <w:rPr>
          <w:rFonts w:ascii="Arial" w:hAnsi="Arial" w:cs="Arial"/>
          <w:i/>
          <w:iCs/>
        </w:rPr>
        <w:t>Aust Educ Res</w:t>
      </w:r>
      <w:r w:rsidRPr="0037664A">
        <w:rPr>
          <w:rFonts w:ascii="Arial" w:hAnsi="Arial" w:cs="Arial"/>
        </w:rPr>
        <w:t xml:space="preserve">. </w:t>
      </w:r>
      <w:proofErr w:type="gramStart"/>
      <w:r w:rsidRPr="0037664A">
        <w:rPr>
          <w:rFonts w:ascii="Arial" w:hAnsi="Arial" w:cs="Arial"/>
        </w:rPr>
        <w:t>2024;51:631</w:t>
      </w:r>
      <w:proofErr w:type="gramEnd"/>
      <w:r w:rsidRPr="0037664A">
        <w:rPr>
          <w:rFonts w:ascii="Arial" w:hAnsi="Arial" w:cs="Arial"/>
        </w:rPr>
        <w:t xml:space="preserve">–650. </w:t>
      </w:r>
      <w:hyperlink r:id="rId21" w:tgtFrame="_new" w:history="1">
        <w:r w:rsidRPr="0037664A">
          <w:rPr>
            <w:rFonts w:ascii="Arial" w:hAnsi="Arial" w:cs="Arial"/>
            <w:u w:val="single"/>
          </w:rPr>
          <w:t>https://doi.org/10.1007/s13384-023-00616-w</w:t>
        </w:r>
      </w:hyperlink>
    </w:p>
    <w:p w14:paraId="44E0E1C4" w14:textId="77777777"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Hoskins T, Jones A. Indigenous inclusion and </w:t>
      </w:r>
      <w:proofErr w:type="spellStart"/>
      <w:r w:rsidRPr="0037664A">
        <w:rPr>
          <w:rFonts w:ascii="Arial" w:hAnsi="Arial" w:cs="Arial"/>
        </w:rPr>
        <w:t>indigenising</w:t>
      </w:r>
      <w:proofErr w:type="spellEnd"/>
      <w:r w:rsidRPr="0037664A">
        <w:rPr>
          <w:rFonts w:ascii="Arial" w:hAnsi="Arial" w:cs="Arial"/>
        </w:rPr>
        <w:t xml:space="preserve"> the university. </w:t>
      </w:r>
      <w:r w:rsidRPr="0037664A">
        <w:rPr>
          <w:rFonts w:ascii="Arial" w:hAnsi="Arial" w:cs="Arial"/>
          <w:i/>
          <w:iCs/>
        </w:rPr>
        <w:t>N Z J Educ Stud</w:t>
      </w:r>
      <w:r w:rsidRPr="0037664A">
        <w:rPr>
          <w:rFonts w:ascii="Arial" w:hAnsi="Arial" w:cs="Arial"/>
        </w:rPr>
        <w:t xml:space="preserve">. </w:t>
      </w:r>
      <w:proofErr w:type="gramStart"/>
      <w:r w:rsidRPr="0037664A">
        <w:rPr>
          <w:rFonts w:ascii="Arial" w:hAnsi="Arial" w:cs="Arial"/>
        </w:rPr>
        <w:t>2022;57:305</w:t>
      </w:r>
      <w:proofErr w:type="gramEnd"/>
      <w:r w:rsidRPr="0037664A">
        <w:rPr>
          <w:rFonts w:ascii="Arial" w:hAnsi="Arial" w:cs="Arial"/>
        </w:rPr>
        <w:t xml:space="preserve">–320. </w:t>
      </w:r>
      <w:hyperlink r:id="rId22" w:tgtFrame="_new" w:history="1">
        <w:r w:rsidRPr="0037664A">
          <w:rPr>
            <w:rFonts w:ascii="Arial" w:hAnsi="Arial" w:cs="Arial"/>
            <w:u w:val="single"/>
          </w:rPr>
          <w:t>https://doi.org/10.1007/s40841-022-00264-1</w:t>
        </w:r>
      </w:hyperlink>
    </w:p>
    <w:p w14:paraId="024205DB" w14:textId="77777777" w:rsidR="0037664A" w:rsidRPr="0037664A" w:rsidRDefault="0037664A" w:rsidP="0037664A">
      <w:pPr>
        <w:pStyle w:val="Prrafodelista"/>
        <w:numPr>
          <w:ilvl w:val="0"/>
          <w:numId w:val="31"/>
        </w:numPr>
        <w:spacing w:before="100" w:beforeAutospacing="1" w:after="100" w:afterAutospacing="1"/>
        <w:rPr>
          <w:rFonts w:ascii="Arial" w:hAnsi="Arial" w:cs="Arial"/>
        </w:rPr>
      </w:pPr>
      <w:r w:rsidRPr="0037664A">
        <w:rPr>
          <w:rFonts w:ascii="Arial" w:hAnsi="Arial" w:cs="Arial"/>
        </w:rPr>
        <w:t xml:space="preserve">Johnson SR. The importance of learning with/on/from land and place while honoring reciprocity in Indigenous science education. </w:t>
      </w:r>
      <w:r w:rsidRPr="0037664A">
        <w:rPr>
          <w:rFonts w:ascii="Arial" w:hAnsi="Arial" w:cs="Arial"/>
          <w:i/>
          <w:iCs/>
        </w:rPr>
        <w:t>Cult Stud Sci Educ</w:t>
      </w:r>
      <w:r w:rsidRPr="0037664A">
        <w:rPr>
          <w:rFonts w:ascii="Arial" w:hAnsi="Arial" w:cs="Arial"/>
        </w:rPr>
        <w:t xml:space="preserve">. </w:t>
      </w:r>
      <w:proofErr w:type="gramStart"/>
      <w:r w:rsidRPr="0037664A">
        <w:rPr>
          <w:rFonts w:ascii="Arial" w:hAnsi="Arial" w:cs="Arial"/>
        </w:rPr>
        <w:t>2024;19:163</w:t>
      </w:r>
      <w:proofErr w:type="gramEnd"/>
      <w:r w:rsidRPr="0037664A">
        <w:rPr>
          <w:rFonts w:ascii="Arial" w:hAnsi="Arial" w:cs="Arial"/>
        </w:rPr>
        <w:t xml:space="preserve">–187. </w:t>
      </w:r>
      <w:hyperlink r:id="rId23" w:tgtFrame="_new" w:history="1">
        <w:r w:rsidRPr="0037664A">
          <w:rPr>
            <w:rFonts w:ascii="Arial" w:hAnsi="Arial" w:cs="Arial"/>
            <w:u w:val="single"/>
          </w:rPr>
          <w:t>https://doi.org/10.1007/s11422-023-10205-z</w:t>
        </w:r>
      </w:hyperlink>
    </w:p>
    <w:p w14:paraId="39E75A62" w14:textId="77777777" w:rsidR="0037664A" w:rsidRPr="0037664A" w:rsidRDefault="0037664A" w:rsidP="0037664A">
      <w:pPr>
        <w:pStyle w:val="Prrafodelista"/>
        <w:numPr>
          <w:ilvl w:val="0"/>
          <w:numId w:val="31"/>
        </w:numPr>
        <w:spacing w:before="100" w:beforeAutospacing="1" w:after="100" w:afterAutospacing="1"/>
        <w:rPr>
          <w:rFonts w:ascii="Arial" w:hAnsi="Arial" w:cs="Arial"/>
          <w:lang w:val="es-MX"/>
        </w:rPr>
      </w:pPr>
      <w:r w:rsidRPr="0037664A">
        <w:rPr>
          <w:rFonts w:ascii="Arial" w:hAnsi="Arial" w:cs="Arial"/>
        </w:rPr>
        <w:t xml:space="preserve">Lembit ND, Burgess C. Non-Indigenous teachers’ understandings of relationally responsive curriculum through an Indigenous standpoint. </w:t>
      </w:r>
      <w:proofErr w:type="spellStart"/>
      <w:r w:rsidRPr="0037664A">
        <w:rPr>
          <w:rFonts w:ascii="Arial" w:hAnsi="Arial" w:cs="Arial"/>
          <w:i/>
          <w:iCs/>
          <w:lang w:val="es-MX"/>
        </w:rPr>
        <w:t>Curriculum</w:t>
      </w:r>
      <w:proofErr w:type="spellEnd"/>
      <w:r w:rsidRPr="0037664A">
        <w:rPr>
          <w:rFonts w:ascii="Arial" w:hAnsi="Arial" w:cs="Arial"/>
          <w:i/>
          <w:iCs/>
          <w:lang w:val="es-MX"/>
        </w:rPr>
        <w:t xml:space="preserve"> </w:t>
      </w:r>
      <w:proofErr w:type="spellStart"/>
      <w:r w:rsidRPr="0037664A">
        <w:rPr>
          <w:rFonts w:ascii="Arial" w:hAnsi="Arial" w:cs="Arial"/>
          <w:i/>
          <w:iCs/>
          <w:lang w:val="es-MX"/>
        </w:rPr>
        <w:t>Perspectives</w:t>
      </w:r>
      <w:proofErr w:type="spellEnd"/>
      <w:r w:rsidRPr="0037664A">
        <w:rPr>
          <w:rFonts w:ascii="Arial" w:hAnsi="Arial" w:cs="Arial"/>
          <w:lang w:val="es-MX"/>
        </w:rPr>
        <w:t xml:space="preserve">. </w:t>
      </w:r>
      <w:proofErr w:type="gramStart"/>
      <w:r w:rsidRPr="0037664A">
        <w:rPr>
          <w:rFonts w:ascii="Arial" w:hAnsi="Arial" w:cs="Arial"/>
          <w:lang w:val="es-MX"/>
        </w:rPr>
        <w:t>2024;44:337</w:t>
      </w:r>
      <w:proofErr w:type="gramEnd"/>
      <w:r w:rsidRPr="0037664A">
        <w:rPr>
          <w:rFonts w:ascii="Arial" w:hAnsi="Arial" w:cs="Arial"/>
          <w:lang w:val="es-MX"/>
        </w:rPr>
        <w:t xml:space="preserve">–349. </w:t>
      </w:r>
      <w:hyperlink r:id="rId24" w:tgtFrame="_new" w:history="1">
        <w:r w:rsidRPr="0037664A">
          <w:rPr>
            <w:rFonts w:ascii="Arial" w:hAnsi="Arial" w:cs="Arial"/>
            <w:u w:val="single"/>
            <w:lang w:val="es-MX"/>
          </w:rPr>
          <w:t>https://doi.org/10.1007/s41297-024-00260-z</w:t>
        </w:r>
      </w:hyperlink>
    </w:p>
    <w:p w14:paraId="7B832171" w14:textId="6FA3E8EC" w:rsidR="0037664A" w:rsidRPr="004C5BBD" w:rsidRDefault="0037664A" w:rsidP="0037664A">
      <w:pPr>
        <w:pStyle w:val="Prrafodelista"/>
        <w:numPr>
          <w:ilvl w:val="0"/>
          <w:numId w:val="31"/>
        </w:numPr>
        <w:spacing w:before="100" w:beforeAutospacing="1" w:after="100" w:afterAutospacing="1"/>
        <w:rPr>
          <w:rFonts w:ascii="Arial" w:hAnsi="Arial" w:cs="Arial"/>
          <w:lang w:val="es-MX"/>
        </w:rPr>
      </w:pPr>
      <w:r w:rsidRPr="0037664A">
        <w:rPr>
          <w:rFonts w:ascii="Arial" w:hAnsi="Arial" w:cs="Arial"/>
          <w:lang w:val="es-MX"/>
        </w:rPr>
        <w:t xml:space="preserve">Mejía Montes de Oca P. </w:t>
      </w:r>
      <w:r w:rsidR="004C5BBD" w:rsidRPr="004C5BBD">
        <w:rPr>
          <w:rFonts w:ascii="Arial" w:hAnsi="Arial" w:cs="Arial"/>
          <w:lang w:val="es-MX"/>
        </w:rPr>
        <w:t xml:space="preserve">Los avatares de una sociedad multicultural </w:t>
      </w:r>
      <w:r w:rsidR="004C5BBD">
        <w:rPr>
          <w:rFonts w:ascii="Arial" w:hAnsi="Arial" w:cs="Arial"/>
          <w:lang w:val="es-MX"/>
        </w:rPr>
        <w:t>[</w:t>
      </w:r>
      <w:proofErr w:type="spellStart"/>
      <w:r w:rsidR="004C5BBD" w:rsidRPr="004C5BBD">
        <w:rPr>
          <w:rFonts w:ascii="Arial" w:hAnsi="Arial" w:cs="Arial"/>
          <w:lang w:val="es-MX"/>
        </w:rPr>
        <w:t>The</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vicissitudes</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of</w:t>
      </w:r>
      <w:proofErr w:type="spellEnd"/>
      <w:r w:rsidR="004C5BBD" w:rsidRPr="004C5BBD">
        <w:rPr>
          <w:rFonts w:ascii="Arial" w:hAnsi="Arial" w:cs="Arial"/>
          <w:lang w:val="es-MX"/>
        </w:rPr>
        <w:t xml:space="preserve"> a multicultural </w:t>
      </w:r>
      <w:proofErr w:type="spellStart"/>
      <w:r w:rsidR="004C5BBD" w:rsidRPr="004C5BBD">
        <w:rPr>
          <w:rFonts w:ascii="Arial" w:hAnsi="Arial" w:cs="Arial"/>
          <w:lang w:val="es-MX"/>
        </w:rPr>
        <w:t>society</w:t>
      </w:r>
      <w:proofErr w:type="spellEnd"/>
      <w:r w:rsidR="004C5BBD" w:rsidRPr="004C5BBD">
        <w:rPr>
          <w:rFonts w:ascii="Arial" w:hAnsi="Arial" w:cs="Arial"/>
          <w:lang w:val="es-MX"/>
        </w:rPr>
        <w:t>]</w:t>
      </w:r>
      <w:r w:rsidRPr="0037664A">
        <w:rPr>
          <w:rFonts w:ascii="Arial" w:hAnsi="Arial" w:cs="Arial"/>
          <w:lang w:val="es-MX"/>
        </w:rPr>
        <w:t xml:space="preserve">. </w:t>
      </w:r>
      <w:r w:rsidR="004C5BBD">
        <w:rPr>
          <w:rFonts w:ascii="Arial" w:hAnsi="Arial" w:cs="Arial"/>
          <w:lang w:val="es-MX"/>
        </w:rPr>
        <w:t>I</w:t>
      </w:r>
      <w:r w:rsidRPr="0037664A">
        <w:rPr>
          <w:rFonts w:ascii="Arial" w:hAnsi="Arial" w:cs="Arial"/>
          <w:lang w:val="es-MX"/>
        </w:rPr>
        <w:t>n: Comboni Salinas S, Juárez Núñez JM, editores</w:t>
      </w:r>
      <w:r w:rsidR="004C5BBD" w:rsidRPr="004C5BBD">
        <w:rPr>
          <w:rFonts w:ascii="Arial" w:hAnsi="Arial" w:cs="Arial"/>
          <w:lang w:val="es-MX"/>
        </w:rPr>
        <w:t>. Interculturalidad y diversidad en la educación: concepciones, políticas y prácticas [</w:t>
      </w:r>
      <w:proofErr w:type="spellStart"/>
      <w:r w:rsidR="004C5BBD" w:rsidRPr="004C5BBD">
        <w:rPr>
          <w:rFonts w:ascii="Arial" w:hAnsi="Arial" w:cs="Arial"/>
          <w:lang w:val="es-MX"/>
        </w:rPr>
        <w:t>Interculturality</w:t>
      </w:r>
      <w:proofErr w:type="spellEnd"/>
      <w:r w:rsidR="004C5BBD" w:rsidRPr="004C5BBD">
        <w:rPr>
          <w:rFonts w:ascii="Arial" w:hAnsi="Arial" w:cs="Arial"/>
          <w:lang w:val="es-MX"/>
        </w:rPr>
        <w:t xml:space="preserve"> and </w:t>
      </w:r>
      <w:proofErr w:type="spellStart"/>
      <w:r w:rsidR="004C5BBD" w:rsidRPr="004C5BBD">
        <w:rPr>
          <w:rFonts w:ascii="Arial" w:hAnsi="Arial" w:cs="Arial"/>
          <w:lang w:val="es-MX"/>
        </w:rPr>
        <w:t>diversity</w:t>
      </w:r>
      <w:proofErr w:type="spellEnd"/>
      <w:r w:rsidR="004C5BBD" w:rsidRPr="004C5BBD">
        <w:rPr>
          <w:rFonts w:ascii="Arial" w:hAnsi="Arial" w:cs="Arial"/>
          <w:lang w:val="es-MX"/>
        </w:rPr>
        <w:t xml:space="preserve"> in </w:t>
      </w:r>
      <w:proofErr w:type="spellStart"/>
      <w:r w:rsidR="004C5BBD" w:rsidRPr="004C5BBD">
        <w:rPr>
          <w:rFonts w:ascii="Arial" w:hAnsi="Arial" w:cs="Arial"/>
          <w:lang w:val="es-MX"/>
        </w:rPr>
        <w:t>education</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conceptions</w:t>
      </w:r>
      <w:proofErr w:type="spellEnd"/>
      <w:r w:rsidR="004C5BBD" w:rsidRPr="004C5BBD">
        <w:rPr>
          <w:rFonts w:ascii="Arial" w:hAnsi="Arial" w:cs="Arial"/>
          <w:lang w:val="es-MX"/>
        </w:rPr>
        <w:t xml:space="preserve">, </w:t>
      </w:r>
      <w:proofErr w:type="spellStart"/>
      <w:r w:rsidR="004C5BBD" w:rsidRPr="004C5BBD">
        <w:rPr>
          <w:rFonts w:ascii="Arial" w:hAnsi="Arial" w:cs="Arial"/>
          <w:lang w:val="es-MX"/>
        </w:rPr>
        <w:t>policies</w:t>
      </w:r>
      <w:proofErr w:type="spellEnd"/>
      <w:r w:rsidR="004C5BBD" w:rsidRPr="004C5BBD">
        <w:rPr>
          <w:rFonts w:ascii="Arial" w:hAnsi="Arial" w:cs="Arial"/>
          <w:lang w:val="es-MX"/>
        </w:rPr>
        <w:t xml:space="preserve"> and </w:t>
      </w:r>
      <w:proofErr w:type="spellStart"/>
      <w:r w:rsidR="004C5BBD" w:rsidRPr="004C5BBD">
        <w:rPr>
          <w:rFonts w:ascii="Arial" w:hAnsi="Arial" w:cs="Arial"/>
          <w:lang w:val="es-MX"/>
        </w:rPr>
        <w:t>practices</w:t>
      </w:r>
      <w:proofErr w:type="spellEnd"/>
      <w:r w:rsidR="004C5BBD" w:rsidRPr="004C5BBD">
        <w:rPr>
          <w:rFonts w:ascii="Arial" w:hAnsi="Arial" w:cs="Arial"/>
          <w:lang w:val="es-MX"/>
        </w:rPr>
        <w:t>].</w:t>
      </w:r>
      <w:r w:rsidRPr="0037664A">
        <w:rPr>
          <w:rFonts w:ascii="Arial" w:hAnsi="Arial" w:cs="Arial"/>
          <w:lang w:val="es-MX"/>
        </w:rPr>
        <w:t xml:space="preserve"> </w:t>
      </w:r>
      <w:r w:rsidRPr="004C5BBD">
        <w:rPr>
          <w:rFonts w:ascii="Arial" w:hAnsi="Arial" w:cs="Arial"/>
          <w:lang w:val="es-MX"/>
        </w:rPr>
        <w:t>México: Universidad Autónoma Metropolitana; 2020. p. 111–130.</w:t>
      </w:r>
    </w:p>
    <w:p w14:paraId="70A6D399" w14:textId="77777777" w:rsidR="0037664A" w:rsidRPr="0037664A" w:rsidRDefault="0037664A" w:rsidP="0037664A">
      <w:pPr>
        <w:pStyle w:val="Prrafodelista"/>
        <w:numPr>
          <w:ilvl w:val="0"/>
          <w:numId w:val="31"/>
        </w:numPr>
        <w:spacing w:before="100" w:beforeAutospacing="1" w:after="100" w:afterAutospacing="1"/>
        <w:rPr>
          <w:rFonts w:ascii="Arial" w:hAnsi="Arial" w:cs="Arial"/>
          <w:lang w:val="es-MX"/>
        </w:rPr>
      </w:pPr>
      <w:r w:rsidRPr="0037664A">
        <w:rPr>
          <w:rFonts w:ascii="Arial" w:hAnsi="Arial" w:cs="Arial"/>
        </w:rPr>
        <w:lastRenderedPageBreak/>
        <w:t xml:space="preserve">Michie M, Hogue M, Rioux J. Two-Ways thinking and Two-Eyed Seeing as ways of implementing Indigenous perspectives in the science education curriculum. </w:t>
      </w:r>
      <w:proofErr w:type="spellStart"/>
      <w:r w:rsidRPr="0037664A">
        <w:rPr>
          <w:rFonts w:ascii="Arial" w:hAnsi="Arial" w:cs="Arial"/>
          <w:i/>
          <w:iCs/>
          <w:lang w:val="es-MX"/>
        </w:rPr>
        <w:t>Discip</w:t>
      </w:r>
      <w:proofErr w:type="spellEnd"/>
      <w:r w:rsidRPr="0037664A">
        <w:rPr>
          <w:rFonts w:ascii="Arial" w:hAnsi="Arial" w:cs="Arial"/>
          <w:i/>
          <w:iCs/>
          <w:lang w:val="es-MX"/>
        </w:rPr>
        <w:t xml:space="preserve"> </w:t>
      </w:r>
      <w:proofErr w:type="spellStart"/>
      <w:r w:rsidRPr="0037664A">
        <w:rPr>
          <w:rFonts w:ascii="Arial" w:hAnsi="Arial" w:cs="Arial"/>
          <w:i/>
          <w:iCs/>
          <w:lang w:val="es-MX"/>
        </w:rPr>
        <w:t>Interdiscip</w:t>
      </w:r>
      <w:proofErr w:type="spellEnd"/>
      <w:r w:rsidRPr="0037664A">
        <w:rPr>
          <w:rFonts w:ascii="Arial" w:hAnsi="Arial" w:cs="Arial"/>
          <w:i/>
          <w:iCs/>
          <w:lang w:val="es-MX"/>
        </w:rPr>
        <w:t xml:space="preserve"> </w:t>
      </w:r>
      <w:proofErr w:type="spellStart"/>
      <w:r w:rsidRPr="0037664A">
        <w:rPr>
          <w:rFonts w:ascii="Arial" w:hAnsi="Arial" w:cs="Arial"/>
          <w:i/>
          <w:iCs/>
          <w:lang w:val="es-MX"/>
        </w:rPr>
        <w:t>Sci</w:t>
      </w:r>
      <w:proofErr w:type="spellEnd"/>
      <w:r w:rsidRPr="0037664A">
        <w:rPr>
          <w:rFonts w:ascii="Arial" w:hAnsi="Arial" w:cs="Arial"/>
          <w:i/>
          <w:iCs/>
          <w:lang w:val="es-MX"/>
        </w:rPr>
        <w:t xml:space="preserve"> </w:t>
      </w:r>
      <w:proofErr w:type="spellStart"/>
      <w:r w:rsidRPr="0037664A">
        <w:rPr>
          <w:rFonts w:ascii="Arial" w:hAnsi="Arial" w:cs="Arial"/>
          <w:i/>
          <w:iCs/>
          <w:lang w:val="es-MX"/>
        </w:rPr>
        <w:t>Educ</w:t>
      </w:r>
      <w:proofErr w:type="spellEnd"/>
      <w:r w:rsidRPr="0037664A">
        <w:rPr>
          <w:rFonts w:ascii="Arial" w:hAnsi="Arial" w:cs="Arial"/>
          <w:i/>
          <w:iCs/>
          <w:lang w:val="es-MX"/>
        </w:rPr>
        <w:t xml:space="preserve"> Res</w:t>
      </w:r>
      <w:r w:rsidRPr="0037664A">
        <w:rPr>
          <w:rFonts w:ascii="Arial" w:hAnsi="Arial" w:cs="Arial"/>
          <w:lang w:val="es-MX"/>
        </w:rPr>
        <w:t xml:space="preserve">. </w:t>
      </w:r>
      <w:proofErr w:type="gramStart"/>
      <w:r w:rsidRPr="0037664A">
        <w:rPr>
          <w:rFonts w:ascii="Arial" w:hAnsi="Arial" w:cs="Arial"/>
          <w:lang w:val="es-MX"/>
        </w:rPr>
        <w:t>2023;5:23</w:t>
      </w:r>
      <w:proofErr w:type="gramEnd"/>
      <w:r w:rsidRPr="0037664A">
        <w:rPr>
          <w:rFonts w:ascii="Arial" w:hAnsi="Arial" w:cs="Arial"/>
          <w:lang w:val="es-MX"/>
        </w:rPr>
        <w:t xml:space="preserve">. </w:t>
      </w:r>
      <w:hyperlink r:id="rId25" w:tgtFrame="_new" w:history="1">
        <w:r w:rsidRPr="0037664A">
          <w:rPr>
            <w:rFonts w:ascii="Arial" w:hAnsi="Arial" w:cs="Arial"/>
            <w:u w:val="single"/>
            <w:lang w:val="es-MX"/>
          </w:rPr>
          <w:t>https://doi.org/10.1186/s43031-023-00084-3</w:t>
        </w:r>
      </w:hyperlink>
    </w:p>
    <w:p w14:paraId="4B1095FC" w14:textId="365B8019" w:rsidR="0037664A" w:rsidRPr="0037664A" w:rsidRDefault="0037664A" w:rsidP="0037664A">
      <w:pPr>
        <w:pStyle w:val="Prrafodelista"/>
        <w:numPr>
          <w:ilvl w:val="0"/>
          <w:numId w:val="31"/>
        </w:numPr>
        <w:spacing w:before="100" w:beforeAutospacing="1" w:after="100" w:afterAutospacing="1"/>
        <w:rPr>
          <w:rFonts w:ascii="Arial" w:hAnsi="Arial" w:cs="Arial"/>
          <w:lang w:val="es-MX"/>
        </w:rPr>
      </w:pPr>
      <w:r w:rsidRPr="0037664A">
        <w:rPr>
          <w:rFonts w:ascii="Arial" w:hAnsi="Arial" w:cs="Arial"/>
          <w:lang w:val="es-MX"/>
        </w:rPr>
        <w:t>Morandín-Ahuerma F, Romero-Fernández A, Villanueva-Méndez L, Vargas-</w:t>
      </w:r>
      <w:proofErr w:type="spellStart"/>
      <w:r w:rsidRPr="0037664A">
        <w:rPr>
          <w:rFonts w:ascii="Arial" w:hAnsi="Arial" w:cs="Arial"/>
          <w:lang w:val="es-MX"/>
        </w:rPr>
        <w:t>Vizuet</w:t>
      </w:r>
      <w:proofErr w:type="spellEnd"/>
      <w:r w:rsidRPr="0037664A">
        <w:rPr>
          <w:rFonts w:ascii="Arial" w:hAnsi="Arial" w:cs="Arial"/>
          <w:lang w:val="es-MX"/>
        </w:rPr>
        <w:t xml:space="preserve"> AL. </w:t>
      </w:r>
      <w:r w:rsidR="00671319" w:rsidRPr="0037664A">
        <w:rPr>
          <w:rFonts w:ascii="Arial" w:hAnsi="Arial" w:cs="Arial"/>
        </w:rPr>
        <w:t xml:space="preserve">University regionalization as a factor for community development. In: </w:t>
      </w:r>
      <w:r w:rsidR="00671319" w:rsidRPr="0037664A">
        <w:rPr>
          <w:rFonts w:ascii="Arial" w:hAnsi="Arial" w:cs="Arial"/>
          <w:i/>
          <w:iCs/>
        </w:rPr>
        <w:t xml:space="preserve">Puebla </w:t>
      </w:r>
      <w:proofErr w:type="spellStart"/>
      <w:r w:rsidR="00671319" w:rsidRPr="0037664A">
        <w:rPr>
          <w:rFonts w:ascii="Arial" w:hAnsi="Arial" w:cs="Arial"/>
          <w:i/>
          <w:iCs/>
        </w:rPr>
        <w:t>Nororiental</w:t>
      </w:r>
      <w:proofErr w:type="spellEnd"/>
      <w:r w:rsidR="00671319" w:rsidRPr="0037664A">
        <w:rPr>
          <w:rFonts w:ascii="Arial" w:hAnsi="Arial" w:cs="Arial"/>
          <w:i/>
          <w:iCs/>
        </w:rPr>
        <w:t>: regional transdisciplinary studies</w:t>
      </w:r>
      <w:r w:rsidR="00671319" w:rsidRPr="0037664A">
        <w:rPr>
          <w:rFonts w:ascii="Arial" w:hAnsi="Arial" w:cs="Arial"/>
        </w:rPr>
        <w:t xml:space="preserve">. </w:t>
      </w:r>
      <w:r w:rsidRPr="0037664A">
        <w:rPr>
          <w:rFonts w:ascii="Arial" w:hAnsi="Arial" w:cs="Arial"/>
          <w:lang w:val="es-MX"/>
        </w:rPr>
        <w:t>Puebla: BUAP; 2019. p. 29–43.</w:t>
      </w:r>
    </w:p>
    <w:p w14:paraId="5656B2B2"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Morandín-Ahuerma F, Villanueva-Méndez L. Identidad regional y globalización. </w:t>
      </w:r>
      <w:proofErr w:type="spellStart"/>
      <w:r w:rsidRPr="0037664A">
        <w:rPr>
          <w:rStyle w:val="nfasis"/>
          <w:rFonts w:ascii="Arial" w:hAnsi="Arial" w:cs="Arial"/>
          <w:lang w:val="es-MX"/>
        </w:rPr>
        <w:t>Rev</w:t>
      </w:r>
      <w:proofErr w:type="spellEnd"/>
      <w:r w:rsidRPr="0037664A">
        <w:rPr>
          <w:rStyle w:val="nfasis"/>
          <w:rFonts w:ascii="Arial" w:hAnsi="Arial" w:cs="Arial"/>
          <w:lang w:val="es-MX"/>
        </w:rPr>
        <w:t xml:space="preserve"> Univ</w:t>
      </w:r>
      <w:r w:rsidRPr="0037664A">
        <w:rPr>
          <w:rFonts w:ascii="Arial" w:hAnsi="Arial" w:cs="Arial"/>
          <w:lang w:val="es-MX"/>
        </w:rPr>
        <w:t>. 2022;6(40):32–33.</w:t>
      </w:r>
    </w:p>
    <w:p w14:paraId="571241CF"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Morandín-Ahuerma F, Villanueva-Méndez L, Romero-Fernández A, Diaz-Carranza S, Santos-Cabañas E, Rodríguez-Garibay MG, Esteban-Hernández D.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Poetic</w:t>
      </w:r>
      <w:proofErr w:type="spellEnd"/>
      <w:r w:rsidRPr="0037664A">
        <w:rPr>
          <w:rFonts w:ascii="Arial" w:hAnsi="Arial" w:cs="Arial"/>
          <w:lang w:val="es-MX"/>
        </w:rPr>
        <w:t xml:space="preserve"> </w:t>
      </w:r>
      <w:proofErr w:type="spellStart"/>
      <w:r w:rsidRPr="0037664A">
        <w:rPr>
          <w:rFonts w:ascii="Arial" w:hAnsi="Arial" w:cs="Arial"/>
          <w:lang w:val="es-MX"/>
        </w:rPr>
        <w:t>Vision</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Indigenous</w:t>
      </w:r>
      <w:proofErr w:type="spellEnd"/>
      <w:r w:rsidRPr="0037664A">
        <w:rPr>
          <w:rFonts w:ascii="Arial" w:hAnsi="Arial" w:cs="Arial"/>
          <w:lang w:val="es-MX"/>
        </w:rPr>
        <w:t xml:space="preserve"> </w:t>
      </w:r>
      <w:proofErr w:type="spellStart"/>
      <w:r w:rsidRPr="0037664A">
        <w:rPr>
          <w:rFonts w:ascii="Arial" w:hAnsi="Arial" w:cs="Arial"/>
          <w:lang w:val="es-MX"/>
        </w:rPr>
        <w:t>Peoples</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Northeastern</w:t>
      </w:r>
      <w:proofErr w:type="spellEnd"/>
      <w:r w:rsidRPr="0037664A">
        <w:rPr>
          <w:rFonts w:ascii="Arial" w:hAnsi="Arial" w:cs="Arial"/>
          <w:lang w:val="es-MX"/>
        </w:rPr>
        <w:t xml:space="preserve"> </w:t>
      </w:r>
      <w:proofErr w:type="spellStart"/>
      <w:r w:rsidRPr="0037664A">
        <w:rPr>
          <w:rFonts w:ascii="Arial" w:hAnsi="Arial" w:cs="Arial"/>
          <w:lang w:val="es-MX"/>
        </w:rPr>
        <w:t>Region</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Puebla. </w:t>
      </w:r>
      <w:proofErr w:type="spellStart"/>
      <w:r w:rsidRPr="0037664A">
        <w:rPr>
          <w:rStyle w:val="nfasis"/>
          <w:rFonts w:ascii="Arial" w:hAnsi="Arial" w:cs="Arial"/>
          <w:lang w:val="es-MX"/>
        </w:rPr>
        <w:t>Rev</w:t>
      </w:r>
      <w:proofErr w:type="spellEnd"/>
      <w:r w:rsidRPr="0037664A">
        <w:rPr>
          <w:rStyle w:val="nfasis"/>
          <w:rFonts w:ascii="Arial" w:hAnsi="Arial" w:cs="Arial"/>
          <w:lang w:val="es-MX"/>
        </w:rPr>
        <w:t xml:space="preserve"> </w:t>
      </w:r>
      <w:proofErr w:type="spellStart"/>
      <w:r w:rsidRPr="0037664A">
        <w:rPr>
          <w:rStyle w:val="nfasis"/>
          <w:rFonts w:ascii="Arial" w:hAnsi="Arial" w:cs="Arial"/>
          <w:lang w:val="es-MX"/>
        </w:rPr>
        <w:t>Multidiscip</w:t>
      </w:r>
      <w:proofErr w:type="spellEnd"/>
      <w:r w:rsidRPr="0037664A">
        <w:rPr>
          <w:rStyle w:val="nfasis"/>
          <w:rFonts w:ascii="Arial" w:hAnsi="Arial" w:cs="Arial"/>
          <w:lang w:val="es-MX"/>
        </w:rPr>
        <w:t xml:space="preserve"> </w:t>
      </w:r>
      <w:proofErr w:type="spellStart"/>
      <w:r w:rsidRPr="0037664A">
        <w:rPr>
          <w:rStyle w:val="nfasis"/>
          <w:rFonts w:ascii="Arial" w:hAnsi="Arial" w:cs="Arial"/>
          <w:lang w:val="es-MX"/>
        </w:rPr>
        <w:t>Cienc</w:t>
      </w:r>
      <w:proofErr w:type="spellEnd"/>
      <w:r w:rsidRPr="0037664A">
        <w:rPr>
          <w:rStyle w:val="nfasis"/>
          <w:rFonts w:ascii="Arial" w:hAnsi="Arial" w:cs="Arial"/>
          <w:lang w:val="es-MX"/>
        </w:rPr>
        <w:t xml:space="preserve"> </w:t>
      </w:r>
      <w:proofErr w:type="spellStart"/>
      <w:r w:rsidRPr="0037664A">
        <w:rPr>
          <w:rStyle w:val="nfasis"/>
          <w:rFonts w:ascii="Arial" w:hAnsi="Arial" w:cs="Arial"/>
          <w:lang w:val="es-MX"/>
        </w:rPr>
        <w:t>Bás</w:t>
      </w:r>
      <w:proofErr w:type="spellEnd"/>
      <w:r w:rsidRPr="0037664A">
        <w:rPr>
          <w:rStyle w:val="nfasis"/>
          <w:rFonts w:ascii="Arial" w:hAnsi="Arial" w:cs="Arial"/>
          <w:lang w:val="es-MX"/>
        </w:rPr>
        <w:t xml:space="preserve"> </w:t>
      </w:r>
      <w:proofErr w:type="spellStart"/>
      <w:r w:rsidRPr="0037664A">
        <w:rPr>
          <w:rStyle w:val="nfasis"/>
          <w:rFonts w:ascii="Arial" w:hAnsi="Arial" w:cs="Arial"/>
          <w:lang w:val="es-MX"/>
        </w:rPr>
        <w:t>Humanid</w:t>
      </w:r>
      <w:proofErr w:type="spellEnd"/>
      <w:r w:rsidRPr="0037664A">
        <w:rPr>
          <w:rStyle w:val="nfasis"/>
          <w:rFonts w:ascii="Arial" w:hAnsi="Arial" w:cs="Arial"/>
          <w:lang w:val="es-MX"/>
        </w:rPr>
        <w:t xml:space="preserve"> Arte </w:t>
      </w:r>
      <w:proofErr w:type="spellStart"/>
      <w:r w:rsidRPr="0037664A">
        <w:rPr>
          <w:rStyle w:val="nfasis"/>
          <w:rFonts w:ascii="Arial" w:hAnsi="Arial" w:cs="Arial"/>
          <w:lang w:val="es-MX"/>
        </w:rPr>
        <w:t>Educ</w:t>
      </w:r>
      <w:proofErr w:type="spellEnd"/>
      <w:r w:rsidRPr="0037664A">
        <w:rPr>
          <w:rFonts w:ascii="Arial" w:hAnsi="Arial" w:cs="Arial"/>
          <w:lang w:val="es-MX"/>
        </w:rPr>
        <w:t xml:space="preserve">. 2024;2(6):32–38. </w:t>
      </w:r>
      <w:proofErr w:type="spellStart"/>
      <w:r w:rsidRPr="0037664A">
        <w:rPr>
          <w:rFonts w:ascii="Arial" w:hAnsi="Arial" w:cs="Arial"/>
          <w:lang w:val="es-MX"/>
        </w:rPr>
        <w:t>Available</w:t>
      </w:r>
      <w:proofErr w:type="spellEnd"/>
      <w:r w:rsidRPr="0037664A">
        <w:rPr>
          <w:rFonts w:ascii="Arial" w:hAnsi="Arial" w:cs="Arial"/>
          <w:lang w:val="es-MX"/>
        </w:rPr>
        <w:t xml:space="preserve"> </w:t>
      </w:r>
      <w:proofErr w:type="spellStart"/>
      <w:r w:rsidRPr="0037664A">
        <w:rPr>
          <w:rFonts w:ascii="Arial" w:hAnsi="Arial" w:cs="Arial"/>
          <w:lang w:val="es-MX"/>
        </w:rPr>
        <w:t>from</w:t>
      </w:r>
      <w:proofErr w:type="spellEnd"/>
      <w:r w:rsidRPr="0037664A">
        <w:rPr>
          <w:rFonts w:ascii="Arial" w:hAnsi="Arial" w:cs="Arial"/>
          <w:lang w:val="es-MX"/>
        </w:rPr>
        <w:t xml:space="preserve">: </w:t>
      </w:r>
      <w:hyperlink r:id="rId26" w:tgtFrame="_new" w:history="1">
        <w:r w:rsidRPr="0037664A">
          <w:rPr>
            <w:rStyle w:val="Hipervnculo"/>
            <w:rFonts w:ascii="Arial" w:hAnsi="Arial" w:cs="Arial"/>
            <w:color w:val="auto"/>
            <w:lang w:val="es-MX"/>
          </w:rPr>
          <w:t>https://t.ly/ibx5W</w:t>
        </w:r>
      </w:hyperlink>
    </w:p>
    <w:p w14:paraId="727398A8"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r w:rsidRPr="0037664A">
        <w:rPr>
          <w:rFonts w:ascii="Arial" w:hAnsi="Arial" w:cs="Arial"/>
          <w:lang w:val="es-MX"/>
        </w:rPr>
        <w:t xml:space="preserve">Morandín-Ahuerma F, Villanueva-Méndez L, Romero-Fernández A, Santos-Cabañas E, Rodríguez-Garibay MG, Esteban-Hernández D. </w:t>
      </w:r>
      <w:proofErr w:type="spellStart"/>
      <w:r w:rsidRPr="0037664A">
        <w:rPr>
          <w:rFonts w:ascii="Arial" w:hAnsi="Arial" w:cs="Arial"/>
          <w:lang w:val="es-MX"/>
        </w:rPr>
        <w:t>Resignification</w:t>
      </w:r>
      <w:proofErr w:type="spellEnd"/>
      <w:r w:rsidRPr="0037664A">
        <w:rPr>
          <w:rFonts w:ascii="Arial" w:hAnsi="Arial" w:cs="Arial"/>
          <w:lang w:val="es-MX"/>
        </w:rPr>
        <w:t xml:space="preserve"> </w:t>
      </w:r>
      <w:proofErr w:type="spellStart"/>
      <w:r w:rsidRPr="0037664A">
        <w:rPr>
          <w:rFonts w:ascii="Arial" w:hAnsi="Arial" w:cs="Arial"/>
          <w:lang w:val="es-MX"/>
        </w:rPr>
        <w:t>of</w:t>
      </w:r>
      <w:proofErr w:type="spellEnd"/>
      <w:r w:rsidRPr="0037664A">
        <w:rPr>
          <w:rFonts w:ascii="Arial" w:hAnsi="Arial" w:cs="Arial"/>
          <w:lang w:val="es-MX"/>
        </w:rPr>
        <w:t xml:space="preserve"> </w:t>
      </w:r>
      <w:proofErr w:type="spellStart"/>
      <w:r w:rsidRPr="0037664A">
        <w:rPr>
          <w:rFonts w:ascii="Arial" w:hAnsi="Arial" w:cs="Arial"/>
          <w:lang w:val="es-MX"/>
        </w:rPr>
        <w:t>Nahuatl</w:t>
      </w:r>
      <w:proofErr w:type="spellEnd"/>
      <w:r w:rsidRPr="0037664A">
        <w:rPr>
          <w:rFonts w:ascii="Arial" w:hAnsi="Arial" w:cs="Arial"/>
          <w:lang w:val="es-MX"/>
        </w:rPr>
        <w:t xml:space="preserve"> and </w:t>
      </w:r>
      <w:proofErr w:type="spellStart"/>
      <w:r w:rsidRPr="0037664A">
        <w:rPr>
          <w:rFonts w:ascii="Arial" w:hAnsi="Arial" w:cs="Arial"/>
          <w:lang w:val="es-MX"/>
        </w:rPr>
        <w:t>Totonac</w:t>
      </w:r>
      <w:proofErr w:type="spellEnd"/>
      <w:r w:rsidRPr="0037664A">
        <w:rPr>
          <w:rFonts w:ascii="Arial" w:hAnsi="Arial" w:cs="Arial"/>
          <w:lang w:val="es-MX"/>
        </w:rPr>
        <w:t xml:space="preserve"> </w:t>
      </w:r>
      <w:proofErr w:type="spellStart"/>
      <w:r w:rsidRPr="0037664A">
        <w:rPr>
          <w:rFonts w:ascii="Arial" w:hAnsi="Arial" w:cs="Arial"/>
          <w:lang w:val="es-MX"/>
        </w:rPr>
        <w:t>Poetry</w:t>
      </w:r>
      <w:proofErr w:type="spellEnd"/>
      <w:r w:rsidRPr="0037664A">
        <w:rPr>
          <w:rFonts w:ascii="Arial" w:hAnsi="Arial" w:cs="Arial"/>
          <w:lang w:val="es-MX"/>
        </w:rPr>
        <w:t xml:space="preserve"> in </w:t>
      </w:r>
      <w:proofErr w:type="spellStart"/>
      <w:r w:rsidRPr="0037664A">
        <w:rPr>
          <w:rFonts w:ascii="Arial" w:hAnsi="Arial" w:cs="Arial"/>
          <w:lang w:val="es-MX"/>
        </w:rPr>
        <w:t>the</w:t>
      </w:r>
      <w:proofErr w:type="spellEnd"/>
      <w:r w:rsidRPr="0037664A">
        <w:rPr>
          <w:rFonts w:ascii="Arial" w:hAnsi="Arial" w:cs="Arial"/>
          <w:lang w:val="es-MX"/>
        </w:rPr>
        <w:t xml:space="preserve"> </w:t>
      </w:r>
      <w:proofErr w:type="spellStart"/>
      <w:r w:rsidRPr="0037664A">
        <w:rPr>
          <w:rFonts w:ascii="Arial" w:hAnsi="Arial" w:cs="Arial"/>
          <w:lang w:val="es-MX"/>
        </w:rPr>
        <w:t>Contemporary</w:t>
      </w:r>
      <w:proofErr w:type="spellEnd"/>
      <w:r w:rsidRPr="0037664A">
        <w:rPr>
          <w:rFonts w:ascii="Arial" w:hAnsi="Arial" w:cs="Arial"/>
          <w:lang w:val="es-MX"/>
        </w:rPr>
        <w:t xml:space="preserve"> </w:t>
      </w:r>
      <w:proofErr w:type="spellStart"/>
      <w:r w:rsidRPr="0037664A">
        <w:rPr>
          <w:rFonts w:ascii="Arial" w:hAnsi="Arial" w:cs="Arial"/>
          <w:lang w:val="es-MX"/>
        </w:rPr>
        <w:t>Context</w:t>
      </w:r>
      <w:proofErr w:type="spellEnd"/>
      <w:r w:rsidRPr="0037664A">
        <w:rPr>
          <w:rFonts w:ascii="Arial" w:hAnsi="Arial" w:cs="Arial"/>
          <w:lang w:val="es-MX"/>
        </w:rPr>
        <w:t xml:space="preserve">. </w:t>
      </w:r>
      <w:r w:rsidRPr="0037664A">
        <w:rPr>
          <w:rStyle w:val="nfasis"/>
          <w:rFonts w:ascii="Arial" w:hAnsi="Arial" w:cs="Arial"/>
        </w:rPr>
        <w:t xml:space="preserve">Rev Multidiscip </w:t>
      </w:r>
      <w:proofErr w:type="spellStart"/>
      <w:r w:rsidRPr="0037664A">
        <w:rPr>
          <w:rStyle w:val="nfasis"/>
          <w:rFonts w:ascii="Arial" w:hAnsi="Arial" w:cs="Arial"/>
        </w:rPr>
        <w:t>Cienc</w:t>
      </w:r>
      <w:proofErr w:type="spellEnd"/>
      <w:r w:rsidRPr="0037664A">
        <w:rPr>
          <w:rStyle w:val="nfasis"/>
          <w:rFonts w:ascii="Arial" w:hAnsi="Arial" w:cs="Arial"/>
        </w:rPr>
        <w:t xml:space="preserve"> </w:t>
      </w:r>
      <w:proofErr w:type="spellStart"/>
      <w:r w:rsidRPr="0037664A">
        <w:rPr>
          <w:rStyle w:val="nfasis"/>
          <w:rFonts w:ascii="Arial" w:hAnsi="Arial" w:cs="Arial"/>
        </w:rPr>
        <w:t>Bás</w:t>
      </w:r>
      <w:proofErr w:type="spellEnd"/>
      <w:r w:rsidRPr="0037664A">
        <w:rPr>
          <w:rStyle w:val="nfasis"/>
          <w:rFonts w:ascii="Arial" w:hAnsi="Arial" w:cs="Arial"/>
        </w:rPr>
        <w:t xml:space="preserve"> </w:t>
      </w:r>
      <w:proofErr w:type="spellStart"/>
      <w:r w:rsidRPr="0037664A">
        <w:rPr>
          <w:rStyle w:val="nfasis"/>
          <w:rFonts w:ascii="Arial" w:hAnsi="Arial" w:cs="Arial"/>
        </w:rPr>
        <w:t>Humanid</w:t>
      </w:r>
      <w:proofErr w:type="spellEnd"/>
      <w:r w:rsidRPr="0037664A">
        <w:rPr>
          <w:rStyle w:val="nfasis"/>
          <w:rFonts w:ascii="Arial" w:hAnsi="Arial" w:cs="Arial"/>
        </w:rPr>
        <w:t xml:space="preserve"> Arte Educ</w:t>
      </w:r>
      <w:r w:rsidRPr="0037664A">
        <w:rPr>
          <w:rFonts w:ascii="Arial" w:hAnsi="Arial" w:cs="Arial"/>
        </w:rPr>
        <w:t xml:space="preserve">. 2024;2(8):75–79. Available from: </w:t>
      </w:r>
      <w:hyperlink r:id="rId27" w:tgtFrame="_new" w:history="1">
        <w:r w:rsidRPr="0037664A">
          <w:rPr>
            <w:rStyle w:val="Hipervnculo"/>
            <w:rFonts w:ascii="Arial" w:hAnsi="Arial" w:cs="Arial"/>
            <w:color w:val="auto"/>
          </w:rPr>
          <w:t>https://tinyurl.com/u8cjdthr</w:t>
        </w:r>
      </w:hyperlink>
    </w:p>
    <w:p w14:paraId="57B46BE7"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r w:rsidRPr="0037664A">
        <w:rPr>
          <w:rFonts w:ascii="Arial" w:hAnsi="Arial" w:cs="Arial"/>
        </w:rPr>
        <w:t xml:space="preserve">Murray G, Campton S. Reducing racism in education: Embedding Indigenous perspectives in curriculum. </w:t>
      </w:r>
      <w:r w:rsidRPr="0037664A">
        <w:rPr>
          <w:rStyle w:val="nfasis"/>
          <w:rFonts w:ascii="Arial" w:hAnsi="Arial" w:cs="Arial"/>
        </w:rPr>
        <w:t>Aust Educ Res</w:t>
      </w:r>
      <w:r w:rsidRPr="0037664A">
        <w:rPr>
          <w:rFonts w:ascii="Arial" w:hAnsi="Arial" w:cs="Arial"/>
        </w:rPr>
        <w:t xml:space="preserve">. </w:t>
      </w:r>
      <w:proofErr w:type="gramStart"/>
      <w:r w:rsidRPr="0037664A">
        <w:rPr>
          <w:rFonts w:ascii="Arial" w:hAnsi="Arial" w:cs="Arial"/>
        </w:rPr>
        <w:t>2024;51:1771</w:t>
      </w:r>
      <w:proofErr w:type="gramEnd"/>
      <w:r w:rsidRPr="0037664A">
        <w:rPr>
          <w:rFonts w:ascii="Arial" w:hAnsi="Arial" w:cs="Arial"/>
        </w:rPr>
        <w:t xml:space="preserve">–1790. </w:t>
      </w:r>
      <w:hyperlink r:id="rId28" w:tgtFrame="_new" w:history="1">
        <w:r w:rsidRPr="0037664A">
          <w:rPr>
            <w:rStyle w:val="Hipervnculo"/>
            <w:rFonts w:ascii="Arial" w:hAnsi="Arial" w:cs="Arial"/>
            <w:color w:val="auto"/>
          </w:rPr>
          <w:t>https://doi.org/10.1007/s13384-023-00663-3</w:t>
        </w:r>
      </w:hyperlink>
    </w:p>
    <w:p w14:paraId="3F9C54F6"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Nyblade</w:t>
      </w:r>
      <w:proofErr w:type="spellEnd"/>
      <w:r w:rsidRPr="0037664A">
        <w:rPr>
          <w:rFonts w:ascii="Arial" w:hAnsi="Arial" w:cs="Arial"/>
        </w:rPr>
        <w:t xml:space="preserve"> ML, Smith SJ, Sumida Huaman E. “The heavy burden”: Indigenous knowledge systems, biocultural diversity, and </w:t>
      </w:r>
      <w:proofErr w:type="spellStart"/>
      <w:r w:rsidRPr="0037664A">
        <w:rPr>
          <w:rFonts w:ascii="Arial" w:hAnsi="Arial" w:cs="Arial"/>
        </w:rPr>
        <w:t>transknowledging</w:t>
      </w:r>
      <w:proofErr w:type="spellEnd"/>
      <w:r w:rsidRPr="0037664A">
        <w:rPr>
          <w:rFonts w:ascii="Arial" w:hAnsi="Arial" w:cs="Arial"/>
        </w:rPr>
        <w:t xml:space="preserve"> in sciences education. </w:t>
      </w:r>
      <w:r w:rsidRPr="0037664A">
        <w:rPr>
          <w:rStyle w:val="nfasis"/>
          <w:rFonts w:ascii="Arial" w:hAnsi="Arial" w:cs="Arial"/>
        </w:rPr>
        <w:t>Cult Stud Sci Educ</w:t>
      </w:r>
      <w:r w:rsidRPr="0037664A">
        <w:rPr>
          <w:rFonts w:ascii="Arial" w:hAnsi="Arial" w:cs="Arial"/>
        </w:rPr>
        <w:t xml:space="preserve">. </w:t>
      </w:r>
      <w:proofErr w:type="gramStart"/>
      <w:r w:rsidRPr="0037664A">
        <w:rPr>
          <w:rFonts w:ascii="Arial" w:hAnsi="Arial" w:cs="Arial"/>
        </w:rPr>
        <w:t>2024;19:779</w:t>
      </w:r>
      <w:proofErr w:type="gramEnd"/>
      <w:r w:rsidRPr="0037664A">
        <w:rPr>
          <w:rFonts w:ascii="Arial" w:hAnsi="Arial" w:cs="Arial"/>
        </w:rPr>
        <w:t xml:space="preserve">–792. </w:t>
      </w:r>
      <w:hyperlink r:id="rId29" w:tgtFrame="_new" w:history="1">
        <w:r w:rsidRPr="0037664A">
          <w:rPr>
            <w:rStyle w:val="Hipervnculo"/>
            <w:rFonts w:ascii="Arial" w:hAnsi="Arial" w:cs="Arial"/>
            <w:color w:val="auto"/>
          </w:rPr>
          <w:t>https://doi.org/10.1007/s11422-024-10236-0</w:t>
        </w:r>
      </w:hyperlink>
    </w:p>
    <w:p w14:paraId="6B742540"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r w:rsidRPr="0037664A">
        <w:rPr>
          <w:rFonts w:ascii="Arial" w:hAnsi="Arial" w:cs="Arial"/>
        </w:rPr>
        <w:t xml:space="preserve">Odgers-Jewell K, Nelson A, Brown R, et al. Students’ experiences of placements in urban Indigenous health contexts: Developing a culturally responsive workforce. </w:t>
      </w:r>
      <w:r w:rsidRPr="0037664A">
        <w:rPr>
          <w:rStyle w:val="nfasis"/>
          <w:rFonts w:ascii="Arial" w:hAnsi="Arial" w:cs="Arial"/>
        </w:rPr>
        <w:t>BMC Med Educ</w:t>
      </w:r>
      <w:r w:rsidRPr="0037664A">
        <w:rPr>
          <w:rFonts w:ascii="Arial" w:hAnsi="Arial" w:cs="Arial"/>
        </w:rPr>
        <w:t xml:space="preserve">. </w:t>
      </w:r>
      <w:proofErr w:type="gramStart"/>
      <w:r w:rsidRPr="0037664A">
        <w:rPr>
          <w:rFonts w:ascii="Arial" w:hAnsi="Arial" w:cs="Arial"/>
        </w:rPr>
        <w:t>2024;24:1446</w:t>
      </w:r>
      <w:proofErr w:type="gramEnd"/>
      <w:r w:rsidRPr="0037664A">
        <w:rPr>
          <w:rFonts w:ascii="Arial" w:hAnsi="Arial" w:cs="Arial"/>
        </w:rPr>
        <w:t xml:space="preserve">. </w:t>
      </w:r>
      <w:hyperlink r:id="rId30" w:tgtFrame="_new" w:history="1">
        <w:r w:rsidRPr="0037664A">
          <w:rPr>
            <w:rStyle w:val="Hipervnculo"/>
            <w:rFonts w:ascii="Arial" w:hAnsi="Arial" w:cs="Arial"/>
            <w:color w:val="auto"/>
          </w:rPr>
          <w:t>https://doi.org/10.1186/s12909-024-06432-9</w:t>
        </w:r>
      </w:hyperlink>
    </w:p>
    <w:p w14:paraId="61C5F7D1"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lang w:val="es-MX"/>
        </w:rPr>
      </w:pPr>
      <w:r w:rsidRPr="0037664A">
        <w:rPr>
          <w:rFonts w:ascii="Arial" w:hAnsi="Arial" w:cs="Arial"/>
        </w:rPr>
        <w:t xml:space="preserve">Prehn J, </w:t>
      </w:r>
      <w:proofErr w:type="spellStart"/>
      <w:r w:rsidRPr="0037664A">
        <w:rPr>
          <w:rFonts w:ascii="Arial" w:hAnsi="Arial" w:cs="Arial"/>
        </w:rPr>
        <w:t>Guerzoni</w:t>
      </w:r>
      <w:proofErr w:type="spellEnd"/>
      <w:r w:rsidRPr="0037664A">
        <w:rPr>
          <w:rFonts w:ascii="Arial" w:hAnsi="Arial" w:cs="Arial"/>
        </w:rPr>
        <w:t xml:space="preserve"> M, Graham-Blair J. Nurturing cultural identity: Creating an inclusive school environment for Indigenous youths. </w:t>
      </w:r>
      <w:proofErr w:type="spellStart"/>
      <w:r w:rsidRPr="0037664A">
        <w:rPr>
          <w:rStyle w:val="nfasis"/>
          <w:rFonts w:ascii="Arial" w:hAnsi="Arial" w:cs="Arial"/>
          <w:lang w:val="es-MX"/>
        </w:rPr>
        <w:t>Aust</w:t>
      </w:r>
      <w:proofErr w:type="spellEnd"/>
      <w:r w:rsidRPr="0037664A">
        <w:rPr>
          <w:rStyle w:val="nfasis"/>
          <w:rFonts w:ascii="Arial" w:hAnsi="Arial" w:cs="Arial"/>
          <w:lang w:val="es-MX"/>
        </w:rPr>
        <w:t xml:space="preserve"> </w:t>
      </w:r>
      <w:proofErr w:type="spellStart"/>
      <w:r w:rsidRPr="0037664A">
        <w:rPr>
          <w:rStyle w:val="nfasis"/>
          <w:rFonts w:ascii="Arial" w:hAnsi="Arial" w:cs="Arial"/>
          <w:lang w:val="es-MX"/>
        </w:rPr>
        <w:t>Educ</w:t>
      </w:r>
      <w:proofErr w:type="spellEnd"/>
      <w:r w:rsidRPr="0037664A">
        <w:rPr>
          <w:rStyle w:val="nfasis"/>
          <w:rFonts w:ascii="Arial" w:hAnsi="Arial" w:cs="Arial"/>
          <w:lang w:val="es-MX"/>
        </w:rPr>
        <w:t xml:space="preserve"> Res</w:t>
      </w:r>
      <w:r w:rsidRPr="0037664A">
        <w:rPr>
          <w:rFonts w:ascii="Arial" w:hAnsi="Arial" w:cs="Arial"/>
          <w:lang w:val="es-MX"/>
        </w:rPr>
        <w:t xml:space="preserve">. </w:t>
      </w:r>
      <w:proofErr w:type="gramStart"/>
      <w:r w:rsidRPr="0037664A">
        <w:rPr>
          <w:rFonts w:ascii="Arial" w:hAnsi="Arial" w:cs="Arial"/>
          <w:lang w:val="es-MX"/>
        </w:rPr>
        <w:t>2025;52:1685</w:t>
      </w:r>
      <w:proofErr w:type="gramEnd"/>
      <w:r w:rsidRPr="0037664A">
        <w:rPr>
          <w:rFonts w:ascii="Arial" w:hAnsi="Arial" w:cs="Arial"/>
          <w:lang w:val="es-MX"/>
        </w:rPr>
        <w:t xml:space="preserve">–1705. </w:t>
      </w:r>
      <w:hyperlink r:id="rId31" w:tgtFrame="_new" w:history="1">
        <w:r w:rsidRPr="0037664A">
          <w:rPr>
            <w:rStyle w:val="Hipervnculo"/>
            <w:rFonts w:ascii="Arial" w:hAnsi="Arial" w:cs="Arial"/>
            <w:color w:val="auto"/>
            <w:lang w:val="es-MX"/>
          </w:rPr>
          <w:t>https://doi.org/10.1007/s13384-024-00781-6</w:t>
        </w:r>
      </w:hyperlink>
    </w:p>
    <w:p w14:paraId="02C0F89A" w14:textId="050F090B"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lang w:val="es-MX"/>
        </w:rPr>
      </w:pPr>
      <w:r w:rsidRPr="0037664A">
        <w:rPr>
          <w:rFonts w:ascii="Arial" w:hAnsi="Arial" w:cs="Arial"/>
          <w:lang w:val="es-MX"/>
        </w:rPr>
        <w:t xml:space="preserve">Rebolledo Reséndiz N. La interculturalidad en las aulas. </w:t>
      </w:r>
      <w:r w:rsidR="00671319" w:rsidRPr="0037664A">
        <w:rPr>
          <w:rFonts w:ascii="Arial" w:hAnsi="Arial" w:cs="Arial"/>
        </w:rPr>
        <w:t xml:space="preserve">In: Comboni Salinas S, Juárez Núñez JM, editors. </w:t>
      </w:r>
      <w:r w:rsidR="00671319" w:rsidRPr="0037664A">
        <w:rPr>
          <w:rStyle w:val="nfasis"/>
          <w:rFonts w:ascii="Arial" w:hAnsi="Arial" w:cs="Arial"/>
        </w:rPr>
        <w:t>Interculturality and diversity in education: conceptions, policies and practices</w:t>
      </w:r>
      <w:r w:rsidR="00671319" w:rsidRPr="0037664A">
        <w:rPr>
          <w:rFonts w:ascii="Arial" w:hAnsi="Arial" w:cs="Arial"/>
        </w:rPr>
        <w:t xml:space="preserve">. Mexico: Universidad Autónoma </w:t>
      </w:r>
      <w:proofErr w:type="spellStart"/>
      <w:r w:rsidR="00671319" w:rsidRPr="0037664A">
        <w:rPr>
          <w:rFonts w:ascii="Arial" w:hAnsi="Arial" w:cs="Arial"/>
        </w:rPr>
        <w:t>Metropolitana</w:t>
      </w:r>
      <w:proofErr w:type="spellEnd"/>
      <w:r w:rsidR="00671319" w:rsidRPr="0037664A">
        <w:rPr>
          <w:rFonts w:ascii="Arial" w:hAnsi="Arial" w:cs="Arial"/>
        </w:rPr>
        <w:t xml:space="preserve">; </w:t>
      </w:r>
      <w:r w:rsidRPr="0037664A">
        <w:rPr>
          <w:rFonts w:ascii="Arial" w:hAnsi="Arial" w:cs="Arial"/>
          <w:lang w:val="es-MX"/>
        </w:rPr>
        <w:t>2020. p. 163–180.</w:t>
      </w:r>
    </w:p>
    <w:p w14:paraId="400DE019" w14:textId="0FFD096F"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r w:rsidRPr="0037664A">
        <w:rPr>
          <w:rFonts w:ascii="Arial" w:hAnsi="Arial" w:cs="Arial"/>
          <w:lang w:val="es-MX"/>
        </w:rPr>
        <w:t xml:space="preserve">Romero-Fernández A, Morandín-Ahuerma F, Villanueva-Méndez L, Sánchez Aragón MS. </w:t>
      </w:r>
      <w:r w:rsidR="00671319" w:rsidRPr="0037664A">
        <w:rPr>
          <w:rFonts w:ascii="Arial" w:hAnsi="Arial" w:cs="Arial"/>
        </w:rPr>
        <w:t xml:space="preserve">Challenges and contradictions between teaching, research and linkage in a Regional University Unit. </w:t>
      </w:r>
      <w:r w:rsidRPr="0037664A">
        <w:rPr>
          <w:rStyle w:val="nfasis"/>
          <w:rFonts w:ascii="Arial" w:hAnsi="Arial" w:cs="Arial"/>
        </w:rPr>
        <w:t>Educ Super Soc</w:t>
      </w:r>
      <w:r w:rsidRPr="0037664A">
        <w:rPr>
          <w:rFonts w:ascii="Arial" w:hAnsi="Arial" w:cs="Arial"/>
        </w:rPr>
        <w:t xml:space="preserve">. 2024;36(2):202–225. Available from: </w:t>
      </w:r>
      <w:hyperlink r:id="rId32" w:tgtFrame="_new" w:history="1">
        <w:r w:rsidRPr="0037664A">
          <w:rPr>
            <w:rStyle w:val="Hipervnculo"/>
            <w:rFonts w:ascii="Arial" w:hAnsi="Arial" w:cs="Arial"/>
            <w:color w:val="auto"/>
          </w:rPr>
          <w:t>https://ess.iesalc.unesco.org/index.php/ess3/article/view/972</w:t>
        </w:r>
      </w:hyperlink>
    </w:p>
    <w:p w14:paraId="6F5AE2BE"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Tamtik</w:t>
      </w:r>
      <w:proofErr w:type="spellEnd"/>
      <w:r w:rsidRPr="0037664A">
        <w:rPr>
          <w:rFonts w:ascii="Arial" w:hAnsi="Arial" w:cs="Arial"/>
        </w:rPr>
        <w:t xml:space="preserve"> M. Indigenous Peoples and Higher Education Governance: Decolonizing the Ivory Tower. </w:t>
      </w:r>
      <w:r w:rsidRPr="0037664A">
        <w:rPr>
          <w:rStyle w:val="nfasis"/>
          <w:rFonts w:ascii="Arial" w:hAnsi="Arial" w:cs="Arial"/>
        </w:rPr>
        <w:t>High Educ Policy</w:t>
      </w:r>
      <w:r w:rsidRPr="0037664A">
        <w:rPr>
          <w:rFonts w:ascii="Arial" w:hAnsi="Arial" w:cs="Arial"/>
        </w:rPr>
        <w:t xml:space="preserve">. 2024. </w:t>
      </w:r>
      <w:hyperlink r:id="rId33" w:tgtFrame="_new" w:history="1">
        <w:r w:rsidRPr="0037664A">
          <w:rPr>
            <w:rStyle w:val="Hipervnculo"/>
            <w:rFonts w:ascii="Arial" w:hAnsi="Arial" w:cs="Arial"/>
            <w:color w:val="auto"/>
          </w:rPr>
          <w:t>https://doi.org/10.1057/s41307-024-00361-4</w:t>
        </w:r>
      </w:hyperlink>
    </w:p>
    <w:p w14:paraId="0CB984B1"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Trinick</w:t>
      </w:r>
      <w:proofErr w:type="spellEnd"/>
      <w:r w:rsidRPr="0037664A">
        <w:rPr>
          <w:rFonts w:ascii="Arial" w:hAnsi="Arial" w:cs="Arial"/>
        </w:rPr>
        <w:t xml:space="preserve"> T, Allen P. Wayfinding in an indigenous initial teacher education mathematics </w:t>
      </w:r>
      <w:proofErr w:type="spellStart"/>
      <w:r w:rsidRPr="0037664A">
        <w:rPr>
          <w:rFonts w:ascii="Arial" w:hAnsi="Arial" w:cs="Arial"/>
        </w:rPr>
        <w:t>programme</w:t>
      </w:r>
      <w:proofErr w:type="spellEnd"/>
      <w:r w:rsidRPr="0037664A">
        <w:rPr>
          <w:rFonts w:ascii="Arial" w:hAnsi="Arial" w:cs="Arial"/>
        </w:rPr>
        <w:t xml:space="preserve">. </w:t>
      </w:r>
      <w:r w:rsidRPr="0037664A">
        <w:rPr>
          <w:rStyle w:val="nfasis"/>
          <w:rFonts w:ascii="Arial" w:hAnsi="Arial" w:cs="Arial"/>
        </w:rPr>
        <w:t>ZDM Math Educ</w:t>
      </w:r>
      <w:r w:rsidRPr="0037664A">
        <w:rPr>
          <w:rFonts w:ascii="Arial" w:hAnsi="Arial" w:cs="Arial"/>
        </w:rPr>
        <w:t xml:space="preserve">. </w:t>
      </w:r>
      <w:proofErr w:type="gramStart"/>
      <w:r w:rsidRPr="0037664A">
        <w:rPr>
          <w:rFonts w:ascii="Arial" w:hAnsi="Arial" w:cs="Arial"/>
        </w:rPr>
        <w:t>2024;56:485</w:t>
      </w:r>
      <w:proofErr w:type="gramEnd"/>
      <w:r w:rsidRPr="0037664A">
        <w:rPr>
          <w:rFonts w:ascii="Arial" w:hAnsi="Arial" w:cs="Arial"/>
        </w:rPr>
        <w:t xml:space="preserve">–495. </w:t>
      </w:r>
      <w:hyperlink r:id="rId34" w:tgtFrame="_new" w:history="1">
        <w:r w:rsidRPr="0037664A">
          <w:rPr>
            <w:rStyle w:val="Hipervnculo"/>
            <w:rFonts w:ascii="Arial" w:hAnsi="Arial" w:cs="Arial"/>
            <w:color w:val="auto"/>
          </w:rPr>
          <w:t>https://doi.org/10.1007/s11858-024-01589-5</w:t>
        </w:r>
      </w:hyperlink>
    </w:p>
    <w:p w14:paraId="442442E8" w14:textId="77777777" w:rsidR="0037664A" w:rsidRPr="0037664A" w:rsidRDefault="0037664A" w:rsidP="0037664A">
      <w:pPr>
        <w:pStyle w:val="Prrafodelista"/>
        <w:numPr>
          <w:ilvl w:val="0"/>
          <w:numId w:val="31"/>
        </w:numPr>
        <w:spacing w:before="100" w:beforeAutospacing="1" w:after="100" w:afterAutospacing="1" w:line="278" w:lineRule="auto"/>
        <w:rPr>
          <w:rFonts w:ascii="Arial" w:hAnsi="Arial" w:cs="Arial"/>
        </w:rPr>
      </w:pPr>
      <w:proofErr w:type="spellStart"/>
      <w:r w:rsidRPr="0037664A">
        <w:rPr>
          <w:rFonts w:ascii="Arial" w:hAnsi="Arial" w:cs="Arial"/>
        </w:rPr>
        <w:t>Véliz</w:t>
      </w:r>
      <w:proofErr w:type="spellEnd"/>
      <w:r w:rsidRPr="0037664A">
        <w:rPr>
          <w:rFonts w:ascii="Arial" w:hAnsi="Arial" w:cs="Arial"/>
        </w:rPr>
        <w:t xml:space="preserve">-Campos M, Roa F, Veliz L. On the portrayal of Indigenous peoples in English language teaching coursebooks used in Chile: A critical visual literacy/socio-semiotic </w:t>
      </w:r>
      <w:r w:rsidRPr="0037664A">
        <w:rPr>
          <w:rFonts w:ascii="Arial" w:hAnsi="Arial" w:cs="Arial"/>
        </w:rPr>
        <w:lastRenderedPageBreak/>
        <w:t xml:space="preserve">study. </w:t>
      </w:r>
      <w:r w:rsidRPr="0037664A">
        <w:rPr>
          <w:rStyle w:val="nfasis"/>
          <w:rFonts w:ascii="Arial" w:hAnsi="Arial" w:cs="Arial"/>
        </w:rPr>
        <w:t>Asian J Second Foreign Lang Educ</w:t>
      </w:r>
      <w:r w:rsidRPr="0037664A">
        <w:rPr>
          <w:rFonts w:ascii="Arial" w:hAnsi="Arial" w:cs="Arial"/>
        </w:rPr>
        <w:t xml:space="preserve">. </w:t>
      </w:r>
      <w:proofErr w:type="gramStart"/>
      <w:r w:rsidRPr="0037664A">
        <w:rPr>
          <w:rFonts w:ascii="Arial" w:hAnsi="Arial" w:cs="Arial"/>
        </w:rPr>
        <w:t>2024;9:45</w:t>
      </w:r>
      <w:proofErr w:type="gramEnd"/>
      <w:r w:rsidRPr="0037664A">
        <w:rPr>
          <w:rFonts w:ascii="Arial" w:hAnsi="Arial" w:cs="Arial"/>
        </w:rPr>
        <w:t xml:space="preserve">. </w:t>
      </w:r>
      <w:hyperlink r:id="rId35" w:tgtFrame="_new" w:history="1">
        <w:r w:rsidRPr="0037664A">
          <w:rPr>
            <w:rStyle w:val="Hipervnculo"/>
            <w:rFonts w:ascii="Arial" w:hAnsi="Arial" w:cs="Arial"/>
            <w:color w:val="auto"/>
          </w:rPr>
          <w:t>https://doi.org/10.1186/s40862-024-00268-y</w:t>
        </w:r>
      </w:hyperlink>
    </w:p>
    <w:p w14:paraId="3E27987F" w14:textId="342B414F" w:rsidR="0037664A" w:rsidRDefault="00671319" w:rsidP="0037664A">
      <w:pPr>
        <w:pStyle w:val="Prrafodelista"/>
        <w:numPr>
          <w:ilvl w:val="0"/>
          <w:numId w:val="31"/>
        </w:numPr>
        <w:spacing w:before="100" w:beforeAutospacing="1" w:after="100" w:afterAutospacing="1" w:line="278" w:lineRule="auto"/>
        <w:rPr>
          <w:rFonts w:ascii="Arial" w:hAnsi="Arial" w:cs="Arial"/>
        </w:rPr>
      </w:pPr>
      <w:r w:rsidRPr="0037664A">
        <w:rPr>
          <w:rFonts w:ascii="Arial" w:hAnsi="Arial" w:cs="Arial"/>
        </w:rPr>
        <w:t xml:space="preserve">Northeastern Regional Complex (CRZN). </w:t>
      </w:r>
      <w:r w:rsidRPr="00671319">
        <w:rPr>
          <w:rFonts w:ascii="Arial" w:hAnsi="Arial" w:cs="Arial"/>
          <w:i/>
          <w:iCs/>
        </w:rPr>
        <w:t>Fourth progress report - North-Eastern Regional Complex Directorate</w:t>
      </w:r>
      <w:r w:rsidRPr="0037664A">
        <w:rPr>
          <w:rFonts w:ascii="Arial" w:hAnsi="Arial" w:cs="Arial"/>
        </w:rPr>
        <w:t>. Puebla: BUAP; 2024</w:t>
      </w:r>
      <w:r w:rsidR="0037664A" w:rsidRPr="0037664A">
        <w:rPr>
          <w:rFonts w:ascii="Arial" w:hAnsi="Arial" w:cs="Arial"/>
        </w:rPr>
        <w:t>.</w:t>
      </w:r>
    </w:p>
    <w:p w14:paraId="305550EA" w14:textId="27172CAF" w:rsidR="00452CCD" w:rsidRPr="00E37641" w:rsidRDefault="00452CCD" w:rsidP="00452CCD">
      <w:pPr>
        <w:pStyle w:val="Prrafodelista"/>
        <w:numPr>
          <w:ilvl w:val="0"/>
          <w:numId w:val="31"/>
        </w:numPr>
        <w:spacing w:before="100" w:beforeAutospacing="1" w:after="100" w:afterAutospacing="1" w:line="278" w:lineRule="auto"/>
        <w:rPr>
          <w:rFonts w:ascii="Arial" w:hAnsi="Arial" w:cs="Arial"/>
          <w:highlight w:val="yellow"/>
        </w:rPr>
      </w:pPr>
      <w:r w:rsidRPr="00E37641">
        <w:rPr>
          <w:rFonts w:ascii="Arial" w:hAnsi="Arial" w:cs="Arial"/>
          <w:highlight w:val="yellow"/>
        </w:rPr>
        <w:t xml:space="preserve">Robertson R. Glocalization: Time-space and homogeneity-heterogeneity. </w:t>
      </w:r>
      <w:r w:rsidRPr="00E37641">
        <w:rPr>
          <w:rFonts w:ascii="Arial" w:hAnsi="Arial" w:cs="Arial"/>
          <w:i/>
          <w:iCs/>
          <w:highlight w:val="yellow"/>
        </w:rPr>
        <w:t>Global modernities</w:t>
      </w:r>
      <w:r w:rsidR="00F7026F" w:rsidRPr="00E37641">
        <w:rPr>
          <w:rFonts w:ascii="Arial" w:hAnsi="Arial" w:cs="Arial"/>
          <w:highlight w:val="yellow"/>
        </w:rPr>
        <w:t xml:space="preserve">. </w:t>
      </w:r>
      <w:r w:rsidR="00F7026F" w:rsidRPr="00E37641">
        <w:rPr>
          <w:rFonts w:ascii="Arial" w:hAnsi="Arial" w:cs="Arial"/>
          <w:highlight w:val="yellow"/>
        </w:rPr>
        <w:t>1995</w:t>
      </w:r>
      <w:r w:rsidR="00F7026F" w:rsidRPr="00E37641">
        <w:rPr>
          <w:rFonts w:ascii="Arial" w:hAnsi="Arial" w:cs="Arial"/>
          <w:highlight w:val="yellow"/>
        </w:rPr>
        <w:t>;</w:t>
      </w:r>
      <w:r w:rsidRPr="00E37641">
        <w:rPr>
          <w:rFonts w:ascii="Arial" w:hAnsi="Arial" w:cs="Arial"/>
          <w:highlight w:val="yellow"/>
        </w:rPr>
        <w:t xml:space="preserve"> 2(1)</w:t>
      </w:r>
      <w:r w:rsidR="00F7026F" w:rsidRPr="00E37641">
        <w:rPr>
          <w:rFonts w:ascii="Arial" w:hAnsi="Arial" w:cs="Arial"/>
          <w:highlight w:val="yellow"/>
        </w:rPr>
        <w:t>:</w:t>
      </w:r>
      <w:r w:rsidRPr="00E37641">
        <w:rPr>
          <w:rFonts w:ascii="Arial" w:hAnsi="Arial" w:cs="Arial"/>
          <w:highlight w:val="yellow"/>
        </w:rPr>
        <w:t xml:space="preserve"> 25-44.</w:t>
      </w:r>
    </w:p>
    <w:p w14:paraId="623601DE" w14:textId="20A6D910" w:rsidR="00452CCD" w:rsidRPr="00E37641" w:rsidRDefault="00452CCD" w:rsidP="00452CCD">
      <w:pPr>
        <w:pStyle w:val="Prrafodelista"/>
        <w:numPr>
          <w:ilvl w:val="0"/>
          <w:numId w:val="31"/>
        </w:numPr>
        <w:spacing w:before="100" w:beforeAutospacing="1" w:after="100" w:afterAutospacing="1" w:line="278" w:lineRule="auto"/>
        <w:rPr>
          <w:rFonts w:ascii="Arial" w:hAnsi="Arial" w:cs="Arial"/>
          <w:highlight w:val="yellow"/>
        </w:rPr>
      </w:pPr>
      <w:r w:rsidRPr="00E37641">
        <w:rPr>
          <w:rFonts w:ascii="Arial" w:hAnsi="Arial" w:cs="Arial"/>
          <w:highlight w:val="yellow"/>
        </w:rPr>
        <w:t xml:space="preserve">Robertson, R. </w:t>
      </w:r>
      <w:r w:rsidRPr="00E37641">
        <w:rPr>
          <w:rFonts w:ascii="Arial" w:hAnsi="Arial" w:cs="Arial"/>
          <w:i/>
          <w:iCs/>
          <w:highlight w:val="yellow"/>
        </w:rPr>
        <w:t>Culture, Glocalization and the World-System</w:t>
      </w:r>
      <w:r w:rsidRPr="00E37641">
        <w:rPr>
          <w:rFonts w:ascii="Arial" w:hAnsi="Arial" w:cs="Arial"/>
          <w:highlight w:val="yellow"/>
        </w:rPr>
        <w:t xml:space="preserve">. </w:t>
      </w:r>
      <w:r w:rsidR="00F7026F" w:rsidRPr="00E37641">
        <w:rPr>
          <w:rFonts w:ascii="Arial" w:hAnsi="Arial" w:cs="Arial"/>
          <w:highlight w:val="yellow"/>
        </w:rPr>
        <w:t>1991</w:t>
      </w:r>
      <w:r w:rsidR="00F7026F" w:rsidRPr="00E37641">
        <w:rPr>
          <w:rFonts w:ascii="Arial" w:hAnsi="Arial" w:cs="Arial"/>
          <w:highlight w:val="yellow"/>
        </w:rPr>
        <w:t xml:space="preserve"> </w:t>
      </w:r>
      <w:r w:rsidRPr="00E37641">
        <w:rPr>
          <w:rFonts w:ascii="Arial" w:hAnsi="Arial" w:cs="Arial"/>
          <w:highlight w:val="yellow"/>
        </w:rPr>
        <w:t>London, Macmillan.</w:t>
      </w:r>
    </w:p>
    <w:p w14:paraId="13B9C769" w14:textId="77777777" w:rsidR="0037664A" w:rsidRPr="0037664A" w:rsidRDefault="0037664A" w:rsidP="0037664A">
      <w:pPr>
        <w:pStyle w:val="Prrafodelista"/>
        <w:spacing w:before="100" w:beforeAutospacing="1" w:after="100" w:afterAutospacing="1"/>
        <w:rPr>
          <w:rFonts w:ascii="Arial" w:hAnsi="Arial" w:cs="Arial"/>
          <w:color w:val="4F81BD" w:themeColor="accent1"/>
        </w:rPr>
      </w:pPr>
    </w:p>
    <w:sectPr w:rsidR="0037664A" w:rsidRPr="0037664A" w:rsidSect="0002791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BC0D4" w14:textId="77777777" w:rsidR="00F867A3" w:rsidRDefault="00F867A3" w:rsidP="00C37E61">
      <w:r>
        <w:separator/>
      </w:r>
    </w:p>
  </w:endnote>
  <w:endnote w:type="continuationSeparator" w:id="0">
    <w:p w14:paraId="7A8366E2" w14:textId="77777777" w:rsidR="00F867A3" w:rsidRDefault="00F867A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E2C1" w14:textId="77777777" w:rsidR="0002791B" w:rsidRDefault="0002791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D0A19" w14:textId="77777777" w:rsidR="0002791B" w:rsidRDefault="0002791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A80D1" w14:textId="318C16D7" w:rsidR="00754C9A" w:rsidRPr="0002791B" w:rsidRDefault="00754C9A" w:rsidP="0002791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CF01" w14:textId="77777777" w:rsidR="00F867A3" w:rsidRDefault="00F867A3" w:rsidP="00C37E61">
      <w:r>
        <w:separator/>
      </w:r>
    </w:p>
  </w:footnote>
  <w:footnote w:type="continuationSeparator" w:id="0">
    <w:p w14:paraId="30799EDA" w14:textId="77777777" w:rsidR="00F867A3" w:rsidRDefault="00F867A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5BA25" w14:textId="013EEC92" w:rsidR="0002791B" w:rsidRDefault="00000000">
    <w:pPr>
      <w:pStyle w:val="Encabezado"/>
    </w:pPr>
    <w:r>
      <w:rPr>
        <w:noProof/>
      </w:rPr>
      <w:pict w14:anchorId="2581D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37DA" w14:textId="20F3518B" w:rsidR="0002791B" w:rsidRDefault="00000000">
    <w:pPr>
      <w:pStyle w:val="Encabezado"/>
    </w:pPr>
    <w:r>
      <w:rPr>
        <w:noProof/>
      </w:rPr>
      <w:pict w14:anchorId="67221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B64" w14:textId="54B7E11F" w:rsidR="00296529" w:rsidRPr="00296529" w:rsidRDefault="00000000" w:rsidP="00296529">
    <w:pPr>
      <w:ind w:left="2160"/>
      <w:jc w:val="center"/>
      <w:rPr>
        <w:rFonts w:ascii="Times New Roman" w:eastAsia="Calibri" w:hAnsi="Times New Roman"/>
        <w:i/>
        <w:sz w:val="18"/>
        <w:szCs w:val="22"/>
      </w:rPr>
    </w:pPr>
    <w:r>
      <w:rPr>
        <w:noProof/>
      </w:rPr>
      <w:pict w14:anchorId="43F97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46588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624359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629C38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B3E85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8A6BE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FED10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49212FE" w14:textId="77777777" w:rsidR="00296529" w:rsidRDefault="00754C9A">
    <w:pPr>
      <w:pStyle w:val="Encabezad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57562DE"/>
    <w:multiLevelType w:val="hybridMultilevel"/>
    <w:tmpl w:val="74D0AE3A"/>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29C4B6C"/>
    <w:multiLevelType w:val="hybridMultilevel"/>
    <w:tmpl w:val="C93C8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54061A0"/>
    <w:multiLevelType w:val="hybridMultilevel"/>
    <w:tmpl w:val="2098F0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148249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69857071">
    <w:abstractNumId w:val="16"/>
  </w:num>
  <w:num w:numId="3" w16cid:durableId="1779106432">
    <w:abstractNumId w:val="25"/>
  </w:num>
  <w:num w:numId="4" w16cid:durableId="106518567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650092762">
    <w:abstractNumId w:val="7"/>
  </w:num>
  <w:num w:numId="6" w16cid:durableId="800271893">
    <w:abstractNumId w:val="6"/>
  </w:num>
  <w:num w:numId="7" w16cid:durableId="1709987009">
    <w:abstractNumId w:val="1"/>
  </w:num>
  <w:num w:numId="8" w16cid:durableId="1487697286">
    <w:abstractNumId w:val="12"/>
  </w:num>
  <w:num w:numId="9" w16cid:durableId="1933389116">
    <w:abstractNumId w:val="28"/>
  </w:num>
  <w:num w:numId="10" w16cid:durableId="469902833">
    <w:abstractNumId w:val="2"/>
  </w:num>
  <w:num w:numId="11" w16cid:durableId="1803234917">
    <w:abstractNumId w:val="20"/>
  </w:num>
  <w:num w:numId="12" w16cid:durableId="300691230">
    <w:abstractNumId w:val="3"/>
  </w:num>
  <w:num w:numId="13" w16cid:durableId="1091853009">
    <w:abstractNumId w:val="18"/>
  </w:num>
  <w:num w:numId="14" w16cid:durableId="1091316341">
    <w:abstractNumId w:val="8"/>
  </w:num>
  <w:num w:numId="15" w16cid:durableId="353114437">
    <w:abstractNumId w:val="23"/>
  </w:num>
  <w:num w:numId="16" w16cid:durableId="515703402">
    <w:abstractNumId w:val="5"/>
  </w:num>
  <w:num w:numId="17" w16cid:durableId="1604998801">
    <w:abstractNumId w:val="24"/>
  </w:num>
  <w:num w:numId="18" w16cid:durableId="1119451627">
    <w:abstractNumId w:val="14"/>
  </w:num>
  <w:num w:numId="19" w16cid:durableId="1222207594">
    <w:abstractNumId w:val="31"/>
  </w:num>
  <w:num w:numId="20" w16cid:durableId="1517377405">
    <w:abstractNumId w:val="11"/>
  </w:num>
  <w:num w:numId="21" w16cid:durableId="965425334">
    <w:abstractNumId w:val="9"/>
  </w:num>
  <w:num w:numId="22" w16cid:durableId="1704329986">
    <w:abstractNumId w:val="13"/>
  </w:num>
  <w:num w:numId="23" w16cid:durableId="1175457364">
    <w:abstractNumId w:val="21"/>
  </w:num>
  <w:num w:numId="24" w16cid:durableId="1538352955">
    <w:abstractNumId w:val="29"/>
  </w:num>
  <w:num w:numId="25" w16cid:durableId="305015985">
    <w:abstractNumId w:val="4"/>
  </w:num>
  <w:num w:numId="26" w16cid:durableId="1901548540">
    <w:abstractNumId w:val="17"/>
  </w:num>
  <w:num w:numId="27" w16cid:durableId="2027243253">
    <w:abstractNumId w:val="22"/>
  </w:num>
  <w:num w:numId="28" w16cid:durableId="208496917">
    <w:abstractNumId w:val="30"/>
  </w:num>
  <w:num w:numId="29" w16cid:durableId="127017223">
    <w:abstractNumId w:val="27"/>
  </w:num>
  <w:num w:numId="30" w16cid:durableId="672413495">
    <w:abstractNumId w:val="10"/>
  </w:num>
  <w:num w:numId="31" w16cid:durableId="882449956">
    <w:abstractNumId w:val="19"/>
  </w:num>
  <w:num w:numId="32" w16cid:durableId="1489983406">
    <w:abstractNumId w:val="26"/>
  </w:num>
  <w:num w:numId="33" w16cid:durableId="5913998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D17"/>
    <w:rsid w:val="0002791B"/>
    <w:rsid w:val="00030174"/>
    <w:rsid w:val="0004579C"/>
    <w:rsid w:val="000A47FA"/>
    <w:rsid w:val="000A65D3"/>
    <w:rsid w:val="000B0621"/>
    <w:rsid w:val="000B1E33"/>
    <w:rsid w:val="000D689F"/>
    <w:rsid w:val="000E034B"/>
    <w:rsid w:val="000E7B7B"/>
    <w:rsid w:val="000E7D62"/>
    <w:rsid w:val="000F78DD"/>
    <w:rsid w:val="00101BA6"/>
    <w:rsid w:val="00103357"/>
    <w:rsid w:val="00123C9F"/>
    <w:rsid w:val="00126190"/>
    <w:rsid w:val="00130F17"/>
    <w:rsid w:val="001320BF"/>
    <w:rsid w:val="00163BC4"/>
    <w:rsid w:val="00175B58"/>
    <w:rsid w:val="00184AFC"/>
    <w:rsid w:val="00191062"/>
    <w:rsid w:val="00191FAE"/>
    <w:rsid w:val="00192B72"/>
    <w:rsid w:val="001A29D8"/>
    <w:rsid w:val="001A40C5"/>
    <w:rsid w:val="001A527F"/>
    <w:rsid w:val="001A5CAA"/>
    <w:rsid w:val="001B0427"/>
    <w:rsid w:val="001B2A2B"/>
    <w:rsid w:val="001D3A51"/>
    <w:rsid w:val="001D78A6"/>
    <w:rsid w:val="001E10D2"/>
    <w:rsid w:val="001E25B4"/>
    <w:rsid w:val="001E44FE"/>
    <w:rsid w:val="00200595"/>
    <w:rsid w:val="00204835"/>
    <w:rsid w:val="00210459"/>
    <w:rsid w:val="00231920"/>
    <w:rsid w:val="0023195C"/>
    <w:rsid w:val="0024282C"/>
    <w:rsid w:val="002460DC"/>
    <w:rsid w:val="00250985"/>
    <w:rsid w:val="00253AC9"/>
    <w:rsid w:val="00254739"/>
    <w:rsid w:val="002556F6"/>
    <w:rsid w:val="00267C2C"/>
    <w:rsid w:val="00283105"/>
    <w:rsid w:val="00284C4C"/>
    <w:rsid w:val="00296386"/>
    <w:rsid w:val="00296529"/>
    <w:rsid w:val="002B27FB"/>
    <w:rsid w:val="002B5F96"/>
    <w:rsid w:val="002B685A"/>
    <w:rsid w:val="002C57D2"/>
    <w:rsid w:val="002E0D56"/>
    <w:rsid w:val="002F6E1C"/>
    <w:rsid w:val="00300A89"/>
    <w:rsid w:val="0030348C"/>
    <w:rsid w:val="00315186"/>
    <w:rsid w:val="0033343E"/>
    <w:rsid w:val="003512C2"/>
    <w:rsid w:val="00371FB6"/>
    <w:rsid w:val="003763C1"/>
    <w:rsid w:val="0037664A"/>
    <w:rsid w:val="00376BBE"/>
    <w:rsid w:val="0039224F"/>
    <w:rsid w:val="003A43A4"/>
    <w:rsid w:val="003A7E18"/>
    <w:rsid w:val="003B5BB6"/>
    <w:rsid w:val="003C4C86"/>
    <w:rsid w:val="003C6258"/>
    <w:rsid w:val="003D5ED4"/>
    <w:rsid w:val="003E2904"/>
    <w:rsid w:val="00401927"/>
    <w:rsid w:val="0041027F"/>
    <w:rsid w:val="00412475"/>
    <w:rsid w:val="00423789"/>
    <w:rsid w:val="004310BF"/>
    <w:rsid w:val="00437E70"/>
    <w:rsid w:val="00440F43"/>
    <w:rsid w:val="00441B6F"/>
    <w:rsid w:val="00446221"/>
    <w:rsid w:val="00450E62"/>
    <w:rsid w:val="00452CCD"/>
    <w:rsid w:val="004539DB"/>
    <w:rsid w:val="00471A80"/>
    <w:rsid w:val="00475416"/>
    <w:rsid w:val="004C5BBD"/>
    <w:rsid w:val="004D305E"/>
    <w:rsid w:val="004D4277"/>
    <w:rsid w:val="004D77C0"/>
    <w:rsid w:val="004E5FFA"/>
    <w:rsid w:val="004F37D4"/>
    <w:rsid w:val="00502516"/>
    <w:rsid w:val="00505F06"/>
    <w:rsid w:val="00506828"/>
    <w:rsid w:val="0053056E"/>
    <w:rsid w:val="00554FDA"/>
    <w:rsid w:val="00584516"/>
    <w:rsid w:val="00596596"/>
    <w:rsid w:val="005B5935"/>
    <w:rsid w:val="005C32F0"/>
    <w:rsid w:val="005C784C"/>
    <w:rsid w:val="005D17F6"/>
    <w:rsid w:val="005D415D"/>
    <w:rsid w:val="005E5539"/>
    <w:rsid w:val="00602BF5"/>
    <w:rsid w:val="00617828"/>
    <w:rsid w:val="00617FDD"/>
    <w:rsid w:val="00633614"/>
    <w:rsid w:val="00633F68"/>
    <w:rsid w:val="00636EB2"/>
    <w:rsid w:val="006375B8"/>
    <w:rsid w:val="0066510A"/>
    <w:rsid w:val="00667CC4"/>
    <w:rsid w:val="00671319"/>
    <w:rsid w:val="00673F9F"/>
    <w:rsid w:val="00683BA2"/>
    <w:rsid w:val="00686953"/>
    <w:rsid w:val="00687DEA"/>
    <w:rsid w:val="00687E67"/>
    <w:rsid w:val="00692BF4"/>
    <w:rsid w:val="006967F7"/>
    <w:rsid w:val="006A250C"/>
    <w:rsid w:val="006B1BAF"/>
    <w:rsid w:val="006B21D3"/>
    <w:rsid w:val="006B3D13"/>
    <w:rsid w:val="006B3E16"/>
    <w:rsid w:val="006B57D0"/>
    <w:rsid w:val="006D30FF"/>
    <w:rsid w:val="006D6940"/>
    <w:rsid w:val="006D7ABC"/>
    <w:rsid w:val="006E2B0E"/>
    <w:rsid w:val="006F11EC"/>
    <w:rsid w:val="0070082C"/>
    <w:rsid w:val="007123A8"/>
    <w:rsid w:val="007369E6"/>
    <w:rsid w:val="00746E59"/>
    <w:rsid w:val="00754C9A"/>
    <w:rsid w:val="0075599A"/>
    <w:rsid w:val="00757FA1"/>
    <w:rsid w:val="00761D52"/>
    <w:rsid w:val="00764EBB"/>
    <w:rsid w:val="0077749E"/>
    <w:rsid w:val="00787CA5"/>
    <w:rsid w:val="00790ADA"/>
    <w:rsid w:val="007A0C04"/>
    <w:rsid w:val="007A5BBD"/>
    <w:rsid w:val="007B61BE"/>
    <w:rsid w:val="007D2288"/>
    <w:rsid w:val="007E088F"/>
    <w:rsid w:val="007F7B32"/>
    <w:rsid w:val="00802DB1"/>
    <w:rsid w:val="00804BC2"/>
    <w:rsid w:val="0081431A"/>
    <w:rsid w:val="00830FBD"/>
    <w:rsid w:val="0083216F"/>
    <w:rsid w:val="00860000"/>
    <w:rsid w:val="00863BD3"/>
    <w:rsid w:val="008647D2"/>
    <w:rsid w:val="00866D66"/>
    <w:rsid w:val="008671C6"/>
    <w:rsid w:val="00875803"/>
    <w:rsid w:val="00893CD6"/>
    <w:rsid w:val="008B1F99"/>
    <w:rsid w:val="008B459E"/>
    <w:rsid w:val="008C214A"/>
    <w:rsid w:val="008D436B"/>
    <w:rsid w:val="008E13AE"/>
    <w:rsid w:val="008E1506"/>
    <w:rsid w:val="008E710C"/>
    <w:rsid w:val="008F69D6"/>
    <w:rsid w:val="00902823"/>
    <w:rsid w:val="00915CA6"/>
    <w:rsid w:val="00927834"/>
    <w:rsid w:val="00931B14"/>
    <w:rsid w:val="00942A7A"/>
    <w:rsid w:val="009500A6"/>
    <w:rsid w:val="00957C18"/>
    <w:rsid w:val="00965410"/>
    <w:rsid w:val="009659BA"/>
    <w:rsid w:val="009776D8"/>
    <w:rsid w:val="00983040"/>
    <w:rsid w:val="009A4117"/>
    <w:rsid w:val="009B3FB9"/>
    <w:rsid w:val="009C2465"/>
    <w:rsid w:val="009D35A0"/>
    <w:rsid w:val="009D7EB7"/>
    <w:rsid w:val="009E048A"/>
    <w:rsid w:val="009E08E9"/>
    <w:rsid w:val="009E3D7A"/>
    <w:rsid w:val="009E3DB9"/>
    <w:rsid w:val="009E6E35"/>
    <w:rsid w:val="009F0EDA"/>
    <w:rsid w:val="00A03B96"/>
    <w:rsid w:val="00A05B19"/>
    <w:rsid w:val="00A06889"/>
    <w:rsid w:val="00A1134E"/>
    <w:rsid w:val="00A208F8"/>
    <w:rsid w:val="00A24E7E"/>
    <w:rsid w:val="00A258C3"/>
    <w:rsid w:val="00A33E29"/>
    <w:rsid w:val="00A347C0"/>
    <w:rsid w:val="00A36C03"/>
    <w:rsid w:val="00A51431"/>
    <w:rsid w:val="00A539AD"/>
    <w:rsid w:val="00A63D68"/>
    <w:rsid w:val="00A94063"/>
    <w:rsid w:val="00AA6219"/>
    <w:rsid w:val="00AA74E0"/>
    <w:rsid w:val="00AB703F"/>
    <w:rsid w:val="00AC6BB8"/>
    <w:rsid w:val="00AE008F"/>
    <w:rsid w:val="00B01FCD"/>
    <w:rsid w:val="00B1776C"/>
    <w:rsid w:val="00B52896"/>
    <w:rsid w:val="00B6439E"/>
    <w:rsid w:val="00B73399"/>
    <w:rsid w:val="00B95236"/>
    <w:rsid w:val="00B96BD9"/>
    <w:rsid w:val="00BA1B01"/>
    <w:rsid w:val="00BA2641"/>
    <w:rsid w:val="00BB37AA"/>
    <w:rsid w:val="00BC53A0"/>
    <w:rsid w:val="00BC546C"/>
    <w:rsid w:val="00BE62AD"/>
    <w:rsid w:val="00BF121F"/>
    <w:rsid w:val="00BF1F80"/>
    <w:rsid w:val="00BF60DC"/>
    <w:rsid w:val="00C041B2"/>
    <w:rsid w:val="00C166EF"/>
    <w:rsid w:val="00C17EB0"/>
    <w:rsid w:val="00C27F5F"/>
    <w:rsid w:val="00C30A0F"/>
    <w:rsid w:val="00C37036"/>
    <w:rsid w:val="00C37E61"/>
    <w:rsid w:val="00C416A4"/>
    <w:rsid w:val="00C70F1B"/>
    <w:rsid w:val="00C71A47"/>
    <w:rsid w:val="00C7464C"/>
    <w:rsid w:val="00C85588"/>
    <w:rsid w:val="00C95B82"/>
    <w:rsid w:val="00CA2719"/>
    <w:rsid w:val="00CC33A5"/>
    <w:rsid w:val="00CC6DC1"/>
    <w:rsid w:val="00CD6755"/>
    <w:rsid w:val="00CD6856"/>
    <w:rsid w:val="00CE0089"/>
    <w:rsid w:val="00CE793C"/>
    <w:rsid w:val="00D173F1"/>
    <w:rsid w:val="00D17F7A"/>
    <w:rsid w:val="00D23EB4"/>
    <w:rsid w:val="00D30127"/>
    <w:rsid w:val="00D62E67"/>
    <w:rsid w:val="00D8295D"/>
    <w:rsid w:val="00D86B37"/>
    <w:rsid w:val="00DC2A65"/>
    <w:rsid w:val="00DE15F0"/>
    <w:rsid w:val="00DE5663"/>
    <w:rsid w:val="00DE78AA"/>
    <w:rsid w:val="00E053D0"/>
    <w:rsid w:val="00E15994"/>
    <w:rsid w:val="00E22194"/>
    <w:rsid w:val="00E23579"/>
    <w:rsid w:val="00E3114E"/>
    <w:rsid w:val="00E31A70"/>
    <w:rsid w:val="00E3491F"/>
    <w:rsid w:val="00E35B02"/>
    <w:rsid w:val="00E37641"/>
    <w:rsid w:val="00E46DFA"/>
    <w:rsid w:val="00E66496"/>
    <w:rsid w:val="00E66B35"/>
    <w:rsid w:val="00E66E10"/>
    <w:rsid w:val="00E769F6"/>
    <w:rsid w:val="00E8407C"/>
    <w:rsid w:val="00E84F3C"/>
    <w:rsid w:val="00E950ED"/>
    <w:rsid w:val="00EA012C"/>
    <w:rsid w:val="00ED0288"/>
    <w:rsid w:val="00EE52CB"/>
    <w:rsid w:val="00EF581D"/>
    <w:rsid w:val="00EF7583"/>
    <w:rsid w:val="00EF7FD8"/>
    <w:rsid w:val="00F05D82"/>
    <w:rsid w:val="00F06643"/>
    <w:rsid w:val="00F06F59"/>
    <w:rsid w:val="00F17988"/>
    <w:rsid w:val="00F469F0"/>
    <w:rsid w:val="00F53273"/>
    <w:rsid w:val="00F6660C"/>
    <w:rsid w:val="00F7026F"/>
    <w:rsid w:val="00F755E4"/>
    <w:rsid w:val="00F77D02"/>
    <w:rsid w:val="00F867A3"/>
    <w:rsid w:val="00F94A61"/>
    <w:rsid w:val="00FA2D4E"/>
    <w:rsid w:val="00FB3A86"/>
    <w:rsid w:val="00FD36C8"/>
    <w:rsid w:val="00FD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2A088D"/>
  <w15:docId w15:val="{C5107D16-3D2D-48CA-8FA2-068E8473F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Ttulo1">
    <w:name w:val="heading 1"/>
    <w:basedOn w:val="Normal"/>
    <w:next w:val="Normal"/>
    <w:qFormat/>
    <w:rsid w:val="00423789"/>
    <w:pPr>
      <w:keepNext/>
      <w:spacing w:before="240" w:after="60"/>
      <w:outlineLvl w:val="0"/>
    </w:pPr>
    <w:rPr>
      <w:rFonts w:ascii="Arial" w:hAnsi="Arial"/>
      <w:b/>
      <w:kern w:val="28"/>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tulo">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Piedepgina">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Encabezado">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Firm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Fuentedeprrafopredeter"/>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ipervnculo">
    <w:name w:val="Hyperlink"/>
    <w:basedOn w:val="Fuentedeprrafopredeter"/>
    <w:rsid w:val="00030174"/>
    <w:rPr>
      <w:color w:val="FF0080"/>
      <w:u w:val="single"/>
    </w:rPr>
  </w:style>
  <w:style w:type="character" w:styleId="Hipervnculovisitado">
    <w:name w:val="FollowedHyperlink"/>
    <w:basedOn w:val="Fuentedeprrafopredeter"/>
    <w:rsid w:val="00FB3A86"/>
    <w:rPr>
      <w:color w:val="800080"/>
      <w:u w:val="single"/>
    </w:rPr>
  </w:style>
  <w:style w:type="table" w:styleId="Tablaconcuadrcula">
    <w:name w:val="Table Grid"/>
    <w:basedOn w:val="Tabla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2">
    <w:name w:val="Body Text 2"/>
    <w:basedOn w:val="Normal"/>
    <w:link w:val="Textoindependiente2Car"/>
    <w:rsid w:val="00EF7FD8"/>
    <w:pPr>
      <w:spacing w:after="120" w:line="480" w:lineRule="auto"/>
    </w:pPr>
  </w:style>
  <w:style w:type="character" w:customStyle="1" w:styleId="Textoindependiente2Car">
    <w:name w:val="Texto independiente 2 Car"/>
    <w:basedOn w:val="Fuentedeprrafopredeter"/>
    <w:link w:val="Textoindependiente2"/>
    <w:rsid w:val="00EF7FD8"/>
    <w:rPr>
      <w:rFonts w:ascii="Helvetica" w:hAnsi="Helvetica"/>
    </w:rPr>
  </w:style>
  <w:style w:type="character" w:styleId="Refdecomentario">
    <w:name w:val="annotation reference"/>
    <w:basedOn w:val="Fuentedeprrafopredeter"/>
    <w:uiPriority w:val="99"/>
    <w:unhideWhenUsed/>
    <w:rsid w:val="00746E59"/>
    <w:rPr>
      <w:sz w:val="16"/>
      <w:szCs w:val="16"/>
    </w:rPr>
  </w:style>
  <w:style w:type="paragraph" w:styleId="Textocomentario">
    <w:name w:val="annotation text"/>
    <w:basedOn w:val="Normal"/>
    <w:link w:val="TextocomentarioCar"/>
    <w:uiPriority w:val="99"/>
    <w:unhideWhenUsed/>
    <w:rsid w:val="00746E59"/>
    <w:rPr>
      <w:rFonts w:ascii="Times New Roman" w:hAnsi="Times New Roman"/>
      <w:lang w:val="nb-NO" w:eastAsia="nb-NO"/>
    </w:rPr>
  </w:style>
  <w:style w:type="character" w:customStyle="1" w:styleId="TextocomentarioCar">
    <w:name w:val="Texto comentario Car"/>
    <w:basedOn w:val="Fuentedeprrafopredeter"/>
    <w:link w:val="Textocomentario"/>
    <w:uiPriority w:val="99"/>
    <w:rsid w:val="00746E59"/>
    <w:rPr>
      <w:lang w:val="nb-NO" w:eastAsia="nb-NO"/>
    </w:rPr>
  </w:style>
  <w:style w:type="paragraph" w:styleId="Textodeglobo">
    <w:name w:val="Balloon Text"/>
    <w:basedOn w:val="Normal"/>
    <w:link w:val="TextodegloboCar"/>
    <w:rsid w:val="00746E59"/>
    <w:rPr>
      <w:rFonts w:ascii="Tahoma" w:hAnsi="Tahoma" w:cs="Tahoma"/>
      <w:sz w:val="16"/>
      <w:szCs w:val="16"/>
    </w:rPr>
  </w:style>
  <w:style w:type="character" w:customStyle="1" w:styleId="TextodegloboCar">
    <w:name w:val="Texto de globo Car"/>
    <w:basedOn w:val="Fuentedeprrafopredeter"/>
    <w:link w:val="Textodeglobo"/>
    <w:rsid w:val="00746E59"/>
    <w:rPr>
      <w:rFonts w:ascii="Tahoma" w:hAnsi="Tahoma" w:cs="Tahoma"/>
      <w:sz w:val="16"/>
      <w:szCs w:val="16"/>
    </w:rPr>
  </w:style>
  <w:style w:type="paragraph" w:styleId="Textoindependiente3">
    <w:name w:val="Body Text 3"/>
    <w:basedOn w:val="Normal"/>
    <w:link w:val="Textoindependiente3Car"/>
    <w:rsid w:val="00231920"/>
    <w:pPr>
      <w:spacing w:after="120"/>
    </w:pPr>
    <w:rPr>
      <w:sz w:val="16"/>
      <w:szCs w:val="16"/>
    </w:rPr>
  </w:style>
  <w:style w:type="character" w:customStyle="1" w:styleId="Textoindependiente3Car">
    <w:name w:val="Texto independiente 3 Car"/>
    <w:basedOn w:val="Fuentedeprrafopredeter"/>
    <w:link w:val="Textoindependiente3"/>
    <w:rsid w:val="00231920"/>
    <w:rPr>
      <w:rFonts w:ascii="Helvetica" w:hAnsi="Helvetica"/>
      <w:sz w:val="16"/>
      <w:szCs w:val="16"/>
    </w:rPr>
  </w:style>
  <w:style w:type="character" w:styleId="Nmerodelnea">
    <w:name w:val="line number"/>
    <w:basedOn w:val="Fuentedeprrafopredeter"/>
    <w:rsid w:val="00412475"/>
  </w:style>
  <w:style w:type="character" w:styleId="nfasis">
    <w:name w:val="Emphasis"/>
    <w:basedOn w:val="Fuentedeprrafopredeter"/>
    <w:uiPriority w:val="20"/>
    <w:qFormat/>
    <w:rsid w:val="0024282C"/>
    <w:rPr>
      <w:i/>
      <w:iCs/>
    </w:rPr>
  </w:style>
  <w:style w:type="paragraph" w:styleId="Prrafodelista">
    <w:name w:val="List Paragraph"/>
    <w:basedOn w:val="Normal"/>
    <w:uiPriority w:val="34"/>
    <w:qFormat/>
    <w:rsid w:val="008647D2"/>
    <w:pPr>
      <w:ind w:left="720"/>
      <w:contextualSpacing/>
    </w:pPr>
  </w:style>
  <w:style w:type="character" w:styleId="Mencinsinresolver">
    <w:name w:val="Unresolved Mention"/>
    <w:basedOn w:val="Fuentedeprrafopredeter"/>
    <w:uiPriority w:val="99"/>
    <w:semiHidden/>
    <w:unhideWhenUsed/>
    <w:rsid w:val="00864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7504349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03678937">
      <w:bodyDiv w:val="1"/>
      <w:marLeft w:val="0"/>
      <w:marRight w:val="0"/>
      <w:marTop w:val="0"/>
      <w:marBottom w:val="0"/>
      <w:divBdr>
        <w:top w:val="none" w:sz="0" w:space="0" w:color="auto"/>
        <w:left w:val="none" w:sz="0" w:space="0" w:color="auto"/>
        <w:bottom w:val="none" w:sz="0" w:space="0" w:color="auto"/>
        <w:right w:val="none" w:sz="0" w:space="0" w:color="auto"/>
      </w:divBdr>
    </w:div>
    <w:div w:id="1468279370">
      <w:bodyDiv w:val="1"/>
      <w:marLeft w:val="0"/>
      <w:marRight w:val="0"/>
      <w:marTop w:val="0"/>
      <w:marBottom w:val="0"/>
      <w:divBdr>
        <w:top w:val="none" w:sz="0" w:space="0" w:color="auto"/>
        <w:left w:val="none" w:sz="0" w:space="0" w:color="auto"/>
        <w:bottom w:val="none" w:sz="0" w:space="0" w:color="auto"/>
        <w:right w:val="none" w:sz="0" w:space="0" w:color="auto"/>
      </w:divBdr>
    </w:div>
    <w:div w:id="154497788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1942081">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07/s12564-023-09830-8" TargetMode="External"/><Relationship Id="rId26" Type="http://schemas.openxmlformats.org/officeDocument/2006/relationships/hyperlink" Target="https://t.ly/ibx5W" TargetMode="External"/><Relationship Id="rId21" Type="http://schemas.openxmlformats.org/officeDocument/2006/relationships/hyperlink" Target="https://doi.org/10.1007/s13384-023-00616-w" TargetMode="External"/><Relationship Id="rId34" Type="http://schemas.openxmlformats.org/officeDocument/2006/relationships/hyperlink" Target="https://doi.org/10.1007/s11858-024-01589-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57/s41599-023-01972-9" TargetMode="External"/><Relationship Id="rId25" Type="http://schemas.openxmlformats.org/officeDocument/2006/relationships/hyperlink" Target="https://doi.org/10.1186/s43031-023-00084-3" TargetMode="External"/><Relationship Id="rId33" Type="http://schemas.openxmlformats.org/officeDocument/2006/relationships/hyperlink" Target="https://doi.org/10.1057/s41307-024-00361-4" TargetMode="External"/><Relationship Id="rId2" Type="http://schemas.openxmlformats.org/officeDocument/2006/relationships/numbering" Target="numbering.xml"/><Relationship Id="rId16" Type="http://schemas.openxmlformats.org/officeDocument/2006/relationships/hyperlink" Target="https://csbiologicas.buap.mx/sites/default/files/MUM_Documentos_de_Integraci%C3%B3n.pdf" TargetMode="External"/><Relationship Id="rId20" Type="http://schemas.openxmlformats.org/officeDocument/2006/relationships/hyperlink" Target="https://doi.org/10.1007/s10643-023-01509-4" TargetMode="External"/><Relationship Id="rId29" Type="http://schemas.openxmlformats.org/officeDocument/2006/relationships/hyperlink" Target="https://doi.org/10.1007/s11422-024-1023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1297-024-00260-z" TargetMode="External"/><Relationship Id="rId32" Type="http://schemas.openxmlformats.org/officeDocument/2006/relationships/hyperlink" Target="https://ess.iesalc.unesco.org/index.php/ess3/article/view/97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07/s41297-024-00290-7" TargetMode="External"/><Relationship Id="rId23" Type="http://schemas.openxmlformats.org/officeDocument/2006/relationships/hyperlink" Target="https://doi.org/10.1007/s11422-023-10205-z" TargetMode="External"/><Relationship Id="rId28" Type="http://schemas.openxmlformats.org/officeDocument/2006/relationships/hyperlink" Target="https://doi.org/10.1007/s13384-023-00663-3"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07/s10734-023-01067-z" TargetMode="External"/><Relationship Id="rId31" Type="http://schemas.openxmlformats.org/officeDocument/2006/relationships/hyperlink" Target="https://doi.org/10.1007/s13384-024-00781-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11125-023-09677-2" TargetMode="External"/><Relationship Id="rId22" Type="http://schemas.openxmlformats.org/officeDocument/2006/relationships/hyperlink" Target="https://doi.org/10.1007/s40841-022-00264-1" TargetMode="External"/><Relationship Id="rId27" Type="http://schemas.openxmlformats.org/officeDocument/2006/relationships/hyperlink" Target="https://tinyurl.com/u8cjdthr" TargetMode="External"/><Relationship Id="rId30" Type="http://schemas.openxmlformats.org/officeDocument/2006/relationships/hyperlink" Target="https://doi.org/10.1186/s12909-024-06432-9" TargetMode="External"/><Relationship Id="rId35" Type="http://schemas.openxmlformats.org/officeDocument/2006/relationships/hyperlink" Target="https://doi.org/10.1186/s40862-024-00268-y" TargetMode="Externa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26DF8-2AC2-4B10-84CA-8D0AC6C04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TotalTime>
  <Pages>9</Pages>
  <Words>4567</Words>
  <Characters>25120</Characters>
  <Application>Microsoft Office Word</Application>
  <DocSecurity>0</DocSecurity>
  <Lines>209</Lines>
  <Paragraphs>59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29628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Reviewer</cp:lastModifiedBy>
  <cp:revision>2</cp:revision>
  <cp:lastPrinted>1999-07-06T11:00:00Z</cp:lastPrinted>
  <dcterms:created xsi:type="dcterms:W3CDTF">2025-05-07T12:04:00Z</dcterms:created>
  <dcterms:modified xsi:type="dcterms:W3CDTF">2025-05-07T12:04:00Z</dcterms:modified>
</cp:coreProperties>
</file>