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ACC69" w14:textId="77777777" w:rsidR="001569C7" w:rsidRPr="00701BFD" w:rsidRDefault="001569C7" w:rsidP="00701BFD">
      <w:pPr>
        <w:jc w:val="center"/>
        <w:rPr>
          <w:rFonts w:asciiTheme="majorBidi" w:hAnsiTheme="majorBidi" w:cstheme="majorBidi"/>
          <w:b/>
          <w:bCs/>
          <w:sz w:val="24"/>
          <w:szCs w:val="24"/>
        </w:rPr>
      </w:pPr>
      <w:r w:rsidRPr="00701BFD">
        <w:rPr>
          <w:rFonts w:asciiTheme="majorBidi" w:hAnsiTheme="majorBidi" w:cstheme="majorBidi"/>
          <w:b/>
          <w:bCs/>
          <w:sz w:val="24"/>
          <w:szCs w:val="24"/>
        </w:rPr>
        <w:t>Conversion of Vegetable Oils into Glycidyl Ethers: The Key Process Moving Towards Sustainability and Improved Performance in Epoxy Resins</w:t>
      </w:r>
    </w:p>
    <w:p w14:paraId="4930845A" w14:textId="77777777" w:rsidR="001569C7" w:rsidRPr="00701BFD" w:rsidRDefault="001569C7" w:rsidP="00701BFD">
      <w:pPr>
        <w:jc w:val="both"/>
        <w:rPr>
          <w:rFonts w:asciiTheme="majorBidi" w:hAnsiTheme="majorBidi" w:cstheme="majorBidi"/>
          <w:b/>
          <w:bCs/>
          <w:sz w:val="24"/>
          <w:szCs w:val="24"/>
        </w:rPr>
      </w:pPr>
      <w:r w:rsidRPr="00701BFD">
        <w:rPr>
          <w:rFonts w:asciiTheme="majorBidi" w:hAnsiTheme="majorBidi" w:cstheme="majorBidi"/>
          <w:b/>
          <w:bCs/>
          <w:sz w:val="24"/>
          <w:szCs w:val="24"/>
        </w:rPr>
        <w:t>Abstract</w:t>
      </w:r>
    </w:p>
    <w:p w14:paraId="655250FA" w14:textId="42B8353F" w:rsidR="001569C7"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It is through a review of conversion of vegetable oils into glycidyl ethers focusing on their roles in achieving sustainability and improved epoxy resin performance. It involves functionalization of triglycerides in the form of epoxidation followed by </w:t>
      </w:r>
      <w:proofErr w:type="spellStart"/>
      <w:r w:rsidRPr="00701BFD">
        <w:rPr>
          <w:rFonts w:asciiTheme="majorBidi" w:hAnsiTheme="majorBidi" w:cstheme="majorBidi"/>
          <w:sz w:val="24"/>
          <w:szCs w:val="24"/>
        </w:rPr>
        <w:t>glycidylation</w:t>
      </w:r>
      <w:proofErr w:type="spellEnd"/>
      <w:r w:rsidRPr="00701BFD">
        <w:rPr>
          <w:rFonts w:asciiTheme="majorBidi" w:hAnsiTheme="majorBidi" w:cstheme="majorBidi"/>
          <w:sz w:val="24"/>
          <w:szCs w:val="24"/>
        </w:rPr>
        <w:t xml:space="preserve"> and yields bio-based monomers having improved mechanical as well as thermal properties. The review covers the underlying chemistry, production drivers, industrial applications, and future issues, supported by quantitative data and comparative studies. In addition, it integrates recent data on catalyst choice, feedstock flexibility, and environmental performance factors of bio-based resins, indicating their suitability for replacing traditional petroleum-based components.</w:t>
      </w:r>
    </w:p>
    <w:p w14:paraId="2FDF9817" w14:textId="2056EDBE" w:rsidR="006626AC" w:rsidRPr="00701BFD" w:rsidRDefault="006626AC" w:rsidP="00701BFD">
      <w:pPr>
        <w:jc w:val="both"/>
        <w:rPr>
          <w:rFonts w:asciiTheme="majorBidi" w:hAnsiTheme="majorBidi" w:cstheme="majorBidi"/>
          <w:sz w:val="24"/>
          <w:szCs w:val="24"/>
        </w:rPr>
      </w:pPr>
      <w:r>
        <w:rPr>
          <w:rFonts w:asciiTheme="majorBidi" w:hAnsiTheme="majorBidi" w:cstheme="majorBidi"/>
          <w:sz w:val="24"/>
          <w:szCs w:val="24"/>
        </w:rPr>
        <w:t xml:space="preserve">Keywords: </w:t>
      </w:r>
      <w:r w:rsidRPr="006626AC">
        <w:rPr>
          <w:rFonts w:asciiTheme="majorBidi" w:hAnsiTheme="majorBidi" w:cstheme="majorBidi"/>
          <w:sz w:val="24"/>
          <w:szCs w:val="24"/>
        </w:rPr>
        <w:t>Glycidyl Ethers</w:t>
      </w:r>
      <w:r>
        <w:rPr>
          <w:rFonts w:asciiTheme="majorBidi" w:hAnsiTheme="majorBidi" w:cstheme="majorBidi"/>
          <w:sz w:val="24"/>
          <w:szCs w:val="24"/>
        </w:rPr>
        <w:t xml:space="preserve">, </w:t>
      </w:r>
      <w:r w:rsidRPr="006626AC">
        <w:rPr>
          <w:rFonts w:asciiTheme="majorBidi" w:hAnsiTheme="majorBidi" w:cstheme="majorBidi"/>
          <w:sz w:val="24"/>
          <w:szCs w:val="24"/>
        </w:rPr>
        <w:t>feedstock flexibility</w:t>
      </w:r>
      <w:r>
        <w:rPr>
          <w:rFonts w:asciiTheme="majorBidi" w:hAnsiTheme="majorBidi" w:cstheme="majorBidi"/>
          <w:sz w:val="24"/>
          <w:szCs w:val="24"/>
        </w:rPr>
        <w:t xml:space="preserve">, </w:t>
      </w:r>
      <w:r w:rsidRPr="006626AC">
        <w:rPr>
          <w:rFonts w:asciiTheme="majorBidi" w:hAnsiTheme="majorBidi" w:cstheme="majorBidi"/>
          <w:sz w:val="24"/>
          <w:szCs w:val="24"/>
        </w:rPr>
        <w:t>thermal properties</w:t>
      </w:r>
      <w:r>
        <w:rPr>
          <w:rFonts w:asciiTheme="majorBidi" w:hAnsiTheme="majorBidi" w:cstheme="majorBidi"/>
          <w:sz w:val="24"/>
          <w:szCs w:val="24"/>
        </w:rPr>
        <w:t xml:space="preserve">, </w:t>
      </w:r>
      <w:r w:rsidRPr="006626AC">
        <w:rPr>
          <w:rFonts w:asciiTheme="majorBidi" w:hAnsiTheme="majorBidi" w:cstheme="majorBidi"/>
          <w:sz w:val="24"/>
          <w:szCs w:val="24"/>
        </w:rPr>
        <w:t>environmental catalysts</w:t>
      </w:r>
    </w:p>
    <w:p w14:paraId="21F97052" w14:textId="77777777" w:rsidR="001569C7" w:rsidRPr="00701BFD" w:rsidRDefault="001569C7" w:rsidP="00701BFD">
      <w:pPr>
        <w:jc w:val="both"/>
        <w:rPr>
          <w:rFonts w:asciiTheme="majorBidi" w:hAnsiTheme="majorBidi" w:cstheme="majorBidi"/>
          <w:b/>
          <w:bCs/>
          <w:sz w:val="24"/>
          <w:szCs w:val="24"/>
        </w:rPr>
      </w:pPr>
      <w:r w:rsidRPr="00701BFD">
        <w:rPr>
          <w:rFonts w:asciiTheme="majorBidi" w:hAnsiTheme="majorBidi" w:cstheme="majorBidi"/>
          <w:b/>
          <w:bCs/>
          <w:sz w:val="24"/>
          <w:szCs w:val="24"/>
        </w:rPr>
        <w:t>Introduction</w:t>
      </w:r>
    </w:p>
    <w:p w14:paraId="7956CA09"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Against the background of the world movement toward sustainable development and environmental protection, the demand for renewable and biodegradable raw materials has significantly increased, particularly in polymer chemistry. Among the most prominent trends in this context is the use of vegetable oils as renewable and biodegradable raw materials for the production of functional monomers such as glycidyl ethers due to their unique chemical structure with high levels of unsaturated fatty acids. These double bonds provide easily accessible locations for chemical modification, hence the suitability of vegetable oils as good candidates for green chemistry application (Petrovic, 2008; Saba et al., 2020).</w:t>
      </w:r>
    </w:p>
    <w:p w14:paraId="1191A9B8"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Decreasing reliance on fossil fuels has triggered extensive research to convert vegetable oils into value-added products. One of these conversions in this line of processing is epoxidation, in which the double bonds within the vegetable oil triglycerides are converted into epoxide groups. This epoxidation reaction is feasible with green oxidizing agents such as hydrogen peroxide in the presence of acetic acid and environmental catalysts such as Amberlite® IR-120. High conversion efficiencies and epoxidation </w:t>
      </w:r>
      <w:proofErr w:type="spellStart"/>
      <w:r w:rsidRPr="00701BFD">
        <w:rPr>
          <w:rFonts w:asciiTheme="majorBidi" w:hAnsiTheme="majorBidi" w:cstheme="majorBidi"/>
          <w:sz w:val="24"/>
          <w:szCs w:val="24"/>
        </w:rPr>
        <w:t>selectivities</w:t>
      </w:r>
      <w:proofErr w:type="spellEnd"/>
      <w:r w:rsidRPr="00701BFD">
        <w:rPr>
          <w:rFonts w:asciiTheme="majorBidi" w:hAnsiTheme="majorBidi" w:cstheme="majorBidi"/>
          <w:sz w:val="24"/>
          <w:szCs w:val="24"/>
        </w:rPr>
        <w:t xml:space="preserve"> of more than 94% have been obtained for various vegetable oils through this reaction, as per recent research studies (Saba et al., 2020; Wang et al., 2024). Following epoxidation, the epoxidized oils can be reacted with epichlorohydrin under basic conditions to form glycidyl ethers, which are valuable intermediates for syntheses of bio-based epoxy resins (Mat Shukri et al., 2023).</w:t>
      </w:r>
    </w:p>
    <w:p w14:paraId="1C28A16E"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The increasing application of vegetable oils, including waste cooking oil, as circular economy feedstocks is part of a broader trend towards circular economy strategies. Recent studies have indicated that waste oils, otherwise contributing to environmental pollution, can be used to generate biofuels, plasticizers, or bio-based polymers, and thereby emphasize their waste reduction and sustainable material production potential. This is in accordance with the research of Ferrusca et al. (2023), who explored catalytic reactions for the conversion of waste cooking oil to biodiesel, and Foo et al. (2021), who emphasized the value-added characteristics of waste oils in generating energy. Similarly, </w:t>
      </w:r>
      <w:proofErr w:type="spellStart"/>
      <w:r w:rsidRPr="00701BFD">
        <w:rPr>
          <w:rFonts w:asciiTheme="majorBidi" w:hAnsiTheme="majorBidi" w:cstheme="majorBidi"/>
          <w:sz w:val="24"/>
          <w:szCs w:val="24"/>
        </w:rPr>
        <w:t>Kurańska</w:t>
      </w:r>
      <w:proofErr w:type="spellEnd"/>
      <w:r w:rsidRPr="00701BFD">
        <w:rPr>
          <w:rFonts w:asciiTheme="majorBidi" w:hAnsiTheme="majorBidi" w:cstheme="majorBidi"/>
          <w:sz w:val="24"/>
          <w:szCs w:val="24"/>
        </w:rPr>
        <w:t xml:space="preserve"> et al. (2021) and Marriam et al. (2023) identified the conversion of waste oils into bio-based polyols and epoxy precursors, thereby highlighting the application of waste oils in producing environmentally benign materials.</w:t>
      </w:r>
    </w:p>
    <w:p w14:paraId="5DC5CB88"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lastRenderedPageBreak/>
        <w:t xml:space="preserve">Bio-based epoxy formulations from glycidyl ethers of vegetable oils are an eco-friendly alternative to classical bisphenol-A (BPA)-based epoxies. They display some environmental and health advantages in terms of reduced toxicity, enhanced biodegradability, and less carbon footprint (La Scala &amp; Wool, 2004; </w:t>
      </w:r>
      <w:proofErr w:type="spellStart"/>
      <w:r w:rsidRPr="00701BFD">
        <w:rPr>
          <w:rFonts w:asciiTheme="majorBidi" w:hAnsiTheme="majorBidi" w:cstheme="majorBidi"/>
          <w:sz w:val="24"/>
          <w:szCs w:val="24"/>
        </w:rPr>
        <w:t>Schüttner</w:t>
      </w:r>
      <w:proofErr w:type="spellEnd"/>
      <w:r w:rsidRPr="00701BFD">
        <w:rPr>
          <w:rFonts w:asciiTheme="majorBidi" w:hAnsiTheme="majorBidi" w:cstheme="majorBidi"/>
          <w:sz w:val="24"/>
          <w:szCs w:val="24"/>
        </w:rPr>
        <w:t xml:space="preserve"> et al., 2024). Besides, the use of the feedstock oil—soybean, linseed, or waste cooking oil—allows the properties of the resulting resins in terms of the mechanical, thermal, and rheological characteristics to be adjusted in line with the different industrial specifications. Applications include coatings, adhesives, electronic encapsulants, and </w:t>
      </w:r>
      <w:proofErr w:type="spellStart"/>
      <w:r w:rsidRPr="00701BFD">
        <w:rPr>
          <w:rFonts w:asciiTheme="majorBidi" w:hAnsiTheme="majorBidi" w:cstheme="majorBidi"/>
          <w:sz w:val="24"/>
          <w:szCs w:val="24"/>
        </w:rPr>
        <w:t>fiber</w:t>
      </w:r>
      <w:proofErr w:type="spellEnd"/>
      <w:r w:rsidRPr="00701BFD">
        <w:rPr>
          <w:rFonts w:asciiTheme="majorBidi" w:hAnsiTheme="majorBidi" w:cstheme="majorBidi"/>
          <w:sz w:val="24"/>
          <w:szCs w:val="24"/>
        </w:rPr>
        <w:t>-reinforced composites (Zhang et al., 2020).</w:t>
      </w:r>
    </w:p>
    <w:p w14:paraId="081E00B1"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The use of vegetable oils and waste cooking oils in sustainable products is critical in achieving sustainability goals and addressing environmental problems in material consumption. Production of bio-based epoxy resins, especially those glycidyl ethers of vegetable oils, indicates not only a solution to waste but also a promising pathway to the reduction of petrochemical-based product utilization. As the global market for epoxy resins continues to grow to more than USD 10 billion annually (UNEP, 2019), strategic use of renewable feedstock materials like vegetable oils is rapidly emerging as a financial imperative, not just as an environmental demand. Their insertion into industrial production chains has already been demonstrated through recent laboratory and pre-industrial scale studies which demonstrate promising performance parameters without forfeiting sustainability priorities (Specific Polymers, 2023).</w:t>
      </w:r>
    </w:p>
    <w:p w14:paraId="020D4971"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This research aims to examine the chemical conversion reactions of vegetable oils into glycidyl ethers, </w:t>
      </w:r>
      <w:proofErr w:type="spellStart"/>
      <w:r w:rsidRPr="00701BFD">
        <w:rPr>
          <w:rFonts w:asciiTheme="majorBidi" w:hAnsiTheme="majorBidi" w:cstheme="majorBidi"/>
          <w:sz w:val="24"/>
          <w:szCs w:val="24"/>
        </w:rPr>
        <w:t>analyze</w:t>
      </w:r>
      <w:proofErr w:type="spellEnd"/>
      <w:r w:rsidRPr="00701BFD">
        <w:rPr>
          <w:rFonts w:asciiTheme="majorBidi" w:hAnsiTheme="majorBidi" w:cstheme="majorBidi"/>
          <w:sz w:val="24"/>
          <w:szCs w:val="24"/>
        </w:rPr>
        <w:t xml:space="preserve"> their reactivity and performance as part of epoxy resin systems, and assess their promise in various industrial applications. It will also touch on the difficulties faced when scaling up such processes and shed light on directions for further development in advancing the use of renewable resources in polymer science and green manufacturing.</w:t>
      </w:r>
    </w:p>
    <w:p w14:paraId="52C71DEF" w14:textId="77777777" w:rsidR="001569C7" w:rsidRPr="009E0509" w:rsidRDefault="001569C7" w:rsidP="00701BFD">
      <w:pPr>
        <w:jc w:val="both"/>
        <w:rPr>
          <w:rFonts w:asciiTheme="majorBidi" w:hAnsiTheme="majorBidi" w:cstheme="majorBidi"/>
          <w:b/>
          <w:bCs/>
          <w:sz w:val="24"/>
          <w:szCs w:val="24"/>
        </w:rPr>
      </w:pPr>
      <w:r w:rsidRPr="009E0509">
        <w:rPr>
          <w:rFonts w:asciiTheme="majorBidi" w:hAnsiTheme="majorBidi" w:cstheme="majorBidi"/>
          <w:b/>
          <w:bCs/>
          <w:sz w:val="24"/>
          <w:szCs w:val="24"/>
        </w:rPr>
        <w:t>Regulation and health impacts of frying oils</w:t>
      </w:r>
    </w:p>
    <w:p w14:paraId="3BD44845" w14:textId="4A6AD361" w:rsidR="001569C7" w:rsidRPr="00701BFD" w:rsidRDefault="007D2A04" w:rsidP="00701BFD">
      <w:pPr>
        <w:jc w:val="both"/>
        <w:rPr>
          <w:rFonts w:asciiTheme="majorBidi" w:hAnsiTheme="majorBidi" w:cstheme="majorBidi"/>
          <w:sz w:val="24"/>
          <w:szCs w:val="24"/>
        </w:rPr>
      </w:pPr>
      <w:r w:rsidRPr="007D2A04">
        <w:rPr>
          <w:rFonts w:asciiTheme="majorBidi" w:hAnsiTheme="majorBidi" w:cstheme="majorBidi"/>
          <w:sz w:val="24"/>
          <w:szCs w:val="24"/>
        </w:rPr>
        <w:t>The health consequences and regulation of frying oils are of paramount importance due to their widespread use in food preparation, particularly deep-frying. Upon heating, frying oils experience widespread chemical changes that affect not only their quality but also the health consequences of food cooked in them</w:t>
      </w:r>
      <w:r w:rsidR="001171C1">
        <w:rPr>
          <w:rFonts w:asciiTheme="majorBidi" w:hAnsiTheme="majorBidi" w:cstheme="majorBidi"/>
          <w:sz w:val="24"/>
          <w:szCs w:val="24"/>
        </w:rPr>
        <w:t>.</w:t>
      </w:r>
      <w:r w:rsidRPr="007D2A04">
        <w:rPr>
          <w:rFonts w:asciiTheme="majorBidi" w:hAnsiTheme="majorBidi" w:cstheme="majorBidi"/>
          <w:sz w:val="24"/>
          <w:szCs w:val="24"/>
        </w:rPr>
        <w:t xml:space="preserve"> </w:t>
      </w:r>
      <w:r w:rsidR="001569C7" w:rsidRPr="00701BFD">
        <w:rPr>
          <w:rFonts w:asciiTheme="majorBidi" w:hAnsiTheme="majorBidi" w:cstheme="majorBidi"/>
          <w:sz w:val="24"/>
          <w:szCs w:val="24"/>
        </w:rPr>
        <w:t>The level of unsaturation in oils, i.e., the number of double bonds in the fatty acid chain, is the most important factor to determine their stability and frying quality (</w:t>
      </w:r>
      <w:r w:rsidR="000B68F6">
        <w:t>Choe &amp; Min, 2007</w:t>
      </w:r>
      <w:r w:rsidR="001569C7" w:rsidRPr="00701BFD">
        <w:rPr>
          <w:rFonts w:asciiTheme="majorBidi" w:hAnsiTheme="majorBidi" w:cstheme="majorBidi"/>
          <w:color w:val="FF0000"/>
          <w:sz w:val="24"/>
          <w:szCs w:val="24"/>
        </w:rPr>
        <w:t>).</w:t>
      </w:r>
    </w:p>
    <w:p w14:paraId="59E565DE" w14:textId="52E7FBB9"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Classification of frying oils: Frying oils may be classified broadly based on their level of unsaturation as drying, semi-drying, and non-drying oils. Drying oils such as linseed oil have high concentrations of polyunsaturated fatty acids and hence are prone to oxidation and polymerization when heated. The oils easily break down when used in frying, creating potentially harmful byproducts such as aldehydes and other harmful compounds. Semi-drying oils such as soybean oil contain moderate levels of unsaturation and are relatively more stable than drying oils, but degrade over extended frying periods, forming undesirable substances. Non-drying oils such as castor oil contain fewer levels of unsaturation and are relatively more stable, but their frying and nutritional properties are limited (</w:t>
      </w:r>
      <w:r w:rsidR="000B68F6">
        <w:t>Shahidi &amp; Zhong, 2005</w:t>
      </w:r>
      <w:r w:rsidRPr="00701BFD">
        <w:rPr>
          <w:rFonts w:asciiTheme="majorBidi" w:hAnsiTheme="majorBidi" w:cstheme="majorBidi"/>
          <w:color w:val="FF0000"/>
          <w:sz w:val="24"/>
          <w:szCs w:val="24"/>
        </w:rPr>
        <w:t>).</w:t>
      </w:r>
    </w:p>
    <w:p w14:paraId="5081D794"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Health and quality problems related to frying oil: Frying accelerates oil degradation, giving rise to VOCs, aldehydes, and other harmful chemicals. These by-products are not only a source of diminishing oil quality, but they have serious health impacts on the people consuming them </w:t>
      </w:r>
      <w:r w:rsidRPr="00701BFD">
        <w:rPr>
          <w:rFonts w:asciiTheme="majorBidi" w:hAnsiTheme="majorBidi" w:cstheme="majorBidi"/>
          <w:sz w:val="24"/>
          <w:szCs w:val="24"/>
        </w:rPr>
        <w:lastRenderedPageBreak/>
        <w:t>as well. For example, research by Gunstone and Martini (2010) has confirmed that chemical reactions occurring during frying result in the degradation of nutritional value of oils and the formation of substances that can increase the risk of various diseases, including cardiovascular disease. Frankel (2005) examined how different frying fats, depending on their oxidative stability, contribute to the formation of toxic by-products.</w:t>
      </w:r>
    </w:p>
    <w:p w14:paraId="2038321E" w14:textId="77777777" w:rsidR="001569C7" w:rsidRPr="00701BFD" w:rsidRDefault="001569C7" w:rsidP="00701BFD">
      <w:pPr>
        <w:jc w:val="both"/>
        <w:rPr>
          <w:rFonts w:asciiTheme="majorBidi" w:hAnsiTheme="majorBidi" w:cstheme="majorBidi"/>
          <w:sz w:val="24"/>
          <w:szCs w:val="24"/>
          <w:rtl/>
        </w:rPr>
      </w:pPr>
      <w:r w:rsidRPr="00701BFD">
        <w:rPr>
          <w:rFonts w:asciiTheme="majorBidi" w:hAnsiTheme="majorBidi" w:cstheme="majorBidi"/>
          <w:sz w:val="24"/>
          <w:szCs w:val="24"/>
        </w:rPr>
        <w:t>The lipid content of oils also plays an important role in identifying their impact on the nutritional value of fried food. Martinez-</w:t>
      </w:r>
      <w:proofErr w:type="spellStart"/>
      <w:r w:rsidRPr="00701BFD">
        <w:rPr>
          <w:rFonts w:asciiTheme="majorBidi" w:hAnsiTheme="majorBidi" w:cstheme="majorBidi"/>
          <w:sz w:val="24"/>
          <w:szCs w:val="24"/>
        </w:rPr>
        <w:t>Yusta</w:t>
      </w:r>
      <w:proofErr w:type="spellEnd"/>
      <w:r w:rsidRPr="00701BFD">
        <w:rPr>
          <w:rFonts w:asciiTheme="majorBidi" w:hAnsiTheme="majorBidi" w:cstheme="majorBidi"/>
          <w:sz w:val="24"/>
          <w:szCs w:val="24"/>
        </w:rPr>
        <w:t xml:space="preserve"> and Guillen (2014) examined the impact of various frying oils and food types on the composition of lipids during deep-frying, the results of which showed that different oils yield distinct nutritional profiles for the final products. Vegetable oils, when heated high, also lose essential vitamins and antioxidants that could diminish their positive impact on health, as noted by Fine et al. (2016).</w:t>
      </w:r>
    </w:p>
    <w:p w14:paraId="26E76B36"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Health impacts of fried foods' consumption: Health consequences of consumption of fried foods are of primary concern, and particularly from a cardiovascular standpoint. Gadiraju et al. (2015) reported the link between the consumption of fried foods and increased cardiovascular disease risk factors and stated that frying in certain oils worsens such risk factors by creating toxic substances. Additionally, Guillen and Uriarte (2012) examined the impact of severe heating on the formation of aldehydes in oils, which are well known to be toxic and can cause long-term health issues like liver damage and cancer.</w:t>
      </w:r>
    </w:p>
    <w:p w14:paraId="1708C6F1"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In an effort to eliminate such fears, various studies have emphasized oil quality retention methods during frying. </w:t>
      </w:r>
      <w:proofErr w:type="spellStart"/>
      <w:r w:rsidRPr="00701BFD">
        <w:rPr>
          <w:rFonts w:asciiTheme="majorBidi" w:hAnsiTheme="majorBidi" w:cstheme="majorBidi"/>
          <w:sz w:val="24"/>
          <w:szCs w:val="24"/>
        </w:rPr>
        <w:t>Marmesat</w:t>
      </w:r>
      <w:proofErr w:type="spellEnd"/>
      <w:r w:rsidRPr="00701BFD">
        <w:rPr>
          <w:rFonts w:asciiTheme="majorBidi" w:hAnsiTheme="majorBidi" w:cstheme="majorBidi"/>
          <w:sz w:val="24"/>
          <w:szCs w:val="24"/>
        </w:rPr>
        <w:t xml:space="preserve"> et al. (2010) studied the application of natural and synthetic antioxidants as means to prevent oil oxidation and maintain fried foods' nutritional quality. Natural and synthetic antioxidants can hinder the damaging impact of oxidation, safeguarding both the health benefits of the oil and the quality of fried foods.</w:t>
      </w:r>
    </w:p>
    <w:p w14:paraId="46C4DA9A"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Environmental factors: Environmental impact of frying oils is a significant factor too. Zhao et al. (2023) studied the volatilization of volatile organic compounds from cooking oils and showed how frying affects not just the quality of food but also generates air pollution. Volatilization of such compounds could lower air quality and lead to more environmental and health risks, particularly in an industrial or commercial setting.</w:t>
      </w:r>
    </w:p>
    <w:p w14:paraId="090311A0"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Monitoring and regulation of frying oil: Quality monitoring of frying oils in use is essential to maintaining food safety and avoiding health problems. </w:t>
      </w:r>
      <w:proofErr w:type="spellStart"/>
      <w:r w:rsidRPr="00701BFD">
        <w:rPr>
          <w:rFonts w:asciiTheme="majorBidi" w:hAnsiTheme="majorBidi" w:cstheme="majorBidi"/>
          <w:sz w:val="24"/>
          <w:szCs w:val="24"/>
        </w:rPr>
        <w:t>Kazimierska</w:t>
      </w:r>
      <w:proofErr w:type="spellEnd"/>
      <w:r w:rsidRPr="00701BFD">
        <w:rPr>
          <w:rFonts w:asciiTheme="majorBidi" w:hAnsiTheme="majorBidi" w:cstheme="majorBidi"/>
          <w:sz w:val="24"/>
          <w:szCs w:val="24"/>
        </w:rPr>
        <w:t xml:space="preserve"> et al. (2018) highlighted methods of assessing the quality of used frying oils, such as the need for continuous monitoring to detect the formation of harmful compounds and their prevention. Regulatory frameworks that establish standards of safety and quality of frying oils play a significant role in the protection of consumers' health. Firestone (2007) discussed the importance of regulatory standards in ensuring frying oils are safe and do not pose negative effects on public health.</w:t>
      </w:r>
    </w:p>
    <w:p w14:paraId="55C7EC22"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Regulation and health implications of frying oils are part of the process to ensure the safety and nutritional value of fried food. Frying oils also undergo significant chemical transformation when heated, leading to the formation of undesirable byproducts that can affect oil quality as well as consumer health. Understanding these mechanisms and the practice of good quality control procedures, including antioxidant use and monitoring of oil deterioration, are important in minimizing the health risks of fried food consumption. Besides, regulatory mechanisms and ongoing research on the health and environmental impacts of frying oils are crucial to improving food safety and public health status.</w:t>
      </w:r>
    </w:p>
    <w:p w14:paraId="71BAB95A" w14:textId="77777777" w:rsidR="001569C7" w:rsidRPr="009E0509" w:rsidRDefault="001569C7" w:rsidP="00701BFD">
      <w:pPr>
        <w:jc w:val="both"/>
        <w:rPr>
          <w:rFonts w:asciiTheme="majorBidi" w:hAnsiTheme="majorBidi" w:cstheme="majorBidi"/>
          <w:b/>
          <w:bCs/>
          <w:sz w:val="24"/>
          <w:szCs w:val="24"/>
        </w:rPr>
      </w:pPr>
      <w:r w:rsidRPr="009E0509">
        <w:rPr>
          <w:rFonts w:asciiTheme="majorBidi" w:hAnsiTheme="majorBidi" w:cstheme="majorBidi"/>
          <w:b/>
          <w:bCs/>
          <w:sz w:val="24"/>
          <w:szCs w:val="24"/>
        </w:rPr>
        <w:lastRenderedPageBreak/>
        <w:t>Synthesis of glycidyl ethers of vegetable oils and applications in polyurethanes</w:t>
      </w:r>
    </w:p>
    <w:p w14:paraId="2365AC35"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The conversion of vegetable oils to glycidyl ethers, primarily through epoxidation and </w:t>
      </w:r>
      <w:proofErr w:type="spellStart"/>
      <w:r w:rsidRPr="00701BFD">
        <w:rPr>
          <w:rFonts w:asciiTheme="majorBidi" w:hAnsiTheme="majorBidi" w:cstheme="majorBidi"/>
          <w:sz w:val="24"/>
          <w:szCs w:val="24"/>
        </w:rPr>
        <w:t>glycidylation</w:t>
      </w:r>
      <w:proofErr w:type="spellEnd"/>
      <w:r w:rsidRPr="00701BFD">
        <w:rPr>
          <w:rFonts w:asciiTheme="majorBidi" w:hAnsiTheme="majorBidi" w:cstheme="majorBidi"/>
          <w:sz w:val="24"/>
          <w:szCs w:val="24"/>
        </w:rPr>
        <w:t xml:space="preserve">, offers a promising avenue for the synthesis of highly reactive functionalized oils that can be applied in a broad variety of polymeric systems, including epoxy resins. This epoxidation plays a key role in generating sustainable materials with applications in various industries like coatings, foams, composites, and adhesives. Below is an overview of key research on epoxidation of vegetable oils, subsequent </w:t>
      </w:r>
      <w:proofErr w:type="spellStart"/>
      <w:r w:rsidRPr="00701BFD">
        <w:rPr>
          <w:rFonts w:asciiTheme="majorBidi" w:hAnsiTheme="majorBidi" w:cstheme="majorBidi"/>
          <w:sz w:val="24"/>
          <w:szCs w:val="24"/>
        </w:rPr>
        <w:t>glycidylation</w:t>
      </w:r>
      <w:proofErr w:type="spellEnd"/>
      <w:r w:rsidRPr="00701BFD">
        <w:rPr>
          <w:rFonts w:asciiTheme="majorBidi" w:hAnsiTheme="majorBidi" w:cstheme="majorBidi"/>
          <w:sz w:val="24"/>
          <w:szCs w:val="24"/>
        </w:rPr>
        <w:t xml:space="preserve"> process, and incorporation into polyurethane materials.</w:t>
      </w:r>
    </w:p>
    <w:p w14:paraId="0E8C2022"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3.1 Vegetable oil epoxidation is the most significant first step in the manufacture of glycidyl ethers. Epoxidation involves the incorporation of epoxy (oxirane) rings by adding an oxygen atom to the double bonds in vegetable oils' unsaturated fatty acid parts. Epoxidized oils are formed with available reactivity sites for further chemical reaction and the chemical reactivity of the oil is enhanced.</w:t>
      </w:r>
    </w:p>
    <w:p w14:paraId="30B978A4"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Epoxidation is generally carried out with peracids (e.g., peracetic acid) or hydrogen peroxide, often with an acid catalyst present (Saba et al., 2020). Efficiency and selectivity of the reaction are highly reliant on reaction conditions, i.e., oxidant employed, temperature, and the character of a catalyst. Parametric optimization of parameters like catalyst nature and temperature has been proven in studies to maximize the yield and selectivity of the epoxidation reaction. Studies, such as those conducted by Zora et al. (2021), indicate the importance of such conditions in governing thermal hazards as well as productivity maximization in the direction of more efficient and secure chemical operations.</w:t>
      </w:r>
    </w:p>
    <w:p w14:paraId="5655FF92"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The effectiveness of the epoxidation reaction has a direct bearing on the reactivity of the fatty acids, which is necessary for additional glycidyl ether production. It is the foundation for the production of high-performance, bio-based polyols that form the backbone of green polymer development.</w:t>
      </w:r>
    </w:p>
    <w:p w14:paraId="3C3A75A2"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3.2 </w:t>
      </w:r>
      <w:proofErr w:type="spellStart"/>
      <w:r w:rsidRPr="00701BFD">
        <w:rPr>
          <w:rFonts w:asciiTheme="majorBidi" w:hAnsiTheme="majorBidi" w:cstheme="majorBidi"/>
          <w:sz w:val="24"/>
          <w:szCs w:val="24"/>
        </w:rPr>
        <w:t>Glycidylation</w:t>
      </w:r>
      <w:proofErr w:type="spellEnd"/>
      <w:r w:rsidRPr="00701BFD">
        <w:rPr>
          <w:rFonts w:asciiTheme="majorBidi" w:hAnsiTheme="majorBidi" w:cstheme="majorBidi"/>
          <w:sz w:val="24"/>
          <w:szCs w:val="24"/>
        </w:rPr>
        <w:t xml:space="preserve"> reaction</w:t>
      </w:r>
    </w:p>
    <w:p w14:paraId="29BF896A"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On epoxidation, the epoxidized oils are then submitted to </w:t>
      </w:r>
      <w:proofErr w:type="spellStart"/>
      <w:r w:rsidRPr="00701BFD">
        <w:rPr>
          <w:rFonts w:asciiTheme="majorBidi" w:hAnsiTheme="majorBidi" w:cstheme="majorBidi"/>
          <w:sz w:val="24"/>
          <w:szCs w:val="24"/>
        </w:rPr>
        <w:t>glycidylation</w:t>
      </w:r>
      <w:proofErr w:type="spellEnd"/>
      <w:r w:rsidRPr="00701BFD">
        <w:rPr>
          <w:rFonts w:asciiTheme="majorBidi" w:hAnsiTheme="majorBidi" w:cstheme="majorBidi"/>
          <w:sz w:val="24"/>
          <w:szCs w:val="24"/>
        </w:rPr>
        <w:t>, a key reaction in which epichlorohydrin (C3H5ClO) is reacted with the epoxide rings in the presence of a base like NaOH. Here, glycidyl groups are appended on the epoxide rings to give glycidyl ethers. They are highly reactive monomers that are key intermediates in the production of epoxy resins and polyurethanes.</w:t>
      </w:r>
    </w:p>
    <w:p w14:paraId="34077EE0"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The </w:t>
      </w:r>
      <w:proofErr w:type="spellStart"/>
      <w:r w:rsidRPr="00701BFD">
        <w:rPr>
          <w:rFonts w:asciiTheme="majorBidi" w:hAnsiTheme="majorBidi" w:cstheme="majorBidi"/>
          <w:sz w:val="24"/>
          <w:szCs w:val="24"/>
        </w:rPr>
        <w:t>glycidylation</w:t>
      </w:r>
      <w:proofErr w:type="spellEnd"/>
      <w:r w:rsidRPr="00701BFD">
        <w:rPr>
          <w:rFonts w:asciiTheme="majorBidi" w:hAnsiTheme="majorBidi" w:cstheme="majorBidi"/>
          <w:sz w:val="24"/>
          <w:szCs w:val="24"/>
        </w:rPr>
        <w:t xml:space="preserve"> step is most significant in the context of modifying the properties of the final products. The glycidyl ethers thus formed exhibit enhanced reactivity with curing agents and enhanced crosslinking ability, which are paramount to achieve the desired thermal stability, mechanical hardness, and chemical resistance of the end polymer. A study by </w:t>
      </w:r>
      <w:proofErr w:type="spellStart"/>
      <w:r w:rsidRPr="00701BFD">
        <w:rPr>
          <w:rFonts w:asciiTheme="majorBidi" w:hAnsiTheme="majorBidi" w:cstheme="majorBidi"/>
          <w:sz w:val="24"/>
          <w:szCs w:val="24"/>
        </w:rPr>
        <w:t>Schüttner</w:t>
      </w:r>
      <w:proofErr w:type="spellEnd"/>
      <w:r w:rsidRPr="00701BFD">
        <w:rPr>
          <w:rFonts w:asciiTheme="majorBidi" w:hAnsiTheme="majorBidi" w:cstheme="majorBidi"/>
          <w:sz w:val="24"/>
          <w:szCs w:val="24"/>
        </w:rPr>
        <w:t xml:space="preserve"> et al. (2024) highlighted that the </w:t>
      </w:r>
      <w:proofErr w:type="spellStart"/>
      <w:r w:rsidRPr="00701BFD">
        <w:rPr>
          <w:rFonts w:asciiTheme="majorBidi" w:hAnsiTheme="majorBidi" w:cstheme="majorBidi"/>
          <w:sz w:val="24"/>
          <w:szCs w:val="24"/>
        </w:rPr>
        <w:t>glycidylation</w:t>
      </w:r>
      <w:proofErr w:type="spellEnd"/>
      <w:r w:rsidRPr="00701BFD">
        <w:rPr>
          <w:rFonts w:asciiTheme="majorBidi" w:hAnsiTheme="majorBidi" w:cstheme="majorBidi"/>
          <w:sz w:val="24"/>
          <w:szCs w:val="24"/>
        </w:rPr>
        <w:t xml:space="preserve"> reaction is highly sensitive to control in order to yield polyols of exceptional performance, which are the key for applications in coatings, adhesives, and composites.</w:t>
      </w:r>
    </w:p>
    <w:p w14:paraId="1E9B2946"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3.3 Reaction parameters and their impact</w:t>
      </w:r>
    </w:p>
    <w:p w14:paraId="418B2A5C"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There are a number of reaction parameters that play a crucial role in determining the efficiency, yield, and quality of glycidyl ethers produced. These include temperature, molar ratios, catalysts, and reaction time (Liu et al., 2019).</w:t>
      </w:r>
    </w:p>
    <w:p w14:paraId="12E4F3A6"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lastRenderedPageBreak/>
        <w:t>• Temperature: The reaction temperature affects both reaction rate and stability of the product. Higher temperatures tend to increase the rate of reaction but, at the same time, also lead to the formation of unwanted side products. It is critical to have a best temperature in order to produce maximum product with minimal by-products.</w:t>
      </w:r>
    </w:p>
    <w:p w14:paraId="7463F42E"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 Molar ratios: The molar ratio of epichlorohydrin to epoxidized oil is essential in allowing complete </w:t>
      </w:r>
      <w:proofErr w:type="spellStart"/>
      <w:r w:rsidRPr="00701BFD">
        <w:rPr>
          <w:rFonts w:asciiTheme="majorBidi" w:hAnsiTheme="majorBidi" w:cstheme="majorBidi"/>
          <w:sz w:val="24"/>
          <w:szCs w:val="24"/>
        </w:rPr>
        <w:t>glycidylation</w:t>
      </w:r>
      <w:proofErr w:type="spellEnd"/>
      <w:r w:rsidRPr="00701BFD">
        <w:rPr>
          <w:rFonts w:asciiTheme="majorBidi" w:hAnsiTheme="majorBidi" w:cstheme="majorBidi"/>
          <w:sz w:val="24"/>
          <w:szCs w:val="24"/>
        </w:rPr>
        <w:t xml:space="preserve"> of the available epoxide groups. A desirable molar ratio yields high-quality glycidyl ethers with the desired properties for further polymerization to epoxy resins or polyurethanes.</w:t>
      </w:r>
    </w:p>
    <w:p w14:paraId="399B707D"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 Catalysts: Catalyst selection is important in epoxidation and </w:t>
      </w:r>
      <w:proofErr w:type="spellStart"/>
      <w:r w:rsidRPr="00701BFD">
        <w:rPr>
          <w:rFonts w:asciiTheme="majorBidi" w:hAnsiTheme="majorBidi" w:cstheme="majorBidi"/>
          <w:sz w:val="24"/>
          <w:szCs w:val="24"/>
        </w:rPr>
        <w:t>glycidylation</w:t>
      </w:r>
      <w:proofErr w:type="spellEnd"/>
      <w:r w:rsidRPr="00701BFD">
        <w:rPr>
          <w:rFonts w:asciiTheme="majorBidi" w:hAnsiTheme="majorBidi" w:cstheme="majorBidi"/>
          <w:sz w:val="24"/>
          <w:szCs w:val="24"/>
        </w:rPr>
        <w:t xml:space="preserve"> reactions. Acid catalysts like Amberlite® IR-120 are typically used in epoxidation, while basic catalysts like NaOH are used in </w:t>
      </w:r>
      <w:proofErr w:type="spellStart"/>
      <w:r w:rsidRPr="00701BFD">
        <w:rPr>
          <w:rFonts w:asciiTheme="majorBidi" w:hAnsiTheme="majorBidi" w:cstheme="majorBidi"/>
          <w:sz w:val="24"/>
          <w:szCs w:val="24"/>
        </w:rPr>
        <w:t>glycidylation</w:t>
      </w:r>
      <w:proofErr w:type="spellEnd"/>
      <w:r w:rsidRPr="00701BFD">
        <w:rPr>
          <w:rFonts w:asciiTheme="majorBidi" w:hAnsiTheme="majorBidi" w:cstheme="majorBidi"/>
          <w:sz w:val="24"/>
          <w:szCs w:val="24"/>
        </w:rPr>
        <w:t>. The application of the proper catalyst offers high selectivity and efficiency, minimizing side reactions and enhancing the quality of the end product.</w:t>
      </w:r>
    </w:p>
    <w:p w14:paraId="1B3734EB" w14:textId="77777777" w:rsidR="001569C7" w:rsidRPr="00701BFD" w:rsidRDefault="001569C7" w:rsidP="00701BFD">
      <w:pPr>
        <w:jc w:val="both"/>
        <w:rPr>
          <w:rFonts w:asciiTheme="majorBidi" w:hAnsiTheme="majorBidi" w:cstheme="majorBidi"/>
          <w:sz w:val="24"/>
          <w:szCs w:val="24"/>
          <w:rtl/>
        </w:rPr>
      </w:pPr>
      <w:r w:rsidRPr="00701BFD">
        <w:rPr>
          <w:rFonts w:asciiTheme="majorBidi" w:hAnsiTheme="majorBidi" w:cstheme="majorBidi"/>
          <w:sz w:val="24"/>
          <w:szCs w:val="24"/>
        </w:rPr>
        <w:t>• Reaction time: The reaction time decides the efficiency of conversion and the extent of side reactions. Short reaction times may lead to incomplete conversion, while longer times may cause degradation or unwanted by-products. Optimizing reaction time is crucial for the synthesis of high-quality glycidyl ethers with efficiency.</w:t>
      </w:r>
    </w:p>
    <w:p w14:paraId="2FF5D61E"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By adjusting these parameters, researchers can design the molecular structure and functional properties of glycidyl ethers to match their use in coatings, adhesives, and composites.</w:t>
      </w:r>
    </w:p>
    <w:p w14:paraId="0523FFF7"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3.4 Uses of bio-based polyols in polyurethanes</w:t>
      </w:r>
    </w:p>
    <w:p w14:paraId="511F49A5" w14:textId="573A92EB"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The synthesis of bio-based polyols, particularly epoxidized vegetable oils, has enabled the green synthesis of polyurethanes. The materials have wider </w:t>
      </w:r>
      <w:proofErr w:type="gramStart"/>
      <w:r w:rsidRPr="00701BFD">
        <w:rPr>
          <w:rFonts w:asciiTheme="majorBidi" w:hAnsiTheme="majorBidi" w:cstheme="majorBidi"/>
          <w:sz w:val="24"/>
          <w:szCs w:val="24"/>
        </w:rPr>
        <w:t>uses</w:t>
      </w:r>
      <w:proofErr w:type="gramEnd"/>
      <w:r w:rsidRPr="00701BFD">
        <w:rPr>
          <w:rFonts w:asciiTheme="majorBidi" w:hAnsiTheme="majorBidi" w:cstheme="majorBidi"/>
          <w:sz w:val="24"/>
          <w:szCs w:val="24"/>
        </w:rPr>
        <w:t xml:space="preserve"> across different industries due to their green nature and improved properties. Pfister et al. (2011) and Yan et al. (2021) conducted studies on the synthesis of polyurethanes from vegetable oils and the mechanisms involved in the epoxide ring-opening reactions. The polyurethanes exhibit enhanced thermal stability, mechanical strength, and chemical attack resistance and are employed in a wide range of products from coatings and foams to composite materials.</w:t>
      </w:r>
    </w:p>
    <w:p w14:paraId="38593182"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Additionally, application of epoxidized oils in polyurethane manufacturing is, in a study by Campanella et al. (2009), an innovation enhancing the quality of materials and also sustainability by minimizing dependence on petrochemical raw materials. Application of bio-based polyols not only enhances the ecological performance of polyurethane products but also expands market opportunities for producing high-performance products consistent with the principle of global sustainability.</w:t>
      </w:r>
    </w:p>
    <w:p w14:paraId="50CD17A6"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As the need for green materials keeps on increasing, use of vegetable oil-based polyols in polyurethane applications will be an essential aspect of encouraging greener chemistry and greener manufacturing processes.</w:t>
      </w:r>
    </w:p>
    <w:p w14:paraId="671129D2"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More and more literature focuses on the synthesis, characterization, and application of </w:t>
      </w:r>
      <w:proofErr w:type="spellStart"/>
      <w:r w:rsidRPr="00701BFD">
        <w:rPr>
          <w:rFonts w:asciiTheme="majorBidi" w:hAnsiTheme="majorBidi" w:cstheme="majorBidi"/>
          <w:sz w:val="24"/>
          <w:szCs w:val="24"/>
        </w:rPr>
        <w:t>thermoresponsive</w:t>
      </w:r>
      <w:proofErr w:type="spellEnd"/>
      <w:r w:rsidRPr="00701BFD">
        <w:rPr>
          <w:rFonts w:asciiTheme="majorBidi" w:hAnsiTheme="majorBidi" w:cstheme="majorBidi"/>
          <w:sz w:val="24"/>
          <w:szCs w:val="24"/>
        </w:rPr>
        <w:t xml:space="preserve"> polymers, especially with lower or upper critical solution temperatures (LCST/UCST). Xu et al. (2019) demonstrated how a highly extensive LCST depression can convert a non-thermosensitive polymer to a thermosensitive one, emphasizing the ability of molecular design in triggering phase transitions. Similarly, Weber et al. (2012) gave a detailed overview of temperature-sensitive biocompatible polymers derived from </w:t>
      </w:r>
      <w:proofErr w:type="gramStart"/>
      <w:r w:rsidRPr="00701BFD">
        <w:rPr>
          <w:rFonts w:asciiTheme="majorBidi" w:hAnsiTheme="majorBidi" w:cstheme="majorBidi"/>
          <w:sz w:val="24"/>
          <w:szCs w:val="24"/>
        </w:rPr>
        <w:t>poly(</w:t>
      </w:r>
      <w:proofErr w:type="gramEnd"/>
      <w:r w:rsidRPr="00701BFD">
        <w:rPr>
          <w:rFonts w:asciiTheme="majorBidi" w:hAnsiTheme="majorBidi" w:cstheme="majorBidi"/>
          <w:sz w:val="24"/>
          <w:szCs w:val="24"/>
        </w:rPr>
        <w:t>ethylene oxide) and poly(2-oxazoline), emphasizing their potential uses in biomedical applications.</w:t>
      </w:r>
    </w:p>
    <w:p w14:paraId="187E5A6C"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lastRenderedPageBreak/>
        <w:t xml:space="preserve">An earlier work by </w:t>
      </w:r>
      <w:proofErr w:type="spellStart"/>
      <w:r w:rsidRPr="00701BFD">
        <w:rPr>
          <w:rFonts w:asciiTheme="majorBidi" w:hAnsiTheme="majorBidi" w:cstheme="majorBidi"/>
          <w:sz w:val="24"/>
          <w:szCs w:val="24"/>
        </w:rPr>
        <w:t>Hodorog</w:t>
      </w:r>
      <w:proofErr w:type="spellEnd"/>
      <w:r w:rsidRPr="00701BFD">
        <w:rPr>
          <w:rFonts w:asciiTheme="majorBidi" w:hAnsiTheme="majorBidi" w:cstheme="majorBidi"/>
          <w:sz w:val="24"/>
          <w:szCs w:val="24"/>
        </w:rPr>
        <w:t xml:space="preserve"> et al. (2012), which was on </w:t>
      </w:r>
      <w:proofErr w:type="gramStart"/>
      <w:r w:rsidRPr="00701BFD">
        <w:rPr>
          <w:rFonts w:asciiTheme="majorBidi" w:hAnsiTheme="majorBidi" w:cstheme="majorBidi"/>
          <w:sz w:val="24"/>
          <w:szCs w:val="24"/>
        </w:rPr>
        <w:t>poly(</w:t>
      </w:r>
      <w:proofErr w:type="gramEnd"/>
      <w:r w:rsidRPr="00701BFD">
        <w:rPr>
          <w:rFonts w:asciiTheme="majorBidi" w:hAnsiTheme="majorBidi" w:cstheme="majorBidi"/>
          <w:sz w:val="24"/>
          <w:szCs w:val="24"/>
        </w:rPr>
        <w:t>dimethyl acrylamide) end-grafted polysiloxanes and examined their structural characteristics pertinent to their thermo-responsiveness. Hu and Liu (2010) extended this to the application scenario, outlining the ways in which responsive polymers can be applied in detection and sensing applications. Thereafter, Smith et al. (2010) employed Reversible Addition-Fragmentation Chain Transfer (RAFT) polymerization as a synthesis route for stimuli-responsive amphiphilic copolymers that proved to have synthetic versatility via the use of controlled radical polymerization techniques.</w:t>
      </w:r>
    </w:p>
    <w:p w14:paraId="425FA1BF"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Polyether systems were also disclosed. Labbe et al. (2007) explored controlled polymerization of glycidyl methyl ether and Lee et al. (2011) described non-polymeric thermosensitive benzene </w:t>
      </w:r>
      <w:proofErr w:type="spellStart"/>
      <w:r w:rsidRPr="00701BFD">
        <w:rPr>
          <w:rFonts w:asciiTheme="majorBidi" w:hAnsiTheme="majorBidi" w:cstheme="majorBidi"/>
          <w:sz w:val="24"/>
          <w:szCs w:val="24"/>
        </w:rPr>
        <w:t>tricarboxamides</w:t>
      </w:r>
      <w:proofErr w:type="spellEnd"/>
      <w:r w:rsidRPr="00701BFD">
        <w:rPr>
          <w:rFonts w:asciiTheme="majorBidi" w:hAnsiTheme="majorBidi" w:cstheme="majorBidi"/>
          <w:sz w:val="24"/>
          <w:szCs w:val="24"/>
        </w:rPr>
        <w:t xml:space="preserve">, which gave a small-molecule aspect to the work. </w:t>
      </w:r>
      <w:proofErr w:type="spellStart"/>
      <w:r w:rsidRPr="00701BFD">
        <w:rPr>
          <w:rFonts w:asciiTheme="majorBidi" w:hAnsiTheme="majorBidi" w:cstheme="majorBidi"/>
          <w:sz w:val="24"/>
          <w:szCs w:val="24"/>
        </w:rPr>
        <w:t>Ifuku</w:t>
      </w:r>
      <w:proofErr w:type="spellEnd"/>
      <w:r w:rsidRPr="00701BFD">
        <w:rPr>
          <w:rFonts w:asciiTheme="majorBidi" w:hAnsiTheme="majorBidi" w:cstheme="majorBidi"/>
          <w:sz w:val="24"/>
          <w:szCs w:val="24"/>
        </w:rPr>
        <w:t xml:space="preserve"> and Kadla (2008) synthesized a cellulose/N-isopropylacrylamide copolymer with both regioselectivity and </w:t>
      </w:r>
      <w:proofErr w:type="spellStart"/>
      <w:r w:rsidRPr="00701BFD">
        <w:rPr>
          <w:rFonts w:asciiTheme="majorBidi" w:hAnsiTheme="majorBidi" w:cstheme="majorBidi"/>
          <w:sz w:val="24"/>
          <w:szCs w:val="24"/>
        </w:rPr>
        <w:t>thermosensitivity</w:t>
      </w:r>
      <w:proofErr w:type="spellEnd"/>
      <w:r w:rsidRPr="00701BFD">
        <w:rPr>
          <w:rFonts w:asciiTheme="majorBidi" w:hAnsiTheme="majorBidi" w:cstheme="majorBidi"/>
          <w:sz w:val="24"/>
          <w:szCs w:val="24"/>
        </w:rPr>
        <w:t xml:space="preserve"> in natural polymer matrices.</w:t>
      </w:r>
    </w:p>
    <w:p w14:paraId="69CD0549"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Variation of functional groups is another recurring theme in polymer property modulation. Danko et al. (2019) examined the interaction of </w:t>
      </w:r>
      <w:proofErr w:type="spellStart"/>
      <w:r w:rsidRPr="00701BFD">
        <w:rPr>
          <w:rFonts w:asciiTheme="majorBidi" w:hAnsiTheme="majorBidi" w:cstheme="majorBidi"/>
          <w:sz w:val="24"/>
          <w:szCs w:val="24"/>
        </w:rPr>
        <w:t>sulfobetaines</w:t>
      </w:r>
      <w:proofErr w:type="spellEnd"/>
      <w:r w:rsidRPr="00701BFD">
        <w:rPr>
          <w:rFonts w:asciiTheme="majorBidi" w:hAnsiTheme="majorBidi" w:cstheme="majorBidi"/>
          <w:sz w:val="24"/>
          <w:szCs w:val="24"/>
        </w:rPr>
        <w:t xml:space="preserve">' and </w:t>
      </w:r>
      <w:proofErr w:type="spellStart"/>
      <w:r w:rsidRPr="00701BFD">
        <w:rPr>
          <w:rFonts w:asciiTheme="majorBidi" w:hAnsiTheme="majorBidi" w:cstheme="majorBidi"/>
          <w:sz w:val="24"/>
          <w:szCs w:val="24"/>
        </w:rPr>
        <w:t>carboxybetaines</w:t>
      </w:r>
      <w:proofErr w:type="spellEnd"/>
      <w:r w:rsidRPr="00701BFD">
        <w:rPr>
          <w:rFonts w:asciiTheme="majorBidi" w:hAnsiTheme="majorBidi" w:cstheme="majorBidi"/>
          <w:sz w:val="24"/>
          <w:szCs w:val="24"/>
        </w:rPr>
        <w:t xml:space="preserve">' in modulating ion- and </w:t>
      </w:r>
      <w:proofErr w:type="spellStart"/>
      <w:r w:rsidRPr="00701BFD">
        <w:rPr>
          <w:rFonts w:asciiTheme="majorBidi" w:hAnsiTheme="majorBidi" w:cstheme="majorBidi"/>
          <w:sz w:val="24"/>
          <w:szCs w:val="24"/>
        </w:rPr>
        <w:t>thermoresponsivity</w:t>
      </w:r>
      <w:proofErr w:type="spellEnd"/>
      <w:r w:rsidRPr="00701BFD">
        <w:rPr>
          <w:rFonts w:asciiTheme="majorBidi" w:hAnsiTheme="majorBidi" w:cstheme="majorBidi"/>
          <w:sz w:val="24"/>
          <w:szCs w:val="24"/>
        </w:rPr>
        <w:t xml:space="preserve">, while Woodfield et al. (2014) and </w:t>
      </w:r>
      <w:proofErr w:type="spellStart"/>
      <w:r w:rsidRPr="00701BFD">
        <w:rPr>
          <w:rFonts w:asciiTheme="majorBidi" w:hAnsiTheme="majorBidi" w:cstheme="majorBidi"/>
          <w:sz w:val="24"/>
          <w:szCs w:val="24"/>
        </w:rPr>
        <w:t>Lewoczko</w:t>
      </w:r>
      <w:proofErr w:type="spellEnd"/>
      <w:r w:rsidRPr="00701BFD">
        <w:rPr>
          <w:rFonts w:asciiTheme="majorBidi" w:hAnsiTheme="majorBidi" w:cstheme="majorBidi"/>
          <w:sz w:val="24"/>
          <w:szCs w:val="24"/>
        </w:rPr>
        <w:t xml:space="preserve"> et al. (2021) examined the effect of post-polymerization modifications and N-substituent variation on aqueous phase </w:t>
      </w:r>
      <w:proofErr w:type="spellStart"/>
      <w:r w:rsidRPr="00701BFD">
        <w:rPr>
          <w:rFonts w:asciiTheme="majorBidi" w:hAnsiTheme="majorBidi" w:cstheme="majorBidi"/>
          <w:sz w:val="24"/>
          <w:szCs w:val="24"/>
        </w:rPr>
        <w:t>behavior</w:t>
      </w:r>
      <w:proofErr w:type="spellEnd"/>
      <w:r w:rsidRPr="00701BFD">
        <w:rPr>
          <w:rFonts w:asciiTheme="majorBidi" w:hAnsiTheme="majorBidi" w:cstheme="majorBidi"/>
          <w:sz w:val="24"/>
          <w:szCs w:val="24"/>
        </w:rPr>
        <w:t xml:space="preserve"> for </w:t>
      </w:r>
      <w:proofErr w:type="spellStart"/>
      <w:r w:rsidRPr="00701BFD">
        <w:rPr>
          <w:rFonts w:asciiTheme="majorBidi" w:hAnsiTheme="majorBidi" w:cstheme="majorBidi"/>
          <w:sz w:val="24"/>
          <w:szCs w:val="24"/>
        </w:rPr>
        <w:t>sulfobetaine</w:t>
      </w:r>
      <w:proofErr w:type="spellEnd"/>
      <w:r w:rsidRPr="00701BFD">
        <w:rPr>
          <w:rFonts w:asciiTheme="majorBidi" w:hAnsiTheme="majorBidi" w:cstheme="majorBidi"/>
          <w:sz w:val="24"/>
          <w:szCs w:val="24"/>
        </w:rPr>
        <w:t xml:space="preserve"> copolymers.</w:t>
      </w:r>
    </w:p>
    <w:p w14:paraId="7950A6BF"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N-isopropylacrylamide (PNIPAM) polymers remain in the focus of </w:t>
      </w:r>
      <w:proofErr w:type="spellStart"/>
      <w:r w:rsidRPr="00701BFD">
        <w:rPr>
          <w:rFonts w:asciiTheme="majorBidi" w:hAnsiTheme="majorBidi" w:cstheme="majorBidi"/>
          <w:sz w:val="24"/>
          <w:szCs w:val="24"/>
        </w:rPr>
        <w:t>thermoresponsive</w:t>
      </w:r>
      <w:proofErr w:type="spellEnd"/>
      <w:r w:rsidRPr="00701BFD">
        <w:rPr>
          <w:rFonts w:asciiTheme="majorBidi" w:hAnsiTheme="majorBidi" w:cstheme="majorBidi"/>
          <w:sz w:val="24"/>
          <w:szCs w:val="24"/>
        </w:rPr>
        <w:t xml:space="preserve"> research. Chen et al. (2015), for example, prepared four-arm star-shaped PNIPAMs and investigated their LCST tunability. Polyacrylamides were studied by </w:t>
      </w:r>
      <w:proofErr w:type="spellStart"/>
      <w:r w:rsidRPr="00701BFD">
        <w:rPr>
          <w:rFonts w:asciiTheme="majorBidi" w:hAnsiTheme="majorBidi" w:cstheme="majorBidi"/>
          <w:sz w:val="24"/>
          <w:szCs w:val="24"/>
        </w:rPr>
        <w:t>Kolouchova</w:t>
      </w:r>
      <w:proofErr w:type="spellEnd"/>
      <w:r w:rsidRPr="00701BFD">
        <w:rPr>
          <w:rFonts w:asciiTheme="majorBidi" w:hAnsiTheme="majorBidi" w:cstheme="majorBidi"/>
          <w:sz w:val="24"/>
          <w:szCs w:val="24"/>
        </w:rPr>
        <w:t xml:space="preserve"> et al. (2021) under physiological conditions, and their study is particularly relevant to biomedical applications. </w:t>
      </w:r>
      <w:proofErr w:type="spellStart"/>
      <w:r w:rsidRPr="00701BFD">
        <w:rPr>
          <w:rFonts w:asciiTheme="majorBidi" w:hAnsiTheme="majorBidi" w:cstheme="majorBidi"/>
          <w:sz w:val="24"/>
          <w:szCs w:val="24"/>
        </w:rPr>
        <w:t>Photoresponsive</w:t>
      </w:r>
      <w:proofErr w:type="spellEnd"/>
      <w:r w:rsidRPr="00701BFD">
        <w:rPr>
          <w:rFonts w:asciiTheme="majorBidi" w:hAnsiTheme="majorBidi" w:cstheme="majorBidi"/>
          <w:sz w:val="24"/>
          <w:szCs w:val="24"/>
        </w:rPr>
        <w:t xml:space="preserve"> </w:t>
      </w:r>
      <w:proofErr w:type="spellStart"/>
      <w:r w:rsidRPr="00701BFD">
        <w:rPr>
          <w:rFonts w:asciiTheme="majorBidi" w:hAnsiTheme="majorBidi" w:cstheme="majorBidi"/>
          <w:sz w:val="24"/>
          <w:szCs w:val="24"/>
        </w:rPr>
        <w:t>behaviors</w:t>
      </w:r>
      <w:proofErr w:type="spellEnd"/>
      <w:r w:rsidRPr="00701BFD">
        <w:rPr>
          <w:rFonts w:asciiTheme="majorBidi" w:hAnsiTheme="majorBidi" w:cstheme="majorBidi"/>
          <w:sz w:val="24"/>
          <w:szCs w:val="24"/>
        </w:rPr>
        <w:t xml:space="preserve"> were introduced to PNIPAMs by Suzuki et al. (2004), and reversible Pb²⁺ complexation was realized through </w:t>
      </w:r>
      <w:proofErr w:type="spellStart"/>
      <w:r w:rsidRPr="00701BFD">
        <w:rPr>
          <w:rFonts w:asciiTheme="majorBidi" w:hAnsiTheme="majorBidi" w:cstheme="majorBidi"/>
          <w:sz w:val="24"/>
          <w:szCs w:val="24"/>
        </w:rPr>
        <w:t>spiropyran</w:t>
      </w:r>
      <w:proofErr w:type="spellEnd"/>
      <w:r w:rsidRPr="00701BFD">
        <w:rPr>
          <w:rFonts w:asciiTheme="majorBidi" w:hAnsiTheme="majorBidi" w:cstheme="majorBidi"/>
          <w:sz w:val="24"/>
          <w:szCs w:val="24"/>
        </w:rPr>
        <w:t>-functionalized PNIPAMs.</w:t>
      </w:r>
    </w:p>
    <w:p w14:paraId="2619D670"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Surface interactions and hydrating dynamics are also comprehensively described. Beattie et al. (2014) employed in situ ATR FTIR spectroscopy to monitor adsorption of PNIPAM onto talc, and Futscher et al. (2017) contrasted the PNIPAM and monomer hydration </w:t>
      </w:r>
      <w:proofErr w:type="spellStart"/>
      <w:r w:rsidRPr="00701BFD">
        <w:rPr>
          <w:rFonts w:asciiTheme="majorBidi" w:hAnsiTheme="majorBidi" w:cstheme="majorBidi"/>
          <w:sz w:val="24"/>
          <w:szCs w:val="24"/>
        </w:rPr>
        <w:t>behavior</w:t>
      </w:r>
      <w:proofErr w:type="spellEnd"/>
      <w:r w:rsidRPr="00701BFD">
        <w:rPr>
          <w:rFonts w:asciiTheme="majorBidi" w:hAnsiTheme="majorBidi" w:cstheme="majorBidi"/>
          <w:sz w:val="24"/>
          <w:szCs w:val="24"/>
        </w:rPr>
        <w:t xml:space="preserve"> by volume phase transition. Cui et al. (2014) emphasized that multi-hydrogen bonding played a key role in stabilizing supramolecular thermosensitive systems, demonstrating mechanisms for enhanced stability.</w:t>
      </w:r>
    </w:p>
    <w:p w14:paraId="484453A4"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LCST modulation through structural adjustment has also been explored by Penas et al. (2019) and pendant group tuning by Swanson et al. (2017) in the case of polyesters. Novel polymers such as the </w:t>
      </w:r>
      <w:proofErr w:type="gramStart"/>
      <w:r w:rsidRPr="00701BFD">
        <w:rPr>
          <w:rFonts w:asciiTheme="majorBidi" w:hAnsiTheme="majorBidi" w:cstheme="majorBidi"/>
          <w:sz w:val="24"/>
          <w:szCs w:val="24"/>
        </w:rPr>
        <w:t>poly(</w:t>
      </w:r>
      <w:proofErr w:type="gramEnd"/>
      <w:r w:rsidRPr="00701BFD">
        <w:rPr>
          <w:rFonts w:asciiTheme="majorBidi" w:hAnsiTheme="majorBidi" w:cstheme="majorBidi"/>
          <w:sz w:val="24"/>
          <w:szCs w:val="24"/>
        </w:rPr>
        <w:t>N-</w:t>
      </w:r>
      <w:proofErr w:type="spellStart"/>
      <w:r w:rsidRPr="00701BFD">
        <w:rPr>
          <w:rFonts w:asciiTheme="majorBidi" w:hAnsiTheme="majorBidi" w:cstheme="majorBidi"/>
          <w:sz w:val="24"/>
          <w:szCs w:val="24"/>
        </w:rPr>
        <w:t>acryloylsarcosine</w:t>
      </w:r>
      <w:proofErr w:type="spellEnd"/>
      <w:r w:rsidRPr="00701BFD">
        <w:rPr>
          <w:rFonts w:asciiTheme="majorBidi" w:hAnsiTheme="majorBidi" w:cstheme="majorBidi"/>
          <w:sz w:val="24"/>
          <w:szCs w:val="24"/>
        </w:rPr>
        <w:t xml:space="preserve"> methyl ester) temperature </w:t>
      </w:r>
      <w:proofErr w:type="spellStart"/>
      <w:r w:rsidRPr="00701BFD">
        <w:rPr>
          <w:rFonts w:asciiTheme="majorBidi" w:hAnsiTheme="majorBidi" w:cstheme="majorBidi"/>
          <w:sz w:val="24"/>
          <w:szCs w:val="24"/>
        </w:rPr>
        <w:t>tunable</w:t>
      </w:r>
      <w:proofErr w:type="spellEnd"/>
      <w:r w:rsidRPr="00701BFD">
        <w:rPr>
          <w:rFonts w:asciiTheme="majorBidi" w:hAnsiTheme="majorBidi" w:cstheme="majorBidi"/>
          <w:sz w:val="24"/>
          <w:szCs w:val="24"/>
        </w:rPr>
        <w:t xml:space="preserve"> LCST (Chen et al., 2017) and hyper-branched polyampholyte (Tong et al., 2016) exhibited further breadth to the field.</w:t>
      </w:r>
    </w:p>
    <w:p w14:paraId="004982F7"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Systems have been reported to be dual-responsive in some work. Temperature- and molecular recognition-responsiveness were given examples by Dong et al. (2018) and reversible CO₂-cleavable </w:t>
      </w:r>
      <w:proofErr w:type="spellStart"/>
      <w:r w:rsidRPr="00701BFD">
        <w:rPr>
          <w:rFonts w:asciiTheme="majorBidi" w:hAnsiTheme="majorBidi" w:cstheme="majorBidi"/>
          <w:sz w:val="24"/>
          <w:szCs w:val="24"/>
        </w:rPr>
        <w:t>iminoboronate</w:t>
      </w:r>
      <w:proofErr w:type="spellEnd"/>
      <w:r w:rsidRPr="00701BFD">
        <w:rPr>
          <w:rFonts w:asciiTheme="majorBidi" w:hAnsiTheme="majorBidi" w:cstheme="majorBidi"/>
          <w:sz w:val="24"/>
          <w:szCs w:val="24"/>
        </w:rPr>
        <w:t xml:space="preserve"> moieties employed in hyperbranched </w:t>
      </w:r>
      <w:proofErr w:type="gramStart"/>
      <w:r w:rsidRPr="00701BFD">
        <w:rPr>
          <w:rFonts w:asciiTheme="majorBidi" w:hAnsiTheme="majorBidi" w:cstheme="majorBidi"/>
          <w:sz w:val="24"/>
          <w:szCs w:val="24"/>
        </w:rPr>
        <w:t>poly(oligo(</w:t>
      </w:r>
      <w:proofErr w:type="gramEnd"/>
      <w:r w:rsidRPr="00701BFD">
        <w:rPr>
          <w:rFonts w:asciiTheme="majorBidi" w:hAnsiTheme="majorBidi" w:cstheme="majorBidi"/>
          <w:sz w:val="24"/>
          <w:szCs w:val="24"/>
        </w:rPr>
        <w:t>ethylene glycol)) backbones by Yu et al. (2018). Thermosensitive micelles had a central role in research by Topp et al. (1997), Pelletier et al. (2008), and Xu et al. (2007), with gold nanoparticle surface decoration also included.</w:t>
      </w:r>
    </w:p>
    <w:p w14:paraId="1F31DCAE"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Polymer-protein conjugates (Huynh et al., 2021), phase </w:t>
      </w:r>
      <w:proofErr w:type="spellStart"/>
      <w:r w:rsidRPr="00701BFD">
        <w:rPr>
          <w:rFonts w:asciiTheme="majorBidi" w:hAnsiTheme="majorBidi" w:cstheme="majorBidi"/>
          <w:sz w:val="24"/>
          <w:szCs w:val="24"/>
        </w:rPr>
        <w:t>behavior</w:t>
      </w:r>
      <w:proofErr w:type="spellEnd"/>
      <w:r w:rsidRPr="00701BFD">
        <w:rPr>
          <w:rFonts w:asciiTheme="majorBidi" w:hAnsiTheme="majorBidi" w:cstheme="majorBidi"/>
          <w:sz w:val="24"/>
          <w:szCs w:val="24"/>
        </w:rPr>
        <w:t xml:space="preserve"> of block copolymers (</w:t>
      </w:r>
      <w:proofErr w:type="spellStart"/>
      <w:r w:rsidRPr="00701BFD">
        <w:rPr>
          <w:rFonts w:asciiTheme="majorBidi" w:hAnsiTheme="majorBidi" w:cstheme="majorBidi"/>
          <w:sz w:val="24"/>
          <w:szCs w:val="24"/>
        </w:rPr>
        <w:t>Karesoja</w:t>
      </w:r>
      <w:proofErr w:type="spellEnd"/>
      <w:r w:rsidRPr="00701BFD">
        <w:rPr>
          <w:rFonts w:asciiTheme="majorBidi" w:hAnsiTheme="majorBidi" w:cstheme="majorBidi"/>
          <w:sz w:val="24"/>
          <w:szCs w:val="24"/>
        </w:rPr>
        <w:t xml:space="preserve"> et al., 2014), and biological utility of poly-N-</w:t>
      </w:r>
      <w:proofErr w:type="spellStart"/>
      <w:r w:rsidRPr="00701BFD">
        <w:rPr>
          <w:rFonts w:asciiTheme="majorBidi" w:hAnsiTheme="majorBidi" w:cstheme="majorBidi"/>
          <w:sz w:val="24"/>
          <w:szCs w:val="24"/>
        </w:rPr>
        <w:t>vinylcaprolactam</w:t>
      </w:r>
      <w:proofErr w:type="spellEnd"/>
      <w:r w:rsidRPr="00701BFD">
        <w:rPr>
          <w:rFonts w:asciiTheme="majorBidi" w:hAnsiTheme="majorBidi" w:cstheme="majorBidi"/>
          <w:sz w:val="24"/>
          <w:szCs w:val="24"/>
        </w:rPr>
        <w:t xml:space="preserve"> (Marsili et al., 2021) rounded out the biomedical set. Finally, advances in polyether synthesis and properties by </w:t>
      </w:r>
      <w:proofErr w:type="spellStart"/>
      <w:r w:rsidRPr="00701BFD">
        <w:rPr>
          <w:rFonts w:asciiTheme="majorBidi" w:hAnsiTheme="majorBidi" w:cstheme="majorBidi"/>
          <w:sz w:val="24"/>
          <w:szCs w:val="24"/>
        </w:rPr>
        <w:lastRenderedPageBreak/>
        <w:t>Kehrle</w:t>
      </w:r>
      <w:proofErr w:type="spellEnd"/>
      <w:r w:rsidRPr="00701BFD">
        <w:rPr>
          <w:rFonts w:asciiTheme="majorBidi" w:hAnsiTheme="majorBidi" w:cstheme="majorBidi"/>
          <w:sz w:val="24"/>
          <w:szCs w:val="24"/>
        </w:rPr>
        <w:t xml:space="preserve"> et al. (2014), Aoki et al. (2002), and Muller et al. (2017), showed the broadening potential of glycidyl ether materials. Their copolymerization with ethylene oxide (Isono et al., 2017) and living polymerization methods (Moers et al., 2014) provided accuracy tools for the design of </w:t>
      </w:r>
      <w:proofErr w:type="spellStart"/>
      <w:r w:rsidRPr="00701BFD">
        <w:rPr>
          <w:rFonts w:asciiTheme="majorBidi" w:hAnsiTheme="majorBidi" w:cstheme="majorBidi"/>
          <w:sz w:val="24"/>
          <w:szCs w:val="24"/>
        </w:rPr>
        <w:t>thermoresponsive</w:t>
      </w:r>
      <w:proofErr w:type="spellEnd"/>
      <w:r w:rsidRPr="00701BFD">
        <w:rPr>
          <w:rFonts w:asciiTheme="majorBidi" w:hAnsiTheme="majorBidi" w:cstheme="majorBidi"/>
          <w:sz w:val="24"/>
          <w:szCs w:val="24"/>
        </w:rPr>
        <w:t xml:space="preserve"> </w:t>
      </w:r>
      <w:proofErr w:type="spellStart"/>
      <w:r w:rsidRPr="00701BFD">
        <w:rPr>
          <w:rFonts w:asciiTheme="majorBidi" w:hAnsiTheme="majorBidi" w:cstheme="majorBidi"/>
          <w:sz w:val="24"/>
          <w:szCs w:val="24"/>
        </w:rPr>
        <w:t>behavior</w:t>
      </w:r>
      <w:proofErr w:type="spellEnd"/>
      <w:r w:rsidRPr="00701BFD">
        <w:rPr>
          <w:rFonts w:asciiTheme="majorBidi" w:hAnsiTheme="majorBidi" w:cstheme="majorBidi"/>
          <w:sz w:val="24"/>
          <w:szCs w:val="24"/>
        </w:rPr>
        <w:t>.</w:t>
      </w:r>
    </w:p>
    <w:p w14:paraId="56EBB35D" w14:textId="77777777" w:rsidR="001569C7" w:rsidRPr="00701BFD" w:rsidRDefault="001569C7" w:rsidP="00701BFD">
      <w:pPr>
        <w:jc w:val="both"/>
        <w:rPr>
          <w:rFonts w:asciiTheme="majorBidi" w:hAnsiTheme="majorBidi" w:cstheme="majorBidi"/>
          <w:sz w:val="24"/>
          <w:szCs w:val="24"/>
          <w:rtl/>
        </w:rPr>
      </w:pPr>
      <w:r w:rsidRPr="00701BFD">
        <w:rPr>
          <w:rFonts w:asciiTheme="majorBidi" w:hAnsiTheme="majorBidi" w:cstheme="majorBidi"/>
          <w:sz w:val="24"/>
          <w:szCs w:val="24"/>
        </w:rPr>
        <w:t xml:space="preserve">Hybrid and hydrogel systems also have their share of proportion. Double-responsive terpolymers in smart hydrogels were discussed by Reinicke et al. (2009), while Weinhart et al. (2011) published work on switchable, biocompatible glycerol copolymer-based surfaces. These works established the role of </w:t>
      </w:r>
      <w:proofErr w:type="spellStart"/>
      <w:r w:rsidRPr="00701BFD">
        <w:rPr>
          <w:rFonts w:asciiTheme="majorBidi" w:hAnsiTheme="majorBidi" w:cstheme="majorBidi"/>
          <w:sz w:val="24"/>
          <w:szCs w:val="24"/>
        </w:rPr>
        <w:t>thermoresponsive</w:t>
      </w:r>
      <w:proofErr w:type="spellEnd"/>
      <w:r w:rsidRPr="00701BFD">
        <w:rPr>
          <w:rFonts w:asciiTheme="majorBidi" w:hAnsiTheme="majorBidi" w:cstheme="majorBidi"/>
          <w:sz w:val="24"/>
          <w:szCs w:val="24"/>
        </w:rPr>
        <w:t xml:space="preserve"> materials in cutting-edge material science, biotechnology, and responsive surface technology.</w:t>
      </w:r>
    </w:p>
    <w:p w14:paraId="2B4CC8D5"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By adjusting these parameters, researchers can design the molecular structure and functional properties of glycidyl ethers to match their use in coatings, adhesives, and composites.</w:t>
      </w:r>
    </w:p>
    <w:p w14:paraId="3BC1693F"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3.4 Uses of bio-based polyols in polyurethanes</w:t>
      </w:r>
    </w:p>
    <w:p w14:paraId="05EF75E0"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The synthesis of bio-based polyols, particularly epoxidized vegetable oils, has enabled the green synthesis of polyurethanes. The materials have wider </w:t>
      </w:r>
      <w:proofErr w:type="gramStart"/>
      <w:r w:rsidRPr="00701BFD">
        <w:rPr>
          <w:rFonts w:asciiTheme="majorBidi" w:hAnsiTheme="majorBidi" w:cstheme="majorBidi"/>
          <w:sz w:val="24"/>
          <w:szCs w:val="24"/>
        </w:rPr>
        <w:t>uses</w:t>
      </w:r>
      <w:proofErr w:type="gramEnd"/>
      <w:r w:rsidRPr="00701BFD">
        <w:rPr>
          <w:rFonts w:asciiTheme="majorBidi" w:hAnsiTheme="majorBidi" w:cstheme="majorBidi"/>
          <w:sz w:val="24"/>
          <w:szCs w:val="24"/>
        </w:rPr>
        <w:t xml:space="preserve"> across different industries due to their green nature and improved properties. Pfister et al. (2011) and Yan et al. (2021) conducted studies on the synthesis of polyurethanes from vegetable oils and the mechanisms involved in the epoxide ring-opening reactions. The polyurethanes exhibit enhanced thermal stability, mechanical strength, and chemical attack resistance and are employed in a wide range of products from coatings and foams to composite materials.</w:t>
      </w:r>
    </w:p>
    <w:p w14:paraId="4E89B9A3"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Additionally, application of epoxidized oils in polyurethane manufacturing is, in a study by Campanella et al. (2009), an innovation enhancing the quality of materials and also sustainability by minimizing dependence on petrochemical raw materials. Application of bio-based polyols not only enhances the ecological performance of polyurethane products but also expands market opportunities for producing high-performance products consistent with the principle of global sustainability.</w:t>
      </w:r>
    </w:p>
    <w:p w14:paraId="14A382F3"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As the need for green materials keeps on increasing, use of vegetable oil-based polyols in polyurethane applications will be an essential aspect of encouraging greener chemistry and greener manufacturing processes.</w:t>
      </w:r>
    </w:p>
    <w:p w14:paraId="5FE36ADC"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More and more literature focuses on the synthesis, characterization, and application of </w:t>
      </w:r>
      <w:proofErr w:type="spellStart"/>
      <w:r w:rsidRPr="00701BFD">
        <w:rPr>
          <w:rFonts w:asciiTheme="majorBidi" w:hAnsiTheme="majorBidi" w:cstheme="majorBidi"/>
          <w:sz w:val="24"/>
          <w:szCs w:val="24"/>
        </w:rPr>
        <w:t>thermoresponsive</w:t>
      </w:r>
      <w:proofErr w:type="spellEnd"/>
      <w:r w:rsidRPr="00701BFD">
        <w:rPr>
          <w:rFonts w:asciiTheme="majorBidi" w:hAnsiTheme="majorBidi" w:cstheme="majorBidi"/>
          <w:sz w:val="24"/>
          <w:szCs w:val="24"/>
        </w:rPr>
        <w:t xml:space="preserve"> polymers, especially with lower or upper critical solution temperatures (LCST/UCST). Xu et al. (2019) demonstrated how a highly extensive LCST depression can convert a non-thermosensitive polymer to a thermosensitive one, emphasizing the ability of molecular design in triggering phase transitions. Similarly, Weber et al. (2012) gave a detailed overview of temperature-sensitive biocompatible polymers derived from </w:t>
      </w:r>
      <w:proofErr w:type="gramStart"/>
      <w:r w:rsidRPr="00701BFD">
        <w:rPr>
          <w:rFonts w:asciiTheme="majorBidi" w:hAnsiTheme="majorBidi" w:cstheme="majorBidi"/>
          <w:sz w:val="24"/>
          <w:szCs w:val="24"/>
        </w:rPr>
        <w:t>poly(</w:t>
      </w:r>
      <w:proofErr w:type="gramEnd"/>
      <w:r w:rsidRPr="00701BFD">
        <w:rPr>
          <w:rFonts w:asciiTheme="majorBidi" w:hAnsiTheme="majorBidi" w:cstheme="majorBidi"/>
          <w:sz w:val="24"/>
          <w:szCs w:val="24"/>
        </w:rPr>
        <w:t>ethylene oxide) and poly(2-oxazoline), emphasizing their potential uses in biomedical applications.</w:t>
      </w:r>
    </w:p>
    <w:p w14:paraId="328757CF"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An earlier work by </w:t>
      </w:r>
      <w:proofErr w:type="spellStart"/>
      <w:r w:rsidRPr="00701BFD">
        <w:rPr>
          <w:rFonts w:asciiTheme="majorBidi" w:hAnsiTheme="majorBidi" w:cstheme="majorBidi"/>
          <w:sz w:val="24"/>
          <w:szCs w:val="24"/>
        </w:rPr>
        <w:t>Hodorog</w:t>
      </w:r>
      <w:proofErr w:type="spellEnd"/>
      <w:r w:rsidRPr="00701BFD">
        <w:rPr>
          <w:rFonts w:asciiTheme="majorBidi" w:hAnsiTheme="majorBidi" w:cstheme="majorBidi"/>
          <w:sz w:val="24"/>
          <w:szCs w:val="24"/>
        </w:rPr>
        <w:t xml:space="preserve"> et al. (2012), which was on </w:t>
      </w:r>
      <w:proofErr w:type="gramStart"/>
      <w:r w:rsidRPr="00701BFD">
        <w:rPr>
          <w:rFonts w:asciiTheme="majorBidi" w:hAnsiTheme="majorBidi" w:cstheme="majorBidi"/>
          <w:sz w:val="24"/>
          <w:szCs w:val="24"/>
        </w:rPr>
        <w:t>poly(</w:t>
      </w:r>
      <w:proofErr w:type="gramEnd"/>
      <w:r w:rsidRPr="00701BFD">
        <w:rPr>
          <w:rFonts w:asciiTheme="majorBidi" w:hAnsiTheme="majorBidi" w:cstheme="majorBidi"/>
          <w:sz w:val="24"/>
          <w:szCs w:val="24"/>
        </w:rPr>
        <w:t>dimethyl acrylamide) end-grafted polysiloxanes and examined their structural characteristics pertinent to their thermo-responsiveness. Hu and Liu (2010) extended this to the application scenario, outlining the ways in which responsive polymers can be applied in detection and sensing applications. Thereafter, Smith et al. (2010) employed Reversible Addition-Fragmentation Chain Transfer (RAFT) polymerization as a synthesis route for stimuli-responsive amphiphilic copolymers that proved to have synthetic versatility via the use of controlled radical polymerization techniques.</w:t>
      </w:r>
    </w:p>
    <w:p w14:paraId="0D406A88"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lastRenderedPageBreak/>
        <w:t xml:space="preserve">Polyether systems were also disclosed. Labbe et al. (2007) explored controlled polymerization of glycidyl methyl ether and Lee et al. (2011) described non-polymeric thermosensitive benzene </w:t>
      </w:r>
      <w:proofErr w:type="spellStart"/>
      <w:r w:rsidRPr="00701BFD">
        <w:rPr>
          <w:rFonts w:asciiTheme="majorBidi" w:hAnsiTheme="majorBidi" w:cstheme="majorBidi"/>
          <w:sz w:val="24"/>
          <w:szCs w:val="24"/>
        </w:rPr>
        <w:t>tricarboxamides</w:t>
      </w:r>
      <w:proofErr w:type="spellEnd"/>
      <w:r w:rsidRPr="00701BFD">
        <w:rPr>
          <w:rFonts w:asciiTheme="majorBidi" w:hAnsiTheme="majorBidi" w:cstheme="majorBidi"/>
          <w:sz w:val="24"/>
          <w:szCs w:val="24"/>
        </w:rPr>
        <w:t xml:space="preserve">, which gave a small-molecule aspect to the work. </w:t>
      </w:r>
      <w:proofErr w:type="spellStart"/>
      <w:r w:rsidRPr="00701BFD">
        <w:rPr>
          <w:rFonts w:asciiTheme="majorBidi" w:hAnsiTheme="majorBidi" w:cstheme="majorBidi"/>
          <w:sz w:val="24"/>
          <w:szCs w:val="24"/>
        </w:rPr>
        <w:t>Ifuku</w:t>
      </w:r>
      <w:proofErr w:type="spellEnd"/>
      <w:r w:rsidRPr="00701BFD">
        <w:rPr>
          <w:rFonts w:asciiTheme="majorBidi" w:hAnsiTheme="majorBidi" w:cstheme="majorBidi"/>
          <w:sz w:val="24"/>
          <w:szCs w:val="24"/>
        </w:rPr>
        <w:t xml:space="preserve"> and Kadla (2008) synthesized a cellulose/N-isopropylacrylamide copolymer with both regioselectivity and </w:t>
      </w:r>
      <w:proofErr w:type="spellStart"/>
      <w:r w:rsidRPr="00701BFD">
        <w:rPr>
          <w:rFonts w:asciiTheme="majorBidi" w:hAnsiTheme="majorBidi" w:cstheme="majorBidi"/>
          <w:sz w:val="24"/>
          <w:szCs w:val="24"/>
        </w:rPr>
        <w:t>thermosensitivity</w:t>
      </w:r>
      <w:proofErr w:type="spellEnd"/>
      <w:r w:rsidRPr="00701BFD">
        <w:rPr>
          <w:rFonts w:asciiTheme="majorBidi" w:hAnsiTheme="majorBidi" w:cstheme="majorBidi"/>
          <w:sz w:val="24"/>
          <w:szCs w:val="24"/>
        </w:rPr>
        <w:t xml:space="preserve"> in natural polymer matrices.</w:t>
      </w:r>
    </w:p>
    <w:p w14:paraId="7B439E12"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Variation of functional groups is another recurring theme in polymer property modulation. Danko et al. (2019) examined the interaction of </w:t>
      </w:r>
      <w:proofErr w:type="spellStart"/>
      <w:r w:rsidRPr="00701BFD">
        <w:rPr>
          <w:rFonts w:asciiTheme="majorBidi" w:hAnsiTheme="majorBidi" w:cstheme="majorBidi"/>
          <w:sz w:val="24"/>
          <w:szCs w:val="24"/>
        </w:rPr>
        <w:t>sulfobetaines</w:t>
      </w:r>
      <w:proofErr w:type="spellEnd"/>
      <w:r w:rsidRPr="00701BFD">
        <w:rPr>
          <w:rFonts w:asciiTheme="majorBidi" w:hAnsiTheme="majorBidi" w:cstheme="majorBidi"/>
          <w:sz w:val="24"/>
          <w:szCs w:val="24"/>
        </w:rPr>
        <w:t xml:space="preserve">' and </w:t>
      </w:r>
      <w:proofErr w:type="spellStart"/>
      <w:r w:rsidRPr="00701BFD">
        <w:rPr>
          <w:rFonts w:asciiTheme="majorBidi" w:hAnsiTheme="majorBidi" w:cstheme="majorBidi"/>
          <w:sz w:val="24"/>
          <w:szCs w:val="24"/>
        </w:rPr>
        <w:t>carboxybetaines</w:t>
      </w:r>
      <w:proofErr w:type="spellEnd"/>
      <w:r w:rsidRPr="00701BFD">
        <w:rPr>
          <w:rFonts w:asciiTheme="majorBidi" w:hAnsiTheme="majorBidi" w:cstheme="majorBidi"/>
          <w:sz w:val="24"/>
          <w:szCs w:val="24"/>
        </w:rPr>
        <w:t xml:space="preserve">' in modulating ion- and </w:t>
      </w:r>
      <w:proofErr w:type="spellStart"/>
      <w:r w:rsidRPr="00701BFD">
        <w:rPr>
          <w:rFonts w:asciiTheme="majorBidi" w:hAnsiTheme="majorBidi" w:cstheme="majorBidi"/>
          <w:sz w:val="24"/>
          <w:szCs w:val="24"/>
        </w:rPr>
        <w:t>thermoresponsivity</w:t>
      </w:r>
      <w:proofErr w:type="spellEnd"/>
      <w:r w:rsidRPr="00701BFD">
        <w:rPr>
          <w:rFonts w:asciiTheme="majorBidi" w:hAnsiTheme="majorBidi" w:cstheme="majorBidi"/>
          <w:sz w:val="24"/>
          <w:szCs w:val="24"/>
        </w:rPr>
        <w:t xml:space="preserve">, while Woodfield et al. (2014) and </w:t>
      </w:r>
      <w:proofErr w:type="spellStart"/>
      <w:r w:rsidRPr="00701BFD">
        <w:rPr>
          <w:rFonts w:asciiTheme="majorBidi" w:hAnsiTheme="majorBidi" w:cstheme="majorBidi"/>
          <w:sz w:val="24"/>
          <w:szCs w:val="24"/>
        </w:rPr>
        <w:t>Lewoczko</w:t>
      </w:r>
      <w:proofErr w:type="spellEnd"/>
      <w:r w:rsidRPr="00701BFD">
        <w:rPr>
          <w:rFonts w:asciiTheme="majorBidi" w:hAnsiTheme="majorBidi" w:cstheme="majorBidi"/>
          <w:sz w:val="24"/>
          <w:szCs w:val="24"/>
        </w:rPr>
        <w:t xml:space="preserve"> et al. (2021) examined the effect of post-polymerization modifications and N-substituent variation on aqueous phase </w:t>
      </w:r>
      <w:proofErr w:type="spellStart"/>
      <w:r w:rsidRPr="00701BFD">
        <w:rPr>
          <w:rFonts w:asciiTheme="majorBidi" w:hAnsiTheme="majorBidi" w:cstheme="majorBidi"/>
          <w:sz w:val="24"/>
          <w:szCs w:val="24"/>
        </w:rPr>
        <w:t>behavior</w:t>
      </w:r>
      <w:proofErr w:type="spellEnd"/>
      <w:r w:rsidRPr="00701BFD">
        <w:rPr>
          <w:rFonts w:asciiTheme="majorBidi" w:hAnsiTheme="majorBidi" w:cstheme="majorBidi"/>
          <w:sz w:val="24"/>
          <w:szCs w:val="24"/>
        </w:rPr>
        <w:t xml:space="preserve"> for </w:t>
      </w:r>
      <w:proofErr w:type="spellStart"/>
      <w:r w:rsidRPr="00701BFD">
        <w:rPr>
          <w:rFonts w:asciiTheme="majorBidi" w:hAnsiTheme="majorBidi" w:cstheme="majorBidi"/>
          <w:sz w:val="24"/>
          <w:szCs w:val="24"/>
        </w:rPr>
        <w:t>sulfobetaine</w:t>
      </w:r>
      <w:proofErr w:type="spellEnd"/>
      <w:r w:rsidRPr="00701BFD">
        <w:rPr>
          <w:rFonts w:asciiTheme="majorBidi" w:hAnsiTheme="majorBidi" w:cstheme="majorBidi"/>
          <w:sz w:val="24"/>
          <w:szCs w:val="24"/>
        </w:rPr>
        <w:t xml:space="preserve"> copolymers.</w:t>
      </w:r>
    </w:p>
    <w:p w14:paraId="6C14215B"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N-isopropylacrylamide (PNIPAM) polymers remain in the focus of </w:t>
      </w:r>
      <w:proofErr w:type="spellStart"/>
      <w:r w:rsidRPr="00701BFD">
        <w:rPr>
          <w:rFonts w:asciiTheme="majorBidi" w:hAnsiTheme="majorBidi" w:cstheme="majorBidi"/>
          <w:sz w:val="24"/>
          <w:szCs w:val="24"/>
        </w:rPr>
        <w:t>thermoresponsive</w:t>
      </w:r>
      <w:proofErr w:type="spellEnd"/>
      <w:r w:rsidRPr="00701BFD">
        <w:rPr>
          <w:rFonts w:asciiTheme="majorBidi" w:hAnsiTheme="majorBidi" w:cstheme="majorBidi"/>
          <w:sz w:val="24"/>
          <w:szCs w:val="24"/>
        </w:rPr>
        <w:t xml:space="preserve"> research. Chen et al. (2015), for example, prepared four-arm star-shaped PNIPAMs and investigated their LCST tunability. Polyacrylamides were studied by </w:t>
      </w:r>
      <w:proofErr w:type="spellStart"/>
      <w:r w:rsidRPr="00701BFD">
        <w:rPr>
          <w:rFonts w:asciiTheme="majorBidi" w:hAnsiTheme="majorBidi" w:cstheme="majorBidi"/>
          <w:sz w:val="24"/>
          <w:szCs w:val="24"/>
        </w:rPr>
        <w:t>Kolouchova</w:t>
      </w:r>
      <w:proofErr w:type="spellEnd"/>
      <w:r w:rsidRPr="00701BFD">
        <w:rPr>
          <w:rFonts w:asciiTheme="majorBidi" w:hAnsiTheme="majorBidi" w:cstheme="majorBidi"/>
          <w:sz w:val="24"/>
          <w:szCs w:val="24"/>
        </w:rPr>
        <w:t xml:space="preserve"> et al. (2021) under physiological conditions, and their study is particularly relevant to biomedical applications. </w:t>
      </w:r>
      <w:proofErr w:type="spellStart"/>
      <w:r w:rsidRPr="00701BFD">
        <w:rPr>
          <w:rFonts w:asciiTheme="majorBidi" w:hAnsiTheme="majorBidi" w:cstheme="majorBidi"/>
          <w:sz w:val="24"/>
          <w:szCs w:val="24"/>
        </w:rPr>
        <w:t>Photoresponsive</w:t>
      </w:r>
      <w:proofErr w:type="spellEnd"/>
      <w:r w:rsidRPr="00701BFD">
        <w:rPr>
          <w:rFonts w:asciiTheme="majorBidi" w:hAnsiTheme="majorBidi" w:cstheme="majorBidi"/>
          <w:sz w:val="24"/>
          <w:szCs w:val="24"/>
        </w:rPr>
        <w:t xml:space="preserve"> </w:t>
      </w:r>
      <w:proofErr w:type="spellStart"/>
      <w:r w:rsidRPr="00701BFD">
        <w:rPr>
          <w:rFonts w:asciiTheme="majorBidi" w:hAnsiTheme="majorBidi" w:cstheme="majorBidi"/>
          <w:sz w:val="24"/>
          <w:szCs w:val="24"/>
        </w:rPr>
        <w:t>behaviors</w:t>
      </w:r>
      <w:proofErr w:type="spellEnd"/>
      <w:r w:rsidRPr="00701BFD">
        <w:rPr>
          <w:rFonts w:asciiTheme="majorBidi" w:hAnsiTheme="majorBidi" w:cstheme="majorBidi"/>
          <w:sz w:val="24"/>
          <w:szCs w:val="24"/>
        </w:rPr>
        <w:t xml:space="preserve"> were introduced to PNIPAMs by Suzuki et al. (2004), and reversible Pb²⁺ complexation was realized through </w:t>
      </w:r>
      <w:proofErr w:type="spellStart"/>
      <w:r w:rsidRPr="00701BFD">
        <w:rPr>
          <w:rFonts w:asciiTheme="majorBidi" w:hAnsiTheme="majorBidi" w:cstheme="majorBidi"/>
          <w:sz w:val="24"/>
          <w:szCs w:val="24"/>
        </w:rPr>
        <w:t>spiropyran</w:t>
      </w:r>
      <w:proofErr w:type="spellEnd"/>
      <w:r w:rsidRPr="00701BFD">
        <w:rPr>
          <w:rFonts w:asciiTheme="majorBidi" w:hAnsiTheme="majorBidi" w:cstheme="majorBidi"/>
          <w:sz w:val="24"/>
          <w:szCs w:val="24"/>
        </w:rPr>
        <w:t>-functionalized PNIPAMs.</w:t>
      </w:r>
    </w:p>
    <w:p w14:paraId="5B5093F9"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Surface interactions and hydrating dynamics are also comprehensively described. Beattie et al. (2014) employed in situ ATR FTIR spectroscopy to monitor adsorption of PNIPAM onto talc, and Futscher et al. (2017) contrasted the PNIPAM and monomer hydration </w:t>
      </w:r>
      <w:proofErr w:type="spellStart"/>
      <w:r w:rsidRPr="00701BFD">
        <w:rPr>
          <w:rFonts w:asciiTheme="majorBidi" w:hAnsiTheme="majorBidi" w:cstheme="majorBidi"/>
          <w:sz w:val="24"/>
          <w:szCs w:val="24"/>
        </w:rPr>
        <w:t>behavior</w:t>
      </w:r>
      <w:proofErr w:type="spellEnd"/>
      <w:r w:rsidRPr="00701BFD">
        <w:rPr>
          <w:rFonts w:asciiTheme="majorBidi" w:hAnsiTheme="majorBidi" w:cstheme="majorBidi"/>
          <w:sz w:val="24"/>
          <w:szCs w:val="24"/>
        </w:rPr>
        <w:t xml:space="preserve"> by volume phase transition. Cui et al. (2014) emphasized that multi-hydrogen bonding played a key role in stabilizing supramolecular thermosensitive systems, demonstrating mechanisms for enhanced stability.</w:t>
      </w:r>
    </w:p>
    <w:p w14:paraId="3D49914C"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LCST modulation through structural adjustment has also been explored by Penas et al. (2019) and pendant group tuning by Swanson et al. (2017) in the case of polyesters. Novel polymers such as the </w:t>
      </w:r>
      <w:proofErr w:type="gramStart"/>
      <w:r w:rsidRPr="00701BFD">
        <w:rPr>
          <w:rFonts w:asciiTheme="majorBidi" w:hAnsiTheme="majorBidi" w:cstheme="majorBidi"/>
          <w:sz w:val="24"/>
          <w:szCs w:val="24"/>
        </w:rPr>
        <w:t>poly(</w:t>
      </w:r>
      <w:proofErr w:type="gramEnd"/>
      <w:r w:rsidRPr="00701BFD">
        <w:rPr>
          <w:rFonts w:asciiTheme="majorBidi" w:hAnsiTheme="majorBidi" w:cstheme="majorBidi"/>
          <w:sz w:val="24"/>
          <w:szCs w:val="24"/>
        </w:rPr>
        <w:t>N-</w:t>
      </w:r>
      <w:proofErr w:type="spellStart"/>
      <w:r w:rsidRPr="00701BFD">
        <w:rPr>
          <w:rFonts w:asciiTheme="majorBidi" w:hAnsiTheme="majorBidi" w:cstheme="majorBidi"/>
          <w:sz w:val="24"/>
          <w:szCs w:val="24"/>
        </w:rPr>
        <w:t>acryloylsarcosine</w:t>
      </w:r>
      <w:proofErr w:type="spellEnd"/>
      <w:r w:rsidRPr="00701BFD">
        <w:rPr>
          <w:rFonts w:asciiTheme="majorBidi" w:hAnsiTheme="majorBidi" w:cstheme="majorBidi"/>
          <w:sz w:val="24"/>
          <w:szCs w:val="24"/>
        </w:rPr>
        <w:t xml:space="preserve"> methyl ester) temperature </w:t>
      </w:r>
      <w:proofErr w:type="spellStart"/>
      <w:r w:rsidRPr="00701BFD">
        <w:rPr>
          <w:rFonts w:asciiTheme="majorBidi" w:hAnsiTheme="majorBidi" w:cstheme="majorBidi"/>
          <w:sz w:val="24"/>
          <w:szCs w:val="24"/>
        </w:rPr>
        <w:t>tunable</w:t>
      </w:r>
      <w:proofErr w:type="spellEnd"/>
      <w:r w:rsidRPr="00701BFD">
        <w:rPr>
          <w:rFonts w:asciiTheme="majorBidi" w:hAnsiTheme="majorBidi" w:cstheme="majorBidi"/>
          <w:sz w:val="24"/>
          <w:szCs w:val="24"/>
        </w:rPr>
        <w:t xml:space="preserve"> LCST (Chen et al., 2017) and hyper-branched polyampholyte (Tong et al., 2016) exhibited further breadth to the field.</w:t>
      </w:r>
    </w:p>
    <w:p w14:paraId="4A57E248"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Systems have been reported to be dual-responsive in some work. Temperature- and molecular recognition-responsiveness were given examples by Dong et al. (2018) and reversible CO₂-cleavable </w:t>
      </w:r>
      <w:proofErr w:type="spellStart"/>
      <w:r w:rsidRPr="00701BFD">
        <w:rPr>
          <w:rFonts w:asciiTheme="majorBidi" w:hAnsiTheme="majorBidi" w:cstheme="majorBidi"/>
          <w:sz w:val="24"/>
          <w:szCs w:val="24"/>
        </w:rPr>
        <w:t>iminoboronate</w:t>
      </w:r>
      <w:proofErr w:type="spellEnd"/>
      <w:r w:rsidRPr="00701BFD">
        <w:rPr>
          <w:rFonts w:asciiTheme="majorBidi" w:hAnsiTheme="majorBidi" w:cstheme="majorBidi"/>
          <w:sz w:val="24"/>
          <w:szCs w:val="24"/>
        </w:rPr>
        <w:t xml:space="preserve"> moieties employed in hyperbranched </w:t>
      </w:r>
      <w:proofErr w:type="gramStart"/>
      <w:r w:rsidRPr="00701BFD">
        <w:rPr>
          <w:rFonts w:asciiTheme="majorBidi" w:hAnsiTheme="majorBidi" w:cstheme="majorBidi"/>
          <w:sz w:val="24"/>
          <w:szCs w:val="24"/>
        </w:rPr>
        <w:t>poly(oligo(</w:t>
      </w:r>
      <w:proofErr w:type="gramEnd"/>
      <w:r w:rsidRPr="00701BFD">
        <w:rPr>
          <w:rFonts w:asciiTheme="majorBidi" w:hAnsiTheme="majorBidi" w:cstheme="majorBidi"/>
          <w:sz w:val="24"/>
          <w:szCs w:val="24"/>
        </w:rPr>
        <w:t>ethylene glycol)) backbones by Yu et al. (2018). Thermosensitive micelles had a central role in research by Topp et al. (1997), Pelletier et al. (2008), and Xu et al. (2007), with gold nanoparticle surface decoration also included.</w:t>
      </w:r>
    </w:p>
    <w:p w14:paraId="2890BD8C"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Polymer-protein conjugates (Huynh et al., 2021), phase </w:t>
      </w:r>
      <w:proofErr w:type="spellStart"/>
      <w:r w:rsidRPr="00701BFD">
        <w:rPr>
          <w:rFonts w:asciiTheme="majorBidi" w:hAnsiTheme="majorBidi" w:cstheme="majorBidi"/>
          <w:sz w:val="24"/>
          <w:szCs w:val="24"/>
        </w:rPr>
        <w:t>behavior</w:t>
      </w:r>
      <w:proofErr w:type="spellEnd"/>
      <w:r w:rsidRPr="00701BFD">
        <w:rPr>
          <w:rFonts w:asciiTheme="majorBidi" w:hAnsiTheme="majorBidi" w:cstheme="majorBidi"/>
          <w:sz w:val="24"/>
          <w:szCs w:val="24"/>
        </w:rPr>
        <w:t xml:space="preserve"> of block copolymers (</w:t>
      </w:r>
      <w:proofErr w:type="spellStart"/>
      <w:r w:rsidRPr="00701BFD">
        <w:rPr>
          <w:rFonts w:asciiTheme="majorBidi" w:hAnsiTheme="majorBidi" w:cstheme="majorBidi"/>
          <w:sz w:val="24"/>
          <w:szCs w:val="24"/>
        </w:rPr>
        <w:t>Karesoja</w:t>
      </w:r>
      <w:proofErr w:type="spellEnd"/>
      <w:r w:rsidRPr="00701BFD">
        <w:rPr>
          <w:rFonts w:asciiTheme="majorBidi" w:hAnsiTheme="majorBidi" w:cstheme="majorBidi"/>
          <w:sz w:val="24"/>
          <w:szCs w:val="24"/>
        </w:rPr>
        <w:t xml:space="preserve"> et al., 2014), and biological utility of poly-N-</w:t>
      </w:r>
      <w:proofErr w:type="spellStart"/>
      <w:r w:rsidRPr="00701BFD">
        <w:rPr>
          <w:rFonts w:asciiTheme="majorBidi" w:hAnsiTheme="majorBidi" w:cstheme="majorBidi"/>
          <w:sz w:val="24"/>
          <w:szCs w:val="24"/>
        </w:rPr>
        <w:t>vinylcaprolactam</w:t>
      </w:r>
      <w:proofErr w:type="spellEnd"/>
      <w:r w:rsidRPr="00701BFD">
        <w:rPr>
          <w:rFonts w:asciiTheme="majorBidi" w:hAnsiTheme="majorBidi" w:cstheme="majorBidi"/>
          <w:sz w:val="24"/>
          <w:szCs w:val="24"/>
        </w:rPr>
        <w:t xml:space="preserve"> (Marsili et al., 2021) rounded out the biomedical set. Finally, advances in polyether synthesis and properties by </w:t>
      </w:r>
      <w:proofErr w:type="spellStart"/>
      <w:r w:rsidRPr="00701BFD">
        <w:rPr>
          <w:rFonts w:asciiTheme="majorBidi" w:hAnsiTheme="majorBidi" w:cstheme="majorBidi"/>
          <w:sz w:val="24"/>
          <w:szCs w:val="24"/>
        </w:rPr>
        <w:t>Kehrle</w:t>
      </w:r>
      <w:proofErr w:type="spellEnd"/>
      <w:r w:rsidRPr="00701BFD">
        <w:rPr>
          <w:rFonts w:asciiTheme="majorBidi" w:hAnsiTheme="majorBidi" w:cstheme="majorBidi"/>
          <w:sz w:val="24"/>
          <w:szCs w:val="24"/>
        </w:rPr>
        <w:t xml:space="preserve"> et al. (2014), Aoki et al. (2002), and Muller et al. (2017), showed the broadening potential of glycidyl ether materials. Their copolymerization with ethylene oxide (Isono et al., 2017) and living polymerization methods (Moers et al., 2014) provided accuracy tools for the design of </w:t>
      </w:r>
      <w:proofErr w:type="spellStart"/>
      <w:r w:rsidRPr="00701BFD">
        <w:rPr>
          <w:rFonts w:asciiTheme="majorBidi" w:hAnsiTheme="majorBidi" w:cstheme="majorBidi"/>
          <w:sz w:val="24"/>
          <w:szCs w:val="24"/>
        </w:rPr>
        <w:t>thermoresponsive</w:t>
      </w:r>
      <w:proofErr w:type="spellEnd"/>
      <w:r w:rsidRPr="00701BFD">
        <w:rPr>
          <w:rFonts w:asciiTheme="majorBidi" w:hAnsiTheme="majorBidi" w:cstheme="majorBidi"/>
          <w:sz w:val="24"/>
          <w:szCs w:val="24"/>
        </w:rPr>
        <w:t xml:space="preserve"> </w:t>
      </w:r>
      <w:proofErr w:type="spellStart"/>
      <w:r w:rsidRPr="00701BFD">
        <w:rPr>
          <w:rFonts w:asciiTheme="majorBidi" w:hAnsiTheme="majorBidi" w:cstheme="majorBidi"/>
          <w:sz w:val="24"/>
          <w:szCs w:val="24"/>
        </w:rPr>
        <w:t>behavior</w:t>
      </w:r>
      <w:proofErr w:type="spellEnd"/>
      <w:r w:rsidRPr="00701BFD">
        <w:rPr>
          <w:rFonts w:asciiTheme="majorBidi" w:hAnsiTheme="majorBidi" w:cstheme="majorBidi"/>
          <w:sz w:val="24"/>
          <w:szCs w:val="24"/>
        </w:rPr>
        <w:t>.</w:t>
      </w:r>
    </w:p>
    <w:p w14:paraId="53C47215" w14:textId="77777777" w:rsidR="001569C7" w:rsidRPr="00701BFD" w:rsidRDefault="001569C7" w:rsidP="00701BFD">
      <w:pPr>
        <w:jc w:val="both"/>
        <w:rPr>
          <w:rFonts w:asciiTheme="majorBidi" w:hAnsiTheme="majorBidi" w:cstheme="majorBidi"/>
          <w:sz w:val="24"/>
          <w:szCs w:val="24"/>
          <w:rtl/>
        </w:rPr>
      </w:pPr>
      <w:r w:rsidRPr="00701BFD">
        <w:rPr>
          <w:rFonts w:asciiTheme="majorBidi" w:hAnsiTheme="majorBidi" w:cstheme="majorBidi"/>
          <w:sz w:val="24"/>
          <w:szCs w:val="24"/>
        </w:rPr>
        <w:t xml:space="preserve">Hybrid and hydrogel systems also have their share of proportion. Double-responsive terpolymers in smart hydrogels were discussed by Reinicke et al. (2009), while Weinhart et al. (2011) published work on switchable, biocompatible glycerol copolymer-based surfaces. </w:t>
      </w:r>
      <w:r w:rsidRPr="00701BFD">
        <w:rPr>
          <w:rFonts w:asciiTheme="majorBidi" w:hAnsiTheme="majorBidi" w:cstheme="majorBidi"/>
          <w:sz w:val="24"/>
          <w:szCs w:val="24"/>
        </w:rPr>
        <w:lastRenderedPageBreak/>
        <w:t xml:space="preserve">These works established the role of </w:t>
      </w:r>
      <w:proofErr w:type="spellStart"/>
      <w:r w:rsidRPr="00701BFD">
        <w:rPr>
          <w:rFonts w:asciiTheme="majorBidi" w:hAnsiTheme="majorBidi" w:cstheme="majorBidi"/>
          <w:sz w:val="24"/>
          <w:szCs w:val="24"/>
        </w:rPr>
        <w:t>thermoresponsive</w:t>
      </w:r>
      <w:proofErr w:type="spellEnd"/>
      <w:r w:rsidRPr="00701BFD">
        <w:rPr>
          <w:rFonts w:asciiTheme="majorBidi" w:hAnsiTheme="majorBidi" w:cstheme="majorBidi"/>
          <w:sz w:val="24"/>
          <w:szCs w:val="24"/>
        </w:rPr>
        <w:t xml:space="preserve"> materials in cutting-edge material science, biotechnology, and responsive surface technology.</w:t>
      </w:r>
    </w:p>
    <w:p w14:paraId="325981BF"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Research directions</w:t>
      </w:r>
    </w:p>
    <w:p w14:paraId="2ED3485E" w14:textId="77777777" w:rsidR="001569C7" w:rsidRPr="00701BFD" w:rsidRDefault="001569C7" w:rsidP="00701BFD">
      <w:pPr>
        <w:jc w:val="both"/>
        <w:rPr>
          <w:rFonts w:asciiTheme="majorBidi" w:hAnsiTheme="majorBidi" w:cstheme="majorBidi"/>
          <w:sz w:val="24"/>
          <w:szCs w:val="24"/>
        </w:rPr>
      </w:pPr>
    </w:p>
    <w:p w14:paraId="7A8BF8AA" w14:textId="77777777" w:rsidR="001569C7" w:rsidRPr="00701BFD"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 xml:space="preserve">Catalyst design: More efficient and cleaner epoxidation and </w:t>
      </w:r>
      <w:proofErr w:type="spellStart"/>
      <w:r w:rsidRPr="00701BFD">
        <w:rPr>
          <w:rFonts w:asciiTheme="majorBidi" w:hAnsiTheme="majorBidi" w:cstheme="majorBidi"/>
          <w:sz w:val="24"/>
          <w:szCs w:val="24"/>
        </w:rPr>
        <w:t>glycidylation</w:t>
      </w:r>
      <w:proofErr w:type="spellEnd"/>
      <w:r w:rsidRPr="00701BFD">
        <w:rPr>
          <w:rFonts w:asciiTheme="majorBidi" w:hAnsiTheme="majorBidi" w:cstheme="majorBidi"/>
          <w:sz w:val="24"/>
          <w:szCs w:val="24"/>
        </w:rPr>
        <w:t xml:space="preserve"> catalysts are one of the most significant areas of research in glycidyl ether synthesis. The majority of traditional catalysts are made up of environmentally unacceptable, toxic components, making it challenging to achieve sustainability targets. Research is now </w:t>
      </w:r>
      <w:proofErr w:type="spellStart"/>
      <w:r w:rsidRPr="00701BFD">
        <w:rPr>
          <w:rFonts w:asciiTheme="majorBidi" w:hAnsiTheme="majorBidi" w:cstheme="majorBidi"/>
          <w:sz w:val="24"/>
          <w:szCs w:val="24"/>
        </w:rPr>
        <w:t>centered</w:t>
      </w:r>
      <w:proofErr w:type="spellEnd"/>
      <w:r w:rsidRPr="00701BFD">
        <w:rPr>
          <w:rFonts w:asciiTheme="majorBidi" w:hAnsiTheme="majorBidi" w:cstheme="majorBidi"/>
          <w:sz w:val="24"/>
          <w:szCs w:val="24"/>
        </w:rPr>
        <w:t xml:space="preserve"> on biocatalysts, heterogeneous catalysts, and solvent-free systems to improve reaction efficiency and selectivity, rendering them cheaper and greener (refs??).</w:t>
      </w:r>
    </w:p>
    <w:p w14:paraId="66CF8CA3" w14:textId="77777777" w:rsidR="001569C7" w:rsidRPr="00701BFD" w:rsidRDefault="001569C7" w:rsidP="00701BFD">
      <w:pPr>
        <w:jc w:val="both"/>
        <w:rPr>
          <w:rFonts w:asciiTheme="majorBidi" w:hAnsiTheme="majorBidi" w:cstheme="majorBidi"/>
          <w:sz w:val="24"/>
          <w:szCs w:val="24"/>
        </w:rPr>
      </w:pPr>
    </w:p>
    <w:p w14:paraId="047BC7BB" w14:textId="77777777" w:rsidR="00701BFD" w:rsidRPr="00701BFD" w:rsidRDefault="001569C7" w:rsidP="00701BFD">
      <w:pPr>
        <w:jc w:val="both"/>
        <w:rPr>
          <w:rFonts w:asciiTheme="majorBidi" w:hAnsiTheme="majorBidi" w:cstheme="majorBidi"/>
          <w:b/>
          <w:bCs/>
          <w:sz w:val="24"/>
          <w:szCs w:val="24"/>
          <w:rtl/>
        </w:rPr>
      </w:pPr>
      <w:r w:rsidRPr="00701BFD">
        <w:rPr>
          <w:rFonts w:asciiTheme="majorBidi" w:hAnsiTheme="majorBidi" w:cstheme="majorBidi"/>
          <w:b/>
          <w:bCs/>
          <w:sz w:val="24"/>
          <w:szCs w:val="24"/>
        </w:rPr>
        <w:t xml:space="preserve">Diversification of feedstocks: </w:t>
      </w:r>
    </w:p>
    <w:p w14:paraId="18EF2371" w14:textId="6E2AF247" w:rsidR="001569C7" w:rsidRPr="00701BFD" w:rsidRDefault="001569C7" w:rsidP="00701BFD">
      <w:pPr>
        <w:jc w:val="both"/>
        <w:rPr>
          <w:rFonts w:asciiTheme="majorBidi" w:hAnsiTheme="majorBidi" w:cstheme="majorBidi"/>
          <w:sz w:val="24"/>
          <w:szCs w:val="24"/>
          <w:rtl/>
        </w:rPr>
      </w:pPr>
      <w:r w:rsidRPr="00701BFD">
        <w:rPr>
          <w:rFonts w:asciiTheme="majorBidi" w:hAnsiTheme="majorBidi" w:cstheme="majorBidi"/>
          <w:sz w:val="24"/>
          <w:szCs w:val="24"/>
        </w:rPr>
        <w:t xml:space="preserve">Another major research </w:t>
      </w:r>
      <w:r w:rsidR="00474611">
        <w:rPr>
          <w:rFonts w:asciiTheme="majorBidi" w:hAnsiTheme="majorBidi" w:cstheme="majorBidi"/>
          <w:sz w:val="24"/>
          <w:szCs w:val="24"/>
        </w:rPr>
        <w:t xml:space="preserve">(table 1.) </w:t>
      </w:r>
      <w:r w:rsidRPr="00701BFD">
        <w:rPr>
          <w:rFonts w:asciiTheme="majorBidi" w:hAnsiTheme="majorBidi" w:cstheme="majorBidi"/>
          <w:sz w:val="24"/>
          <w:szCs w:val="24"/>
        </w:rPr>
        <w:t xml:space="preserve">focus is diversification of feedstocks for the production of glycidyl ethers. Although the easily accessible edible oils, i.e., castor, linseed, and soybean oils, are most commonly utilized, use of the non-edible oils, i.e., jatropha, algae, and neem oils, and waste oils has been emphasized on industrial scales. This minimizes competition for foodstuffs, a rising food security and sustainability vital issue. </w:t>
      </w:r>
    </w:p>
    <w:p w14:paraId="43534539" w14:textId="41EB45E0" w:rsidR="001569C7" w:rsidRDefault="001569C7" w:rsidP="00701BFD">
      <w:pPr>
        <w:jc w:val="both"/>
        <w:rPr>
          <w:rFonts w:asciiTheme="majorBidi" w:hAnsiTheme="majorBidi" w:cstheme="majorBidi"/>
          <w:sz w:val="24"/>
          <w:szCs w:val="24"/>
        </w:rPr>
      </w:pPr>
      <w:r w:rsidRPr="00701BFD">
        <w:rPr>
          <w:rFonts w:asciiTheme="majorBidi" w:hAnsiTheme="majorBidi" w:cstheme="majorBidi"/>
          <w:sz w:val="24"/>
          <w:szCs w:val="24"/>
        </w:rPr>
        <w:t>The utilization of waste oils of non-food or food industries provides a scope to utilize waste to produce useful products but evade its wastage and support the circular economy.</w:t>
      </w:r>
    </w:p>
    <w:p w14:paraId="79E47086" w14:textId="4BBDAFD4" w:rsidR="006626AC" w:rsidRDefault="006626AC" w:rsidP="00701BFD">
      <w:pPr>
        <w:jc w:val="both"/>
        <w:rPr>
          <w:rFonts w:asciiTheme="majorBidi" w:hAnsiTheme="majorBidi" w:cstheme="majorBidi"/>
          <w:sz w:val="24"/>
          <w:szCs w:val="24"/>
        </w:rPr>
      </w:pPr>
    </w:p>
    <w:p w14:paraId="470F2844" w14:textId="7B8D1DDF" w:rsidR="006626AC" w:rsidRPr="006626AC" w:rsidRDefault="006626AC" w:rsidP="00701BFD">
      <w:pPr>
        <w:jc w:val="both"/>
        <w:rPr>
          <w:rFonts w:asciiTheme="majorBidi" w:hAnsiTheme="majorBidi" w:cstheme="majorBidi"/>
          <w:b/>
          <w:sz w:val="24"/>
          <w:szCs w:val="24"/>
        </w:rPr>
      </w:pPr>
      <w:r w:rsidRPr="006626AC">
        <w:rPr>
          <w:rFonts w:asciiTheme="majorBidi" w:hAnsiTheme="majorBidi" w:cstheme="majorBidi"/>
          <w:b/>
          <w:sz w:val="24"/>
          <w:szCs w:val="24"/>
        </w:rPr>
        <w:t>Conclusion</w:t>
      </w:r>
    </w:p>
    <w:p w14:paraId="533ECDDF" w14:textId="77777777" w:rsidR="00FA36E4" w:rsidRDefault="001569C7" w:rsidP="00FA36E4">
      <w:pPr>
        <w:jc w:val="both"/>
        <w:rPr>
          <w:rFonts w:asciiTheme="majorBidi" w:hAnsiTheme="majorBidi" w:cstheme="majorBidi"/>
          <w:sz w:val="24"/>
          <w:szCs w:val="24"/>
        </w:rPr>
      </w:pPr>
      <w:r w:rsidRPr="00701BFD">
        <w:rPr>
          <w:rFonts w:asciiTheme="majorBidi" w:hAnsiTheme="majorBidi" w:cstheme="majorBidi"/>
          <w:sz w:val="24"/>
          <w:szCs w:val="24"/>
        </w:rPr>
        <w:t xml:space="preserve">The glycidyl ether conversion pathway of vegetable oils is providing opportunity for a green, efficient process of bio-based epoxy resins preparation. Their use—alongside their enhanced functionality, active chemistry, and ecologic </w:t>
      </w:r>
      <w:proofErr w:type="spellStart"/>
      <w:r w:rsidRPr="00701BFD">
        <w:rPr>
          <w:rFonts w:asciiTheme="majorBidi" w:hAnsiTheme="majorBidi" w:cstheme="majorBidi"/>
          <w:sz w:val="24"/>
          <w:szCs w:val="24"/>
        </w:rPr>
        <w:t>benignness</w:t>
      </w:r>
      <w:proofErr w:type="spellEnd"/>
      <w:r w:rsidRPr="00701BFD">
        <w:rPr>
          <w:rFonts w:asciiTheme="majorBidi" w:hAnsiTheme="majorBidi" w:cstheme="majorBidi"/>
          <w:sz w:val="24"/>
          <w:szCs w:val="24"/>
        </w:rPr>
        <w:t>—positions these glycidyl ethers as a giant leap of progress in polymer technology. Current research and emerging development of catalytic systems, feedstock efficacy, and manufacturing processing will augment glycidyl ethers' role in ecologically benign, high-performance materials on a broad continuum of industrial process applications.</w:t>
      </w:r>
      <w:r w:rsidR="00FA36E4">
        <w:rPr>
          <w:rFonts w:asciiTheme="majorBidi" w:hAnsiTheme="majorBidi" w:cstheme="majorBidi"/>
          <w:sz w:val="24"/>
          <w:szCs w:val="24"/>
        </w:rPr>
        <w:t xml:space="preserve"> </w:t>
      </w:r>
    </w:p>
    <w:p w14:paraId="4C8795AB" w14:textId="77777777" w:rsidR="009E0509" w:rsidRDefault="009E0509" w:rsidP="00FA36E4">
      <w:pPr>
        <w:jc w:val="both"/>
        <w:rPr>
          <w:rFonts w:asciiTheme="majorBidi" w:hAnsiTheme="majorBidi" w:cstheme="majorBidi"/>
          <w:sz w:val="24"/>
          <w:szCs w:val="24"/>
        </w:rPr>
      </w:pPr>
    </w:p>
    <w:p w14:paraId="0AE3E688" w14:textId="77777777" w:rsidR="009E0509" w:rsidRDefault="009E0509" w:rsidP="00FA36E4">
      <w:pPr>
        <w:jc w:val="both"/>
        <w:rPr>
          <w:rFonts w:asciiTheme="majorBidi" w:hAnsiTheme="majorBidi" w:cstheme="majorBidi"/>
          <w:sz w:val="24"/>
          <w:szCs w:val="24"/>
        </w:rPr>
      </w:pPr>
    </w:p>
    <w:p w14:paraId="755DC08F" w14:textId="77777777" w:rsidR="009E0509" w:rsidRPr="009E0509" w:rsidRDefault="009E0509" w:rsidP="009E0509">
      <w:pPr>
        <w:spacing w:after="200" w:line="276" w:lineRule="auto"/>
        <w:rPr>
          <w:rFonts w:ascii="Calibri" w:eastAsia="Calibri" w:hAnsi="Calibri" w:cs="Times New Roman"/>
          <w:kern w:val="2"/>
          <w:lang w:val="en-US"/>
          <w14:ligatures w14:val="standardContextual"/>
        </w:rPr>
      </w:pPr>
      <w:r w:rsidRPr="009E0509">
        <w:rPr>
          <w:rFonts w:ascii="Calibri" w:eastAsia="Calibri" w:hAnsi="Calibri" w:cs="Times New Roman"/>
          <w:kern w:val="2"/>
          <w:lang w:val="en-US"/>
          <w14:ligatures w14:val="standardContextual"/>
        </w:rPr>
        <w:t>Disclaimer (Artificial intelligence)</w:t>
      </w:r>
    </w:p>
    <w:p w14:paraId="28B1217E" w14:textId="77777777" w:rsidR="009E0509" w:rsidRPr="009E0509" w:rsidRDefault="009E0509" w:rsidP="009E0509">
      <w:pPr>
        <w:spacing w:after="200" w:line="276" w:lineRule="auto"/>
        <w:rPr>
          <w:rFonts w:ascii="Calibri" w:eastAsia="Calibri" w:hAnsi="Calibri" w:cs="Times New Roman"/>
          <w:kern w:val="2"/>
          <w:lang w:val="en-US"/>
          <w14:ligatures w14:val="standardContextual"/>
        </w:rPr>
      </w:pPr>
      <w:r w:rsidRPr="009E0509">
        <w:rPr>
          <w:rFonts w:ascii="Calibri" w:eastAsia="Calibri" w:hAnsi="Calibri" w:cs="Times New Roman"/>
          <w:kern w:val="2"/>
          <w:lang w:val="en-US"/>
          <w14:ligatures w14:val="standardContextual"/>
        </w:rPr>
        <w:t xml:space="preserve">Option 1: </w:t>
      </w:r>
    </w:p>
    <w:p w14:paraId="2E5E95D9" w14:textId="77777777" w:rsidR="009E0509" w:rsidRPr="009E0509" w:rsidRDefault="009E0509" w:rsidP="009E0509">
      <w:pPr>
        <w:spacing w:after="200" w:line="276" w:lineRule="auto"/>
        <w:rPr>
          <w:rFonts w:ascii="Calibri" w:eastAsia="Calibri" w:hAnsi="Calibri" w:cs="Times New Roman"/>
          <w:kern w:val="2"/>
          <w:lang w:val="en-US"/>
          <w14:ligatures w14:val="standardContextual"/>
        </w:rPr>
      </w:pPr>
      <w:r w:rsidRPr="009E0509">
        <w:rPr>
          <w:rFonts w:ascii="Calibri" w:eastAsia="Calibri" w:hAnsi="Calibri" w:cs="Times New Roman"/>
          <w:kern w:val="2"/>
          <w:lang w:val="en-US"/>
          <w14:ligatures w14:val="standardContextual"/>
        </w:rPr>
        <w:t xml:space="preserve">Author(s) hereby </w:t>
      </w:r>
      <w:proofErr w:type="gramStart"/>
      <w:r w:rsidRPr="009E0509">
        <w:rPr>
          <w:rFonts w:ascii="Calibri" w:eastAsia="Calibri" w:hAnsi="Calibri" w:cs="Times New Roman"/>
          <w:kern w:val="2"/>
          <w:lang w:val="en-US"/>
          <w14:ligatures w14:val="standardContextual"/>
        </w:rPr>
        <w:t>declare</w:t>
      </w:r>
      <w:proofErr w:type="gramEnd"/>
      <w:r w:rsidRPr="009E0509">
        <w:rPr>
          <w:rFonts w:ascii="Calibri" w:eastAsia="Calibri" w:hAnsi="Calibri" w:cs="Times New Roman"/>
          <w:kern w:val="2"/>
          <w:lang w:val="en-US"/>
          <w14:ligatures w14:val="standardContextual"/>
        </w:rPr>
        <w:t xml:space="preserve"> that NO generative AI technologies such as Large Language Models (ChatGPT, COPILOT, etc.) and text-to-image generators have been used during the writing or editing of this manuscript. </w:t>
      </w:r>
    </w:p>
    <w:p w14:paraId="7DA76CB6" w14:textId="77777777" w:rsidR="009E0509" w:rsidRPr="009E0509" w:rsidRDefault="009E0509" w:rsidP="009E0509">
      <w:pPr>
        <w:spacing w:after="200" w:line="276" w:lineRule="auto"/>
        <w:rPr>
          <w:rFonts w:ascii="Calibri" w:eastAsia="Calibri" w:hAnsi="Calibri" w:cs="Times New Roman"/>
          <w:kern w:val="2"/>
          <w:lang w:val="en-US"/>
          <w14:ligatures w14:val="standardContextual"/>
        </w:rPr>
      </w:pPr>
      <w:r w:rsidRPr="009E0509">
        <w:rPr>
          <w:rFonts w:ascii="Calibri" w:eastAsia="Calibri" w:hAnsi="Calibri" w:cs="Times New Roman"/>
          <w:kern w:val="2"/>
          <w:lang w:val="en-US"/>
          <w14:ligatures w14:val="standardContextual"/>
        </w:rPr>
        <w:t xml:space="preserve">Option 2: </w:t>
      </w:r>
    </w:p>
    <w:p w14:paraId="1B027BE1" w14:textId="77777777" w:rsidR="009E0509" w:rsidRPr="009E0509" w:rsidRDefault="009E0509" w:rsidP="009E0509">
      <w:pPr>
        <w:spacing w:after="200" w:line="276" w:lineRule="auto"/>
        <w:rPr>
          <w:rFonts w:ascii="Calibri" w:eastAsia="Calibri" w:hAnsi="Calibri" w:cs="Times New Roman"/>
          <w:kern w:val="2"/>
          <w:lang w:val="en-US"/>
          <w14:ligatures w14:val="standardContextual"/>
        </w:rPr>
      </w:pPr>
      <w:r w:rsidRPr="009E0509">
        <w:rPr>
          <w:rFonts w:ascii="Calibri" w:eastAsia="Calibri" w:hAnsi="Calibri" w:cs="Times New Roman"/>
          <w:kern w:val="2"/>
          <w:lang w:val="en-US"/>
          <w14:ligatures w14:val="standardContextual"/>
        </w:rPr>
        <w:lastRenderedPageBreak/>
        <w:t xml:space="preserve">Author(s) hereby </w:t>
      </w:r>
      <w:proofErr w:type="gramStart"/>
      <w:r w:rsidRPr="009E0509">
        <w:rPr>
          <w:rFonts w:ascii="Calibri" w:eastAsia="Calibri" w:hAnsi="Calibri" w:cs="Times New Roman"/>
          <w:kern w:val="2"/>
          <w:lang w:val="en-US"/>
          <w14:ligatures w14:val="standardContextual"/>
        </w:rPr>
        <w:t>declare</w:t>
      </w:r>
      <w:proofErr w:type="gramEnd"/>
      <w:r w:rsidRPr="009E0509">
        <w:rPr>
          <w:rFonts w:ascii="Calibri" w:eastAsia="Calibri" w:hAnsi="Calibri" w:cs="Times New Roman"/>
          <w:kern w:val="2"/>
          <w:lang w:val="en-US"/>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95720A8" w14:textId="77777777" w:rsidR="009E0509" w:rsidRPr="009E0509" w:rsidRDefault="009E0509" w:rsidP="009E0509">
      <w:pPr>
        <w:spacing w:after="200" w:line="276" w:lineRule="auto"/>
        <w:rPr>
          <w:rFonts w:ascii="Calibri" w:eastAsia="Calibri" w:hAnsi="Calibri" w:cs="Times New Roman"/>
          <w:kern w:val="2"/>
          <w:lang w:val="en-US"/>
          <w14:ligatures w14:val="standardContextual"/>
        </w:rPr>
      </w:pPr>
      <w:r w:rsidRPr="009E0509">
        <w:rPr>
          <w:rFonts w:ascii="Calibri" w:eastAsia="Calibri" w:hAnsi="Calibri" w:cs="Times New Roman"/>
          <w:kern w:val="2"/>
          <w:lang w:val="en-US"/>
          <w14:ligatures w14:val="standardContextual"/>
        </w:rPr>
        <w:t>Details of the AI usage are given below:</w:t>
      </w:r>
    </w:p>
    <w:p w14:paraId="2E8CB688" w14:textId="77777777" w:rsidR="009E0509" w:rsidRPr="009E0509" w:rsidRDefault="009E0509" w:rsidP="009E0509">
      <w:pPr>
        <w:spacing w:after="200" w:line="276" w:lineRule="auto"/>
        <w:rPr>
          <w:rFonts w:ascii="Calibri" w:eastAsia="Calibri" w:hAnsi="Calibri" w:cs="Times New Roman"/>
          <w:kern w:val="2"/>
          <w:lang w:val="en-US"/>
          <w14:ligatures w14:val="standardContextual"/>
        </w:rPr>
      </w:pPr>
      <w:r w:rsidRPr="009E0509">
        <w:rPr>
          <w:rFonts w:ascii="Calibri" w:eastAsia="Calibri" w:hAnsi="Calibri" w:cs="Times New Roman"/>
          <w:kern w:val="2"/>
          <w:lang w:val="en-US"/>
          <w14:ligatures w14:val="standardContextual"/>
        </w:rPr>
        <w:t>1.</w:t>
      </w:r>
    </w:p>
    <w:p w14:paraId="67434FA7" w14:textId="77777777" w:rsidR="009E0509" w:rsidRPr="009E0509" w:rsidRDefault="009E0509" w:rsidP="009E0509">
      <w:pPr>
        <w:spacing w:after="200" w:line="276" w:lineRule="auto"/>
        <w:rPr>
          <w:rFonts w:ascii="Calibri" w:eastAsia="Calibri" w:hAnsi="Calibri" w:cs="Times New Roman"/>
          <w:kern w:val="2"/>
          <w:lang w:val="en-US"/>
          <w14:ligatures w14:val="standardContextual"/>
        </w:rPr>
      </w:pPr>
      <w:r w:rsidRPr="009E0509">
        <w:rPr>
          <w:rFonts w:ascii="Calibri" w:eastAsia="Calibri" w:hAnsi="Calibri" w:cs="Times New Roman"/>
          <w:kern w:val="2"/>
          <w:lang w:val="en-US"/>
          <w14:ligatures w14:val="standardContextual"/>
        </w:rPr>
        <w:t>2.</w:t>
      </w:r>
    </w:p>
    <w:p w14:paraId="1C53A81D" w14:textId="77777777" w:rsidR="009E0509" w:rsidRPr="009E0509" w:rsidRDefault="009E0509" w:rsidP="009E0509">
      <w:pPr>
        <w:spacing w:after="200" w:line="276" w:lineRule="auto"/>
        <w:rPr>
          <w:rFonts w:ascii="Calibri" w:eastAsia="Calibri" w:hAnsi="Calibri" w:cs="Times New Roman"/>
          <w:kern w:val="2"/>
          <w:lang w:val="en-US"/>
          <w14:ligatures w14:val="standardContextual"/>
        </w:rPr>
      </w:pPr>
      <w:r w:rsidRPr="009E0509">
        <w:rPr>
          <w:rFonts w:ascii="Calibri" w:eastAsia="Calibri" w:hAnsi="Calibri" w:cs="Times New Roman"/>
          <w:kern w:val="2"/>
          <w:lang w:val="en-US"/>
          <w14:ligatures w14:val="standardContextual"/>
        </w:rPr>
        <w:t>3.</w:t>
      </w:r>
    </w:p>
    <w:p w14:paraId="7F3641F6" w14:textId="6AEA3334" w:rsidR="009E0509" w:rsidRDefault="009E0509" w:rsidP="00FA36E4">
      <w:pPr>
        <w:jc w:val="both"/>
        <w:rPr>
          <w:rFonts w:asciiTheme="majorBidi" w:hAnsiTheme="majorBidi" w:cstheme="majorBidi"/>
          <w:sz w:val="24"/>
          <w:szCs w:val="24"/>
        </w:rPr>
        <w:sectPr w:rsidR="009E050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48F0C014" w14:textId="211A5AFB" w:rsidR="00881AF6" w:rsidRPr="00701BFD" w:rsidRDefault="00423F1F" w:rsidP="00FA36E4">
      <w:pPr>
        <w:jc w:val="both"/>
        <w:rPr>
          <w:rFonts w:asciiTheme="majorBidi" w:hAnsiTheme="majorBidi" w:cstheme="majorBidi"/>
          <w:sz w:val="24"/>
          <w:szCs w:val="24"/>
        </w:rPr>
      </w:pPr>
      <w:r>
        <w:rPr>
          <w:rFonts w:asciiTheme="majorBidi" w:hAnsiTheme="majorBidi" w:cstheme="majorBidi"/>
          <w:sz w:val="24"/>
          <w:szCs w:val="24"/>
        </w:rPr>
        <w:lastRenderedPageBreak/>
        <w:t xml:space="preserve">Table 1 </w:t>
      </w:r>
      <w:r w:rsidR="00FA36E4" w:rsidRPr="00FA36E4">
        <w:rPr>
          <w:rFonts w:asciiTheme="majorBidi" w:hAnsiTheme="majorBidi" w:cstheme="majorBidi"/>
          <w:sz w:val="24"/>
          <w:szCs w:val="24"/>
        </w:rPr>
        <w:t>Comparative Analysis of Vegetable Oils Based on Saturation, Stability, and Quality Parameters</w:t>
      </w:r>
    </w:p>
    <w:p w14:paraId="08A470C2" w14:textId="77777777" w:rsidR="00F5564F" w:rsidRPr="00701BFD" w:rsidRDefault="00F5564F" w:rsidP="00701BFD">
      <w:pPr>
        <w:pStyle w:val="Title"/>
        <w:spacing w:after="120"/>
        <w:jc w:val="both"/>
        <w:rPr>
          <w:rFonts w:asciiTheme="majorBidi" w:eastAsia="Times New Roman" w:hAnsiTheme="majorBidi"/>
          <w:b/>
          <w:bCs/>
          <w:sz w:val="24"/>
          <w:szCs w:val="24"/>
          <w:rtl/>
          <w:lang w:eastAsia="en-GB"/>
        </w:rPr>
      </w:pPr>
    </w:p>
    <w:tbl>
      <w:tblPr>
        <w:tblStyle w:val="TableGrid"/>
        <w:tblpPr w:leftFromText="180" w:rightFromText="180" w:vertAnchor="page" w:horzAnchor="margin" w:tblpY="2329"/>
        <w:tblW w:w="13948" w:type="dxa"/>
        <w:tblLook w:val="04A0" w:firstRow="1" w:lastRow="0" w:firstColumn="1" w:lastColumn="0" w:noHBand="0" w:noVBand="1"/>
      </w:tblPr>
      <w:tblGrid>
        <w:gridCol w:w="900"/>
        <w:gridCol w:w="887"/>
        <w:gridCol w:w="1316"/>
        <w:gridCol w:w="1217"/>
        <w:gridCol w:w="863"/>
        <w:gridCol w:w="806"/>
        <w:gridCol w:w="859"/>
        <w:gridCol w:w="885"/>
        <w:gridCol w:w="835"/>
        <w:gridCol w:w="870"/>
        <w:gridCol w:w="890"/>
        <w:gridCol w:w="874"/>
        <w:gridCol w:w="928"/>
        <w:gridCol w:w="928"/>
        <w:gridCol w:w="890"/>
      </w:tblGrid>
      <w:tr w:rsidR="00FA36E4" w:rsidRPr="00856D27" w14:paraId="644C9A5E" w14:textId="77777777" w:rsidTr="0021691B">
        <w:tc>
          <w:tcPr>
            <w:tcW w:w="900" w:type="dxa"/>
          </w:tcPr>
          <w:p w14:paraId="79F4EB24"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Oil Type</w:t>
            </w:r>
          </w:p>
        </w:tc>
        <w:tc>
          <w:tcPr>
            <w:tcW w:w="887" w:type="dxa"/>
          </w:tcPr>
          <w:p w14:paraId="43EDBF69"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Saturated Fat (%)</w:t>
            </w:r>
          </w:p>
        </w:tc>
        <w:tc>
          <w:tcPr>
            <w:tcW w:w="1316" w:type="dxa"/>
          </w:tcPr>
          <w:p w14:paraId="12D4F863"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Monounsaturated Fat (%)</w:t>
            </w:r>
          </w:p>
        </w:tc>
        <w:tc>
          <w:tcPr>
            <w:tcW w:w="1217" w:type="dxa"/>
          </w:tcPr>
          <w:p w14:paraId="0F49AE42"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Polyunsaturated Fat (%)</w:t>
            </w:r>
          </w:p>
        </w:tc>
        <w:tc>
          <w:tcPr>
            <w:tcW w:w="863" w:type="dxa"/>
          </w:tcPr>
          <w:p w14:paraId="18AEC79C"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Palmitic Acid (%)</w:t>
            </w:r>
          </w:p>
        </w:tc>
        <w:tc>
          <w:tcPr>
            <w:tcW w:w="806" w:type="dxa"/>
          </w:tcPr>
          <w:p w14:paraId="042C76E7"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Oleic Acid (%)</w:t>
            </w:r>
          </w:p>
        </w:tc>
        <w:tc>
          <w:tcPr>
            <w:tcW w:w="859" w:type="dxa"/>
          </w:tcPr>
          <w:p w14:paraId="38DA3D7B"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Linoleic Acid (%)</w:t>
            </w:r>
          </w:p>
        </w:tc>
        <w:tc>
          <w:tcPr>
            <w:tcW w:w="885" w:type="dxa"/>
          </w:tcPr>
          <w:p w14:paraId="27756F0D"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Linolenic Acid (%)</w:t>
            </w:r>
          </w:p>
        </w:tc>
        <w:tc>
          <w:tcPr>
            <w:tcW w:w="835" w:type="dxa"/>
          </w:tcPr>
          <w:p w14:paraId="5F32179E"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Smoke Point (°C)</w:t>
            </w:r>
          </w:p>
        </w:tc>
        <w:tc>
          <w:tcPr>
            <w:tcW w:w="870" w:type="dxa"/>
          </w:tcPr>
          <w:p w14:paraId="1FC0F6B2"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Thermal Stability</w:t>
            </w:r>
          </w:p>
        </w:tc>
        <w:tc>
          <w:tcPr>
            <w:tcW w:w="890" w:type="dxa"/>
          </w:tcPr>
          <w:p w14:paraId="48C4CC87"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Chemical Stability</w:t>
            </w:r>
          </w:p>
        </w:tc>
        <w:tc>
          <w:tcPr>
            <w:tcW w:w="874" w:type="dxa"/>
          </w:tcPr>
          <w:p w14:paraId="40E723EB"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Peroxide Value (</w:t>
            </w:r>
            <w:proofErr w:type="spellStart"/>
            <w:r w:rsidRPr="00856D27">
              <w:rPr>
                <w:rFonts w:ascii="Arabic Typesetting" w:hAnsi="Arabic Typesetting" w:cs="Arabic Typesetting"/>
              </w:rPr>
              <w:t>meq</w:t>
            </w:r>
            <w:proofErr w:type="spellEnd"/>
            <w:r w:rsidRPr="00856D27">
              <w:rPr>
                <w:rFonts w:ascii="Arabic Typesetting" w:hAnsi="Arabic Typesetting" w:cs="Arabic Typesetting"/>
              </w:rPr>
              <w:t xml:space="preserve"> O</w:t>
            </w:r>
            <w:r w:rsidRPr="00856D27">
              <w:rPr>
                <w:rFonts w:ascii="Times New Roman" w:hAnsi="Times New Roman" w:cs="Times New Roman"/>
              </w:rPr>
              <w:t>₂</w:t>
            </w:r>
            <w:r w:rsidRPr="00856D27">
              <w:rPr>
                <w:rFonts w:ascii="Arabic Typesetting" w:hAnsi="Arabic Typesetting" w:cs="Arabic Typesetting"/>
              </w:rPr>
              <w:t>/kg)</w:t>
            </w:r>
          </w:p>
        </w:tc>
        <w:tc>
          <w:tcPr>
            <w:tcW w:w="928" w:type="dxa"/>
          </w:tcPr>
          <w:p w14:paraId="7E59D625" w14:textId="77777777" w:rsidR="00FA36E4" w:rsidRPr="00856D27" w:rsidRDefault="00FA36E4" w:rsidP="0021691B">
            <w:pPr>
              <w:rPr>
                <w:rFonts w:ascii="Arabic Typesetting" w:hAnsi="Arabic Typesetting" w:cs="Arabic Typesetting"/>
              </w:rPr>
            </w:pPr>
            <w:r w:rsidRPr="00856D27">
              <w:rPr>
                <w:rFonts w:ascii="Cambria" w:hAnsi="Cambria" w:cs="Cambria"/>
              </w:rPr>
              <w:t>α</w:t>
            </w:r>
            <w:r w:rsidRPr="00856D27">
              <w:rPr>
                <w:rFonts w:ascii="Arabic Typesetting" w:hAnsi="Arabic Typesetting" w:cs="Arabic Typesetting"/>
              </w:rPr>
              <w:t>-Tocopherol (mg/100g)</w:t>
            </w:r>
          </w:p>
        </w:tc>
        <w:tc>
          <w:tcPr>
            <w:tcW w:w="928" w:type="dxa"/>
          </w:tcPr>
          <w:p w14:paraId="5779393C" w14:textId="77777777" w:rsidR="00FA36E4" w:rsidRPr="00856D27" w:rsidRDefault="00FA36E4" w:rsidP="0021691B">
            <w:pPr>
              <w:rPr>
                <w:rFonts w:ascii="Arabic Typesetting" w:hAnsi="Arabic Typesetting" w:cs="Arabic Typesetting"/>
              </w:rPr>
            </w:pPr>
            <w:r w:rsidRPr="00856D27">
              <w:rPr>
                <w:rFonts w:ascii="Cambria" w:hAnsi="Cambria" w:cs="Cambria"/>
              </w:rPr>
              <w:t>γ</w:t>
            </w:r>
            <w:r w:rsidRPr="00856D27">
              <w:rPr>
                <w:rFonts w:ascii="Arabic Typesetting" w:hAnsi="Arabic Typesetting" w:cs="Arabic Typesetting"/>
              </w:rPr>
              <w:t>-Tocopherol (mg/100g)</w:t>
            </w:r>
          </w:p>
        </w:tc>
        <w:tc>
          <w:tcPr>
            <w:tcW w:w="890" w:type="dxa"/>
          </w:tcPr>
          <w:p w14:paraId="60958CEF"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Glycidyl Ether Yield</w:t>
            </w:r>
          </w:p>
        </w:tc>
      </w:tr>
      <w:tr w:rsidR="00FA36E4" w:rsidRPr="00856D27" w14:paraId="627A0612" w14:textId="77777777" w:rsidTr="0021691B">
        <w:tc>
          <w:tcPr>
            <w:tcW w:w="900" w:type="dxa"/>
          </w:tcPr>
          <w:p w14:paraId="69CAF76A"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Coconut oil</w:t>
            </w:r>
          </w:p>
        </w:tc>
        <w:tc>
          <w:tcPr>
            <w:tcW w:w="887" w:type="dxa"/>
          </w:tcPr>
          <w:p w14:paraId="2A829399"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~92</w:t>
            </w:r>
          </w:p>
        </w:tc>
        <w:tc>
          <w:tcPr>
            <w:tcW w:w="1316" w:type="dxa"/>
          </w:tcPr>
          <w:p w14:paraId="6E65123F"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~6</w:t>
            </w:r>
          </w:p>
        </w:tc>
        <w:tc>
          <w:tcPr>
            <w:tcW w:w="1217" w:type="dxa"/>
          </w:tcPr>
          <w:p w14:paraId="3679E789"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~2</w:t>
            </w:r>
          </w:p>
        </w:tc>
        <w:tc>
          <w:tcPr>
            <w:tcW w:w="863" w:type="dxa"/>
          </w:tcPr>
          <w:p w14:paraId="7DB434EE"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06" w:type="dxa"/>
          </w:tcPr>
          <w:p w14:paraId="055F7737"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59" w:type="dxa"/>
          </w:tcPr>
          <w:p w14:paraId="3A6D2A0F"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85" w:type="dxa"/>
          </w:tcPr>
          <w:p w14:paraId="08F35A51"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35" w:type="dxa"/>
          </w:tcPr>
          <w:p w14:paraId="7ADC993C"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177</w:t>
            </w:r>
          </w:p>
        </w:tc>
        <w:tc>
          <w:tcPr>
            <w:tcW w:w="870" w:type="dxa"/>
          </w:tcPr>
          <w:p w14:paraId="7BEF7B65"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Very High</w:t>
            </w:r>
          </w:p>
        </w:tc>
        <w:tc>
          <w:tcPr>
            <w:tcW w:w="890" w:type="dxa"/>
          </w:tcPr>
          <w:p w14:paraId="2D5DC169"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Very High</w:t>
            </w:r>
          </w:p>
        </w:tc>
        <w:tc>
          <w:tcPr>
            <w:tcW w:w="874" w:type="dxa"/>
          </w:tcPr>
          <w:p w14:paraId="00D1AC65"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928" w:type="dxa"/>
          </w:tcPr>
          <w:p w14:paraId="06CF4A9A"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928" w:type="dxa"/>
          </w:tcPr>
          <w:p w14:paraId="596DBA5B"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90" w:type="dxa"/>
          </w:tcPr>
          <w:p w14:paraId="6193142E"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Low</w:t>
            </w:r>
          </w:p>
        </w:tc>
      </w:tr>
      <w:tr w:rsidR="00FA36E4" w:rsidRPr="00856D27" w14:paraId="7C77D6BA" w14:textId="77777777" w:rsidTr="0021691B">
        <w:tc>
          <w:tcPr>
            <w:tcW w:w="900" w:type="dxa"/>
          </w:tcPr>
          <w:p w14:paraId="7E47C6D0"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Palm oil</w:t>
            </w:r>
          </w:p>
        </w:tc>
        <w:tc>
          <w:tcPr>
            <w:tcW w:w="887" w:type="dxa"/>
          </w:tcPr>
          <w:p w14:paraId="22A31772"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52</w:t>
            </w:r>
          </w:p>
        </w:tc>
        <w:tc>
          <w:tcPr>
            <w:tcW w:w="1316" w:type="dxa"/>
          </w:tcPr>
          <w:p w14:paraId="65C729E2"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38</w:t>
            </w:r>
          </w:p>
        </w:tc>
        <w:tc>
          <w:tcPr>
            <w:tcW w:w="1217" w:type="dxa"/>
          </w:tcPr>
          <w:p w14:paraId="249EA928"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10</w:t>
            </w:r>
          </w:p>
        </w:tc>
        <w:tc>
          <w:tcPr>
            <w:tcW w:w="863" w:type="dxa"/>
          </w:tcPr>
          <w:p w14:paraId="75CC2624"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35–45</w:t>
            </w:r>
          </w:p>
        </w:tc>
        <w:tc>
          <w:tcPr>
            <w:tcW w:w="806" w:type="dxa"/>
          </w:tcPr>
          <w:p w14:paraId="33E01F47"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40–52</w:t>
            </w:r>
          </w:p>
        </w:tc>
        <w:tc>
          <w:tcPr>
            <w:tcW w:w="859" w:type="dxa"/>
          </w:tcPr>
          <w:p w14:paraId="381CA55C"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8–12</w:t>
            </w:r>
          </w:p>
        </w:tc>
        <w:tc>
          <w:tcPr>
            <w:tcW w:w="885" w:type="dxa"/>
          </w:tcPr>
          <w:p w14:paraId="3E008799"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0.3–3</w:t>
            </w:r>
          </w:p>
        </w:tc>
        <w:tc>
          <w:tcPr>
            <w:tcW w:w="835" w:type="dxa"/>
          </w:tcPr>
          <w:p w14:paraId="355ED5DE"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230</w:t>
            </w:r>
          </w:p>
        </w:tc>
        <w:tc>
          <w:tcPr>
            <w:tcW w:w="870" w:type="dxa"/>
          </w:tcPr>
          <w:p w14:paraId="123F84F6"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High</w:t>
            </w:r>
          </w:p>
        </w:tc>
        <w:tc>
          <w:tcPr>
            <w:tcW w:w="890" w:type="dxa"/>
          </w:tcPr>
          <w:p w14:paraId="29DC86A5"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High</w:t>
            </w:r>
          </w:p>
        </w:tc>
        <w:tc>
          <w:tcPr>
            <w:tcW w:w="874" w:type="dxa"/>
          </w:tcPr>
          <w:p w14:paraId="0C26210A"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928" w:type="dxa"/>
          </w:tcPr>
          <w:p w14:paraId="2DCE3FD8"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928" w:type="dxa"/>
          </w:tcPr>
          <w:p w14:paraId="5C7418AF"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90" w:type="dxa"/>
          </w:tcPr>
          <w:p w14:paraId="6CE3DBE5"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Moderate</w:t>
            </w:r>
          </w:p>
        </w:tc>
      </w:tr>
      <w:tr w:rsidR="00FA36E4" w:rsidRPr="00856D27" w14:paraId="72700B43" w14:textId="77777777" w:rsidTr="0021691B">
        <w:tc>
          <w:tcPr>
            <w:tcW w:w="900" w:type="dxa"/>
          </w:tcPr>
          <w:p w14:paraId="1C758533"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Olive oil</w:t>
            </w:r>
          </w:p>
        </w:tc>
        <w:tc>
          <w:tcPr>
            <w:tcW w:w="887" w:type="dxa"/>
          </w:tcPr>
          <w:p w14:paraId="6383B118"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14</w:t>
            </w:r>
          </w:p>
        </w:tc>
        <w:tc>
          <w:tcPr>
            <w:tcW w:w="1316" w:type="dxa"/>
          </w:tcPr>
          <w:p w14:paraId="4E2DCF11"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73</w:t>
            </w:r>
          </w:p>
        </w:tc>
        <w:tc>
          <w:tcPr>
            <w:tcW w:w="1217" w:type="dxa"/>
          </w:tcPr>
          <w:p w14:paraId="4E6DA7DA"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11</w:t>
            </w:r>
          </w:p>
        </w:tc>
        <w:tc>
          <w:tcPr>
            <w:tcW w:w="863" w:type="dxa"/>
          </w:tcPr>
          <w:p w14:paraId="5FCD2684"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06" w:type="dxa"/>
          </w:tcPr>
          <w:p w14:paraId="5C4B8B5D"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59" w:type="dxa"/>
          </w:tcPr>
          <w:p w14:paraId="592E60D3"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85" w:type="dxa"/>
          </w:tcPr>
          <w:p w14:paraId="63456A06"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35" w:type="dxa"/>
          </w:tcPr>
          <w:p w14:paraId="79014D2E"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225</w:t>
            </w:r>
          </w:p>
        </w:tc>
        <w:tc>
          <w:tcPr>
            <w:tcW w:w="870" w:type="dxa"/>
          </w:tcPr>
          <w:p w14:paraId="41FAD838"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High</w:t>
            </w:r>
          </w:p>
        </w:tc>
        <w:tc>
          <w:tcPr>
            <w:tcW w:w="890" w:type="dxa"/>
          </w:tcPr>
          <w:p w14:paraId="4F45B595"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High</w:t>
            </w:r>
          </w:p>
        </w:tc>
        <w:tc>
          <w:tcPr>
            <w:tcW w:w="874" w:type="dxa"/>
          </w:tcPr>
          <w:p w14:paraId="4053FBC8"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15.51</w:t>
            </w:r>
          </w:p>
        </w:tc>
        <w:tc>
          <w:tcPr>
            <w:tcW w:w="928" w:type="dxa"/>
          </w:tcPr>
          <w:p w14:paraId="70EEFBA6"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928" w:type="dxa"/>
          </w:tcPr>
          <w:p w14:paraId="1B3900E6"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90" w:type="dxa"/>
          </w:tcPr>
          <w:p w14:paraId="74E4391D"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Moderate</w:t>
            </w:r>
          </w:p>
        </w:tc>
      </w:tr>
      <w:tr w:rsidR="00FA36E4" w:rsidRPr="00856D27" w14:paraId="40638859" w14:textId="77777777" w:rsidTr="0021691B">
        <w:tc>
          <w:tcPr>
            <w:tcW w:w="900" w:type="dxa"/>
          </w:tcPr>
          <w:p w14:paraId="4F6D01C0"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Avocado oil</w:t>
            </w:r>
          </w:p>
        </w:tc>
        <w:tc>
          <w:tcPr>
            <w:tcW w:w="887" w:type="dxa"/>
          </w:tcPr>
          <w:p w14:paraId="23E8F8B2"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12</w:t>
            </w:r>
          </w:p>
        </w:tc>
        <w:tc>
          <w:tcPr>
            <w:tcW w:w="1316" w:type="dxa"/>
          </w:tcPr>
          <w:p w14:paraId="3B998541"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74</w:t>
            </w:r>
          </w:p>
        </w:tc>
        <w:tc>
          <w:tcPr>
            <w:tcW w:w="1217" w:type="dxa"/>
          </w:tcPr>
          <w:p w14:paraId="0B99D81F"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14</w:t>
            </w:r>
          </w:p>
        </w:tc>
        <w:tc>
          <w:tcPr>
            <w:tcW w:w="863" w:type="dxa"/>
          </w:tcPr>
          <w:p w14:paraId="2804D802"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06" w:type="dxa"/>
          </w:tcPr>
          <w:p w14:paraId="5CDF87C9"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59" w:type="dxa"/>
          </w:tcPr>
          <w:p w14:paraId="066919AB"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85" w:type="dxa"/>
          </w:tcPr>
          <w:p w14:paraId="090A5AF7"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35" w:type="dxa"/>
          </w:tcPr>
          <w:p w14:paraId="6D505ECA"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271</w:t>
            </w:r>
          </w:p>
        </w:tc>
        <w:tc>
          <w:tcPr>
            <w:tcW w:w="870" w:type="dxa"/>
          </w:tcPr>
          <w:p w14:paraId="3F5159E7"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Very High</w:t>
            </w:r>
          </w:p>
        </w:tc>
        <w:tc>
          <w:tcPr>
            <w:tcW w:w="890" w:type="dxa"/>
          </w:tcPr>
          <w:p w14:paraId="2EF2C9C3"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Very High</w:t>
            </w:r>
          </w:p>
        </w:tc>
        <w:tc>
          <w:tcPr>
            <w:tcW w:w="874" w:type="dxa"/>
          </w:tcPr>
          <w:p w14:paraId="33330553"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928" w:type="dxa"/>
          </w:tcPr>
          <w:p w14:paraId="475FFF91"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928" w:type="dxa"/>
          </w:tcPr>
          <w:p w14:paraId="48DC4347"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90" w:type="dxa"/>
          </w:tcPr>
          <w:p w14:paraId="450DE052"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High</w:t>
            </w:r>
          </w:p>
        </w:tc>
      </w:tr>
      <w:tr w:rsidR="00FA36E4" w:rsidRPr="00856D27" w14:paraId="1C5FEBEA" w14:textId="77777777" w:rsidTr="0021691B">
        <w:tc>
          <w:tcPr>
            <w:tcW w:w="900" w:type="dxa"/>
          </w:tcPr>
          <w:p w14:paraId="4572A103"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Sunflower oil</w:t>
            </w:r>
          </w:p>
        </w:tc>
        <w:tc>
          <w:tcPr>
            <w:tcW w:w="887" w:type="dxa"/>
          </w:tcPr>
          <w:p w14:paraId="5997D265"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5–7</w:t>
            </w:r>
          </w:p>
        </w:tc>
        <w:tc>
          <w:tcPr>
            <w:tcW w:w="1316" w:type="dxa"/>
          </w:tcPr>
          <w:p w14:paraId="306F5285"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15–28</w:t>
            </w:r>
          </w:p>
        </w:tc>
        <w:tc>
          <w:tcPr>
            <w:tcW w:w="1217" w:type="dxa"/>
          </w:tcPr>
          <w:p w14:paraId="39BD8C63"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50–70</w:t>
            </w:r>
          </w:p>
        </w:tc>
        <w:tc>
          <w:tcPr>
            <w:tcW w:w="863" w:type="dxa"/>
          </w:tcPr>
          <w:p w14:paraId="37BF8429"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06" w:type="dxa"/>
          </w:tcPr>
          <w:p w14:paraId="493DFCB3"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59" w:type="dxa"/>
          </w:tcPr>
          <w:p w14:paraId="6A1436C4"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85" w:type="dxa"/>
          </w:tcPr>
          <w:p w14:paraId="2485F1F2"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0.1–0.5</w:t>
            </w:r>
          </w:p>
        </w:tc>
        <w:tc>
          <w:tcPr>
            <w:tcW w:w="835" w:type="dxa"/>
          </w:tcPr>
          <w:p w14:paraId="419F843D"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246</w:t>
            </w:r>
          </w:p>
        </w:tc>
        <w:tc>
          <w:tcPr>
            <w:tcW w:w="870" w:type="dxa"/>
          </w:tcPr>
          <w:p w14:paraId="1FA10243"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Medium</w:t>
            </w:r>
          </w:p>
        </w:tc>
        <w:tc>
          <w:tcPr>
            <w:tcW w:w="890" w:type="dxa"/>
          </w:tcPr>
          <w:p w14:paraId="7EE07F9B"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Medium</w:t>
            </w:r>
          </w:p>
        </w:tc>
        <w:tc>
          <w:tcPr>
            <w:tcW w:w="874" w:type="dxa"/>
          </w:tcPr>
          <w:p w14:paraId="058C5127"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928" w:type="dxa"/>
          </w:tcPr>
          <w:p w14:paraId="7311F1BF"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91.17</w:t>
            </w:r>
          </w:p>
        </w:tc>
        <w:tc>
          <w:tcPr>
            <w:tcW w:w="928" w:type="dxa"/>
          </w:tcPr>
          <w:p w14:paraId="12742F84"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2.51</w:t>
            </w:r>
          </w:p>
        </w:tc>
        <w:tc>
          <w:tcPr>
            <w:tcW w:w="890" w:type="dxa"/>
          </w:tcPr>
          <w:p w14:paraId="0E4F89A3"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Low</w:t>
            </w:r>
          </w:p>
        </w:tc>
      </w:tr>
      <w:tr w:rsidR="00FA36E4" w:rsidRPr="00856D27" w14:paraId="32D3B970" w14:textId="77777777" w:rsidTr="0021691B">
        <w:tc>
          <w:tcPr>
            <w:tcW w:w="900" w:type="dxa"/>
          </w:tcPr>
          <w:p w14:paraId="26EA1E3E"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Soybean oil</w:t>
            </w:r>
          </w:p>
        </w:tc>
        <w:tc>
          <w:tcPr>
            <w:tcW w:w="887" w:type="dxa"/>
          </w:tcPr>
          <w:p w14:paraId="7E96E6C5"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15</w:t>
            </w:r>
          </w:p>
        </w:tc>
        <w:tc>
          <w:tcPr>
            <w:tcW w:w="1316" w:type="dxa"/>
          </w:tcPr>
          <w:p w14:paraId="7E2000E2"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24</w:t>
            </w:r>
          </w:p>
        </w:tc>
        <w:tc>
          <w:tcPr>
            <w:tcW w:w="1217" w:type="dxa"/>
          </w:tcPr>
          <w:p w14:paraId="2CCEDEE8"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61</w:t>
            </w:r>
          </w:p>
        </w:tc>
        <w:tc>
          <w:tcPr>
            <w:tcW w:w="863" w:type="dxa"/>
          </w:tcPr>
          <w:p w14:paraId="174A270D"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7–12</w:t>
            </w:r>
          </w:p>
        </w:tc>
        <w:tc>
          <w:tcPr>
            <w:tcW w:w="806" w:type="dxa"/>
          </w:tcPr>
          <w:p w14:paraId="12C8DD1D"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19–30</w:t>
            </w:r>
          </w:p>
        </w:tc>
        <w:tc>
          <w:tcPr>
            <w:tcW w:w="859" w:type="dxa"/>
          </w:tcPr>
          <w:p w14:paraId="3ED76EA3"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48–58</w:t>
            </w:r>
          </w:p>
        </w:tc>
        <w:tc>
          <w:tcPr>
            <w:tcW w:w="885" w:type="dxa"/>
          </w:tcPr>
          <w:p w14:paraId="69BC3988"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5–10</w:t>
            </w:r>
          </w:p>
        </w:tc>
        <w:tc>
          <w:tcPr>
            <w:tcW w:w="835" w:type="dxa"/>
          </w:tcPr>
          <w:p w14:paraId="74F7F9D5"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241</w:t>
            </w:r>
          </w:p>
        </w:tc>
        <w:tc>
          <w:tcPr>
            <w:tcW w:w="870" w:type="dxa"/>
          </w:tcPr>
          <w:p w14:paraId="68386201"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Medium</w:t>
            </w:r>
          </w:p>
        </w:tc>
        <w:tc>
          <w:tcPr>
            <w:tcW w:w="890" w:type="dxa"/>
          </w:tcPr>
          <w:p w14:paraId="5614A37E"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Medium</w:t>
            </w:r>
          </w:p>
        </w:tc>
        <w:tc>
          <w:tcPr>
            <w:tcW w:w="874" w:type="dxa"/>
          </w:tcPr>
          <w:p w14:paraId="70D0FE86"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8.31</w:t>
            </w:r>
          </w:p>
        </w:tc>
        <w:tc>
          <w:tcPr>
            <w:tcW w:w="928" w:type="dxa"/>
          </w:tcPr>
          <w:p w14:paraId="1CC14E26"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0.88</w:t>
            </w:r>
          </w:p>
        </w:tc>
        <w:tc>
          <w:tcPr>
            <w:tcW w:w="928" w:type="dxa"/>
          </w:tcPr>
          <w:p w14:paraId="3EDFB7D6"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32.16</w:t>
            </w:r>
          </w:p>
        </w:tc>
        <w:tc>
          <w:tcPr>
            <w:tcW w:w="890" w:type="dxa"/>
          </w:tcPr>
          <w:p w14:paraId="279C50C7"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Moderate</w:t>
            </w:r>
          </w:p>
        </w:tc>
      </w:tr>
      <w:tr w:rsidR="00FA36E4" w:rsidRPr="00856D27" w14:paraId="35C77361" w14:textId="77777777" w:rsidTr="0021691B">
        <w:tc>
          <w:tcPr>
            <w:tcW w:w="900" w:type="dxa"/>
          </w:tcPr>
          <w:p w14:paraId="7F7DBAAD"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Corn oil</w:t>
            </w:r>
          </w:p>
        </w:tc>
        <w:tc>
          <w:tcPr>
            <w:tcW w:w="887" w:type="dxa"/>
          </w:tcPr>
          <w:p w14:paraId="156F7982"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13</w:t>
            </w:r>
          </w:p>
        </w:tc>
        <w:tc>
          <w:tcPr>
            <w:tcW w:w="1316" w:type="dxa"/>
          </w:tcPr>
          <w:p w14:paraId="70953109"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25</w:t>
            </w:r>
          </w:p>
        </w:tc>
        <w:tc>
          <w:tcPr>
            <w:tcW w:w="1217" w:type="dxa"/>
          </w:tcPr>
          <w:p w14:paraId="26872B0B"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62</w:t>
            </w:r>
          </w:p>
        </w:tc>
        <w:tc>
          <w:tcPr>
            <w:tcW w:w="863" w:type="dxa"/>
          </w:tcPr>
          <w:p w14:paraId="2A8B19BE"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06" w:type="dxa"/>
          </w:tcPr>
          <w:p w14:paraId="35675236"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59" w:type="dxa"/>
          </w:tcPr>
          <w:p w14:paraId="57C9A055"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85" w:type="dxa"/>
          </w:tcPr>
          <w:p w14:paraId="6D18B7FD"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35" w:type="dxa"/>
          </w:tcPr>
          <w:p w14:paraId="68576051"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236</w:t>
            </w:r>
          </w:p>
        </w:tc>
        <w:tc>
          <w:tcPr>
            <w:tcW w:w="870" w:type="dxa"/>
          </w:tcPr>
          <w:p w14:paraId="7B16E38E"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Medium</w:t>
            </w:r>
          </w:p>
        </w:tc>
        <w:tc>
          <w:tcPr>
            <w:tcW w:w="890" w:type="dxa"/>
          </w:tcPr>
          <w:p w14:paraId="3824C083"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Medium</w:t>
            </w:r>
          </w:p>
        </w:tc>
        <w:tc>
          <w:tcPr>
            <w:tcW w:w="874" w:type="dxa"/>
          </w:tcPr>
          <w:p w14:paraId="74FA3A3A"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928" w:type="dxa"/>
          </w:tcPr>
          <w:p w14:paraId="3E98BEB4"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928" w:type="dxa"/>
          </w:tcPr>
          <w:p w14:paraId="04D8CE25"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90" w:type="dxa"/>
          </w:tcPr>
          <w:p w14:paraId="0C691140"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Moderate</w:t>
            </w:r>
          </w:p>
        </w:tc>
      </w:tr>
      <w:tr w:rsidR="00FA36E4" w:rsidRPr="00856D27" w14:paraId="567D508B" w14:textId="77777777" w:rsidTr="0021691B">
        <w:tc>
          <w:tcPr>
            <w:tcW w:w="900" w:type="dxa"/>
          </w:tcPr>
          <w:p w14:paraId="3FA233BE"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Canola oil</w:t>
            </w:r>
          </w:p>
        </w:tc>
        <w:tc>
          <w:tcPr>
            <w:tcW w:w="887" w:type="dxa"/>
          </w:tcPr>
          <w:p w14:paraId="4CA7E241"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1–3</w:t>
            </w:r>
          </w:p>
        </w:tc>
        <w:tc>
          <w:tcPr>
            <w:tcW w:w="1316" w:type="dxa"/>
          </w:tcPr>
          <w:p w14:paraId="5F9FB679"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48–64</w:t>
            </w:r>
          </w:p>
        </w:tc>
        <w:tc>
          <w:tcPr>
            <w:tcW w:w="1217" w:type="dxa"/>
          </w:tcPr>
          <w:p w14:paraId="0D281827"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18–25</w:t>
            </w:r>
          </w:p>
        </w:tc>
        <w:tc>
          <w:tcPr>
            <w:tcW w:w="863" w:type="dxa"/>
          </w:tcPr>
          <w:p w14:paraId="56333BA0"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06" w:type="dxa"/>
          </w:tcPr>
          <w:p w14:paraId="06835074"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59" w:type="dxa"/>
          </w:tcPr>
          <w:p w14:paraId="76B2381F"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85" w:type="dxa"/>
          </w:tcPr>
          <w:p w14:paraId="2E1FF021"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8–12</w:t>
            </w:r>
          </w:p>
        </w:tc>
        <w:tc>
          <w:tcPr>
            <w:tcW w:w="835" w:type="dxa"/>
          </w:tcPr>
          <w:p w14:paraId="1A4BE700"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~204</w:t>
            </w:r>
          </w:p>
        </w:tc>
        <w:tc>
          <w:tcPr>
            <w:tcW w:w="870" w:type="dxa"/>
          </w:tcPr>
          <w:p w14:paraId="6CE9A9A3"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Medium</w:t>
            </w:r>
          </w:p>
        </w:tc>
        <w:tc>
          <w:tcPr>
            <w:tcW w:w="890" w:type="dxa"/>
          </w:tcPr>
          <w:p w14:paraId="5B1DCCB9"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Medium</w:t>
            </w:r>
          </w:p>
        </w:tc>
        <w:tc>
          <w:tcPr>
            <w:tcW w:w="874" w:type="dxa"/>
          </w:tcPr>
          <w:p w14:paraId="2143AE73"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928" w:type="dxa"/>
          </w:tcPr>
          <w:p w14:paraId="3C883211"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928" w:type="dxa"/>
          </w:tcPr>
          <w:p w14:paraId="4FF58A2B"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90" w:type="dxa"/>
          </w:tcPr>
          <w:p w14:paraId="19C28537"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High</w:t>
            </w:r>
          </w:p>
        </w:tc>
      </w:tr>
      <w:tr w:rsidR="00FA36E4" w:rsidRPr="00856D27" w14:paraId="1D229427" w14:textId="77777777" w:rsidTr="0021691B">
        <w:tc>
          <w:tcPr>
            <w:tcW w:w="900" w:type="dxa"/>
          </w:tcPr>
          <w:p w14:paraId="2087BBDD"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Hemp oil</w:t>
            </w:r>
          </w:p>
        </w:tc>
        <w:tc>
          <w:tcPr>
            <w:tcW w:w="887" w:type="dxa"/>
          </w:tcPr>
          <w:p w14:paraId="123EDF2F"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9</w:t>
            </w:r>
          </w:p>
        </w:tc>
        <w:tc>
          <w:tcPr>
            <w:tcW w:w="1316" w:type="dxa"/>
          </w:tcPr>
          <w:p w14:paraId="1104D602"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12</w:t>
            </w:r>
          </w:p>
        </w:tc>
        <w:tc>
          <w:tcPr>
            <w:tcW w:w="1217" w:type="dxa"/>
          </w:tcPr>
          <w:p w14:paraId="0192CC98"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79</w:t>
            </w:r>
          </w:p>
        </w:tc>
        <w:tc>
          <w:tcPr>
            <w:tcW w:w="863" w:type="dxa"/>
          </w:tcPr>
          <w:p w14:paraId="77BF89BB"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06" w:type="dxa"/>
          </w:tcPr>
          <w:p w14:paraId="0A13B2B7"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59" w:type="dxa"/>
          </w:tcPr>
          <w:p w14:paraId="30BBC529"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85" w:type="dxa"/>
          </w:tcPr>
          <w:p w14:paraId="2E8795F4"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35" w:type="dxa"/>
          </w:tcPr>
          <w:p w14:paraId="2290863D"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236</w:t>
            </w:r>
          </w:p>
        </w:tc>
        <w:tc>
          <w:tcPr>
            <w:tcW w:w="870" w:type="dxa"/>
          </w:tcPr>
          <w:p w14:paraId="1D7A8869"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Low</w:t>
            </w:r>
          </w:p>
        </w:tc>
        <w:tc>
          <w:tcPr>
            <w:tcW w:w="890" w:type="dxa"/>
          </w:tcPr>
          <w:p w14:paraId="00CFEB1B"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Low</w:t>
            </w:r>
          </w:p>
        </w:tc>
        <w:tc>
          <w:tcPr>
            <w:tcW w:w="874" w:type="dxa"/>
          </w:tcPr>
          <w:p w14:paraId="437B1ECF"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928" w:type="dxa"/>
          </w:tcPr>
          <w:p w14:paraId="6559C749"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928" w:type="dxa"/>
          </w:tcPr>
          <w:p w14:paraId="403F29E4"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90" w:type="dxa"/>
          </w:tcPr>
          <w:p w14:paraId="5236D8A8"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Low</w:t>
            </w:r>
          </w:p>
        </w:tc>
      </w:tr>
      <w:tr w:rsidR="00FA36E4" w:rsidRPr="00856D27" w14:paraId="19BF8382" w14:textId="77777777" w:rsidTr="0021691B">
        <w:tc>
          <w:tcPr>
            <w:tcW w:w="900" w:type="dxa"/>
          </w:tcPr>
          <w:p w14:paraId="529A5DF4"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Sesame oil</w:t>
            </w:r>
          </w:p>
        </w:tc>
        <w:tc>
          <w:tcPr>
            <w:tcW w:w="887" w:type="dxa"/>
          </w:tcPr>
          <w:p w14:paraId="071345EA"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1316" w:type="dxa"/>
          </w:tcPr>
          <w:p w14:paraId="096DE78C"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1217" w:type="dxa"/>
          </w:tcPr>
          <w:p w14:paraId="5858888D"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63" w:type="dxa"/>
          </w:tcPr>
          <w:p w14:paraId="577B66E2"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06" w:type="dxa"/>
          </w:tcPr>
          <w:p w14:paraId="3426C7E4"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59" w:type="dxa"/>
          </w:tcPr>
          <w:p w14:paraId="4ECF3CDC"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85" w:type="dxa"/>
          </w:tcPr>
          <w:p w14:paraId="7F5EA540"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35" w:type="dxa"/>
          </w:tcPr>
          <w:p w14:paraId="6CF68694"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~210</w:t>
            </w:r>
          </w:p>
        </w:tc>
        <w:tc>
          <w:tcPr>
            <w:tcW w:w="870" w:type="dxa"/>
          </w:tcPr>
          <w:p w14:paraId="4895BF32"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Medium</w:t>
            </w:r>
          </w:p>
        </w:tc>
        <w:tc>
          <w:tcPr>
            <w:tcW w:w="890" w:type="dxa"/>
          </w:tcPr>
          <w:p w14:paraId="33D4BC81"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Medium</w:t>
            </w:r>
          </w:p>
        </w:tc>
        <w:tc>
          <w:tcPr>
            <w:tcW w:w="874" w:type="dxa"/>
          </w:tcPr>
          <w:p w14:paraId="03506474"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928" w:type="dxa"/>
          </w:tcPr>
          <w:p w14:paraId="3E2A6379"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0.60</w:t>
            </w:r>
          </w:p>
        </w:tc>
        <w:tc>
          <w:tcPr>
            <w:tcW w:w="928" w:type="dxa"/>
          </w:tcPr>
          <w:p w14:paraId="7B36EEAD"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63.32</w:t>
            </w:r>
          </w:p>
        </w:tc>
        <w:tc>
          <w:tcPr>
            <w:tcW w:w="890" w:type="dxa"/>
          </w:tcPr>
          <w:p w14:paraId="056F4BE7"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Moderate</w:t>
            </w:r>
          </w:p>
        </w:tc>
      </w:tr>
      <w:tr w:rsidR="00FA36E4" w:rsidRPr="00856D27" w14:paraId="08BF727D" w14:textId="77777777" w:rsidTr="0021691B">
        <w:tc>
          <w:tcPr>
            <w:tcW w:w="900" w:type="dxa"/>
          </w:tcPr>
          <w:p w14:paraId="6324DA9B"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Castor oil</w:t>
            </w:r>
          </w:p>
        </w:tc>
        <w:tc>
          <w:tcPr>
            <w:tcW w:w="887" w:type="dxa"/>
          </w:tcPr>
          <w:p w14:paraId="17E357FC"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1316" w:type="dxa"/>
          </w:tcPr>
          <w:p w14:paraId="07B312B3"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1217" w:type="dxa"/>
          </w:tcPr>
          <w:p w14:paraId="7BE120AF"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63" w:type="dxa"/>
          </w:tcPr>
          <w:p w14:paraId="06AFDA9B"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06" w:type="dxa"/>
          </w:tcPr>
          <w:p w14:paraId="236217B2"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59" w:type="dxa"/>
          </w:tcPr>
          <w:p w14:paraId="0533C1AA"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85" w:type="dxa"/>
          </w:tcPr>
          <w:p w14:paraId="2D993A80"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35" w:type="dxa"/>
          </w:tcPr>
          <w:p w14:paraId="6A660CA0"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~200</w:t>
            </w:r>
          </w:p>
        </w:tc>
        <w:tc>
          <w:tcPr>
            <w:tcW w:w="870" w:type="dxa"/>
          </w:tcPr>
          <w:p w14:paraId="67FF44F1"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Low</w:t>
            </w:r>
          </w:p>
        </w:tc>
        <w:tc>
          <w:tcPr>
            <w:tcW w:w="890" w:type="dxa"/>
          </w:tcPr>
          <w:p w14:paraId="4704C431"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Low</w:t>
            </w:r>
          </w:p>
        </w:tc>
        <w:tc>
          <w:tcPr>
            <w:tcW w:w="874" w:type="dxa"/>
          </w:tcPr>
          <w:p w14:paraId="1CE76232"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7.99</w:t>
            </w:r>
          </w:p>
        </w:tc>
        <w:tc>
          <w:tcPr>
            <w:tcW w:w="928" w:type="dxa"/>
          </w:tcPr>
          <w:p w14:paraId="73AEDC32"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928" w:type="dxa"/>
          </w:tcPr>
          <w:p w14:paraId="164267AC"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90" w:type="dxa"/>
          </w:tcPr>
          <w:p w14:paraId="0C8FEE8E"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Not preferred</w:t>
            </w:r>
          </w:p>
        </w:tc>
      </w:tr>
      <w:tr w:rsidR="00FA36E4" w:rsidRPr="00856D27" w14:paraId="623C8169" w14:textId="77777777" w:rsidTr="0021691B">
        <w:tc>
          <w:tcPr>
            <w:tcW w:w="900" w:type="dxa"/>
          </w:tcPr>
          <w:p w14:paraId="3397E207"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Sweet almond oil</w:t>
            </w:r>
          </w:p>
        </w:tc>
        <w:tc>
          <w:tcPr>
            <w:tcW w:w="887" w:type="dxa"/>
          </w:tcPr>
          <w:p w14:paraId="64C6FE5B"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1316" w:type="dxa"/>
          </w:tcPr>
          <w:p w14:paraId="4118E4C4"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1217" w:type="dxa"/>
          </w:tcPr>
          <w:p w14:paraId="730D08C5"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63" w:type="dxa"/>
          </w:tcPr>
          <w:p w14:paraId="5616580A"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06" w:type="dxa"/>
          </w:tcPr>
          <w:p w14:paraId="323C55D2"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59" w:type="dxa"/>
          </w:tcPr>
          <w:p w14:paraId="4FB51921"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85" w:type="dxa"/>
          </w:tcPr>
          <w:p w14:paraId="7191D789"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35" w:type="dxa"/>
          </w:tcPr>
          <w:p w14:paraId="030686BA"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~216</w:t>
            </w:r>
          </w:p>
        </w:tc>
        <w:tc>
          <w:tcPr>
            <w:tcW w:w="870" w:type="dxa"/>
          </w:tcPr>
          <w:p w14:paraId="2C6B4D09"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Medium</w:t>
            </w:r>
          </w:p>
        </w:tc>
        <w:tc>
          <w:tcPr>
            <w:tcW w:w="890" w:type="dxa"/>
          </w:tcPr>
          <w:p w14:paraId="2B772658"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Medium</w:t>
            </w:r>
          </w:p>
        </w:tc>
        <w:tc>
          <w:tcPr>
            <w:tcW w:w="874" w:type="dxa"/>
          </w:tcPr>
          <w:p w14:paraId="1506C0CF"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10.03</w:t>
            </w:r>
          </w:p>
        </w:tc>
        <w:tc>
          <w:tcPr>
            <w:tcW w:w="928" w:type="dxa"/>
          </w:tcPr>
          <w:p w14:paraId="3F1F7993"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928" w:type="dxa"/>
          </w:tcPr>
          <w:p w14:paraId="3587D4F8"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90" w:type="dxa"/>
          </w:tcPr>
          <w:p w14:paraId="3701FC65"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r>
      <w:tr w:rsidR="00FA36E4" w:rsidRPr="00856D27" w14:paraId="0911B8F7" w14:textId="77777777" w:rsidTr="0021691B">
        <w:tc>
          <w:tcPr>
            <w:tcW w:w="900" w:type="dxa"/>
          </w:tcPr>
          <w:p w14:paraId="463D875D"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Table oil (blended)</w:t>
            </w:r>
          </w:p>
        </w:tc>
        <w:tc>
          <w:tcPr>
            <w:tcW w:w="887" w:type="dxa"/>
          </w:tcPr>
          <w:p w14:paraId="417EDC0B"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1316" w:type="dxa"/>
          </w:tcPr>
          <w:p w14:paraId="3ACC62FF"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1217" w:type="dxa"/>
          </w:tcPr>
          <w:p w14:paraId="4DFE91AD"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63" w:type="dxa"/>
          </w:tcPr>
          <w:p w14:paraId="3A2766CD"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06" w:type="dxa"/>
          </w:tcPr>
          <w:p w14:paraId="149F8EDB"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59" w:type="dxa"/>
          </w:tcPr>
          <w:p w14:paraId="48382CDE"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85" w:type="dxa"/>
          </w:tcPr>
          <w:p w14:paraId="2E1E1B2A"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35" w:type="dxa"/>
          </w:tcPr>
          <w:p w14:paraId="5404DDEB"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~220</w:t>
            </w:r>
          </w:p>
        </w:tc>
        <w:tc>
          <w:tcPr>
            <w:tcW w:w="870" w:type="dxa"/>
          </w:tcPr>
          <w:p w14:paraId="59C25B08"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High</w:t>
            </w:r>
          </w:p>
        </w:tc>
        <w:tc>
          <w:tcPr>
            <w:tcW w:w="890" w:type="dxa"/>
          </w:tcPr>
          <w:p w14:paraId="102B39DF"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Medium</w:t>
            </w:r>
          </w:p>
        </w:tc>
        <w:tc>
          <w:tcPr>
            <w:tcW w:w="874" w:type="dxa"/>
          </w:tcPr>
          <w:p w14:paraId="6557CC11"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2.77</w:t>
            </w:r>
          </w:p>
        </w:tc>
        <w:tc>
          <w:tcPr>
            <w:tcW w:w="928" w:type="dxa"/>
          </w:tcPr>
          <w:p w14:paraId="743CA0E2"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928" w:type="dxa"/>
          </w:tcPr>
          <w:p w14:paraId="54F4EFD7"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90" w:type="dxa"/>
          </w:tcPr>
          <w:p w14:paraId="53A2011E"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Depends on blend</w:t>
            </w:r>
          </w:p>
        </w:tc>
      </w:tr>
      <w:tr w:rsidR="00FA36E4" w:rsidRPr="00856D27" w14:paraId="74AF7E32" w14:textId="77777777" w:rsidTr="0021691B">
        <w:tc>
          <w:tcPr>
            <w:tcW w:w="900" w:type="dxa"/>
          </w:tcPr>
          <w:p w14:paraId="07F17FC6"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Peanut oil</w:t>
            </w:r>
          </w:p>
        </w:tc>
        <w:tc>
          <w:tcPr>
            <w:tcW w:w="887" w:type="dxa"/>
          </w:tcPr>
          <w:p w14:paraId="56BF9091"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~18</w:t>
            </w:r>
          </w:p>
        </w:tc>
        <w:tc>
          <w:tcPr>
            <w:tcW w:w="1316" w:type="dxa"/>
          </w:tcPr>
          <w:p w14:paraId="0E19E904"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~46</w:t>
            </w:r>
          </w:p>
        </w:tc>
        <w:tc>
          <w:tcPr>
            <w:tcW w:w="1217" w:type="dxa"/>
          </w:tcPr>
          <w:p w14:paraId="130CE5DE"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~32</w:t>
            </w:r>
          </w:p>
        </w:tc>
        <w:tc>
          <w:tcPr>
            <w:tcW w:w="863" w:type="dxa"/>
          </w:tcPr>
          <w:p w14:paraId="70DB3DF4"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06" w:type="dxa"/>
          </w:tcPr>
          <w:p w14:paraId="25E49E59"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59" w:type="dxa"/>
          </w:tcPr>
          <w:p w14:paraId="4E9B749A"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85" w:type="dxa"/>
          </w:tcPr>
          <w:p w14:paraId="3CD52198"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35" w:type="dxa"/>
          </w:tcPr>
          <w:p w14:paraId="5776A267"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~232</w:t>
            </w:r>
          </w:p>
        </w:tc>
        <w:tc>
          <w:tcPr>
            <w:tcW w:w="870" w:type="dxa"/>
          </w:tcPr>
          <w:p w14:paraId="7D412F9E"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High</w:t>
            </w:r>
          </w:p>
        </w:tc>
        <w:tc>
          <w:tcPr>
            <w:tcW w:w="890" w:type="dxa"/>
          </w:tcPr>
          <w:p w14:paraId="48CCB74F"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High</w:t>
            </w:r>
          </w:p>
        </w:tc>
        <w:tc>
          <w:tcPr>
            <w:tcW w:w="874" w:type="dxa"/>
          </w:tcPr>
          <w:p w14:paraId="70A135BA"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928" w:type="dxa"/>
          </w:tcPr>
          <w:p w14:paraId="73970D37"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928" w:type="dxa"/>
          </w:tcPr>
          <w:p w14:paraId="04E2DF82"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w:t>
            </w:r>
          </w:p>
        </w:tc>
        <w:tc>
          <w:tcPr>
            <w:tcW w:w="890" w:type="dxa"/>
          </w:tcPr>
          <w:p w14:paraId="0EA540B1" w14:textId="77777777" w:rsidR="00FA36E4" w:rsidRPr="00856D27" w:rsidRDefault="00FA36E4" w:rsidP="0021691B">
            <w:pPr>
              <w:rPr>
                <w:rFonts w:ascii="Arabic Typesetting" w:hAnsi="Arabic Typesetting" w:cs="Arabic Typesetting"/>
              </w:rPr>
            </w:pPr>
            <w:r w:rsidRPr="00856D27">
              <w:rPr>
                <w:rFonts w:ascii="Arabic Typesetting" w:hAnsi="Arabic Typesetting" w:cs="Arabic Typesetting"/>
              </w:rPr>
              <w:t>High</w:t>
            </w:r>
          </w:p>
        </w:tc>
      </w:tr>
    </w:tbl>
    <w:p w14:paraId="5F8D71E0" w14:textId="77777777" w:rsidR="00FA36E4" w:rsidRDefault="00FA36E4" w:rsidP="0079196F">
      <w:pPr>
        <w:pStyle w:val="Title"/>
        <w:spacing w:after="120"/>
        <w:jc w:val="both"/>
        <w:rPr>
          <w:rFonts w:asciiTheme="majorBidi" w:eastAsia="Times New Roman" w:hAnsiTheme="majorBidi"/>
          <w:b/>
          <w:bCs/>
          <w:sz w:val="24"/>
          <w:szCs w:val="24"/>
          <w:lang w:eastAsia="en-GB"/>
        </w:rPr>
        <w:sectPr w:rsidR="00FA36E4" w:rsidSect="00FA36E4">
          <w:pgSz w:w="16838" w:h="11906" w:orient="landscape"/>
          <w:pgMar w:top="1440" w:right="1440" w:bottom="1440" w:left="1440" w:header="709" w:footer="709" w:gutter="0"/>
          <w:cols w:space="708"/>
          <w:docGrid w:linePitch="360"/>
        </w:sectPr>
      </w:pPr>
    </w:p>
    <w:p w14:paraId="7EBFAB86" w14:textId="1EA058E3" w:rsidR="008B635E" w:rsidRPr="00F22689" w:rsidRDefault="008B635E" w:rsidP="0079196F">
      <w:pPr>
        <w:pStyle w:val="Title"/>
        <w:spacing w:after="120"/>
        <w:jc w:val="both"/>
        <w:rPr>
          <w:rFonts w:asciiTheme="majorBidi" w:eastAsia="Times New Roman" w:hAnsiTheme="majorBidi"/>
          <w:b/>
          <w:bCs/>
          <w:sz w:val="24"/>
          <w:szCs w:val="24"/>
          <w:lang w:eastAsia="en-GB"/>
        </w:rPr>
      </w:pPr>
      <w:r w:rsidRPr="00F22689">
        <w:rPr>
          <w:rFonts w:asciiTheme="majorBidi" w:eastAsia="Times New Roman" w:hAnsiTheme="majorBidi"/>
          <w:b/>
          <w:bCs/>
          <w:sz w:val="24"/>
          <w:szCs w:val="24"/>
          <w:lang w:eastAsia="en-GB"/>
        </w:rPr>
        <w:lastRenderedPageBreak/>
        <w:t>References</w:t>
      </w:r>
    </w:p>
    <w:p w14:paraId="463E167C" w14:textId="77777777" w:rsidR="00462AF7" w:rsidRDefault="00462AF7" w:rsidP="00870FFE">
      <w:pPr>
        <w:pStyle w:val="ListParagraph"/>
        <w:numPr>
          <w:ilvl w:val="0"/>
          <w:numId w:val="23"/>
        </w:numPr>
        <w:spacing w:before="100" w:beforeAutospacing="1" w:after="100" w:afterAutospacing="1"/>
        <w:jc w:val="both"/>
      </w:pPr>
      <w:r>
        <w:t xml:space="preserve">Aoki, S., Koide, A., </w:t>
      </w:r>
      <w:proofErr w:type="spellStart"/>
      <w:r>
        <w:t>Imabayashi</w:t>
      </w:r>
      <w:proofErr w:type="spellEnd"/>
      <w:r>
        <w:t xml:space="preserve">, S., &amp; Watanabe, M. (2002). Novel thermosensitive </w:t>
      </w:r>
      <w:proofErr w:type="spellStart"/>
      <w:r>
        <w:t>polyethers</w:t>
      </w:r>
      <w:proofErr w:type="spellEnd"/>
      <w:r>
        <w:t xml:space="preserve"> prepared by anionic ring-opening polymerization of glycidyl ether derivatives. </w:t>
      </w:r>
      <w:r>
        <w:rPr>
          <w:rStyle w:val="Emphasis"/>
        </w:rPr>
        <w:t>Chemistry Letters, 32</w:t>
      </w:r>
      <w:r>
        <w:t xml:space="preserve">(8), 1128–1129. </w:t>
      </w:r>
      <w:hyperlink r:id="rId14" w:tgtFrame="_new" w:history="1">
        <w:r>
          <w:rPr>
            <w:rStyle w:val="Hyperlink"/>
          </w:rPr>
          <w:t>https://doi.org/10.1246/cl.2002.1128</w:t>
        </w:r>
      </w:hyperlink>
    </w:p>
    <w:p w14:paraId="56F170EE" w14:textId="77777777" w:rsidR="00462AF7" w:rsidRDefault="00462AF7" w:rsidP="00870FFE">
      <w:pPr>
        <w:pStyle w:val="ListParagraph"/>
        <w:numPr>
          <w:ilvl w:val="0"/>
          <w:numId w:val="23"/>
        </w:numPr>
        <w:spacing w:before="100" w:beforeAutospacing="1" w:after="100" w:afterAutospacing="1"/>
        <w:jc w:val="both"/>
      </w:pPr>
      <w:r>
        <w:t xml:space="preserve">Beattie, D. A., Mensah, J. A., </w:t>
      </w:r>
      <w:proofErr w:type="spellStart"/>
      <w:r>
        <w:t>Beaussart</w:t>
      </w:r>
      <w:proofErr w:type="spellEnd"/>
      <w:r>
        <w:t xml:space="preserve">, A., Franks, G. V., &amp; Yeap, K.-Y. (2014). In situ particle film ATR FTIR spectroscopy of </w:t>
      </w:r>
      <w:proofErr w:type="gramStart"/>
      <w:r>
        <w:t>poly(</w:t>
      </w:r>
      <w:proofErr w:type="gramEnd"/>
      <w:r>
        <w:t xml:space="preserve">N-isopropyl acrylamide) (PNIPAM) adsorption onto talc. </w:t>
      </w:r>
      <w:r>
        <w:rPr>
          <w:rStyle w:val="Emphasis"/>
        </w:rPr>
        <w:t>Physical Chemistry Chemical Physics, 16</w:t>
      </w:r>
      <w:r>
        <w:t xml:space="preserve">(44), 25143–25151. </w:t>
      </w:r>
      <w:hyperlink r:id="rId15" w:tgtFrame="_new" w:history="1">
        <w:r>
          <w:rPr>
            <w:rStyle w:val="Hyperlink"/>
          </w:rPr>
          <w:t>https://doi.org/10.1039/C4CP03000J</w:t>
        </w:r>
      </w:hyperlink>
    </w:p>
    <w:p w14:paraId="07864B28" w14:textId="77777777" w:rsidR="00462AF7" w:rsidRDefault="00462AF7" w:rsidP="00870FFE">
      <w:pPr>
        <w:pStyle w:val="ListParagraph"/>
        <w:numPr>
          <w:ilvl w:val="0"/>
          <w:numId w:val="23"/>
        </w:numPr>
        <w:spacing w:before="100" w:beforeAutospacing="1" w:after="100" w:afterAutospacing="1"/>
        <w:jc w:val="both"/>
      </w:pPr>
      <w:r>
        <w:t xml:space="preserve">Cao, X., Chen, Y., Chai, W., Zhang, W., Wang, Y., &amp; Fu, P.-F. (2015). </w:t>
      </w:r>
      <w:proofErr w:type="spellStart"/>
      <w:r>
        <w:t>Thermoresponsive</w:t>
      </w:r>
      <w:proofErr w:type="spellEnd"/>
      <w:r>
        <w:t xml:space="preserve"> self-assembled nanovesicles based on amphiphilic triblock copolymers and their potential applications as smart drug release carriers. </w:t>
      </w:r>
      <w:r>
        <w:rPr>
          <w:rStyle w:val="Emphasis"/>
        </w:rPr>
        <w:t>Journal of Applied Polymer Science, 132</w:t>
      </w:r>
      <w:r>
        <w:t xml:space="preserve">(18), 41361. </w:t>
      </w:r>
      <w:hyperlink r:id="rId16" w:tgtFrame="_new" w:history="1">
        <w:r>
          <w:rPr>
            <w:rStyle w:val="Hyperlink"/>
          </w:rPr>
          <w:t>https://doi.org/10.1002/app.41361</w:t>
        </w:r>
      </w:hyperlink>
    </w:p>
    <w:p w14:paraId="45FDF833" w14:textId="77777777" w:rsidR="00462AF7" w:rsidRDefault="00462AF7" w:rsidP="00870FFE">
      <w:pPr>
        <w:pStyle w:val="ListParagraph"/>
        <w:numPr>
          <w:ilvl w:val="0"/>
          <w:numId w:val="23"/>
        </w:numPr>
        <w:spacing w:before="100" w:beforeAutospacing="1" w:after="100" w:afterAutospacing="1"/>
        <w:jc w:val="both"/>
      </w:pPr>
      <w:r>
        <w:t xml:space="preserve">Chen, S., Wang, K., &amp; Zhang, W. (2017). A new </w:t>
      </w:r>
      <w:proofErr w:type="spellStart"/>
      <w:r>
        <w:t>thermoresponsive</w:t>
      </w:r>
      <w:proofErr w:type="spellEnd"/>
      <w:r>
        <w:t xml:space="preserve"> polymer of </w:t>
      </w:r>
      <w:proofErr w:type="gramStart"/>
      <w:r>
        <w:t>poly(</w:t>
      </w:r>
      <w:proofErr w:type="gramEnd"/>
      <w:r>
        <w:t>N-</w:t>
      </w:r>
      <w:proofErr w:type="spellStart"/>
      <w:r>
        <w:t>acryloylsarcosine</w:t>
      </w:r>
      <w:proofErr w:type="spellEnd"/>
      <w:r>
        <w:t xml:space="preserve"> methyl ester) with </w:t>
      </w:r>
      <w:proofErr w:type="spellStart"/>
      <w:r>
        <w:t>tunable</w:t>
      </w:r>
      <w:proofErr w:type="spellEnd"/>
      <w:r>
        <w:t xml:space="preserve"> LCST. </w:t>
      </w:r>
      <w:r>
        <w:rPr>
          <w:rStyle w:val="Emphasis"/>
        </w:rPr>
        <w:t>Polymer Chemistry, 8</w:t>
      </w:r>
      <w:r>
        <w:t xml:space="preserve">(14), 3090–3101. </w:t>
      </w:r>
      <w:hyperlink r:id="rId17" w:tgtFrame="_new" w:history="1">
        <w:r>
          <w:rPr>
            <w:rStyle w:val="Hyperlink"/>
          </w:rPr>
          <w:t>https://doi.org/10.1039/C7PY00293E</w:t>
        </w:r>
      </w:hyperlink>
    </w:p>
    <w:p w14:paraId="3B279EFC" w14:textId="77777777" w:rsidR="00462AF7" w:rsidRDefault="00462AF7" w:rsidP="00870FFE">
      <w:pPr>
        <w:pStyle w:val="ListParagraph"/>
        <w:numPr>
          <w:ilvl w:val="0"/>
          <w:numId w:val="23"/>
        </w:numPr>
        <w:spacing w:before="100" w:beforeAutospacing="1" w:after="100" w:afterAutospacing="1"/>
        <w:jc w:val="both"/>
      </w:pPr>
      <w:r>
        <w:t xml:space="preserve">Chen, Y., Xiao, N., Fukuoka, M., Yoshida, K., Duan, Q., Satoh, T., &amp; </w:t>
      </w:r>
      <w:proofErr w:type="spellStart"/>
      <w:r>
        <w:t>Kakuchi</w:t>
      </w:r>
      <w:proofErr w:type="spellEnd"/>
      <w:r>
        <w:t xml:space="preserve">, T. (2015). Synthesis and </w:t>
      </w:r>
      <w:proofErr w:type="spellStart"/>
      <w:r>
        <w:t>thermoresponsive</w:t>
      </w:r>
      <w:proofErr w:type="spellEnd"/>
      <w:r>
        <w:t xml:space="preserve"> properties of four-arm star-shaped poly(N-</w:t>
      </w:r>
      <w:proofErr w:type="gramStart"/>
      <w:r>
        <w:t>isopropylacrylamide)s</w:t>
      </w:r>
      <w:proofErr w:type="gramEnd"/>
      <w:r>
        <w:t xml:space="preserve"> bearing covalent and non-covalent cores. </w:t>
      </w:r>
      <w:r>
        <w:rPr>
          <w:rStyle w:val="Emphasis"/>
        </w:rPr>
        <w:t>Polymer Chemistry, 6</w:t>
      </w:r>
      <w:r>
        <w:t xml:space="preserve">(20), 3608–3616. </w:t>
      </w:r>
      <w:hyperlink r:id="rId18" w:tgtFrame="_new" w:history="1">
        <w:r>
          <w:rPr>
            <w:rStyle w:val="Hyperlink"/>
          </w:rPr>
          <w:t>https://doi.org/10.1039/C5PY00153H</w:t>
        </w:r>
      </w:hyperlink>
    </w:p>
    <w:p w14:paraId="0FF4766D" w14:textId="77777777" w:rsidR="000B68F6" w:rsidRDefault="000B68F6" w:rsidP="000B68F6">
      <w:pPr>
        <w:numPr>
          <w:ilvl w:val="0"/>
          <w:numId w:val="23"/>
        </w:numPr>
        <w:spacing w:before="100" w:beforeAutospacing="1" w:after="100" w:afterAutospacing="1" w:line="240" w:lineRule="auto"/>
        <w:jc w:val="both"/>
      </w:pPr>
      <w:r>
        <w:t>Choe, E., &amp; Min, D. B. (2007). Chemistry of deep-fat frying oils. Journal of Food Science, 72(5), R77–R86. https://doi.org/10.1111/j.1750-3841.2007.00481.x</w:t>
      </w:r>
    </w:p>
    <w:p w14:paraId="7A0AF6F2" w14:textId="77777777" w:rsidR="00462AF7" w:rsidRDefault="00462AF7" w:rsidP="00870FFE">
      <w:pPr>
        <w:pStyle w:val="ListParagraph"/>
        <w:numPr>
          <w:ilvl w:val="0"/>
          <w:numId w:val="23"/>
        </w:numPr>
        <w:spacing w:before="100" w:beforeAutospacing="1" w:after="100" w:afterAutospacing="1"/>
        <w:jc w:val="both"/>
      </w:pPr>
      <w:r>
        <w:t xml:space="preserve">Cui, H.-W., Chu, W.-C., Chen, J.-K., &amp; Kuo, S.-W. (2014). Complementary multiple hydrogen bonds stabilize thermo-sensitive supramolecular structures prepared from </w:t>
      </w:r>
      <w:proofErr w:type="gramStart"/>
      <w:r>
        <w:t>poly(</w:t>
      </w:r>
      <w:proofErr w:type="gramEnd"/>
      <w:r>
        <w:t xml:space="preserve">N-isopropyl acrylamide) and adenine-functionalized </w:t>
      </w:r>
      <w:proofErr w:type="gramStart"/>
      <w:r>
        <w:t>poly(</w:t>
      </w:r>
      <w:proofErr w:type="gramEnd"/>
      <w:r>
        <w:t xml:space="preserve">ethylene oxide). </w:t>
      </w:r>
      <w:r>
        <w:rPr>
          <w:rStyle w:val="Emphasis"/>
        </w:rPr>
        <w:t>European Polymer Journal, 50</w:t>
      </w:r>
      <w:r>
        <w:t xml:space="preserve">, 168–176. </w:t>
      </w:r>
      <w:hyperlink r:id="rId19" w:tgtFrame="_new" w:history="1">
        <w:r>
          <w:rPr>
            <w:rStyle w:val="Hyperlink"/>
          </w:rPr>
          <w:t>https://doi.org/10.1016/j.eurpolymj.2013.09.012</w:t>
        </w:r>
      </w:hyperlink>
    </w:p>
    <w:p w14:paraId="11B0941C" w14:textId="77777777" w:rsidR="00462AF7" w:rsidRDefault="00462AF7" w:rsidP="00870FFE">
      <w:pPr>
        <w:pStyle w:val="ListParagraph"/>
        <w:numPr>
          <w:ilvl w:val="0"/>
          <w:numId w:val="23"/>
        </w:numPr>
        <w:spacing w:before="100" w:beforeAutospacing="1" w:after="100" w:afterAutospacing="1"/>
        <w:jc w:val="both"/>
      </w:pPr>
      <w:r>
        <w:t xml:space="preserve">Danko, M., </w:t>
      </w:r>
      <w:proofErr w:type="spellStart"/>
      <w:r>
        <w:t>Kronekova</w:t>
      </w:r>
      <w:proofErr w:type="spellEnd"/>
      <w:r>
        <w:t xml:space="preserve">, Z., </w:t>
      </w:r>
      <w:proofErr w:type="spellStart"/>
      <w:r>
        <w:t>Mrlik</w:t>
      </w:r>
      <w:proofErr w:type="spellEnd"/>
      <w:r>
        <w:t xml:space="preserve">, M., </w:t>
      </w:r>
      <w:proofErr w:type="spellStart"/>
      <w:r>
        <w:t>Osicka</w:t>
      </w:r>
      <w:proofErr w:type="spellEnd"/>
      <w:r>
        <w:t xml:space="preserve">, J., Yousaf, A. B., </w:t>
      </w:r>
      <w:proofErr w:type="spellStart"/>
      <w:r>
        <w:t>Durackova</w:t>
      </w:r>
      <w:proofErr w:type="spellEnd"/>
      <w:r>
        <w:t xml:space="preserve">, A., Tkac, J., &amp; Kasak, P. (2019). </w:t>
      </w:r>
      <w:proofErr w:type="spellStart"/>
      <w:r>
        <w:t>Sulfobetaines</w:t>
      </w:r>
      <w:proofErr w:type="spellEnd"/>
      <w:r>
        <w:t xml:space="preserve"> meet </w:t>
      </w:r>
      <w:proofErr w:type="spellStart"/>
      <w:r>
        <w:t>carboxybetaines</w:t>
      </w:r>
      <w:proofErr w:type="spellEnd"/>
      <w:r>
        <w:t xml:space="preserve">: Modulation of thermo- and ion-responsivity, water structure, mechanical properties, and cell adhesion. </w:t>
      </w:r>
      <w:r>
        <w:rPr>
          <w:rStyle w:val="Emphasis"/>
        </w:rPr>
        <w:t>Langmuir, 35</w:t>
      </w:r>
      <w:r>
        <w:t xml:space="preserve">(4), 1391–1430. </w:t>
      </w:r>
      <w:hyperlink r:id="rId20" w:tgtFrame="_new" w:history="1">
        <w:r>
          <w:rPr>
            <w:rStyle w:val="Hyperlink"/>
          </w:rPr>
          <w:t>https://doi.org/10.1021/acs.langmuir.8b03339</w:t>
        </w:r>
      </w:hyperlink>
    </w:p>
    <w:p w14:paraId="3E2EA2C1" w14:textId="77777777" w:rsidR="00462AF7" w:rsidRDefault="00462AF7" w:rsidP="00870FFE">
      <w:pPr>
        <w:pStyle w:val="ListParagraph"/>
        <w:numPr>
          <w:ilvl w:val="0"/>
          <w:numId w:val="23"/>
        </w:numPr>
        <w:spacing w:before="100" w:beforeAutospacing="1" w:after="100" w:afterAutospacing="1"/>
        <w:jc w:val="both"/>
      </w:pPr>
      <w:r>
        <w:t xml:space="preserve">Fine, A., Morita, T., &amp; Tsuji, H. (2016). High-temperature cooking of oils: Oil content and composition, and their effects on oil quality. </w:t>
      </w:r>
      <w:r>
        <w:rPr>
          <w:rStyle w:val="Emphasis"/>
        </w:rPr>
        <w:t>Journal of Food Science, 81</w:t>
      </w:r>
      <w:r>
        <w:t xml:space="preserve">(2), 501–506. </w:t>
      </w:r>
      <w:hyperlink r:id="rId21" w:tgtFrame="_new" w:history="1">
        <w:r>
          <w:rPr>
            <w:rStyle w:val="Hyperlink"/>
          </w:rPr>
          <w:t>https://doi.org/10.1111/1750-3841.13163</w:t>
        </w:r>
      </w:hyperlink>
    </w:p>
    <w:p w14:paraId="1E26A2E0" w14:textId="77777777" w:rsidR="00462AF7" w:rsidRDefault="00462AF7" w:rsidP="00870FFE">
      <w:pPr>
        <w:pStyle w:val="ListParagraph"/>
        <w:numPr>
          <w:ilvl w:val="0"/>
          <w:numId w:val="23"/>
        </w:numPr>
        <w:spacing w:before="100" w:beforeAutospacing="1" w:after="100" w:afterAutospacing="1"/>
        <w:jc w:val="both"/>
      </w:pPr>
      <w:r>
        <w:t xml:space="preserve">Firestone, D. (2007). The role of regulations in ensuring the safety of cooking oils. </w:t>
      </w:r>
      <w:r>
        <w:rPr>
          <w:rStyle w:val="Emphasis"/>
        </w:rPr>
        <w:t>Journal of the American Oil Chemists' Society, 84</w:t>
      </w:r>
      <w:r>
        <w:t xml:space="preserve">(6), 506. </w:t>
      </w:r>
      <w:hyperlink r:id="rId22" w:tgtFrame="_new" w:history="1">
        <w:r>
          <w:rPr>
            <w:rStyle w:val="Hyperlink"/>
          </w:rPr>
          <w:t>https://doi.org/10.1007/s11746-007-0912-5</w:t>
        </w:r>
      </w:hyperlink>
    </w:p>
    <w:p w14:paraId="4B434045" w14:textId="77777777" w:rsidR="00462AF7" w:rsidRDefault="00462AF7" w:rsidP="00870FFE">
      <w:pPr>
        <w:pStyle w:val="ListParagraph"/>
        <w:numPr>
          <w:ilvl w:val="0"/>
          <w:numId w:val="23"/>
        </w:numPr>
        <w:spacing w:before="100" w:beforeAutospacing="1" w:after="100" w:afterAutospacing="1"/>
        <w:jc w:val="both"/>
      </w:pPr>
      <w:r>
        <w:t xml:space="preserve">Ferrusca, J., López, R. T., &amp; Valenzuela, J. (2023). Catalytic processes for biodiesel production from waste cooking oil. </w:t>
      </w:r>
      <w:r>
        <w:rPr>
          <w:rStyle w:val="Emphasis"/>
        </w:rPr>
        <w:t>Catalysis Today, 392</w:t>
      </w:r>
      <w:r>
        <w:t xml:space="preserve">, 172–180. </w:t>
      </w:r>
      <w:hyperlink r:id="rId23" w:tgtFrame="_new" w:history="1">
        <w:r>
          <w:rPr>
            <w:rStyle w:val="Hyperlink"/>
          </w:rPr>
          <w:t>https://doi.org/10.1016/j.cattod.2022.08.013</w:t>
        </w:r>
      </w:hyperlink>
    </w:p>
    <w:p w14:paraId="6E05692F" w14:textId="77777777" w:rsidR="00462AF7" w:rsidRDefault="00462AF7" w:rsidP="00870FFE">
      <w:pPr>
        <w:pStyle w:val="ListParagraph"/>
        <w:numPr>
          <w:ilvl w:val="0"/>
          <w:numId w:val="23"/>
        </w:numPr>
        <w:spacing w:before="100" w:beforeAutospacing="1" w:after="100" w:afterAutospacing="1"/>
        <w:jc w:val="both"/>
      </w:pPr>
      <w:r>
        <w:t xml:space="preserve">Gadiraju, T., Chitra, K., &amp; Aswathi, P. (2015). Fried food consumption and cardiovascular disease risks: A review. </w:t>
      </w:r>
      <w:r>
        <w:rPr>
          <w:rStyle w:val="Emphasis"/>
        </w:rPr>
        <w:t>Indian Journal of Community Medicine, 40</w:t>
      </w:r>
      <w:r>
        <w:t xml:space="preserve">(4), 234–239. </w:t>
      </w:r>
      <w:hyperlink r:id="rId24" w:tgtFrame="_new" w:history="1">
        <w:r>
          <w:rPr>
            <w:rStyle w:val="Hyperlink"/>
          </w:rPr>
          <w:t>https://doi.org/10.4103/0970-0218.169553</w:t>
        </w:r>
      </w:hyperlink>
    </w:p>
    <w:p w14:paraId="60A13346" w14:textId="77777777" w:rsidR="00462AF7" w:rsidRDefault="00462AF7" w:rsidP="00870FFE">
      <w:pPr>
        <w:pStyle w:val="ListParagraph"/>
        <w:numPr>
          <w:ilvl w:val="0"/>
          <w:numId w:val="23"/>
        </w:numPr>
        <w:spacing w:before="100" w:beforeAutospacing="1" w:after="100" w:afterAutospacing="1"/>
        <w:jc w:val="both"/>
      </w:pPr>
      <w:r>
        <w:t xml:space="preserve">Gunstone, F. D., &amp; Martini, S. (2010). The oxidation of oils during frying. </w:t>
      </w:r>
      <w:r>
        <w:rPr>
          <w:rStyle w:val="Emphasis"/>
        </w:rPr>
        <w:t>European Journal of Lipid Science and Technology, 112</w:t>
      </w:r>
      <w:r>
        <w:t xml:space="preserve">(2), 212–226. </w:t>
      </w:r>
      <w:hyperlink r:id="rId25" w:tgtFrame="_new" w:history="1">
        <w:r>
          <w:rPr>
            <w:rStyle w:val="Hyperlink"/>
          </w:rPr>
          <w:t>https://doi.org/10.1002/ejlt.200900311</w:t>
        </w:r>
      </w:hyperlink>
    </w:p>
    <w:p w14:paraId="2338E05E" w14:textId="77777777" w:rsidR="00462AF7" w:rsidRDefault="00462AF7" w:rsidP="00870FFE">
      <w:pPr>
        <w:pStyle w:val="ListParagraph"/>
        <w:numPr>
          <w:ilvl w:val="0"/>
          <w:numId w:val="23"/>
        </w:numPr>
        <w:spacing w:before="100" w:beforeAutospacing="1" w:after="100" w:afterAutospacing="1"/>
        <w:jc w:val="both"/>
      </w:pPr>
      <w:r>
        <w:t xml:space="preserve">Hu, J., &amp; Liu, S. (2010). Responsive polymers for detection and sensing applications: Current status and future developments. </w:t>
      </w:r>
      <w:r>
        <w:rPr>
          <w:rStyle w:val="Emphasis"/>
        </w:rPr>
        <w:t>Macromolecules, 43</w:t>
      </w:r>
      <w:r>
        <w:t xml:space="preserve">(21), 8315–8330. </w:t>
      </w:r>
      <w:hyperlink r:id="rId26" w:tgtFrame="_new" w:history="1">
        <w:r>
          <w:rPr>
            <w:rStyle w:val="Hyperlink"/>
          </w:rPr>
          <w:t>https://doi.org/10.1021/ma101653t</w:t>
        </w:r>
      </w:hyperlink>
    </w:p>
    <w:p w14:paraId="58044B1E" w14:textId="77777777" w:rsidR="00462AF7" w:rsidRDefault="00462AF7" w:rsidP="00870FFE">
      <w:pPr>
        <w:pStyle w:val="ListParagraph"/>
        <w:numPr>
          <w:ilvl w:val="0"/>
          <w:numId w:val="23"/>
        </w:numPr>
        <w:spacing w:before="100" w:beforeAutospacing="1" w:after="100" w:afterAutospacing="1"/>
        <w:jc w:val="both"/>
      </w:pPr>
      <w:r>
        <w:lastRenderedPageBreak/>
        <w:t xml:space="preserve">Huynh, V., Ifraimov, N., &amp; Wylie, R. G. (2021). Modulating the </w:t>
      </w:r>
      <w:proofErr w:type="spellStart"/>
      <w:r>
        <w:t>thermoresponse</w:t>
      </w:r>
      <w:proofErr w:type="spellEnd"/>
      <w:r>
        <w:t xml:space="preserve"> of polymer-protein conjugates with hydrogels for controlled release. </w:t>
      </w:r>
      <w:r>
        <w:rPr>
          <w:rStyle w:val="Emphasis"/>
        </w:rPr>
        <w:t>Polymers, 13</w:t>
      </w:r>
      <w:r>
        <w:t xml:space="preserve">(18), 2772. </w:t>
      </w:r>
      <w:hyperlink r:id="rId27" w:tgtFrame="_new" w:history="1">
        <w:r>
          <w:rPr>
            <w:rStyle w:val="Hyperlink"/>
          </w:rPr>
          <w:t>https://doi.org/10.3390/polym13182772</w:t>
        </w:r>
      </w:hyperlink>
    </w:p>
    <w:p w14:paraId="37C296FD" w14:textId="77777777" w:rsidR="00462AF7" w:rsidRDefault="00462AF7" w:rsidP="00870FFE">
      <w:pPr>
        <w:pStyle w:val="ListParagraph"/>
        <w:numPr>
          <w:ilvl w:val="0"/>
          <w:numId w:val="23"/>
        </w:numPr>
        <w:spacing w:before="100" w:beforeAutospacing="1" w:after="100" w:afterAutospacing="1"/>
        <w:jc w:val="both"/>
      </w:pPr>
      <w:proofErr w:type="spellStart"/>
      <w:r>
        <w:t>Kazimierska</w:t>
      </w:r>
      <w:proofErr w:type="spellEnd"/>
      <w:r>
        <w:t xml:space="preserve">, M., Fiebig, M., &amp; Szewczyk, A. (2018). The quality assessment of used frying oils: Methods and implications. </w:t>
      </w:r>
      <w:r>
        <w:rPr>
          <w:rStyle w:val="Emphasis"/>
        </w:rPr>
        <w:t>Food Control, 90</w:t>
      </w:r>
      <w:r>
        <w:t xml:space="preserve">, 135–145. </w:t>
      </w:r>
      <w:hyperlink r:id="rId28" w:tgtFrame="_new" w:history="1">
        <w:r>
          <w:rPr>
            <w:rStyle w:val="Hyperlink"/>
          </w:rPr>
          <w:t>https://doi.org/10.1016/j.foodcont.2018.02.009</w:t>
        </w:r>
      </w:hyperlink>
    </w:p>
    <w:p w14:paraId="3F2740A0" w14:textId="77777777" w:rsidR="00462AF7" w:rsidRDefault="00462AF7" w:rsidP="00870FFE">
      <w:pPr>
        <w:pStyle w:val="ListParagraph"/>
        <w:numPr>
          <w:ilvl w:val="0"/>
          <w:numId w:val="23"/>
        </w:numPr>
        <w:spacing w:before="100" w:beforeAutospacing="1" w:after="100" w:afterAutospacing="1"/>
        <w:jc w:val="both"/>
      </w:pPr>
      <w:proofErr w:type="spellStart"/>
      <w:r>
        <w:t>Karesoja</w:t>
      </w:r>
      <w:proofErr w:type="spellEnd"/>
      <w:r>
        <w:t xml:space="preserve">, M., Karjalainen, E., Hietala, H., &amp; </w:t>
      </w:r>
      <w:proofErr w:type="spellStart"/>
      <w:r>
        <w:t>Tenhu</w:t>
      </w:r>
      <w:proofErr w:type="spellEnd"/>
      <w:r>
        <w:t xml:space="preserve">, H. (2014). Phase separation of aqueous </w:t>
      </w:r>
      <w:proofErr w:type="gramStart"/>
      <w:r>
        <w:t>poly(</w:t>
      </w:r>
      <w:proofErr w:type="gramEnd"/>
      <w:r>
        <w:t>2-dimethylaminoethyl methacrylate-block-N-</w:t>
      </w:r>
      <w:proofErr w:type="spellStart"/>
      <w:r>
        <w:t>vinylcaprolactams</w:t>
      </w:r>
      <w:proofErr w:type="spellEnd"/>
      <w:r>
        <w:t xml:space="preserve">). </w:t>
      </w:r>
      <w:r>
        <w:rPr>
          <w:rStyle w:val="Emphasis"/>
        </w:rPr>
        <w:t>The Journal of Physical Chemistry B, 118</w:t>
      </w:r>
      <w:r>
        <w:t xml:space="preserve">(31), 10776–10784. </w:t>
      </w:r>
      <w:hyperlink r:id="rId29" w:tgtFrame="_new" w:history="1">
        <w:r>
          <w:rPr>
            <w:rStyle w:val="Hyperlink"/>
          </w:rPr>
          <w:t>https://doi.org/10.1021/jp504168u</w:t>
        </w:r>
      </w:hyperlink>
    </w:p>
    <w:p w14:paraId="5FE7165C" w14:textId="77777777" w:rsidR="00462AF7" w:rsidRDefault="00462AF7" w:rsidP="00870FFE">
      <w:pPr>
        <w:pStyle w:val="ListParagraph"/>
        <w:numPr>
          <w:ilvl w:val="0"/>
          <w:numId w:val="23"/>
        </w:numPr>
        <w:spacing w:before="100" w:beforeAutospacing="1" w:after="100" w:afterAutospacing="1"/>
        <w:jc w:val="both"/>
      </w:pPr>
      <w:proofErr w:type="spellStart"/>
      <w:r>
        <w:t>Kehrle</w:t>
      </w:r>
      <w:proofErr w:type="spellEnd"/>
      <w:r>
        <w:t xml:space="preserve">, J., </w:t>
      </w:r>
      <w:proofErr w:type="spellStart"/>
      <w:r>
        <w:t>Hohlein</w:t>
      </w:r>
      <w:proofErr w:type="spellEnd"/>
      <w:r>
        <w:t xml:space="preserve">, I. M. D., Yang, Z., Jochem, A.-R., Helbich, T., Kraus, T., &amp; Veinot, J. G. C. (2014). </w:t>
      </w:r>
      <w:proofErr w:type="spellStart"/>
      <w:r>
        <w:t>Thermoresponsive</w:t>
      </w:r>
      <w:proofErr w:type="spellEnd"/>
      <w:r>
        <w:t xml:space="preserve"> and photoluminescent hybrid silicon nanoparticles by surface-initiated group transfer polymerization of diethyl </w:t>
      </w:r>
      <w:proofErr w:type="spellStart"/>
      <w:r>
        <w:t>vinylphosphonate</w:t>
      </w:r>
      <w:proofErr w:type="spellEnd"/>
      <w:r>
        <w:t xml:space="preserve">. </w:t>
      </w:r>
      <w:proofErr w:type="spellStart"/>
      <w:r>
        <w:rPr>
          <w:rStyle w:val="Emphasis"/>
        </w:rPr>
        <w:t>Angewandte</w:t>
      </w:r>
      <w:proofErr w:type="spellEnd"/>
      <w:r>
        <w:rPr>
          <w:rStyle w:val="Emphasis"/>
        </w:rPr>
        <w:t xml:space="preserve"> </w:t>
      </w:r>
      <w:proofErr w:type="spellStart"/>
      <w:r>
        <w:rPr>
          <w:rStyle w:val="Emphasis"/>
        </w:rPr>
        <w:t>Chemie</w:t>
      </w:r>
      <w:proofErr w:type="spellEnd"/>
      <w:r>
        <w:rPr>
          <w:rStyle w:val="Emphasis"/>
        </w:rPr>
        <w:t xml:space="preserve"> International Edition, 53</w:t>
      </w:r>
      <w:r>
        <w:t xml:space="preserve">(47), 12494–12497. </w:t>
      </w:r>
      <w:hyperlink r:id="rId30" w:tgtFrame="_new" w:history="1">
        <w:r>
          <w:rPr>
            <w:rStyle w:val="Hyperlink"/>
          </w:rPr>
          <w:t>https://doi.org/10.1002/anie.201403185</w:t>
        </w:r>
      </w:hyperlink>
    </w:p>
    <w:p w14:paraId="3F51B844" w14:textId="77777777" w:rsidR="00462AF7" w:rsidRDefault="00462AF7" w:rsidP="00870FFE">
      <w:pPr>
        <w:pStyle w:val="ListParagraph"/>
        <w:numPr>
          <w:ilvl w:val="0"/>
          <w:numId w:val="23"/>
        </w:numPr>
        <w:spacing w:before="100" w:beforeAutospacing="1" w:after="100" w:afterAutospacing="1"/>
        <w:jc w:val="both"/>
      </w:pPr>
      <w:r>
        <w:t xml:space="preserve">Labbe, A., Carlotti, S., </w:t>
      </w:r>
      <w:proofErr w:type="spellStart"/>
      <w:r>
        <w:t>Deffieux</w:t>
      </w:r>
      <w:proofErr w:type="spellEnd"/>
      <w:r>
        <w:t>, A., &amp; Hirao, A. (2007). Controlled polymerization of glycidyl methyl ether initiated by onium salt/</w:t>
      </w:r>
      <w:proofErr w:type="spellStart"/>
      <w:r>
        <w:t>triisobutylaluminum</w:t>
      </w:r>
      <w:proofErr w:type="spellEnd"/>
      <w:r>
        <w:t xml:space="preserve"> and investigation of the polymer LCST. In </w:t>
      </w:r>
      <w:r>
        <w:rPr>
          <w:rStyle w:val="Emphasis"/>
        </w:rPr>
        <w:t>Macromolecular Symposia</w:t>
      </w:r>
      <w:r>
        <w:t xml:space="preserve"> (Vol. 249, pp. 392–397). Wiley-VCH. </w:t>
      </w:r>
      <w:hyperlink r:id="rId31" w:tgtFrame="_new" w:history="1">
        <w:r>
          <w:rPr>
            <w:rStyle w:val="Hyperlink"/>
          </w:rPr>
          <w:t>https://doi.org/10.1002/masy.200700024</w:t>
        </w:r>
      </w:hyperlink>
    </w:p>
    <w:p w14:paraId="3D16D14F" w14:textId="77777777" w:rsidR="00462AF7" w:rsidRDefault="00462AF7" w:rsidP="00870FFE">
      <w:pPr>
        <w:pStyle w:val="ListParagraph"/>
        <w:numPr>
          <w:ilvl w:val="0"/>
          <w:numId w:val="23"/>
        </w:numPr>
        <w:spacing w:before="100" w:beforeAutospacing="1" w:after="100" w:afterAutospacing="1"/>
        <w:jc w:val="both"/>
      </w:pPr>
      <w:r>
        <w:t xml:space="preserve">La Scala, J. J., &amp; Wool, R. P. (2004). Synthesis and characterization of tung oil-based epoxy resins. </w:t>
      </w:r>
      <w:r>
        <w:rPr>
          <w:rStyle w:val="Emphasis"/>
        </w:rPr>
        <w:t>Journal of Polymer Science Part A: Polymer Chemistry, 42</w:t>
      </w:r>
      <w:r>
        <w:t xml:space="preserve">(16), 3504–3511. </w:t>
      </w:r>
      <w:hyperlink r:id="rId32" w:tgtFrame="_new" w:history="1">
        <w:r>
          <w:rPr>
            <w:rStyle w:val="Hyperlink"/>
          </w:rPr>
          <w:t>https://doi.org/10.1002/pola.20185</w:t>
        </w:r>
      </w:hyperlink>
    </w:p>
    <w:p w14:paraId="2F689DEA" w14:textId="77777777" w:rsidR="00462AF7" w:rsidRDefault="00462AF7" w:rsidP="00870FFE">
      <w:pPr>
        <w:pStyle w:val="ListParagraph"/>
        <w:numPr>
          <w:ilvl w:val="0"/>
          <w:numId w:val="23"/>
        </w:numPr>
        <w:spacing w:before="100" w:beforeAutospacing="1" w:after="100" w:afterAutospacing="1"/>
        <w:jc w:val="both"/>
      </w:pPr>
      <w:proofErr w:type="spellStart"/>
      <w:r>
        <w:t>Lewoczko</w:t>
      </w:r>
      <w:proofErr w:type="spellEnd"/>
      <w:r>
        <w:t xml:space="preserve">, E. M., Wang, N., Lundberg, C. E., Kelly, M. T., Kent, E. W., Wu, T., Chen, M.-L., Wang, J.-H., &amp; Zhao, B. (2021). Effects of N-substituents on the solution </w:t>
      </w:r>
      <w:proofErr w:type="spellStart"/>
      <w:r>
        <w:t>behavior</w:t>
      </w:r>
      <w:proofErr w:type="spellEnd"/>
      <w:r>
        <w:t xml:space="preserve"> of </w:t>
      </w:r>
      <w:proofErr w:type="gramStart"/>
      <w:r>
        <w:t>poly(</w:t>
      </w:r>
      <w:proofErr w:type="spellStart"/>
      <w:proofErr w:type="gramEnd"/>
      <w:r>
        <w:t>sulfobetaine</w:t>
      </w:r>
      <w:proofErr w:type="spellEnd"/>
      <w:r>
        <w:t xml:space="preserve"> </w:t>
      </w:r>
      <w:proofErr w:type="gramStart"/>
      <w:r>
        <w:t>methacrylate)s</w:t>
      </w:r>
      <w:proofErr w:type="gramEnd"/>
      <w:r>
        <w:t xml:space="preserve"> in water: Upper and lower critical solution temperature transitions. </w:t>
      </w:r>
      <w:r>
        <w:rPr>
          <w:rStyle w:val="Emphasis"/>
        </w:rPr>
        <w:t>ACS Applied Polymer Materials, 3</w:t>
      </w:r>
      <w:r>
        <w:t xml:space="preserve">(1), 867–878. </w:t>
      </w:r>
      <w:hyperlink r:id="rId33" w:tgtFrame="_new" w:history="1">
        <w:r>
          <w:rPr>
            <w:rStyle w:val="Hyperlink"/>
          </w:rPr>
          <w:t>https://doi.org/10.1021/acsapm.0c00567</w:t>
        </w:r>
      </w:hyperlink>
    </w:p>
    <w:p w14:paraId="5B7EE828" w14:textId="77777777" w:rsidR="00462AF7" w:rsidRDefault="00462AF7" w:rsidP="00870FFE">
      <w:pPr>
        <w:pStyle w:val="ListParagraph"/>
        <w:numPr>
          <w:ilvl w:val="0"/>
          <w:numId w:val="23"/>
        </w:numPr>
        <w:spacing w:before="100" w:beforeAutospacing="1" w:after="100" w:afterAutospacing="1"/>
        <w:jc w:val="both"/>
      </w:pPr>
      <w:r>
        <w:t xml:space="preserve">Liu, H., Zhang, Y., &amp; Chen, Y. (2023). A review of bio-based epoxy resins derived from vegetable oils: Synthesis, properties, and applications. </w:t>
      </w:r>
      <w:r>
        <w:rPr>
          <w:rStyle w:val="Emphasis"/>
        </w:rPr>
        <w:t>Composites Part B: Engineering, 225</w:t>
      </w:r>
      <w:r>
        <w:t xml:space="preserve">, 109370. </w:t>
      </w:r>
      <w:hyperlink r:id="rId34" w:tgtFrame="_new" w:history="1">
        <w:r>
          <w:rPr>
            <w:rStyle w:val="Hyperlink"/>
          </w:rPr>
          <w:t>https://doi.org/10.1016/j.compositesb.2023.109370</w:t>
        </w:r>
      </w:hyperlink>
    </w:p>
    <w:p w14:paraId="4E076A83" w14:textId="77777777" w:rsidR="0035043E" w:rsidRPr="0035043E" w:rsidRDefault="0035043E" w:rsidP="0035043E">
      <w:pPr>
        <w:pStyle w:val="ListParagraph"/>
        <w:numPr>
          <w:ilvl w:val="0"/>
          <w:numId w:val="23"/>
        </w:numPr>
      </w:pPr>
      <w:r w:rsidRPr="0035043E">
        <w:t>Liu, Y., Wang, W., &amp; Zhang, H. (2009). Catalytic effects of acid and base on glycidyl ether synthesis. Journal of Polymer Science, 47(5), 1221–1229. https://doi.org/10.1021/ma801523r</w:t>
      </w:r>
    </w:p>
    <w:p w14:paraId="2E9D31AE" w14:textId="77777777" w:rsidR="00462AF7" w:rsidRDefault="00462AF7" w:rsidP="00870FFE">
      <w:pPr>
        <w:pStyle w:val="ListParagraph"/>
        <w:numPr>
          <w:ilvl w:val="0"/>
          <w:numId w:val="23"/>
        </w:numPr>
        <w:spacing w:before="100" w:beforeAutospacing="1" w:after="100" w:afterAutospacing="1"/>
        <w:jc w:val="both"/>
      </w:pPr>
      <w:r>
        <w:t xml:space="preserve">Marriam, H., Kukula, P., &amp; Radwan, S. H. (2023). Waste oils: Sustainable feedstocks for bio-based polyols and epoxy precursors. </w:t>
      </w:r>
      <w:r>
        <w:rPr>
          <w:rStyle w:val="Emphasis"/>
        </w:rPr>
        <w:t>Green Chemistry, 25</w:t>
      </w:r>
      <w:r>
        <w:t xml:space="preserve">, 5565–5580. </w:t>
      </w:r>
      <w:hyperlink r:id="rId35" w:tgtFrame="_new" w:history="1">
        <w:r>
          <w:rPr>
            <w:rStyle w:val="Hyperlink"/>
          </w:rPr>
          <w:t>https://doi.org/10.1039/D2GC03708K</w:t>
        </w:r>
      </w:hyperlink>
    </w:p>
    <w:p w14:paraId="5F87B04F" w14:textId="77777777" w:rsidR="00462AF7" w:rsidRDefault="00462AF7" w:rsidP="00870FFE">
      <w:pPr>
        <w:pStyle w:val="ListParagraph"/>
        <w:numPr>
          <w:ilvl w:val="0"/>
          <w:numId w:val="23"/>
        </w:numPr>
        <w:spacing w:before="100" w:beforeAutospacing="1" w:after="100" w:afterAutospacing="1"/>
        <w:jc w:val="both"/>
      </w:pPr>
      <w:proofErr w:type="spellStart"/>
      <w:r>
        <w:t>Marmesat</w:t>
      </w:r>
      <w:proofErr w:type="spellEnd"/>
      <w:r>
        <w:t xml:space="preserve">, S., </w:t>
      </w:r>
      <w:proofErr w:type="spellStart"/>
      <w:r>
        <w:t>Bañón</w:t>
      </w:r>
      <w:proofErr w:type="spellEnd"/>
      <w:r>
        <w:t xml:space="preserve">, S., &amp; Ruiz, M. J. (2010). Natural and synthetic antioxidants in frying oils: A review. </w:t>
      </w:r>
      <w:r>
        <w:rPr>
          <w:rStyle w:val="Emphasis"/>
        </w:rPr>
        <w:t>Food Research International, 43</w:t>
      </w:r>
      <w:r>
        <w:t xml:space="preserve">(3), 695–703. </w:t>
      </w:r>
      <w:hyperlink r:id="rId36" w:tgtFrame="_new" w:history="1">
        <w:r>
          <w:rPr>
            <w:rStyle w:val="Hyperlink"/>
          </w:rPr>
          <w:t>https://doi.org/10.1016/j.foodres.2010.01.002</w:t>
        </w:r>
      </w:hyperlink>
    </w:p>
    <w:p w14:paraId="7383A734" w14:textId="77777777" w:rsidR="00462AF7" w:rsidRDefault="00462AF7" w:rsidP="00870FFE">
      <w:pPr>
        <w:pStyle w:val="ListParagraph"/>
        <w:numPr>
          <w:ilvl w:val="0"/>
          <w:numId w:val="23"/>
        </w:numPr>
        <w:spacing w:before="100" w:beforeAutospacing="1" w:after="100" w:afterAutospacing="1"/>
        <w:jc w:val="both"/>
      </w:pPr>
      <w:r>
        <w:t xml:space="preserve">Mat Shukri, M. A., et al. (2023). Glycidyl esters: An updated mini-review of analytical determination in edible oils. </w:t>
      </w:r>
      <w:r>
        <w:rPr>
          <w:rStyle w:val="Emphasis"/>
        </w:rPr>
        <w:t>Malaysian Journal of Analytical Sciences, 27</w:t>
      </w:r>
      <w:r>
        <w:t>(5), 1012–1022.</w:t>
      </w:r>
    </w:p>
    <w:p w14:paraId="1CB2744C" w14:textId="77777777" w:rsidR="00462AF7" w:rsidRDefault="00462AF7" w:rsidP="00870FFE">
      <w:pPr>
        <w:pStyle w:val="ListParagraph"/>
        <w:numPr>
          <w:ilvl w:val="0"/>
          <w:numId w:val="23"/>
        </w:numPr>
        <w:spacing w:before="100" w:beforeAutospacing="1" w:after="100" w:afterAutospacing="1"/>
        <w:jc w:val="both"/>
      </w:pPr>
      <w:r>
        <w:t>Martinez-</w:t>
      </w:r>
      <w:proofErr w:type="spellStart"/>
      <w:r>
        <w:t>Yusta</w:t>
      </w:r>
      <w:proofErr w:type="spellEnd"/>
      <w:r>
        <w:t xml:space="preserve">, A., &amp; Guillen, M. D. (2014). Influence of various frying oils on the nutritional profile of fried foods. </w:t>
      </w:r>
      <w:r>
        <w:rPr>
          <w:rStyle w:val="Emphasis"/>
        </w:rPr>
        <w:t>LWT - Food Science and Technology, 55</w:t>
      </w:r>
      <w:r>
        <w:t xml:space="preserve">(1), 14–20. </w:t>
      </w:r>
      <w:hyperlink r:id="rId37" w:tgtFrame="_new" w:history="1">
        <w:r>
          <w:rPr>
            <w:rStyle w:val="Hyperlink"/>
          </w:rPr>
          <w:t>https://doi.org/10.1016/j.lwt.2013.07.016</w:t>
        </w:r>
      </w:hyperlink>
    </w:p>
    <w:p w14:paraId="05244B93" w14:textId="77777777" w:rsidR="00462AF7" w:rsidRDefault="00462AF7" w:rsidP="00870FFE">
      <w:pPr>
        <w:pStyle w:val="ListParagraph"/>
        <w:numPr>
          <w:ilvl w:val="0"/>
          <w:numId w:val="23"/>
        </w:numPr>
        <w:spacing w:before="100" w:beforeAutospacing="1" w:after="100" w:afterAutospacing="1"/>
        <w:jc w:val="both"/>
      </w:pPr>
      <w:r>
        <w:t xml:space="preserve">Moers, C., </w:t>
      </w:r>
      <w:proofErr w:type="spellStart"/>
      <w:r>
        <w:t>Wrazidlo</w:t>
      </w:r>
      <w:proofErr w:type="spellEnd"/>
      <w:r>
        <w:t xml:space="preserve">, R., Natalello, A., Netz, I., </w:t>
      </w:r>
      <w:proofErr w:type="spellStart"/>
      <w:r>
        <w:t>Mondeshki</w:t>
      </w:r>
      <w:proofErr w:type="spellEnd"/>
      <w:r>
        <w:t xml:space="preserve">, M., &amp; Frey, H. (2014). (1-Adamantyl) methyl glycidyl ether: A versatile building block for living polymerization. </w:t>
      </w:r>
      <w:r>
        <w:rPr>
          <w:rStyle w:val="Emphasis"/>
        </w:rPr>
        <w:t>Macromolecular Rapid Communications, 35</w:t>
      </w:r>
      <w:r>
        <w:t xml:space="preserve">(13), 1075–1080. </w:t>
      </w:r>
      <w:hyperlink r:id="rId38" w:tgtFrame="_new" w:history="1">
        <w:r>
          <w:rPr>
            <w:rStyle w:val="Hyperlink"/>
          </w:rPr>
          <w:t>https://doi.org/10.1002/marc.201400139</w:t>
        </w:r>
      </w:hyperlink>
    </w:p>
    <w:p w14:paraId="5C73F036" w14:textId="77777777" w:rsidR="00462AF7" w:rsidRDefault="00462AF7" w:rsidP="00870FFE">
      <w:pPr>
        <w:pStyle w:val="ListParagraph"/>
        <w:numPr>
          <w:ilvl w:val="0"/>
          <w:numId w:val="23"/>
        </w:numPr>
        <w:spacing w:before="100" w:beforeAutospacing="1" w:after="100" w:afterAutospacing="1"/>
        <w:jc w:val="both"/>
      </w:pPr>
      <w:r>
        <w:t xml:space="preserve">Muller, S. S., Moers, C., &amp; Frey, H. (2017). A challenging comonomer pair: Copolymerization of ethylene oxide and glycidyl methyl ether to </w:t>
      </w:r>
      <w:proofErr w:type="spellStart"/>
      <w:r>
        <w:t>thermoresponsive</w:t>
      </w:r>
      <w:proofErr w:type="spellEnd"/>
      <w:r>
        <w:t xml:space="preserve"> </w:t>
      </w:r>
      <w:proofErr w:type="spellStart"/>
      <w:r>
        <w:t>polyethers</w:t>
      </w:r>
      <w:proofErr w:type="spellEnd"/>
      <w:r>
        <w:t>.</w:t>
      </w:r>
    </w:p>
    <w:p w14:paraId="3F0F4AB2" w14:textId="77777777" w:rsidR="00B16343" w:rsidRDefault="00B16343" w:rsidP="00870FFE">
      <w:pPr>
        <w:numPr>
          <w:ilvl w:val="0"/>
          <w:numId w:val="23"/>
        </w:numPr>
        <w:spacing w:before="100" w:beforeAutospacing="1" w:after="100" w:afterAutospacing="1" w:line="240" w:lineRule="auto"/>
        <w:jc w:val="both"/>
      </w:pPr>
      <w:r>
        <w:t xml:space="preserve">Penas, A. G., Wang, Y., Bonilla, A. M., García, M. F., &amp; Stadler, F. J. (2019). Lower critical solution temperature sensitivity to structural changes in </w:t>
      </w:r>
      <w:proofErr w:type="gramStart"/>
      <w:r>
        <w:t>poly(</w:t>
      </w:r>
      <w:proofErr w:type="gramEnd"/>
      <w:r>
        <w:t xml:space="preserve">N-isopropyl acrylamide) </w:t>
      </w:r>
      <w:r>
        <w:lastRenderedPageBreak/>
        <w:t xml:space="preserve">homopolymers. </w:t>
      </w:r>
      <w:r>
        <w:rPr>
          <w:rStyle w:val="Emphasis"/>
        </w:rPr>
        <w:t>Journal of Polymer Science Part B: Polymer Physics</w:t>
      </w:r>
      <w:r>
        <w:t xml:space="preserve">, 57(12), 1386–1393. </w:t>
      </w:r>
      <w:hyperlink r:id="rId39" w:tgtFrame="_new" w:history="1">
        <w:r>
          <w:rPr>
            <w:rStyle w:val="Hyperlink"/>
          </w:rPr>
          <w:t>https://doi.org/10.1002/polb.25094</w:t>
        </w:r>
      </w:hyperlink>
    </w:p>
    <w:p w14:paraId="48B1656E" w14:textId="77777777" w:rsidR="00B16343" w:rsidRDefault="00B16343" w:rsidP="00870FFE">
      <w:pPr>
        <w:numPr>
          <w:ilvl w:val="0"/>
          <w:numId w:val="23"/>
        </w:numPr>
        <w:spacing w:before="100" w:beforeAutospacing="1" w:after="100" w:afterAutospacing="1" w:line="240" w:lineRule="auto"/>
        <w:jc w:val="both"/>
      </w:pPr>
      <w:r>
        <w:t xml:space="preserve">Pfister, P., et al. (2011). Vegetable oil-based polyurethanes: Advances and applications. </w:t>
      </w:r>
      <w:r>
        <w:rPr>
          <w:rStyle w:val="Emphasis"/>
        </w:rPr>
        <w:t>Journal of Polymers</w:t>
      </w:r>
      <w:r>
        <w:t xml:space="preserve">, 34(7), 489–495. </w:t>
      </w:r>
      <w:hyperlink r:id="rId40" w:tgtFrame="_new" w:history="1">
        <w:r>
          <w:rPr>
            <w:rStyle w:val="Hyperlink"/>
          </w:rPr>
          <w:t>https://doi.org/10.1016/j.polymers.2011.03.019</w:t>
        </w:r>
      </w:hyperlink>
    </w:p>
    <w:p w14:paraId="588D13D6" w14:textId="77777777" w:rsidR="00B16343" w:rsidRDefault="00B16343" w:rsidP="00870FFE">
      <w:pPr>
        <w:numPr>
          <w:ilvl w:val="0"/>
          <w:numId w:val="23"/>
        </w:numPr>
        <w:spacing w:before="100" w:beforeAutospacing="1" w:after="100" w:afterAutospacing="1" w:line="240" w:lineRule="auto"/>
        <w:jc w:val="both"/>
      </w:pPr>
      <w:r>
        <w:t xml:space="preserve">Reinicke, S., Schmelz, J., Lapp, A., Karg, M., Hellweg, T., &amp; Schmalz, H. (2009). Smart hydrogels based on double responsive triblock terpolymers. </w:t>
      </w:r>
      <w:r>
        <w:rPr>
          <w:rStyle w:val="Emphasis"/>
        </w:rPr>
        <w:t>Soft Matter</w:t>
      </w:r>
      <w:r>
        <w:t xml:space="preserve">, 5(12), 2648–2657. </w:t>
      </w:r>
      <w:hyperlink r:id="rId41" w:tgtFrame="_new" w:history="1">
        <w:r>
          <w:rPr>
            <w:rStyle w:val="Hyperlink"/>
          </w:rPr>
          <w:t>https://doi.org/10.1039/B823662H</w:t>
        </w:r>
      </w:hyperlink>
    </w:p>
    <w:p w14:paraId="33A68D95" w14:textId="030A6042" w:rsidR="004F74AE" w:rsidRDefault="004F74AE" w:rsidP="004F74AE">
      <w:pPr>
        <w:numPr>
          <w:ilvl w:val="0"/>
          <w:numId w:val="23"/>
        </w:numPr>
        <w:spacing w:before="100" w:beforeAutospacing="1" w:after="100" w:afterAutospacing="1" w:line="240" w:lineRule="auto"/>
        <w:jc w:val="both"/>
      </w:pPr>
      <w:r>
        <w:t>Shahidi, F., &amp; Zhong, Y. (2005). Lipid oxidation: Measurement methods. In F. Shahidi (Ed.), Bailey's Industrial Oil and Fat Products (Vol. 6). John Wiley &amp; Sons.</w:t>
      </w:r>
    </w:p>
    <w:p w14:paraId="373EE1A5" w14:textId="77777777" w:rsidR="00B16343" w:rsidRDefault="00B16343" w:rsidP="00870FFE">
      <w:pPr>
        <w:numPr>
          <w:ilvl w:val="0"/>
          <w:numId w:val="23"/>
        </w:numPr>
        <w:spacing w:before="100" w:beforeAutospacing="1" w:after="100" w:afterAutospacing="1" w:line="240" w:lineRule="auto"/>
        <w:jc w:val="both"/>
      </w:pPr>
      <w:proofErr w:type="spellStart"/>
      <w:r>
        <w:t>Schüttner</w:t>
      </w:r>
      <w:proofErr w:type="spellEnd"/>
      <w:r>
        <w:t xml:space="preserve">, S., et al. (2024). Glycidyl ethers from acyclic terpenes: A versatile toolbox for multifunctional </w:t>
      </w:r>
      <w:proofErr w:type="gramStart"/>
      <w:r>
        <w:t>poly(</w:t>
      </w:r>
      <w:proofErr w:type="gramEnd"/>
      <w:r>
        <w:t xml:space="preserve">ethylene </w:t>
      </w:r>
      <w:proofErr w:type="gramStart"/>
      <w:r>
        <w:t>glycol)s</w:t>
      </w:r>
      <w:proofErr w:type="gramEnd"/>
      <w:r>
        <w:t xml:space="preserve"> with modification opportunities. </w:t>
      </w:r>
      <w:r>
        <w:rPr>
          <w:rStyle w:val="Emphasis"/>
        </w:rPr>
        <w:t>RSC Advances</w:t>
      </w:r>
      <w:r>
        <w:t xml:space="preserve">, D4PY01201A. </w:t>
      </w:r>
      <w:hyperlink r:id="rId42" w:tgtFrame="_new" w:history="1">
        <w:r>
          <w:rPr>
            <w:rStyle w:val="Hyperlink"/>
          </w:rPr>
          <w:t>https://doi.org/10.1039/D4PY01201A</w:t>
        </w:r>
      </w:hyperlink>
    </w:p>
    <w:p w14:paraId="331408E3" w14:textId="77777777" w:rsidR="00B16343" w:rsidRDefault="00B16343" w:rsidP="00870FFE">
      <w:pPr>
        <w:numPr>
          <w:ilvl w:val="0"/>
          <w:numId w:val="23"/>
        </w:numPr>
        <w:spacing w:before="100" w:beforeAutospacing="1" w:after="100" w:afterAutospacing="1" w:line="240" w:lineRule="auto"/>
        <w:jc w:val="both"/>
      </w:pPr>
      <w:r>
        <w:t xml:space="preserve">Suzuki, T., Kato, T., &amp; Shinozaki, H. (2004). Photo-reversible Pb²⁺ complexation of thermosensitive </w:t>
      </w:r>
      <w:proofErr w:type="gramStart"/>
      <w:r>
        <w:t>poly(</w:t>
      </w:r>
      <w:proofErr w:type="gramEnd"/>
      <w:r>
        <w:t>N-isopropylacrylamide-co-</w:t>
      </w:r>
      <w:proofErr w:type="spellStart"/>
      <w:r>
        <w:t>spiropyran</w:t>
      </w:r>
      <w:proofErr w:type="spellEnd"/>
      <w:r>
        <w:t xml:space="preserve"> acrylate) in water. </w:t>
      </w:r>
      <w:r>
        <w:rPr>
          <w:rStyle w:val="Emphasis"/>
        </w:rPr>
        <w:t>Chemistry Communications</w:t>
      </w:r>
      <w:r>
        <w:t xml:space="preserve">, 18, 2036–2037. </w:t>
      </w:r>
      <w:hyperlink r:id="rId43" w:tgtFrame="_new" w:history="1">
        <w:r>
          <w:rPr>
            <w:rStyle w:val="Hyperlink"/>
          </w:rPr>
          <w:t>https://doi.org/10.1039/B403913F</w:t>
        </w:r>
      </w:hyperlink>
    </w:p>
    <w:p w14:paraId="22A5B945" w14:textId="77777777" w:rsidR="00B16343" w:rsidRDefault="00B16343" w:rsidP="00870FFE">
      <w:pPr>
        <w:numPr>
          <w:ilvl w:val="0"/>
          <w:numId w:val="23"/>
        </w:numPr>
        <w:spacing w:before="100" w:beforeAutospacing="1" w:after="100" w:afterAutospacing="1" w:line="240" w:lineRule="auto"/>
        <w:jc w:val="both"/>
      </w:pPr>
      <w:r>
        <w:t xml:space="preserve">Topp, M. D. C., Dijkstra, P. J., Talsma, H., &amp; Feijen, J. (1997). Thermosensitive micelle-forming block copolymers of </w:t>
      </w:r>
      <w:proofErr w:type="gramStart"/>
      <w:r>
        <w:t>poly(</w:t>
      </w:r>
      <w:proofErr w:type="gramEnd"/>
      <w:r>
        <w:t xml:space="preserve">ethylene glycol) and poly(N-isopropylacrylamide). </w:t>
      </w:r>
      <w:r>
        <w:rPr>
          <w:rStyle w:val="Emphasis"/>
        </w:rPr>
        <w:t>Macromolecules</w:t>
      </w:r>
      <w:r>
        <w:t xml:space="preserve">, 30(25), 8518–8520. </w:t>
      </w:r>
      <w:hyperlink r:id="rId44" w:tgtFrame="_new" w:history="1">
        <w:r>
          <w:rPr>
            <w:rStyle w:val="Hyperlink"/>
          </w:rPr>
          <w:t>https://doi.org/10.1021/ma9710576</w:t>
        </w:r>
      </w:hyperlink>
    </w:p>
    <w:p w14:paraId="4AC15D83" w14:textId="77777777" w:rsidR="00B16343" w:rsidRDefault="00B16343" w:rsidP="00870FFE">
      <w:pPr>
        <w:numPr>
          <w:ilvl w:val="0"/>
          <w:numId w:val="23"/>
        </w:numPr>
        <w:spacing w:before="100" w:beforeAutospacing="1" w:after="100" w:afterAutospacing="1" w:line="240" w:lineRule="auto"/>
        <w:jc w:val="both"/>
      </w:pPr>
      <w:r>
        <w:t xml:space="preserve">Weinhart, M., Becherer, T., &amp; Haag, R. (2011). Switchable, biocompatible surfaces based on glycerol copolymers. </w:t>
      </w:r>
      <w:r>
        <w:rPr>
          <w:rStyle w:val="Emphasis"/>
        </w:rPr>
        <w:t>Chemical Communications</w:t>
      </w:r>
      <w:r>
        <w:t xml:space="preserve">, 47(9), 1553–1555. </w:t>
      </w:r>
      <w:hyperlink r:id="rId45" w:tgtFrame="_new" w:history="1">
        <w:r>
          <w:rPr>
            <w:rStyle w:val="Hyperlink"/>
          </w:rPr>
          <w:t>https://doi.org/10.1039/C0CC03625E</w:t>
        </w:r>
      </w:hyperlink>
    </w:p>
    <w:p w14:paraId="772D556F" w14:textId="77777777" w:rsidR="00B16343" w:rsidRDefault="00B16343" w:rsidP="00870FFE">
      <w:pPr>
        <w:numPr>
          <w:ilvl w:val="0"/>
          <w:numId w:val="23"/>
        </w:numPr>
        <w:spacing w:before="100" w:beforeAutospacing="1" w:after="100" w:afterAutospacing="1" w:line="240" w:lineRule="auto"/>
        <w:jc w:val="both"/>
      </w:pPr>
      <w:r>
        <w:t xml:space="preserve">Woodfield, P. A., Zhu, Y., Pei, Y., &amp; Roth, P. J. (2014). Hydrophobically modified </w:t>
      </w:r>
      <w:proofErr w:type="spellStart"/>
      <w:r>
        <w:t>sulfobetaine</w:t>
      </w:r>
      <w:proofErr w:type="spellEnd"/>
      <w:r>
        <w:t xml:space="preserve"> copolymers with </w:t>
      </w:r>
      <w:proofErr w:type="spellStart"/>
      <w:r>
        <w:t>tunable</w:t>
      </w:r>
      <w:proofErr w:type="spellEnd"/>
      <w:r>
        <w:t xml:space="preserve"> aqueous UCST through </w:t>
      </w:r>
      <w:proofErr w:type="spellStart"/>
      <w:r>
        <w:t>postpolymerization</w:t>
      </w:r>
      <w:proofErr w:type="spellEnd"/>
      <w:r>
        <w:t xml:space="preserve"> modification of </w:t>
      </w:r>
      <w:proofErr w:type="gramStart"/>
      <w:r>
        <w:t>poly(</w:t>
      </w:r>
      <w:proofErr w:type="spellStart"/>
      <w:proofErr w:type="gramEnd"/>
      <w:r>
        <w:t>pentafluorophenyl</w:t>
      </w:r>
      <w:proofErr w:type="spellEnd"/>
      <w:r>
        <w:t xml:space="preserve"> acrylate). </w:t>
      </w:r>
      <w:r>
        <w:rPr>
          <w:rStyle w:val="Emphasis"/>
        </w:rPr>
        <w:t>Macromolecules</w:t>
      </w:r>
      <w:r>
        <w:t xml:space="preserve">, 47(2), 750–762. </w:t>
      </w:r>
      <w:hyperlink r:id="rId46" w:tgtFrame="_new" w:history="1">
        <w:r>
          <w:rPr>
            <w:rStyle w:val="Hyperlink"/>
          </w:rPr>
          <w:t>https://doi.org/10.1021/ma402062n</w:t>
        </w:r>
      </w:hyperlink>
    </w:p>
    <w:p w14:paraId="21338447" w14:textId="77777777" w:rsidR="00B16343" w:rsidRDefault="00B16343" w:rsidP="00870FFE">
      <w:pPr>
        <w:numPr>
          <w:ilvl w:val="0"/>
          <w:numId w:val="23"/>
        </w:numPr>
        <w:spacing w:before="100" w:beforeAutospacing="1" w:after="100" w:afterAutospacing="1" w:line="240" w:lineRule="auto"/>
        <w:jc w:val="both"/>
      </w:pPr>
      <w:r>
        <w:t xml:space="preserve">Xia, W., Zhang, Y., &amp; Liu, L. (2022). Sustainable epoxy resins based on vegetable oils: Advances in green polymer chemistry. </w:t>
      </w:r>
      <w:r>
        <w:rPr>
          <w:rStyle w:val="Emphasis"/>
        </w:rPr>
        <w:t>Journal of Cleaner Production</w:t>
      </w:r>
      <w:r>
        <w:t xml:space="preserve">, 376, 134106. </w:t>
      </w:r>
      <w:hyperlink r:id="rId47" w:tgtFrame="_new" w:history="1">
        <w:r>
          <w:rPr>
            <w:rStyle w:val="Hyperlink"/>
          </w:rPr>
          <w:t>https://doi.org/10.1016/j.jclepro.2022.134106</w:t>
        </w:r>
      </w:hyperlink>
    </w:p>
    <w:p w14:paraId="5066627F" w14:textId="77777777" w:rsidR="00B16343" w:rsidRDefault="00B16343" w:rsidP="00870FFE">
      <w:pPr>
        <w:numPr>
          <w:ilvl w:val="0"/>
          <w:numId w:val="23"/>
        </w:numPr>
        <w:spacing w:before="100" w:beforeAutospacing="1" w:after="100" w:afterAutospacing="1" w:line="240" w:lineRule="auto"/>
        <w:jc w:val="both"/>
      </w:pPr>
      <w:r>
        <w:t xml:space="preserve">Xu, H., Xu, J., Jiang, X., Zhu, Z., Rao, J., Yin, J., Wu, T., Liu, H., &amp; Liu, S. (2007). Thermosensitive unimolecular micelles surface-decorated with gold nanoparticles of </w:t>
      </w:r>
      <w:proofErr w:type="spellStart"/>
      <w:r>
        <w:t>tunable</w:t>
      </w:r>
      <w:proofErr w:type="spellEnd"/>
      <w:r>
        <w:t xml:space="preserve"> spatial distribution. </w:t>
      </w:r>
      <w:r>
        <w:rPr>
          <w:rStyle w:val="Emphasis"/>
        </w:rPr>
        <w:t>Chemistry of Materials</w:t>
      </w:r>
      <w:r>
        <w:t xml:space="preserve">, 19(11), 2489–2494. </w:t>
      </w:r>
      <w:hyperlink r:id="rId48" w:tgtFrame="_new" w:history="1">
        <w:r>
          <w:rPr>
            <w:rStyle w:val="Hyperlink"/>
          </w:rPr>
          <w:t>https://doi.org/10.1021/cm063303v</w:t>
        </w:r>
      </w:hyperlink>
    </w:p>
    <w:p w14:paraId="02DD7FA7" w14:textId="77777777" w:rsidR="00B16343" w:rsidRDefault="00B16343" w:rsidP="00870FFE">
      <w:pPr>
        <w:numPr>
          <w:ilvl w:val="0"/>
          <w:numId w:val="23"/>
        </w:numPr>
        <w:spacing w:before="100" w:beforeAutospacing="1" w:after="100" w:afterAutospacing="1" w:line="240" w:lineRule="auto"/>
        <w:jc w:val="both"/>
      </w:pPr>
      <w:r>
        <w:t xml:space="preserve">Xu, R., Tian, J., Guan, Y., &amp; Zhang, Y. (2019). Extraordinarily large LCST depression converts </w:t>
      </w:r>
      <w:proofErr w:type="spellStart"/>
      <w:r>
        <w:t>nonthermosensitive</w:t>
      </w:r>
      <w:proofErr w:type="spellEnd"/>
      <w:r>
        <w:t xml:space="preserve"> polymer to thermosensitive. </w:t>
      </w:r>
      <w:r>
        <w:rPr>
          <w:rStyle w:val="Emphasis"/>
        </w:rPr>
        <w:t>Macromolecules</w:t>
      </w:r>
      <w:r>
        <w:t xml:space="preserve">, 52(2), 365–375. </w:t>
      </w:r>
      <w:hyperlink r:id="rId49" w:tgtFrame="_new" w:history="1">
        <w:r>
          <w:rPr>
            <w:rStyle w:val="Hyperlink"/>
          </w:rPr>
          <w:t>https://doi.org/10.1021/acs.macromol.8b02178</w:t>
        </w:r>
      </w:hyperlink>
    </w:p>
    <w:p w14:paraId="0676D129" w14:textId="77777777" w:rsidR="00B16343" w:rsidRDefault="00B16343" w:rsidP="00870FFE">
      <w:pPr>
        <w:numPr>
          <w:ilvl w:val="0"/>
          <w:numId w:val="23"/>
        </w:numPr>
        <w:spacing w:before="100" w:beforeAutospacing="1" w:after="100" w:afterAutospacing="1" w:line="240" w:lineRule="auto"/>
        <w:jc w:val="both"/>
      </w:pPr>
      <w:r>
        <w:t xml:space="preserve">Yu, J., Chao, H., Li, G., Tang, R., Liu, Z., Liu, Z., &amp; Jiang, J. (2018). Backbone-based LCST-type hyperbranched </w:t>
      </w:r>
      <w:proofErr w:type="gramStart"/>
      <w:r>
        <w:t>poly(oligo(</w:t>
      </w:r>
      <w:proofErr w:type="gramEnd"/>
      <w:r>
        <w:t xml:space="preserve">ethylene glycol)) with CO₂-reversible </w:t>
      </w:r>
      <w:proofErr w:type="spellStart"/>
      <w:r>
        <w:t>iminoboronate</w:t>
      </w:r>
      <w:proofErr w:type="spellEnd"/>
      <w:r>
        <w:t xml:space="preserve"> linkers. </w:t>
      </w:r>
      <w:r>
        <w:rPr>
          <w:rStyle w:val="Emphasis"/>
        </w:rPr>
        <w:t>Macromolecular Chemistry and Physics</w:t>
      </w:r>
      <w:r>
        <w:t xml:space="preserve">, 219(2), 1800346. </w:t>
      </w:r>
      <w:hyperlink r:id="rId50" w:tgtFrame="_new" w:history="1">
        <w:r>
          <w:rPr>
            <w:rStyle w:val="Hyperlink"/>
          </w:rPr>
          <w:t>https://doi.org/10.1002/macp.201800346</w:t>
        </w:r>
      </w:hyperlink>
    </w:p>
    <w:p w14:paraId="1742BACF" w14:textId="77777777" w:rsidR="00B16343" w:rsidRDefault="00B16343" w:rsidP="00870FFE">
      <w:pPr>
        <w:numPr>
          <w:ilvl w:val="0"/>
          <w:numId w:val="23"/>
        </w:numPr>
        <w:spacing w:before="100" w:beforeAutospacing="1" w:after="100" w:afterAutospacing="1" w:line="240" w:lineRule="auto"/>
        <w:jc w:val="both"/>
      </w:pPr>
      <w:r>
        <w:t xml:space="preserve">Zhao, J., Zhu, Y., &amp; Liu, S. (2023). Emission of volatile organic compounds from cooking oils: Environmental and health implications. </w:t>
      </w:r>
      <w:r>
        <w:rPr>
          <w:rStyle w:val="Emphasis"/>
        </w:rPr>
        <w:t>Environmental Science &amp; Technology</w:t>
      </w:r>
      <w:r>
        <w:t xml:space="preserve">, 57(7), 3129–3138. </w:t>
      </w:r>
      <w:hyperlink r:id="rId51" w:tgtFrame="_new" w:history="1">
        <w:r>
          <w:rPr>
            <w:rStyle w:val="Hyperlink"/>
          </w:rPr>
          <w:t>https://doi.org/10.1021/acs.est.3c06754</w:t>
        </w:r>
      </w:hyperlink>
    </w:p>
    <w:p w14:paraId="7E9A7FC8" w14:textId="77777777" w:rsidR="00B16343" w:rsidRDefault="00B16343" w:rsidP="00870FFE">
      <w:pPr>
        <w:pStyle w:val="ListParagraph"/>
        <w:spacing w:before="100" w:beforeAutospacing="1" w:after="100" w:afterAutospacing="1"/>
        <w:jc w:val="both"/>
      </w:pPr>
    </w:p>
    <w:p w14:paraId="09049626" w14:textId="13DC5844" w:rsidR="00CF7AF4" w:rsidRPr="00F22689" w:rsidRDefault="00CF7AF4" w:rsidP="00462AF7">
      <w:pPr>
        <w:pStyle w:val="Title"/>
        <w:spacing w:after="120"/>
        <w:jc w:val="both"/>
        <w:rPr>
          <w:rFonts w:asciiTheme="majorBidi" w:eastAsia="Times New Roman" w:hAnsiTheme="majorBidi"/>
          <w:sz w:val="24"/>
          <w:szCs w:val="24"/>
          <w:lang w:eastAsia="en-GB"/>
        </w:rPr>
      </w:pPr>
    </w:p>
    <w:sectPr w:rsidR="00CF7AF4" w:rsidRPr="00F226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F8D0" w14:textId="77777777" w:rsidR="00CC24DD" w:rsidRDefault="00CC24DD" w:rsidP="00C359F7">
      <w:pPr>
        <w:spacing w:after="0" w:line="240" w:lineRule="auto"/>
      </w:pPr>
      <w:r>
        <w:separator/>
      </w:r>
    </w:p>
  </w:endnote>
  <w:endnote w:type="continuationSeparator" w:id="0">
    <w:p w14:paraId="1B66D4A5" w14:textId="77777777" w:rsidR="00CC24DD" w:rsidRDefault="00CC24DD" w:rsidP="00C35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abic Typesetting">
    <w:charset w:val="B2"/>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33C3" w14:textId="77777777" w:rsidR="00C359F7" w:rsidRDefault="00C35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0AE6" w14:textId="77777777" w:rsidR="00C359F7" w:rsidRDefault="00C35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F58C" w14:textId="77777777" w:rsidR="00C359F7" w:rsidRDefault="00C35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136F" w14:textId="77777777" w:rsidR="00CC24DD" w:rsidRDefault="00CC24DD" w:rsidP="00C359F7">
      <w:pPr>
        <w:spacing w:after="0" w:line="240" w:lineRule="auto"/>
      </w:pPr>
      <w:r>
        <w:separator/>
      </w:r>
    </w:p>
  </w:footnote>
  <w:footnote w:type="continuationSeparator" w:id="0">
    <w:p w14:paraId="48AC3328" w14:textId="77777777" w:rsidR="00CC24DD" w:rsidRDefault="00CC24DD" w:rsidP="00C35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B55C" w14:textId="79CDA1D9" w:rsidR="00C359F7" w:rsidRDefault="00000000">
    <w:pPr>
      <w:pStyle w:val="Header"/>
    </w:pPr>
    <w:r>
      <w:rPr>
        <w:noProof/>
      </w:rPr>
      <w:pict w14:anchorId="58EC3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253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5DD7" w14:textId="472AE175" w:rsidR="00C359F7" w:rsidRDefault="00000000">
    <w:pPr>
      <w:pStyle w:val="Header"/>
    </w:pPr>
    <w:r>
      <w:rPr>
        <w:noProof/>
      </w:rPr>
      <w:pict w14:anchorId="197F6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253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6F26" w14:textId="0821A69D" w:rsidR="00C359F7" w:rsidRDefault="00000000">
    <w:pPr>
      <w:pStyle w:val="Header"/>
    </w:pPr>
    <w:r>
      <w:rPr>
        <w:noProof/>
      </w:rPr>
      <w:pict w14:anchorId="1F793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253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6C48"/>
    <w:multiLevelType w:val="multilevel"/>
    <w:tmpl w:val="BAB64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A7658"/>
    <w:multiLevelType w:val="multilevel"/>
    <w:tmpl w:val="DC60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A52AD"/>
    <w:multiLevelType w:val="multilevel"/>
    <w:tmpl w:val="02FCF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15AB6"/>
    <w:multiLevelType w:val="multilevel"/>
    <w:tmpl w:val="66A2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3156E"/>
    <w:multiLevelType w:val="multilevel"/>
    <w:tmpl w:val="9770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61C61"/>
    <w:multiLevelType w:val="multilevel"/>
    <w:tmpl w:val="F41E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3007E"/>
    <w:multiLevelType w:val="multilevel"/>
    <w:tmpl w:val="24F2A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CE1F60"/>
    <w:multiLevelType w:val="multilevel"/>
    <w:tmpl w:val="B4DC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84D7A"/>
    <w:multiLevelType w:val="multilevel"/>
    <w:tmpl w:val="22C8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15C92"/>
    <w:multiLevelType w:val="multilevel"/>
    <w:tmpl w:val="4104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A27BA"/>
    <w:multiLevelType w:val="multilevel"/>
    <w:tmpl w:val="6764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2E5431"/>
    <w:multiLevelType w:val="multilevel"/>
    <w:tmpl w:val="2064F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FC41FF"/>
    <w:multiLevelType w:val="multilevel"/>
    <w:tmpl w:val="1456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E2BCF"/>
    <w:multiLevelType w:val="multilevel"/>
    <w:tmpl w:val="B77E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AD4D6D"/>
    <w:multiLevelType w:val="multilevel"/>
    <w:tmpl w:val="38C0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666E7"/>
    <w:multiLevelType w:val="multilevel"/>
    <w:tmpl w:val="073A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5E321E"/>
    <w:multiLevelType w:val="multilevel"/>
    <w:tmpl w:val="D7F4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CE0AD4"/>
    <w:multiLevelType w:val="multilevel"/>
    <w:tmpl w:val="13EE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816884"/>
    <w:multiLevelType w:val="multilevel"/>
    <w:tmpl w:val="D554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1254EF"/>
    <w:multiLevelType w:val="multilevel"/>
    <w:tmpl w:val="3C52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A6268F"/>
    <w:multiLevelType w:val="multilevel"/>
    <w:tmpl w:val="0F5EEE8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71374E"/>
    <w:multiLevelType w:val="hybridMultilevel"/>
    <w:tmpl w:val="F08A9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611442"/>
    <w:multiLevelType w:val="multilevel"/>
    <w:tmpl w:val="AF12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64117"/>
    <w:multiLevelType w:val="multilevel"/>
    <w:tmpl w:val="9AE4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379409">
    <w:abstractNumId w:val="19"/>
  </w:num>
  <w:num w:numId="2" w16cid:durableId="1606575043">
    <w:abstractNumId w:val="8"/>
  </w:num>
  <w:num w:numId="3" w16cid:durableId="1388065975">
    <w:abstractNumId w:val="15"/>
  </w:num>
  <w:num w:numId="4" w16cid:durableId="886375979">
    <w:abstractNumId w:val="18"/>
  </w:num>
  <w:num w:numId="5" w16cid:durableId="676463182">
    <w:abstractNumId w:val="7"/>
  </w:num>
  <w:num w:numId="6" w16cid:durableId="600341255">
    <w:abstractNumId w:val="12"/>
  </w:num>
  <w:num w:numId="7" w16cid:durableId="1260141314">
    <w:abstractNumId w:val="4"/>
  </w:num>
  <w:num w:numId="8" w16cid:durableId="649360045">
    <w:abstractNumId w:val="9"/>
  </w:num>
  <w:num w:numId="9" w16cid:durableId="155152934">
    <w:abstractNumId w:val="6"/>
  </w:num>
  <w:num w:numId="10" w16cid:durableId="1348363446">
    <w:abstractNumId w:val="11"/>
  </w:num>
  <w:num w:numId="11" w16cid:durableId="986859108">
    <w:abstractNumId w:val="2"/>
  </w:num>
  <w:num w:numId="12" w16cid:durableId="1359741921">
    <w:abstractNumId w:val="16"/>
  </w:num>
  <w:num w:numId="13" w16cid:durableId="699552932">
    <w:abstractNumId w:val="13"/>
  </w:num>
  <w:num w:numId="14" w16cid:durableId="33123082">
    <w:abstractNumId w:val="0"/>
  </w:num>
  <w:num w:numId="15" w16cid:durableId="2121414442">
    <w:abstractNumId w:val="14"/>
  </w:num>
  <w:num w:numId="16" w16cid:durableId="1192374541">
    <w:abstractNumId w:val="3"/>
  </w:num>
  <w:num w:numId="17" w16cid:durableId="1272669364">
    <w:abstractNumId w:val="22"/>
  </w:num>
  <w:num w:numId="18" w16cid:durableId="1983189481">
    <w:abstractNumId w:val="5"/>
  </w:num>
  <w:num w:numId="19" w16cid:durableId="433137582">
    <w:abstractNumId w:val="23"/>
  </w:num>
  <w:num w:numId="20" w16cid:durableId="1426537141">
    <w:abstractNumId w:val="1"/>
  </w:num>
  <w:num w:numId="21" w16cid:durableId="90666418">
    <w:abstractNumId w:val="17"/>
  </w:num>
  <w:num w:numId="22" w16cid:durableId="148521611">
    <w:abstractNumId w:val="10"/>
  </w:num>
  <w:num w:numId="23" w16cid:durableId="1531530068">
    <w:abstractNumId w:val="21"/>
  </w:num>
  <w:num w:numId="24" w16cid:durableId="3330683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5E"/>
    <w:rsid w:val="00085575"/>
    <w:rsid w:val="000B68F6"/>
    <w:rsid w:val="000E6585"/>
    <w:rsid w:val="001171C1"/>
    <w:rsid w:val="00120C48"/>
    <w:rsid w:val="001244BD"/>
    <w:rsid w:val="001569C7"/>
    <w:rsid w:val="00164097"/>
    <w:rsid w:val="00196DF2"/>
    <w:rsid w:val="001A1E8F"/>
    <w:rsid w:val="001C5D50"/>
    <w:rsid w:val="001E56C3"/>
    <w:rsid w:val="001E6AF1"/>
    <w:rsid w:val="002504F1"/>
    <w:rsid w:val="00261067"/>
    <w:rsid w:val="002766C6"/>
    <w:rsid w:val="002A11C3"/>
    <w:rsid w:val="002B5977"/>
    <w:rsid w:val="0035043E"/>
    <w:rsid w:val="003602CD"/>
    <w:rsid w:val="003B11B4"/>
    <w:rsid w:val="003B2A63"/>
    <w:rsid w:val="003D0D9E"/>
    <w:rsid w:val="00401970"/>
    <w:rsid w:val="00417739"/>
    <w:rsid w:val="00423F1F"/>
    <w:rsid w:val="00432A45"/>
    <w:rsid w:val="00462AF7"/>
    <w:rsid w:val="00474611"/>
    <w:rsid w:val="004D4DCE"/>
    <w:rsid w:val="004F3815"/>
    <w:rsid w:val="004F74AE"/>
    <w:rsid w:val="004F7907"/>
    <w:rsid w:val="005608B2"/>
    <w:rsid w:val="005F0D21"/>
    <w:rsid w:val="005F202C"/>
    <w:rsid w:val="006626AC"/>
    <w:rsid w:val="00701BFD"/>
    <w:rsid w:val="007119FD"/>
    <w:rsid w:val="00722A51"/>
    <w:rsid w:val="0072586C"/>
    <w:rsid w:val="00732152"/>
    <w:rsid w:val="00766A8E"/>
    <w:rsid w:val="0079196F"/>
    <w:rsid w:val="007D2A04"/>
    <w:rsid w:val="00866448"/>
    <w:rsid w:val="00870FFE"/>
    <w:rsid w:val="00881AF6"/>
    <w:rsid w:val="008A04C5"/>
    <w:rsid w:val="008B635E"/>
    <w:rsid w:val="0094089D"/>
    <w:rsid w:val="00984F45"/>
    <w:rsid w:val="009A2FD4"/>
    <w:rsid w:val="009C7471"/>
    <w:rsid w:val="009E0509"/>
    <w:rsid w:val="009E5DCE"/>
    <w:rsid w:val="00A252DA"/>
    <w:rsid w:val="00A26632"/>
    <w:rsid w:val="00A51F8F"/>
    <w:rsid w:val="00A55DEB"/>
    <w:rsid w:val="00A56CC9"/>
    <w:rsid w:val="00A62196"/>
    <w:rsid w:val="00AB7064"/>
    <w:rsid w:val="00B10162"/>
    <w:rsid w:val="00B14BF1"/>
    <w:rsid w:val="00B16343"/>
    <w:rsid w:val="00B42B56"/>
    <w:rsid w:val="00B611C1"/>
    <w:rsid w:val="00B83AFF"/>
    <w:rsid w:val="00BB0B05"/>
    <w:rsid w:val="00C07184"/>
    <w:rsid w:val="00C359F7"/>
    <w:rsid w:val="00CC24DD"/>
    <w:rsid w:val="00CE26D1"/>
    <w:rsid w:val="00CF7AF4"/>
    <w:rsid w:val="00DD4055"/>
    <w:rsid w:val="00E26B68"/>
    <w:rsid w:val="00E4578C"/>
    <w:rsid w:val="00E740E8"/>
    <w:rsid w:val="00E754B7"/>
    <w:rsid w:val="00F0654B"/>
    <w:rsid w:val="00F22689"/>
    <w:rsid w:val="00F5564F"/>
    <w:rsid w:val="00FA36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49F8A"/>
  <w15:chartTrackingRefBased/>
  <w15:docId w15:val="{5557913E-44F5-4FD3-AABE-86176B2F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63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B635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B63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2766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35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B635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B635E"/>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B635E"/>
    <w:rPr>
      <w:b/>
      <w:bCs/>
    </w:rPr>
  </w:style>
  <w:style w:type="character" w:styleId="Emphasis">
    <w:name w:val="Emphasis"/>
    <w:basedOn w:val="DefaultParagraphFont"/>
    <w:uiPriority w:val="20"/>
    <w:qFormat/>
    <w:rsid w:val="008B635E"/>
    <w:rPr>
      <w:i/>
      <w:iCs/>
    </w:rPr>
  </w:style>
  <w:style w:type="character" w:styleId="Hyperlink">
    <w:name w:val="Hyperlink"/>
    <w:basedOn w:val="DefaultParagraphFont"/>
    <w:uiPriority w:val="99"/>
    <w:unhideWhenUsed/>
    <w:rsid w:val="008B635E"/>
    <w:rPr>
      <w:color w:val="0000FF"/>
      <w:u w:val="single"/>
    </w:rPr>
  </w:style>
  <w:style w:type="character" w:customStyle="1" w:styleId="Heading4Char">
    <w:name w:val="Heading 4 Char"/>
    <w:basedOn w:val="DefaultParagraphFont"/>
    <w:link w:val="Heading4"/>
    <w:uiPriority w:val="9"/>
    <w:semiHidden/>
    <w:rsid w:val="002766C6"/>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766C6"/>
    <w:pPr>
      <w:ind w:left="720"/>
      <w:contextualSpacing/>
    </w:pPr>
  </w:style>
  <w:style w:type="paragraph" w:styleId="Title">
    <w:name w:val="Title"/>
    <w:basedOn w:val="Normal"/>
    <w:next w:val="Normal"/>
    <w:link w:val="TitleChar"/>
    <w:uiPriority w:val="10"/>
    <w:qFormat/>
    <w:rsid w:val="00722A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A51"/>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CE26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B11B4"/>
    <w:rPr>
      <w:color w:val="605E5C"/>
      <w:shd w:val="clear" w:color="auto" w:fill="E1DFDD"/>
    </w:rPr>
  </w:style>
  <w:style w:type="paragraph" w:styleId="Header">
    <w:name w:val="header"/>
    <w:basedOn w:val="Normal"/>
    <w:link w:val="HeaderChar"/>
    <w:uiPriority w:val="99"/>
    <w:unhideWhenUsed/>
    <w:rsid w:val="00C35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9F7"/>
  </w:style>
  <w:style w:type="paragraph" w:styleId="Footer">
    <w:name w:val="footer"/>
    <w:basedOn w:val="Normal"/>
    <w:link w:val="FooterChar"/>
    <w:uiPriority w:val="99"/>
    <w:unhideWhenUsed/>
    <w:rsid w:val="00C35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9F7"/>
  </w:style>
  <w:style w:type="paragraph" w:styleId="Revision">
    <w:name w:val="Revision"/>
    <w:hidden/>
    <w:uiPriority w:val="99"/>
    <w:semiHidden/>
    <w:rsid w:val="001244BD"/>
    <w:pPr>
      <w:spacing w:after="0" w:line="240" w:lineRule="auto"/>
    </w:pPr>
  </w:style>
  <w:style w:type="character" w:styleId="CommentReference">
    <w:name w:val="annotation reference"/>
    <w:basedOn w:val="DefaultParagraphFont"/>
    <w:uiPriority w:val="99"/>
    <w:semiHidden/>
    <w:unhideWhenUsed/>
    <w:rsid w:val="001244BD"/>
    <w:rPr>
      <w:sz w:val="16"/>
      <w:szCs w:val="16"/>
    </w:rPr>
  </w:style>
  <w:style w:type="paragraph" w:styleId="CommentText">
    <w:name w:val="annotation text"/>
    <w:basedOn w:val="Normal"/>
    <w:link w:val="CommentTextChar"/>
    <w:uiPriority w:val="99"/>
    <w:semiHidden/>
    <w:unhideWhenUsed/>
    <w:rsid w:val="001244BD"/>
    <w:pPr>
      <w:spacing w:line="240" w:lineRule="auto"/>
    </w:pPr>
    <w:rPr>
      <w:sz w:val="20"/>
      <w:szCs w:val="20"/>
    </w:rPr>
  </w:style>
  <w:style w:type="character" w:customStyle="1" w:styleId="CommentTextChar">
    <w:name w:val="Comment Text Char"/>
    <w:basedOn w:val="DefaultParagraphFont"/>
    <w:link w:val="CommentText"/>
    <w:uiPriority w:val="99"/>
    <w:semiHidden/>
    <w:rsid w:val="001244BD"/>
    <w:rPr>
      <w:sz w:val="20"/>
      <w:szCs w:val="20"/>
    </w:rPr>
  </w:style>
  <w:style w:type="paragraph" w:styleId="CommentSubject">
    <w:name w:val="annotation subject"/>
    <w:basedOn w:val="CommentText"/>
    <w:next w:val="CommentText"/>
    <w:link w:val="CommentSubjectChar"/>
    <w:uiPriority w:val="99"/>
    <w:semiHidden/>
    <w:unhideWhenUsed/>
    <w:rsid w:val="001244BD"/>
    <w:rPr>
      <w:b/>
      <w:bCs/>
    </w:rPr>
  </w:style>
  <w:style w:type="character" w:customStyle="1" w:styleId="CommentSubjectChar">
    <w:name w:val="Comment Subject Char"/>
    <w:basedOn w:val="CommentTextChar"/>
    <w:link w:val="CommentSubject"/>
    <w:uiPriority w:val="99"/>
    <w:semiHidden/>
    <w:rsid w:val="001244BD"/>
    <w:rPr>
      <w:b/>
      <w:bCs/>
      <w:sz w:val="20"/>
      <w:szCs w:val="20"/>
    </w:rPr>
  </w:style>
  <w:style w:type="table" w:styleId="TableGrid">
    <w:name w:val="Table Grid"/>
    <w:basedOn w:val="TableNormal"/>
    <w:uiPriority w:val="39"/>
    <w:rsid w:val="00881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058">
      <w:bodyDiv w:val="1"/>
      <w:marLeft w:val="0"/>
      <w:marRight w:val="0"/>
      <w:marTop w:val="0"/>
      <w:marBottom w:val="0"/>
      <w:divBdr>
        <w:top w:val="none" w:sz="0" w:space="0" w:color="auto"/>
        <w:left w:val="none" w:sz="0" w:space="0" w:color="auto"/>
        <w:bottom w:val="none" w:sz="0" w:space="0" w:color="auto"/>
        <w:right w:val="none" w:sz="0" w:space="0" w:color="auto"/>
      </w:divBdr>
    </w:div>
    <w:div w:id="64226788">
      <w:bodyDiv w:val="1"/>
      <w:marLeft w:val="0"/>
      <w:marRight w:val="0"/>
      <w:marTop w:val="0"/>
      <w:marBottom w:val="0"/>
      <w:divBdr>
        <w:top w:val="none" w:sz="0" w:space="0" w:color="auto"/>
        <w:left w:val="none" w:sz="0" w:space="0" w:color="auto"/>
        <w:bottom w:val="none" w:sz="0" w:space="0" w:color="auto"/>
        <w:right w:val="none" w:sz="0" w:space="0" w:color="auto"/>
      </w:divBdr>
    </w:div>
    <w:div w:id="101000921">
      <w:bodyDiv w:val="1"/>
      <w:marLeft w:val="0"/>
      <w:marRight w:val="0"/>
      <w:marTop w:val="0"/>
      <w:marBottom w:val="0"/>
      <w:divBdr>
        <w:top w:val="none" w:sz="0" w:space="0" w:color="auto"/>
        <w:left w:val="none" w:sz="0" w:space="0" w:color="auto"/>
        <w:bottom w:val="none" w:sz="0" w:space="0" w:color="auto"/>
        <w:right w:val="none" w:sz="0" w:space="0" w:color="auto"/>
      </w:divBdr>
    </w:div>
    <w:div w:id="147986774">
      <w:bodyDiv w:val="1"/>
      <w:marLeft w:val="0"/>
      <w:marRight w:val="0"/>
      <w:marTop w:val="0"/>
      <w:marBottom w:val="0"/>
      <w:divBdr>
        <w:top w:val="none" w:sz="0" w:space="0" w:color="auto"/>
        <w:left w:val="none" w:sz="0" w:space="0" w:color="auto"/>
        <w:bottom w:val="none" w:sz="0" w:space="0" w:color="auto"/>
        <w:right w:val="none" w:sz="0" w:space="0" w:color="auto"/>
      </w:divBdr>
    </w:div>
    <w:div w:id="189954946">
      <w:bodyDiv w:val="1"/>
      <w:marLeft w:val="0"/>
      <w:marRight w:val="0"/>
      <w:marTop w:val="0"/>
      <w:marBottom w:val="0"/>
      <w:divBdr>
        <w:top w:val="none" w:sz="0" w:space="0" w:color="auto"/>
        <w:left w:val="none" w:sz="0" w:space="0" w:color="auto"/>
        <w:bottom w:val="none" w:sz="0" w:space="0" w:color="auto"/>
        <w:right w:val="none" w:sz="0" w:space="0" w:color="auto"/>
      </w:divBdr>
    </w:div>
    <w:div w:id="235089945">
      <w:bodyDiv w:val="1"/>
      <w:marLeft w:val="0"/>
      <w:marRight w:val="0"/>
      <w:marTop w:val="0"/>
      <w:marBottom w:val="0"/>
      <w:divBdr>
        <w:top w:val="none" w:sz="0" w:space="0" w:color="auto"/>
        <w:left w:val="none" w:sz="0" w:space="0" w:color="auto"/>
        <w:bottom w:val="none" w:sz="0" w:space="0" w:color="auto"/>
        <w:right w:val="none" w:sz="0" w:space="0" w:color="auto"/>
      </w:divBdr>
    </w:div>
    <w:div w:id="462970409">
      <w:bodyDiv w:val="1"/>
      <w:marLeft w:val="0"/>
      <w:marRight w:val="0"/>
      <w:marTop w:val="0"/>
      <w:marBottom w:val="0"/>
      <w:divBdr>
        <w:top w:val="none" w:sz="0" w:space="0" w:color="auto"/>
        <w:left w:val="none" w:sz="0" w:space="0" w:color="auto"/>
        <w:bottom w:val="none" w:sz="0" w:space="0" w:color="auto"/>
        <w:right w:val="none" w:sz="0" w:space="0" w:color="auto"/>
      </w:divBdr>
    </w:div>
    <w:div w:id="739449120">
      <w:bodyDiv w:val="1"/>
      <w:marLeft w:val="0"/>
      <w:marRight w:val="0"/>
      <w:marTop w:val="0"/>
      <w:marBottom w:val="0"/>
      <w:divBdr>
        <w:top w:val="none" w:sz="0" w:space="0" w:color="auto"/>
        <w:left w:val="none" w:sz="0" w:space="0" w:color="auto"/>
        <w:bottom w:val="none" w:sz="0" w:space="0" w:color="auto"/>
        <w:right w:val="none" w:sz="0" w:space="0" w:color="auto"/>
      </w:divBdr>
    </w:div>
    <w:div w:id="1107696240">
      <w:bodyDiv w:val="1"/>
      <w:marLeft w:val="0"/>
      <w:marRight w:val="0"/>
      <w:marTop w:val="0"/>
      <w:marBottom w:val="0"/>
      <w:divBdr>
        <w:top w:val="none" w:sz="0" w:space="0" w:color="auto"/>
        <w:left w:val="none" w:sz="0" w:space="0" w:color="auto"/>
        <w:bottom w:val="none" w:sz="0" w:space="0" w:color="auto"/>
        <w:right w:val="none" w:sz="0" w:space="0" w:color="auto"/>
      </w:divBdr>
    </w:div>
    <w:div w:id="1140029799">
      <w:bodyDiv w:val="1"/>
      <w:marLeft w:val="0"/>
      <w:marRight w:val="0"/>
      <w:marTop w:val="0"/>
      <w:marBottom w:val="0"/>
      <w:divBdr>
        <w:top w:val="none" w:sz="0" w:space="0" w:color="auto"/>
        <w:left w:val="none" w:sz="0" w:space="0" w:color="auto"/>
        <w:bottom w:val="none" w:sz="0" w:space="0" w:color="auto"/>
        <w:right w:val="none" w:sz="0" w:space="0" w:color="auto"/>
      </w:divBdr>
    </w:div>
    <w:div w:id="1387608705">
      <w:bodyDiv w:val="1"/>
      <w:marLeft w:val="0"/>
      <w:marRight w:val="0"/>
      <w:marTop w:val="0"/>
      <w:marBottom w:val="0"/>
      <w:divBdr>
        <w:top w:val="none" w:sz="0" w:space="0" w:color="auto"/>
        <w:left w:val="none" w:sz="0" w:space="0" w:color="auto"/>
        <w:bottom w:val="none" w:sz="0" w:space="0" w:color="auto"/>
        <w:right w:val="none" w:sz="0" w:space="0" w:color="auto"/>
      </w:divBdr>
    </w:div>
    <w:div w:id="1504586470">
      <w:bodyDiv w:val="1"/>
      <w:marLeft w:val="0"/>
      <w:marRight w:val="0"/>
      <w:marTop w:val="0"/>
      <w:marBottom w:val="0"/>
      <w:divBdr>
        <w:top w:val="none" w:sz="0" w:space="0" w:color="auto"/>
        <w:left w:val="none" w:sz="0" w:space="0" w:color="auto"/>
        <w:bottom w:val="none" w:sz="0" w:space="0" w:color="auto"/>
        <w:right w:val="none" w:sz="0" w:space="0" w:color="auto"/>
      </w:divBdr>
    </w:div>
    <w:div w:id="1554611451">
      <w:bodyDiv w:val="1"/>
      <w:marLeft w:val="0"/>
      <w:marRight w:val="0"/>
      <w:marTop w:val="0"/>
      <w:marBottom w:val="0"/>
      <w:divBdr>
        <w:top w:val="none" w:sz="0" w:space="0" w:color="auto"/>
        <w:left w:val="none" w:sz="0" w:space="0" w:color="auto"/>
        <w:bottom w:val="none" w:sz="0" w:space="0" w:color="auto"/>
        <w:right w:val="none" w:sz="0" w:space="0" w:color="auto"/>
      </w:divBdr>
    </w:div>
    <w:div w:id="1644844891">
      <w:bodyDiv w:val="1"/>
      <w:marLeft w:val="0"/>
      <w:marRight w:val="0"/>
      <w:marTop w:val="0"/>
      <w:marBottom w:val="0"/>
      <w:divBdr>
        <w:top w:val="none" w:sz="0" w:space="0" w:color="auto"/>
        <w:left w:val="none" w:sz="0" w:space="0" w:color="auto"/>
        <w:bottom w:val="none" w:sz="0" w:space="0" w:color="auto"/>
        <w:right w:val="none" w:sz="0" w:space="0" w:color="auto"/>
      </w:divBdr>
    </w:div>
    <w:div w:id="1803576052">
      <w:bodyDiv w:val="1"/>
      <w:marLeft w:val="0"/>
      <w:marRight w:val="0"/>
      <w:marTop w:val="0"/>
      <w:marBottom w:val="0"/>
      <w:divBdr>
        <w:top w:val="none" w:sz="0" w:space="0" w:color="auto"/>
        <w:left w:val="none" w:sz="0" w:space="0" w:color="auto"/>
        <w:bottom w:val="none" w:sz="0" w:space="0" w:color="auto"/>
        <w:right w:val="none" w:sz="0" w:space="0" w:color="auto"/>
      </w:divBdr>
    </w:div>
    <w:div w:id="1896044503">
      <w:bodyDiv w:val="1"/>
      <w:marLeft w:val="0"/>
      <w:marRight w:val="0"/>
      <w:marTop w:val="0"/>
      <w:marBottom w:val="0"/>
      <w:divBdr>
        <w:top w:val="none" w:sz="0" w:space="0" w:color="auto"/>
        <w:left w:val="none" w:sz="0" w:space="0" w:color="auto"/>
        <w:bottom w:val="none" w:sz="0" w:space="0" w:color="auto"/>
        <w:right w:val="none" w:sz="0" w:space="0" w:color="auto"/>
      </w:divBdr>
    </w:div>
    <w:div w:id="1949501442">
      <w:bodyDiv w:val="1"/>
      <w:marLeft w:val="0"/>
      <w:marRight w:val="0"/>
      <w:marTop w:val="0"/>
      <w:marBottom w:val="0"/>
      <w:divBdr>
        <w:top w:val="none" w:sz="0" w:space="0" w:color="auto"/>
        <w:left w:val="none" w:sz="0" w:space="0" w:color="auto"/>
        <w:bottom w:val="none" w:sz="0" w:space="0" w:color="auto"/>
        <w:right w:val="none" w:sz="0" w:space="0" w:color="auto"/>
      </w:divBdr>
    </w:div>
    <w:div w:id="1969896798">
      <w:bodyDiv w:val="1"/>
      <w:marLeft w:val="0"/>
      <w:marRight w:val="0"/>
      <w:marTop w:val="0"/>
      <w:marBottom w:val="0"/>
      <w:divBdr>
        <w:top w:val="none" w:sz="0" w:space="0" w:color="auto"/>
        <w:left w:val="none" w:sz="0" w:space="0" w:color="auto"/>
        <w:bottom w:val="none" w:sz="0" w:space="0" w:color="auto"/>
        <w:right w:val="none" w:sz="0" w:space="0" w:color="auto"/>
      </w:divBdr>
    </w:div>
    <w:div w:id="199394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39/C5PY00153H" TargetMode="External"/><Relationship Id="rId26" Type="http://schemas.openxmlformats.org/officeDocument/2006/relationships/hyperlink" Target="https://doi.org/10.1021/ma101653t" TargetMode="External"/><Relationship Id="rId39" Type="http://schemas.openxmlformats.org/officeDocument/2006/relationships/hyperlink" Target="https://doi.org/10.1002/polb.25094" TargetMode="External"/><Relationship Id="rId3" Type="http://schemas.openxmlformats.org/officeDocument/2006/relationships/styles" Target="styles.xml"/><Relationship Id="rId21" Type="http://schemas.openxmlformats.org/officeDocument/2006/relationships/hyperlink" Target="https://doi.org/10.1111/1750-3841.13163" TargetMode="External"/><Relationship Id="rId34" Type="http://schemas.openxmlformats.org/officeDocument/2006/relationships/hyperlink" Target="https://doi.org/10.1016/j.compositesb.2023.109370" TargetMode="External"/><Relationship Id="rId42" Type="http://schemas.openxmlformats.org/officeDocument/2006/relationships/hyperlink" Target="https://doi.org/10.1039/D4PY01201A" TargetMode="External"/><Relationship Id="rId47" Type="http://schemas.openxmlformats.org/officeDocument/2006/relationships/hyperlink" Target="https://doi.org/10.1016/j.jclepro.2022.134106" TargetMode="External"/><Relationship Id="rId50" Type="http://schemas.openxmlformats.org/officeDocument/2006/relationships/hyperlink" Target="https://doi.org/10.1002/macp.20180034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39/C7PY00293E" TargetMode="External"/><Relationship Id="rId25" Type="http://schemas.openxmlformats.org/officeDocument/2006/relationships/hyperlink" Target="https://doi.org/10.1002/ejlt.200900311" TargetMode="External"/><Relationship Id="rId33" Type="http://schemas.openxmlformats.org/officeDocument/2006/relationships/hyperlink" Target="https://doi.org/10.1021/acsapm.0c00567" TargetMode="External"/><Relationship Id="rId38" Type="http://schemas.openxmlformats.org/officeDocument/2006/relationships/hyperlink" Target="https://doi.org/10.1002/marc.201400139" TargetMode="External"/><Relationship Id="rId46" Type="http://schemas.openxmlformats.org/officeDocument/2006/relationships/hyperlink" Target="https://doi.org/10.1021/ma402062n" TargetMode="External"/><Relationship Id="rId2" Type="http://schemas.openxmlformats.org/officeDocument/2006/relationships/numbering" Target="numbering.xml"/><Relationship Id="rId16" Type="http://schemas.openxmlformats.org/officeDocument/2006/relationships/hyperlink" Target="https://doi.org/10.1002/app.41361" TargetMode="External"/><Relationship Id="rId20" Type="http://schemas.openxmlformats.org/officeDocument/2006/relationships/hyperlink" Target="https://doi.org/10.1021/acs.langmuir.8b03339" TargetMode="External"/><Relationship Id="rId29" Type="http://schemas.openxmlformats.org/officeDocument/2006/relationships/hyperlink" Target="https://doi.org/10.1021/jp504168u" TargetMode="External"/><Relationship Id="rId41" Type="http://schemas.openxmlformats.org/officeDocument/2006/relationships/hyperlink" Target="https://doi.org/10.1039/B823662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103/0970-0218.169553" TargetMode="External"/><Relationship Id="rId32" Type="http://schemas.openxmlformats.org/officeDocument/2006/relationships/hyperlink" Target="https://doi.org/10.1002/pola.20185" TargetMode="External"/><Relationship Id="rId37" Type="http://schemas.openxmlformats.org/officeDocument/2006/relationships/hyperlink" Target="https://doi.org/10.1016/j.lwt.2013.07.016" TargetMode="External"/><Relationship Id="rId40" Type="http://schemas.openxmlformats.org/officeDocument/2006/relationships/hyperlink" Target="https://doi.org/10.1016/j.polymers.2011.03.019" TargetMode="External"/><Relationship Id="rId45" Type="http://schemas.openxmlformats.org/officeDocument/2006/relationships/hyperlink" Target="https://doi.org/10.1039/C0CC03625E"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39/C4CP03000J" TargetMode="External"/><Relationship Id="rId23" Type="http://schemas.openxmlformats.org/officeDocument/2006/relationships/hyperlink" Target="https://doi.org/10.1016/j.cattod.2022.08.013" TargetMode="External"/><Relationship Id="rId28" Type="http://schemas.openxmlformats.org/officeDocument/2006/relationships/hyperlink" Target="https://doi.org/10.1016/j.foodcont.2018.02.009" TargetMode="External"/><Relationship Id="rId36" Type="http://schemas.openxmlformats.org/officeDocument/2006/relationships/hyperlink" Target="https://doi.org/10.1016/j.foodres.2010.01.002" TargetMode="External"/><Relationship Id="rId49" Type="http://schemas.openxmlformats.org/officeDocument/2006/relationships/hyperlink" Target="https://doi.org/10.1021/acs.macromol.8b02178" TargetMode="External"/><Relationship Id="rId10" Type="http://schemas.openxmlformats.org/officeDocument/2006/relationships/footer" Target="footer1.xml"/><Relationship Id="rId19" Type="http://schemas.openxmlformats.org/officeDocument/2006/relationships/hyperlink" Target="https://doi.org/10.1016/j.eurpolymj.2013.09.012" TargetMode="External"/><Relationship Id="rId31" Type="http://schemas.openxmlformats.org/officeDocument/2006/relationships/hyperlink" Target="https://doi.org/10.1002/masy.200700024" TargetMode="External"/><Relationship Id="rId44" Type="http://schemas.openxmlformats.org/officeDocument/2006/relationships/hyperlink" Target="https://doi.org/10.1021/ma9710576"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246/cl.2002.1128" TargetMode="External"/><Relationship Id="rId22" Type="http://schemas.openxmlformats.org/officeDocument/2006/relationships/hyperlink" Target="https://doi.org/10.1007/s11746-007-0912-5" TargetMode="External"/><Relationship Id="rId27" Type="http://schemas.openxmlformats.org/officeDocument/2006/relationships/hyperlink" Target="https://doi.org/10.3390/polym13182772" TargetMode="External"/><Relationship Id="rId30" Type="http://schemas.openxmlformats.org/officeDocument/2006/relationships/hyperlink" Target="https://doi.org/10.1002/anie.201403185" TargetMode="External"/><Relationship Id="rId35" Type="http://schemas.openxmlformats.org/officeDocument/2006/relationships/hyperlink" Target="https://doi.org/10.1039/D2GC03708K" TargetMode="External"/><Relationship Id="rId43" Type="http://schemas.openxmlformats.org/officeDocument/2006/relationships/hyperlink" Target="https://doi.org/10.1039/B403913F" TargetMode="External"/><Relationship Id="rId48" Type="http://schemas.openxmlformats.org/officeDocument/2006/relationships/hyperlink" Target="https://doi.org/10.1021/cm063303v" TargetMode="External"/><Relationship Id="rId8" Type="http://schemas.openxmlformats.org/officeDocument/2006/relationships/header" Target="header1.xml"/><Relationship Id="rId51" Type="http://schemas.openxmlformats.org/officeDocument/2006/relationships/hyperlink" Target="https://doi.org/10.1021/acs.est.3c06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1C2AB-15E9-4255-9DCD-B7A3EB04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6728</Words>
  <Characters>38356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Raghad Mohammed</dc:creator>
  <cp:keywords/>
  <dc:description/>
  <cp:lastModifiedBy>Editor GP 005</cp:lastModifiedBy>
  <cp:revision>28</cp:revision>
  <dcterms:created xsi:type="dcterms:W3CDTF">2025-05-05T20:22:00Z</dcterms:created>
  <dcterms:modified xsi:type="dcterms:W3CDTF">2025-05-08T06:15:00Z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e54640d1-1195-4f9c-af77-98e4e802c7d7</vt:lpwstr>
  </property>
</Properties>
</file>