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DA54" w14:textId="77777777" w:rsidR="007F5687" w:rsidRDefault="007F5687" w:rsidP="009B7A04">
      <w:pPr>
        <w:pStyle w:val="NormalWeb"/>
        <w:spacing w:before="240" w:beforeAutospacing="0" w:after="240" w:afterAutospacing="0" w:line="360" w:lineRule="auto"/>
        <w:jc w:val="center"/>
        <w:rPr>
          <w:b/>
          <w:color w:val="000000"/>
          <w:sz w:val="40"/>
          <w:szCs w:val="40"/>
        </w:rPr>
      </w:pPr>
      <w:r w:rsidRPr="007F5687">
        <w:rPr>
          <w:b/>
          <w:color w:val="000000"/>
          <w:sz w:val="40"/>
          <w:szCs w:val="40"/>
        </w:rPr>
        <w:t xml:space="preserve">Original Research Article </w:t>
      </w:r>
    </w:p>
    <w:p w14:paraId="724E1B26" w14:textId="2A20C92F" w:rsidR="00EB0AF9" w:rsidRPr="00BD6F93" w:rsidRDefault="003128B6" w:rsidP="009B7A04">
      <w:pPr>
        <w:pStyle w:val="NormalWeb"/>
        <w:spacing w:before="240" w:beforeAutospacing="0" w:after="240" w:afterAutospacing="0" w:line="360" w:lineRule="auto"/>
        <w:jc w:val="center"/>
        <w:rPr>
          <w:b/>
          <w:sz w:val="40"/>
          <w:szCs w:val="40"/>
        </w:rPr>
      </w:pPr>
      <w:r>
        <w:rPr>
          <w:b/>
          <w:color w:val="000000"/>
          <w:sz w:val="40"/>
          <w:szCs w:val="40"/>
        </w:rPr>
        <w:t>An Investigation</w:t>
      </w:r>
      <w:r w:rsidR="00D13655" w:rsidRPr="00D13655">
        <w:rPr>
          <w:b/>
          <w:color w:val="000000"/>
          <w:sz w:val="40"/>
          <w:szCs w:val="40"/>
        </w:rPr>
        <w:t xml:space="preserve"> of Analgesic and Anti-inflammatory Activity of </w:t>
      </w:r>
      <w:r w:rsidR="00457329">
        <w:rPr>
          <w:b/>
          <w:i/>
          <w:color w:val="000000"/>
          <w:sz w:val="40"/>
          <w:szCs w:val="40"/>
        </w:rPr>
        <w:t xml:space="preserve">Bixa </w:t>
      </w:r>
      <w:proofErr w:type="spellStart"/>
      <w:r w:rsidR="00457329">
        <w:rPr>
          <w:b/>
          <w:i/>
          <w:color w:val="000000"/>
          <w:sz w:val="40"/>
          <w:szCs w:val="40"/>
        </w:rPr>
        <w:t>orellana</w:t>
      </w:r>
      <w:proofErr w:type="spellEnd"/>
      <w:r w:rsidR="00D13655" w:rsidRPr="00D13655">
        <w:rPr>
          <w:b/>
          <w:i/>
          <w:color w:val="000000"/>
          <w:sz w:val="40"/>
          <w:szCs w:val="40"/>
        </w:rPr>
        <w:t xml:space="preserve"> </w:t>
      </w:r>
      <w:r w:rsidR="00D13655" w:rsidRPr="00D13655">
        <w:rPr>
          <w:b/>
          <w:color w:val="000000"/>
          <w:sz w:val="40"/>
          <w:szCs w:val="40"/>
        </w:rPr>
        <w:t>Linn. Leaves</w:t>
      </w:r>
    </w:p>
    <w:p w14:paraId="39746536" w14:textId="77777777" w:rsidR="006D64E7" w:rsidRDefault="006D64E7" w:rsidP="004275C4">
      <w:pPr>
        <w:pStyle w:val="NormalWeb"/>
        <w:spacing w:after="0" w:line="360" w:lineRule="auto"/>
        <w:rPr>
          <w:color w:val="000000"/>
        </w:rPr>
      </w:pPr>
    </w:p>
    <w:p w14:paraId="4FEE4AE2" w14:textId="77777777" w:rsidR="00F73CD7" w:rsidRDefault="00F73CD7" w:rsidP="00F73CD7">
      <w:pPr>
        <w:pStyle w:val="NormalWeb"/>
        <w:spacing w:before="0" w:beforeAutospacing="0" w:after="0" w:afterAutospacing="0" w:line="360" w:lineRule="auto"/>
        <w:rPr>
          <w:color w:val="000000"/>
        </w:rPr>
      </w:pPr>
    </w:p>
    <w:p w14:paraId="03BB90E1" w14:textId="77777777" w:rsidR="00353D58" w:rsidRPr="00F73CD7" w:rsidRDefault="00B36F3F" w:rsidP="00F73CD7">
      <w:pPr>
        <w:pStyle w:val="NormalWeb"/>
        <w:spacing w:before="0" w:beforeAutospacing="0" w:after="0" w:afterAutospacing="0" w:line="360" w:lineRule="auto"/>
        <w:rPr>
          <w:color w:val="000000"/>
        </w:rPr>
      </w:pPr>
      <w:r>
        <w:rPr>
          <w:b/>
          <w:color w:val="000000"/>
        </w:rPr>
        <w:t>Abstract</w:t>
      </w:r>
    </w:p>
    <w:p w14:paraId="4DB1C182" w14:textId="77777777" w:rsidR="00EC1582" w:rsidRPr="003C660E" w:rsidRDefault="003C660E" w:rsidP="003C660E">
      <w:pPr>
        <w:spacing w:before="240" w:after="240" w:line="360" w:lineRule="auto"/>
        <w:jc w:val="both"/>
        <w:rPr>
          <w:rFonts w:ascii="Times New Roman" w:eastAsia="Times New Roman" w:hAnsi="Times New Roman" w:cs="Times New Roman"/>
          <w:sz w:val="24"/>
          <w:szCs w:val="24"/>
        </w:rPr>
      </w:pPr>
      <w:r w:rsidRPr="003C660E">
        <w:rPr>
          <w:rFonts w:ascii="Times New Roman" w:eastAsia="Times New Roman" w:hAnsi="Times New Roman" w:cs="Times New Roman"/>
          <w:sz w:val="24"/>
          <w:szCs w:val="24"/>
        </w:rPr>
        <w:t xml:space="preserve">Herbal medicine, the application of medicinal plants for the prevention and treatment of ailments, is grounded in millennia of history. This study sought to assess the analgesic and anti-inflammatory effects of </w:t>
      </w:r>
      <w:r w:rsidR="00457329">
        <w:rPr>
          <w:rFonts w:ascii="Times New Roman" w:eastAsia="Times New Roman" w:hAnsi="Times New Roman" w:cs="Times New Roman"/>
          <w:i/>
          <w:iCs/>
          <w:sz w:val="24"/>
          <w:szCs w:val="24"/>
        </w:rPr>
        <w:t xml:space="preserve">Bixa </w:t>
      </w:r>
      <w:proofErr w:type="spellStart"/>
      <w:r w:rsid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leaf extract utilizing known rat models. The carrageenan-induced paw edema model was used to evaluate anti-inflammatory activity. In contrast, the acetic acid-induced writhing test and the tail flick method were performed to ascertain analgesic efficiency. Rats received 2</w:t>
      </w:r>
      <w:r w:rsidR="00457329">
        <w:rPr>
          <w:rFonts w:ascii="Times New Roman" w:eastAsia="Times New Roman" w:hAnsi="Times New Roman" w:cs="Times New Roman"/>
          <w:sz w:val="24"/>
          <w:szCs w:val="24"/>
        </w:rPr>
        <w:t xml:space="preserve">50, 500, and 750 mg/kg of the </w:t>
      </w:r>
      <w:r w:rsidR="00457329" w:rsidRPr="00457329">
        <w:rPr>
          <w:rFonts w:ascii="Times New Roman" w:eastAsia="Times New Roman" w:hAnsi="Times New Roman" w:cs="Times New Roman"/>
          <w:i/>
          <w:iCs/>
          <w:sz w:val="24"/>
          <w:szCs w:val="24"/>
        </w:rPr>
        <w:t>Bixa</w:t>
      </w:r>
      <w:r w:rsidRPr="00457329">
        <w:rPr>
          <w:rFonts w:ascii="Times New Roman" w:eastAsia="Times New Roman" w:hAnsi="Times New Roman" w:cs="Times New Roman"/>
          <w:i/>
          <w:iCs/>
          <w:sz w:val="24"/>
          <w:szCs w:val="24"/>
        </w:rPr>
        <w:t xml:space="preserve"> </w:t>
      </w:r>
      <w:proofErr w:type="spellStart"/>
      <w:r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extract. In the anti-inflammatory experiment, only the 750 mg/kg dosage yielded statistically significant anti-inflammatory effects (p &lt; 0.05), whilst other dosages had no significant influence. All groups exhibited decreased writhing responses in the acetic acid writhing test; however, none were statistically significant relative to the control group. The tail-flick test, however, had a distinct analgesic effect at elevated doses. The 750 mg/kg dosage demonstrated substantial analgesic effects at 3 and 4 hours (p &lt; 0.05), with significance attained specifically at the 4-hour interval. These findings substantiate the conventional application of </w:t>
      </w:r>
      <w:r w:rsidR="00457329" w:rsidRPr="00457329">
        <w:rPr>
          <w:rFonts w:ascii="Times New Roman" w:eastAsia="Times New Roman" w:hAnsi="Times New Roman" w:cs="Times New Roman"/>
          <w:i/>
          <w:iCs/>
          <w:sz w:val="24"/>
          <w:szCs w:val="24"/>
        </w:rPr>
        <w:t xml:space="preserve">Bixa </w:t>
      </w:r>
      <w:proofErr w:type="spellStart"/>
      <w:r w:rsidR="00457329"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in alleviating pain and inflammation, presumably attributable to its elevated concentrations of flavonoids, alkaloids, and saponins. The findings align with prior research and reinforce the conventional application of </w:t>
      </w:r>
      <w:r w:rsidR="00457329" w:rsidRPr="00457329">
        <w:rPr>
          <w:rFonts w:ascii="Times New Roman" w:eastAsia="Times New Roman" w:hAnsi="Times New Roman" w:cs="Times New Roman"/>
          <w:i/>
          <w:iCs/>
          <w:sz w:val="24"/>
          <w:szCs w:val="24"/>
        </w:rPr>
        <w:t xml:space="preserve">Bixa </w:t>
      </w:r>
      <w:proofErr w:type="spellStart"/>
      <w:r w:rsidR="00457329"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in pain and inflammation therapy. Despite being dose-and-time-dependent, the findings indicate the significant medicinal potential of this herb.</w:t>
      </w:r>
    </w:p>
    <w:p w14:paraId="375973CA" w14:textId="77777777" w:rsidR="001827EF" w:rsidRPr="00EC1582" w:rsidRDefault="001827EF" w:rsidP="00EC1582">
      <w:pPr>
        <w:spacing w:line="360" w:lineRule="auto"/>
        <w:jc w:val="both"/>
        <w:rPr>
          <w:rFonts w:ascii="Times New Roman" w:hAnsi="Times New Roman" w:cs="Times New Roman"/>
          <w:bCs/>
          <w:iCs/>
          <w:color w:val="000000"/>
          <w:sz w:val="24"/>
          <w:szCs w:val="24"/>
        </w:rPr>
      </w:pPr>
      <w:r w:rsidRPr="001827EF">
        <w:rPr>
          <w:rFonts w:ascii="Times New Roman" w:eastAsia="Times New Roman" w:hAnsi="Times New Roman" w:cs="Times New Roman"/>
          <w:b/>
          <w:color w:val="252525"/>
          <w:sz w:val="24"/>
          <w:szCs w:val="24"/>
        </w:rPr>
        <w:t>Keywords</w:t>
      </w:r>
      <w:r w:rsidRPr="001827EF">
        <w:rPr>
          <w:rFonts w:ascii="Times New Roman" w:eastAsia="Times New Roman" w:hAnsi="Times New Roman" w:cs="Times New Roman"/>
          <w:color w:val="252525"/>
          <w:sz w:val="24"/>
          <w:szCs w:val="24"/>
        </w:rPr>
        <w:t xml:space="preserve">: </w:t>
      </w:r>
      <w:r w:rsidR="00457329">
        <w:rPr>
          <w:rFonts w:ascii="Times New Roman" w:eastAsia="Times New Roman" w:hAnsi="Times New Roman" w:cs="Times New Roman"/>
          <w:i/>
          <w:iCs/>
          <w:sz w:val="24"/>
          <w:szCs w:val="24"/>
        </w:rPr>
        <w:t xml:space="preserve">Bixa </w:t>
      </w:r>
      <w:proofErr w:type="spellStart"/>
      <w:r w:rsidR="00457329">
        <w:rPr>
          <w:rFonts w:ascii="Times New Roman" w:eastAsia="Times New Roman" w:hAnsi="Times New Roman" w:cs="Times New Roman"/>
          <w:i/>
          <w:iCs/>
          <w:sz w:val="24"/>
          <w:szCs w:val="24"/>
        </w:rPr>
        <w:t>orellana</w:t>
      </w:r>
      <w:proofErr w:type="spellEnd"/>
      <w:r w:rsidR="00E6449D" w:rsidRPr="00E6449D">
        <w:rPr>
          <w:rFonts w:ascii="Times New Roman" w:eastAsia="Times New Roman" w:hAnsi="Times New Roman" w:cs="Times New Roman"/>
          <w:sz w:val="24"/>
          <w:szCs w:val="24"/>
        </w:rPr>
        <w:t xml:space="preserve">, analgesic, anti-inflammatory, carrageenan, </w:t>
      </w:r>
      <w:r w:rsidR="00EC1582" w:rsidRPr="00E6449D">
        <w:rPr>
          <w:rFonts w:ascii="Times New Roman" w:eastAsia="Times New Roman" w:hAnsi="Times New Roman" w:cs="Times New Roman"/>
          <w:sz w:val="24"/>
          <w:szCs w:val="24"/>
        </w:rPr>
        <w:t>rat model,</w:t>
      </w:r>
      <w:r w:rsidR="00EC1582">
        <w:rPr>
          <w:rFonts w:ascii="Times New Roman" w:eastAsia="Times New Roman" w:hAnsi="Times New Roman" w:cs="Times New Roman"/>
          <w:sz w:val="24"/>
          <w:szCs w:val="24"/>
        </w:rPr>
        <w:t xml:space="preserve"> </w:t>
      </w:r>
      <w:r w:rsidR="00E6449D" w:rsidRPr="00E6449D">
        <w:rPr>
          <w:rFonts w:ascii="Times New Roman" w:eastAsia="Times New Roman" w:hAnsi="Times New Roman" w:cs="Times New Roman"/>
          <w:sz w:val="24"/>
          <w:szCs w:val="24"/>
        </w:rPr>
        <w:t>tail flick</w:t>
      </w:r>
      <w:r w:rsidR="00EC1582">
        <w:rPr>
          <w:rFonts w:ascii="Times New Roman" w:eastAsia="Times New Roman" w:hAnsi="Times New Roman" w:cs="Times New Roman"/>
          <w:sz w:val="24"/>
          <w:szCs w:val="24"/>
        </w:rPr>
        <w:t xml:space="preserve">, acetic acid, medicinal plants, </w:t>
      </w:r>
      <w:r w:rsidR="00EC1582" w:rsidRPr="00E6449D">
        <w:rPr>
          <w:rFonts w:ascii="Times New Roman" w:eastAsia="Times New Roman" w:hAnsi="Times New Roman" w:cs="Times New Roman"/>
          <w:sz w:val="24"/>
          <w:szCs w:val="24"/>
        </w:rPr>
        <w:t>traditional medicine</w:t>
      </w:r>
      <w:r w:rsidR="00EC1582">
        <w:rPr>
          <w:rFonts w:ascii="Times New Roman" w:eastAsia="Times New Roman" w:hAnsi="Times New Roman" w:cs="Times New Roman"/>
          <w:sz w:val="24"/>
          <w:szCs w:val="24"/>
        </w:rPr>
        <w:t>.</w:t>
      </w:r>
    </w:p>
    <w:p w14:paraId="7E625107" w14:textId="77777777" w:rsidR="00EB0AF9" w:rsidRPr="001827EF" w:rsidRDefault="00EB0AF9" w:rsidP="001827EF">
      <w:pPr>
        <w:pStyle w:val="NormalWeb"/>
        <w:spacing w:before="240" w:beforeAutospacing="0" w:after="240" w:afterAutospacing="0" w:line="360" w:lineRule="auto"/>
        <w:jc w:val="both"/>
        <w:rPr>
          <w:b/>
        </w:rPr>
      </w:pPr>
      <w:r w:rsidRPr="001827EF">
        <w:rPr>
          <w:b/>
          <w:color w:val="000000"/>
        </w:rPr>
        <w:lastRenderedPageBreak/>
        <w:t>Introduction</w:t>
      </w:r>
    </w:p>
    <w:p w14:paraId="1CCB7E78" w14:textId="77777777" w:rsidR="00CA12A7" w:rsidRDefault="00CA12A7" w:rsidP="00CA12A7">
      <w:pPr>
        <w:pStyle w:val="NormalWeb"/>
        <w:spacing w:before="240" w:after="0" w:line="360" w:lineRule="auto"/>
        <w:jc w:val="both"/>
      </w:pPr>
      <w:r>
        <w:t>The International Association for the Study of Pain (IASP) defines pain as "an unpleasant sensory and emotional experience associated with actual or potential tissue damage, or expressed concerning such damage." A subcommittee on Taxonomy submitted this definition, which the IASP Council endorsed in 1979 [1]. Pain induces discomfort and is an aspect of human affliction. Whether the pain is nociceptive or neuropathic, central or peripheral, acute or chronic, inflammation and the inflammatory response are the fundamental etiological components. Inflammation is a physiological response that activates white blood cells and their secretions to counteract invading bacteria and viruses. In certain instances, such as arthritis, the immune system induces inflammation despite the absence of pathogens to combat. Inflammation is defined as a series of alterations in live tissue after injury, provided that the damage does not concurrently compromise the tissue's structure and integrity [2]. Frequently utilized medications as analgesics or anti-inflammatories include paracetamol, diclofenac, ketorolac, and opioids. Aspirin, codeine, and morphine constitute a fundamental analgesic regimen, yet each is linked to diverse side effects, including the stomach, heart, kidneys, brain, and immune system [3].</w:t>
      </w:r>
    </w:p>
    <w:p w14:paraId="45BF7E10" w14:textId="77777777" w:rsidR="00CA12A7" w:rsidRDefault="00CA12A7" w:rsidP="00CA12A7">
      <w:pPr>
        <w:pStyle w:val="NormalWeb"/>
        <w:spacing w:before="240" w:after="0" w:line="360" w:lineRule="auto"/>
        <w:jc w:val="both"/>
      </w:pPr>
      <w:r>
        <w:t xml:space="preserve">Thus, it is imperative to formulate highly efficacious anti-hyperlipidemic agents with minimal adverse effects. Plants are crucial in the advancement and synthesis of innovative medications [4]. They possess a substantial repository of natural chemicals for therapeutic applications. Experts in the field say that certain medicinal plant compounds have therapeutic characteristics. Consequently, researchers continuously seek innovative herbal remedies and other phytopharmaceuticals to address various health concerns efficiently [5]. Traditional medicines have been utilized globally as treatments based on botanical substances, nutritional supplements, and alternative therapeutic approaches. In recent years, the utilization of conventional medicine has markedly risen, with several individuals nationwide relying on it as their principal healthcare modality [6]. The chemical components in medicinal plants allow them to manifest a wide array of pharmacological and therapeutic actions. These substances include tannins, glycosides, alkaloids, saponins, polysaccharides, essential oils, terpenoids, resins, and plant lipids [7-9]. Genetically modified plants enable precise regulation of chemical concentrations, ultimately achieving the intended medicinal effect. Reverse genetics has various potential applications, one of which is enhancing secondary metabolite production, including alkaloid synthesis [10]. Global </w:t>
      </w:r>
      <w:r>
        <w:lastRenderedPageBreak/>
        <w:t>improvements in scientific study have resulted in heightened exploration of the therapeutic potential of plant species [11]. Plants are increasingly preferred due to their intrinsic safety, robust pharmacological attributes, and economic advantages over manufactured medications.</w:t>
      </w:r>
    </w:p>
    <w:p w14:paraId="5E53F5B1" w14:textId="77777777" w:rsidR="00CA12A7" w:rsidRDefault="00457329" w:rsidP="00CA12A7">
      <w:pPr>
        <w:pStyle w:val="NormalWeb"/>
        <w:spacing w:before="240" w:after="0" w:line="360" w:lineRule="auto"/>
        <w:jc w:val="both"/>
      </w:pPr>
      <w:r w:rsidRPr="00457329">
        <w:rPr>
          <w:i/>
          <w:iCs/>
        </w:rPr>
        <w:t xml:space="preserve">Bixa </w:t>
      </w:r>
      <w:proofErr w:type="spellStart"/>
      <w:r w:rsidRPr="00457329">
        <w:rPr>
          <w:i/>
          <w:iCs/>
        </w:rPr>
        <w:t>orellana</w:t>
      </w:r>
      <w:proofErr w:type="spellEnd"/>
      <w:r w:rsidR="00CA12A7">
        <w:t xml:space="preserve"> is a member of the </w:t>
      </w:r>
      <w:proofErr w:type="spellStart"/>
      <w:r w:rsidR="00CA12A7">
        <w:t>Bixaceae</w:t>
      </w:r>
      <w:proofErr w:type="spellEnd"/>
      <w:r w:rsidR="00CA12A7">
        <w:t xml:space="preserve"> family. The </w:t>
      </w:r>
      <w:proofErr w:type="spellStart"/>
      <w:r w:rsidR="00CA12A7">
        <w:t>Bixaceae</w:t>
      </w:r>
      <w:proofErr w:type="spellEnd"/>
      <w:r w:rsidR="00CA12A7">
        <w:t xml:space="preserve"> family is among the most minor plant families, with solely one genus, </w:t>
      </w:r>
      <w:r w:rsidR="00CA12A7" w:rsidRPr="00457329">
        <w:rPr>
          <w:i/>
          <w:iCs/>
        </w:rPr>
        <w:t>Bixa</w:t>
      </w:r>
      <w:r w:rsidR="00CA12A7">
        <w:t xml:space="preserve">. Only five species are classified within a single genus, with </w:t>
      </w:r>
      <w:r w:rsidRPr="00457329">
        <w:rPr>
          <w:i/>
          <w:iCs/>
        </w:rPr>
        <w:t xml:space="preserve">Bixa </w:t>
      </w:r>
      <w:proofErr w:type="spellStart"/>
      <w:r w:rsidRPr="00457329">
        <w:rPr>
          <w:i/>
          <w:iCs/>
        </w:rPr>
        <w:t>orellana</w:t>
      </w:r>
      <w:proofErr w:type="spellEnd"/>
      <w:r w:rsidR="00CA12A7">
        <w:t xml:space="preserve"> being the most prevalent [12]. It is called 'annatto' in English, 'achiote' in Spanish, '</w:t>
      </w:r>
      <w:proofErr w:type="spellStart"/>
      <w:r w:rsidR="00CA12A7">
        <w:t>yanzhimu</w:t>
      </w:r>
      <w:proofErr w:type="spellEnd"/>
      <w:r w:rsidR="00CA12A7">
        <w:t>' in Chinese, and '</w:t>
      </w:r>
      <w:proofErr w:type="spellStart"/>
      <w:r w:rsidR="00CA12A7">
        <w:t>urucum</w:t>
      </w:r>
      <w:proofErr w:type="spellEnd"/>
      <w:r w:rsidR="00CA12A7">
        <w:t xml:space="preserve">' in Portuguese [13]. It is a little perennial shrub that attains a height of 3-10 meters and is endemic to tropical America [14]. Latin American nations, namely Peru, Brazil, and Mexico, are the principal commercial producers of </w:t>
      </w:r>
      <w:r w:rsidRPr="00457329">
        <w:rPr>
          <w:i/>
          <w:iCs/>
        </w:rPr>
        <w:t xml:space="preserve">Bixa </w:t>
      </w:r>
      <w:proofErr w:type="spellStart"/>
      <w:r w:rsidRPr="00457329">
        <w:rPr>
          <w:i/>
          <w:iCs/>
        </w:rPr>
        <w:t>orellana</w:t>
      </w:r>
      <w:proofErr w:type="spellEnd"/>
      <w:r w:rsidR="00CA12A7">
        <w:t xml:space="preserve">, accounting for 60% of global output, followed by Africa at 27% and Asia at 12% [15]. They thrive in alluvial ground with a pH range of 6 to 7.5, and their economic longevity is 20 to 25 years [16]. The </w:t>
      </w:r>
      <w:r w:rsidRPr="00457329">
        <w:rPr>
          <w:i/>
          <w:iCs/>
        </w:rPr>
        <w:t xml:space="preserve">Bixa </w:t>
      </w:r>
      <w:proofErr w:type="spellStart"/>
      <w:r w:rsidRPr="00457329">
        <w:rPr>
          <w:i/>
          <w:iCs/>
        </w:rPr>
        <w:t>orellana</w:t>
      </w:r>
      <w:proofErr w:type="spellEnd"/>
      <w:r w:rsidR="00CA12A7">
        <w:t xml:space="preserve"> fruit is cultivated and primarily sold to produce non-toxic annatto dye from its seeds and pericarp, the waxy aril layer encasing the seeds. This dye consists of the carotenoids norbixin or </w:t>
      </w:r>
      <w:proofErr w:type="spellStart"/>
      <w:r w:rsidR="00CA12A7">
        <w:t>orelline</w:t>
      </w:r>
      <w:proofErr w:type="spellEnd"/>
      <w:r w:rsidR="00CA12A7">
        <w:t xml:space="preserve"> (a water-soluble yellow pigment), bixin (an oil-soluble red pigment), and other lycopene-derived compounds. Bixin comprises 80% of the carotenoids in annatto dye. Annatto is extensively employed in the food, cosmetic, and pharmaceutical sectors [17, 18].</w:t>
      </w:r>
    </w:p>
    <w:p w14:paraId="560564E3" w14:textId="26594201" w:rsidR="00CA12A7" w:rsidRDefault="00CA12A7" w:rsidP="00CA12A7">
      <w:pPr>
        <w:pStyle w:val="NormalWeb"/>
        <w:spacing w:before="240" w:after="0" w:line="360" w:lineRule="auto"/>
        <w:jc w:val="both"/>
      </w:pPr>
      <w:r>
        <w:t xml:space="preserve">Traditional Mayan medicine has empirically exploited the leaves of </w:t>
      </w:r>
      <w:r w:rsidR="00457329" w:rsidRPr="00457329">
        <w:rPr>
          <w:i/>
          <w:iCs/>
        </w:rPr>
        <w:t xml:space="preserve">Bixa </w:t>
      </w:r>
      <w:proofErr w:type="spellStart"/>
      <w:r w:rsidR="00457329" w:rsidRPr="00457329">
        <w:rPr>
          <w:i/>
          <w:iCs/>
        </w:rPr>
        <w:t>orellana</w:t>
      </w:r>
      <w:proofErr w:type="spellEnd"/>
      <w:r>
        <w:t xml:space="preserve"> [19]. Evidence indicates that Curanderos (herbal healers) in the Peruvian Amazon utilize </w:t>
      </w:r>
      <w:r w:rsidR="00457329" w:rsidRPr="00457329">
        <w:rPr>
          <w:i/>
          <w:iCs/>
        </w:rPr>
        <w:t xml:space="preserve">Bixa </w:t>
      </w:r>
      <w:proofErr w:type="spellStart"/>
      <w:r w:rsidR="00457329" w:rsidRPr="00457329">
        <w:rPr>
          <w:i/>
          <w:iCs/>
        </w:rPr>
        <w:t>orellana</w:t>
      </w:r>
      <w:proofErr w:type="spellEnd"/>
      <w:r>
        <w:t xml:space="preserve"> leaf extracts by juicing fresh leaves and applying the extract to the eye for inflammation and infections [20]. The infusion of </w:t>
      </w:r>
      <w:r w:rsidR="00457329" w:rsidRPr="00457329">
        <w:rPr>
          <w:i/>
          <w:iCs/>
        </w:rPr>
        <w:t xml:space="preserve">Bixa </w:t>
      </w:r>
      <w:proofErr w:type="spellStart"/>
      <w:r w:rsidR="00457329" w:rsidRPr="00457329">
        <w:rPr>
          <w:i/>
          <w:iCs/>
        </w:rPr>
        <w:t>orellana</w:t>
      </w:r>
      <w:proofErr w:type="spellEnd"/>
      <w:r>
        <w:t xml:space="preserve"> leaves is frequently utilized to alleviate gastric ulcers, abdominal pain, colic, and inflammation of the oral cavity and pharynx. The herb is used to manage dyspepsia and viral infections [21]. Heated leaves are employed for wound treatment and as a topical remedy for rheumatism [22]. The Bangladeshi Bede tribes apply leaf paste bi-daily to affected</w:t>
      </w:r>
      <w:r w:rsidR="00874E55">
        <w:t xml:space="preserve"> locations for seven days [23]. </w:t>
      </w:r>
      <w:r>
        <w:t>It is a secure, cost-effective, and manageable product; among naturally occurring colorants, it ranks second in economic significance as a natural source of 'Bixin' with a cons</w:t>
      </w:r>
      <w:r w:rsidR="00874E55">
        <w:t>umption value of 10,650 tons [24</w:t>
      </w:r>
      <w:r>
        <w:t>].</w:t>
      </w:r>
    </w:p>
    <w:p w14:paraId="27FC2D49" w14:textId="4D4FBB31" w:rsidR="00CA12A7" w:rsidRDefault="00CA12A7" w:rsidP="00CA12A7">
      <w:pPr>
        <w:pStyle w:val="NormalWeb"/>
        <w:spacing w:before="240" w:after="0" w:line="360" w:lineRule="auto"/>
        <w:jc w:val="both"/>
      </w:pPr>
      <w:r>
        <w:t>The leav</w:t>
      </w:r>
      <w:r w:rsidR="00874E55">
        <w:t>es demonstrate antibacterial [25</w:t>
      </w:r>
      <w:r>
        <w:t>],</w:t>
      </w:r>
      <w:r w:rsidR="00874E55">
        <w:t xml:space="preserve"> antifungal, antileishmanial [26</w:t>
      </w:r>
      <w:r>
        <w:t>], a</w:t>
      </w:r>
      <w:r w:rsidR="00874E55">
        <w:t>nticonvulsant, and analgesic [27</w:t>
      </w:r>
      <w:r>
        <w:t>] properties, along with significant inhibitory effects on bra</w:t>
      </w:r>
      <w:r w:rsidR="00874E55">
        <w:t>dykinin-induced inflammation [28</w:t>
      </w:r>
      <w:r>
        <w:t xml:space="preserve">]. Leaf extracts of </w:t>
      </w:r>
      <w:r w:rsidR="00457329" w:rsidRPr="00457329">
        <w:rPr>
          <w:i/>
          <w:iCs/>
        </w:rPr>
        <w:t xml:space="preserve">Bixa </w:t>
      </w:r>
      <w:proofErr w:type="spellStart"/>
      <w:r w:rsidR="00457329" w:rsidRPr="00457329">
        <w:rPr>
          <w:i/>
          <w:iCs/>
        </w:rPr>
        <w:t>orellana</w:t>
      </w:r>
      <w:proofErr w:type="spellEnd"/>
      <w:r>
        <w:t xml:space="preserve"> demonstrated a low content of saponins and a </w:t>
      </w:r>
      <w:r>
        <w:lastRenderedPageBreak/>
        <w:t xml:space="preserve">high concentration of anthraquinones across all examined accessions. The leaf extracts of </w:t>
      </w:r>
      <w:r w:rsidR="00457329" w:rsidRPr="00457329">
        <w:rPr>
          <w:i/>
          <w:iCs/>
        </w:rPr>
        <w:t xml:space="preserve">Bixa </w:t>
      </w:r>
      <w:proofErr w:type="spellStart"/>
      <w:r w:rsidR="00457329" w:rsidRPr="00457329">
        <w:rPr>
          <w:i/>
          <w:iCs/>
        </w:rPr>
        <w:t>orellana</w:t>
      </w:r>
      <w:proofErr w:type="spellEnd"/>
      <w:r>
        <w:t xml:space="preserve"> lacked alkaloids, coumarins, and tannins. However, alternative sources indicate that methanolic leaf extracts of </w:t>
      </w:r>
      <w:r w:rsidR="00457329" w:rsidRPr="00457329">
        <w:rPr>
          <w:i/>
          <w:iCs/>
        </w:rPr>
        <w:t xml:space="preserve">Bixa </w:t>
      </w:r>
      <w:proofErr w:type="spellStart"/>
      <w:r w:rsidR="00457329" w:rsidRPr="00457329">
        <w:rPr>
          <w:i/>
          <w:iCs/>
        </w:rPr>
        <w:t>orellana</w:t>
      </w:r>
      <w:proofErr w:type="spellEnd"/>
      <w:r>
        <w:t xml:space="preserve"> comprise tannins, </w:t>
      </w:r>
      <w:r w:rsidR="00874E55">
        <w:t>coumarins, and alkaloids [29, 30</w:t>
      </w:r>
      <w:r>
        <w:t xml:space="preserve">]. The hydroethanolic extract of </w:t>
      </w:r>
      <w:r w:rsidR="00457329" w:rsidRPr="00457329">
        <w:rPr>
          <w:i/>
          <w:iCs/>
        </w:rPr>
        <w:t xml:space="preserve">Bixa </w:t>
      </w:r>
      <w:proofErr w:type="spellStart"/>
      <w:r w:rsidR="00457329" w:rsidRPr="00457329">
        <w:rPr>
          <w:i/>
          <w:iCs/>
        </w:rPr>
        <w:t>orellana</w:t>
      </w:r>
      <w:proofErr w:type="spellEnd"/>
      <w:r>
        <w:t xml:space="preserve"> leaves included terpenes, flavonoids, tannins, coumarins, and saponins but lacked </w:t>
      </w:r>
      <w:r w:rsidR="00874E55">
        <w:t>alkaloids and anthraquinones [31, 32</w:t>
      </w:r>
      <w:r>
        <w:t>].</w:t>
      </w:r>
    </w:p>
    <w:p w14:paraId="106214AD" w14:textId="47D88C9F" w:rsidR="00B36F3F" w:rsidRDefault="00AF7ADA" w:rsidP="006618F3">
      <w:pPr>
        <w:pStyle w:val="NormalWeb"/>
        <w:spacing w:before="240" w:after="0" w:line="360" w:lineRule="auto"/>
        <w:jc w:val="both"/>
      </w:pPr>
      <w:r w:rsidRPr="00AF7ADA">
        <w:t>This paper presents the pharmacological actions of the plant to the scientific community, paving the way for more comprehensive investigations into these activities.</w:t>
      </w:r>
    </w:p>
    <w:p w14:paraId="1DBFEB72" w14:textId="77777777" w:rsidR="00137386" w:rsidRPr="001827EF" w:rsidRDefault="00137386" w:rsidP="006618F3">
      <w:pPr>
        <w:pStyle w:val="NormalWeb"/>
        <w:spacing w:before="240" w:after="0" w:line="360" w:lineRule="auto"/>
        <w:jc w:val="both"/>
      </w:pPr>
      <w:r w:rsidRPr="001827EF">
        <w:rPr>
          <w:b/>
          <w:bCs/>
          <w:color w:val="000000"/>
        </w:rPr>
        <w:t>Materials and Methods</w:t>
      </w:r>
    </w:p>
    <w:p w14:paraId="66B82989"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Drugs, Chemicals and Instruments</w:t>
      </w:r>
    </w:p>
    <w:p w14:paraId="421E64A8" w14:textId="77777777" w:rsidR="00137386" w:rsidRPr="003C660E" w:rsidRDefault="003C660E" w:rsidP="003C660E">
      <w:pPr>
        <w:pStyle w:val="NormalWeb"/>
        <w:spacing w:before="240" w:beforeAutospacing="0" w:after="240" w:afterAutospacing="0" w:line="360" w:lineRule="auto"/>
        <w:jc w:val="both"/>
        <w:rPr>
          <w:color w:val="252525"/>
        </w:rPr>
      </w:pPr>
      <w:r w:rsidRPr="003C660E">
        <w:rPr>
          <w:color w:val="252525"/>
        </w:rPr>
        <w:t>Sigma Aldrich (Germany) provided alloxan, carrage</w:t>
      </w:r>
      <w:r>
        <w:rPr>
          <w:color w:val="252525"/>
        </w:rPr>
        <w:t xml:space="preserve">enan, acetic acid, and ethanol. </w:t>
      </w:r>
      <w:r w:rsidRPr="003C660E">
        <w:rPr>
          <w:color w:val="252525"/>
        </w:rPr>
        <w:t>Healthcare Pharmaceutical Limited (UK) supplied ibuprofen and asp</w:t>
      </w:r>
      <w:r>
        <w:rPr>
          <w:color w:val="252525"/>
        </w:rPr>
        <w:t xml:space="preserve">irin as complimentary samples. </w:t>
      </w:r>
      <w:r w:rsidRPr="003C660E">
        <w:rPr>
          <w:color w:val="252525"/>
        </w:rPr>
        <w:t xml:space="preserve">The anti-inflammatory and analgesic effects were assessed using a </w:t>
      </w:r>
      <w:proofErr w:type="spellStart"/>
      <w:r w:rsidRPr="003C660E">
        <w:rPr>
          <w:color w:val="252525"/>
        </w:rPr>
        <w:t>plethysmometer</w:t>
      </w:r>
      <w:proofErr w:type="spellEnd"/>
      <w:r w:rsidRPr="003C660E">
        <w:rPr>
          <w:color w:val="252525"/>
        </w:rPr>
        <w:t xml:space="preserve"> and an analgesia meter.</w:t>
      </w:r>
    </w:p>
    <w:p w14:paraId="23084C7C"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Plant Collection and Extract Preparation</w:t>
      </w:r>
      <w:r w:rsidRPr="001827EF">
        <w:rPr>
          <w:color w:val="000000"/>
        </w:rPr>
        <w:t>.</w:t>
      </w:r>
    </w:p>
    <w:p w14:paraId="106B0784" w14:textId="77777777" w:rsidR="00137386" w:rsidRPr="00F23E8B" w:rsidRDefault="00F23E8B" w:rsidP="00F23E8B">
      <w:pPr>
        <w:pStyle w:val="NormalWeb"/>
        <w:spacing w:before="240" w:beforeAutospacing="0" w:after="240" w:afterAutospacing="0" w:line="360" w:lineRule="auto"/>
        <w:jc w:val="both"/>
        <w:rPr>
          <w:color w:val="252525"/>
        </w:rPr>
      </w:pPr>
      <w:r w:rsidRPr="00F23E8B">
        <w:rPr>
          <w:color w:val="252525"/>
        </w:rPr>
        <w:t xml:space="preserve">The medicinal plant garden at the University of Dhaka's Faculty of Pharmacy supplied the </w:t>
      </w:r>
      <w:r w:rsidR="00457329" w:rsidRPr="00457329">
        <w:rPr>
          <w:i/>
          <w:iCs/>
          <w:color w:val="252525"/>
        </w:rPr>
        <w:t xml:space="preserve">Bixa </w:t>
      </w:r>
      <w:proofErr w:type="spellStart"/>
      <w:r w:rsidR="00457329" w:rsidRPr="00457329">
        <w:rPr>
          <w:i/>
          <w:iCs/>
          <w:color w:val="252525"/>
        </w:rPr>
        <w:t>orellana</w:t>
      </w:r>
      <w:proofErr w:type="spellEnd"/>
      <w:r w:rsidRPr="00F23E8B">
        <w:rPr>
          <w:color w:val="252525"/>
        </w:rPr>
        <w:t xml:space="preserve"> leaf, which was later verified</w:t>
      </w:r>
      <w:r>
        <w:rPr>
          <w:color w:val="252525"/>
        </w:rPr>
        <w:t xml:space="preserve"> and taxonomically classified. </w:t>
      </w:r>
      <w:r w:rsidRPr="00F23E8B">
        <w:rPr>
          <w:color w:val="252525"/>
        </w:rPr>
        <w:t xml:space="preserve">The plant specimens were preserved in compliance with the guidelines of the </w:t>
      </w:r>
      <w:r>
        <w:rPr>
          <w:color w:val="252525"/>
        </w:rPr>
        <w:t xml:space="preserve">Bangladesh National Herbarium. </w:t>
      </w:r>
      <w:r w:rsidRPr="00F23E8B">
        <w:rPr>
          <w:color w:val="252525"/>
        </w:rPr>
        <w:t>The shade-dried leaf, processed for 7–10 days and subsequently coarsely pulverized, was assigned the accession number 47380 by the herbarium aut</w:t>
      </w:r>
      <w:r>
        <w:rPr>
          <w:color w:val="252525"/>
        </w:rPr>
        <w:t xml:space="preserve">horities on February 11, 2019. </w:t>
      </w:r>
      <w:r w:rsidRPr="00F23E8B">
        <w:rPr>
          <w:color w:val="252525"/>
        </w:rPr>
        <w:t>The powdered leaves were vigorously agitated for 96 hour</w:t>
      </w:r>
      <w:r>
        <w:rPr>
          <w:color w:val="252525"/>
        </w:rPr>
        <w:t xml:space="preserve">s and immersed in 70% ethanol. </w:t>
      </w:r>
      <w:r w:rsidRPr="00F23E8B">
        <w:rPr>
          <w:color w:val="252525"/>
        </w:rPr>
        <w:t>Upon completion of the soaking process, the extract was filtered, and the r</w:t>
      </w:r>
      <w:r>
        <w:rPr>
          <w:color w:val="252525"/>
        </w:rPr>
        <w:t xml:space="preserve">esultant liquid was preserved. </w:t>
      </w:r>
      <w:r w:rsidRPr="00F23E8B">
        <w:rPr>
          <w:color w:val="252525"/>
        </w:rPr>
        <w:t>The concentrated extract was subsequently filt</w:t>
      </w:r>
      <w:r>
        <w:rPr>
          <w:color w:val="252525"/>
        </w:rPr>
        <w:t xml:space="preserve">ered with a rotary evaporator. </w:t>
      </w:r>
      <w:r w:rsidRPr="00F23E8B">
        <w:rPr>
          <w:color w:val="252525"/>
        </w:rPr>
        <w:t>The concentrated extract was finally dehydrated and stored for future use.</w:t>
      </w:r>
    </w:p>
    <w:p w14:paraId="750C1DF4"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Experimental Animal Handling</w:t>
      </w:r>
    </w:p>
    <w:p w14:paraId="6CE61306" w14:textId="77777777" w:rsidR="00137386" w:rsidRPr="00F23E8B" w:rsidRDefault="00F23E8B" w:rsidP="00F23E8B">
      <w:pPr>
        <w:pStyle w:val="NormalWeb"/>
        <w:spacing w:before="240" w:beforeAutospacing="0" w:after="240" w:afterAutospacing="0" w:line="360" w:lineRule="auto"/>
        <w:jc w:val="both"/>
        <w:rPr>
          <w:color w:val="252525"/>
        </w:rPr>
      </w:pPr>
      <w:r w:rsidRPr="00F23E8B">
        <w:rPr>
          <w:color w:val="252525"/>
        </w:rPr>
        <w:t>Male Wistar rats, weighing between 125 and 200 g, were procured from the Zoology Department of Jahangirnagar University in Bangladesh and kept at the Institute of Nutrition and Food Science at the University of Dhaka, maintained on a 12:12 light:</w:t>
      </w:r>
      <w:r w:rsidR="00B36F3F">
        <w:rPr>
          <w:color w:val="252525"/>
        </w:rPr>
        <w:t xml:space="preserve"> </w:t>
      </w:r>
      <w:r w:rsidRPr="00F23E8B">
        <w:rPr>
          <w:color w:val="252525"/>
        </w:rPr>
        <w:t xml:space="preserve">dark cycle at a constant temperature of 25 </w:t>
      </w:r>
      <w:r w:rsidRPr="00F23E8B">
        <w:rPr>
          <w:color w:val="252525"/>
        </w:rPr>
        <w:lastRenderedPageBreak/>
        <w:t>degrees Celsius. Before commencing the experiment, the rats were housed to acclimate; hence, standard pellet food and fresh water were provided daily. All rat tests complied with the Institutional Animal Ethics Committee (IAEC) guidelines. The Swiss Academy of Medical Sciences (SAMS) and the Swiss Academy of Sciences (SCNAT) established guidelines for the care and utilization of animals in scientific research.</w:t>
      </w:r>
    </w:p>
    <w:p w14:paraId="5174B0E9" w14:textId="77777777" w:rsidR="00B36F3F" w:rsidRDefault="00137386" w:rsidP="001827EF">
      <w:pPr>
        <w:pStyle w:val="NormalWeb"/>
        <w:spacing w:before="240" w:beforeAutospacing="0" w:after="240" w:afterAutospacing="0" w:line="360" w:lineRule="auto"/>
        <w:jc w:val="both"/>
        <w:rPr>
          <w:color w:val="252525"/>
        </w:rPr>
      </w:pPr>
      <w:r w:rsidRPr="001827EF">
        <w:rPr>
          <w:b/>
          <w:bCs/>
          <w:color w:val="252525"/>
        </w:rPr>
        <w:t>Experimental Guidelines</w:t>
      </w:r>
    </w:p>
    <w:p w14:paraId="04B3AB7F" w14:textId="5CFC8D32" w:rsidR="00B36F3F" w:rsidRDefault="00F23E8B" w:rsidP="001827EF">
      <w:pPr>
        <w:pStyle w:val="NormalWeb"/>
        <w:spacing w:before="240" w:beforeAutospacing="0" w:after="240" w:afterAutospacing="0" w:line="360" w:lineRule="auto"/>
        <w:jc w:val="both"/>
        <w:rPr>
          <w:color w:val="252525"/>
        </w:rPr>
      </w:pPr>
      <w:r w:rsidRPr="00F23E8B">
        <w:rPr>
          <w:color w:val="252525"/>
        </w:rPr>
        <w:t>All research was executed according to the ethical criteria of the 2013 Declaration of Helsinki.</w:t>
      </w:r>
      <w:r w:rsidR="006631DC">
        <w:rPr>
          <w:color w:val="252525"/>
        </w:rPr>
        <w:t xml:space="preserve"> </w:t>
      </w:r>
      <w:r w:rsidR="00874E55">
        <w:rPr>
          <w:color w:val="252525"/>
        </w:rPr>
        <w:t>[33</w:t>
      </w:r>
      <w:r w:rsidR="000E5E1C">
        <w:rPr>
          <w:color w:val="252525"/>
        </w:rPr>
        <w:t>]</w:t>
      </w:r>
      <w:r w:rsidR="006631DC">
        <w:rPr>
          <w:color w:val="252525"/>
        </w:rPr>
        <w:t>.</w:t>
      </w:r>
      <w:r w:rsidR="000E5E1C">
        <w:rPr>
          <w:color w:val="252525"/>
        </w:rPr>
        <w:t xml:space="preserve"> </w:t>
      </w:r>
    </w:p>
    <w:p w14:paraId="7BC6DA3C" w14:textId="77777777" w:rsidR="00B36F3F" w:rsidRDefault="00137386" w:rsidP="001827EF">
      <w:pPr>
        <w:pStyle w:val="NormalWeb"/>
        <w:spacing w:before="240" w:beforeAutospacing="0" w:after="240" w:afterAutospacing="0" w:line="360" w:lineRule="auto"/>
        <w:jc w:val="both"/>
        <w:rPr>
          <w:color w:val="252525"/>
        </w:rPr>
      </w:pPr>
      <w:r w:rsidRPr="001827EF">
        <w:rPr>
          <w:b/>
          <w:bCs/>
          <w:color w:val="252525"/>
        </w:rPr>
        <w:t>Experimental Design</w:t>
      </w:r>
    </w:p>
    <w:p w14:paraId="16AF2B5B" w14:textId="77777777" w:rsidR="00137386" w:rsidRPr="001827EF" w:rsidRDefault="00B36F3F" w:rsidP="001827EF">
      <w:pPr>
        <w:pStyle w:val="NormalWeb"/>
        <w:spacing w:before="240" w:beforeAutospacing="0" w:after="240" w:afterAutospacing="0" w:line="360" w:lineRule="auto"/>
        <w:jc w:val="both"/>
      </w:pPr>
      <w:r>
        <w:rPr>
          <w:color w:val="252525"/>
        </w:rPr>
        <w:t>50 r</w:t>
      </w:r>
      <w:r w:rsidR="00A63194" w:rsidRPr="00A63194">
        <w:rPr>
          <w:color w:val="252525"/>
        </w:rPr>
        <w:t>ats were weighed to ascertain their body weight, after which the animals were divided into groups (Table 1) with an equitable distribution of rodents based on their body weight, comprising five rats in each group.</w:t>
      </w:r>
    </w:p>
    <w:p w14:paraId="591F09C4"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Evaluation of Anti</w:t>
      </w:r>
      <w:r w:rsidR="00B36F3F">
        <w:rPr>
          <w:b/>
          <w:bCs/>
          <w:color w:val="000000"/>
        </w:rPr>
        <w:t>-Inflammatory Activity</w:t>
      </w:r>
    </w:p>
    <w:p w14:paraId="16C67787" w14:textId="77777777" w:rsidR="00C82D9F" w:rsidRDefault="00A63194" w:rsidP="00C82D9F">
      <w:pPr>
        <w:pStyle w:val="NormalWeb"/>
        <w:spacing w:before="240" w:beforeAutospacing="0" w:after="240" w:afterAutospacing="0" w:line="360" w:lineRule="auto"/>
        <w:jc w:val="both"/>
      </w:pPr>
      <w:r w:rsidRPr="00A63194">
        <w:rPr>
          <w:color w:val="000000"/>
        </w:rPr>
        <w:t>Carrageenan was utilized to provoke inflammation in rats to assess the anti-inflammatory effi</w:t>
      </w:r>
      <w:r>
        <w:rPr>
          <w:color w:val="000000"/>
        </w:rPr>
        <w:t>cacy of the reference drug</w:t>
      </w:r>
      <w:r w:rsidRPr="00A63194">
        <w:rPr>
          <w:color w:val="000000"/>
        </w:rPr>
        <w:t xml:space="preserve"> and the extract of </w:t>
      </w:r>
      <w:r w:rsidR="00457329" w:rsidRPr="00457329">
        <w:rPr>
          <w:i/>
          <w:iCs/>
          <w:color w:val="000000"/>
        </w:rPr>
        <w:t xml:space="preserve">Bixa </w:t>
      </w:r>
      <w:proofErr w:type="spellStart"/>
      <w:r w:rsidR="00457329" w:rsidRPr="00457329">
        <w:rPr>
          <w:i/>
          <w:iCs/>
          <w:color w:val="000000"/>
        </w:rPr>
        <w:t>orellana</w:t>
      </w:r>
      <w:proofErr w:type="spellEnd"/>
      <w:r w:rsidRPr="00A63194">
        <w:rPr>
          <w:color w:val="000000"/>
        </w:rPr>
        <w:t>.</w:t>
      </w:r>
    </w:p>
    <w:p w14:paraId="56E428EB" w14:textId="77777777" w:rsidR="00903388" w:rsidRPr="00C82D9F" w:rsidRDefault="00C82D9F" w:rsidP="00C82D9F">
      <w:pPr>
        <w:pStyle w:val="NormalWeb"/>
        <w:spacing w:before="240" w:beforeAutospacing="0" w:after="240" w:afterAutospacing="0" w:line="360" w:lineRule="auto"/>
        <w:jc w:val="both"/>
      </w:pPr>
      <w:r w:rsidRPr="00DC0989">
        <w:rPr>
          <w:b/>
          <w:color w:val="252525"/>
        </w:rPr>
        <w:t>Table 1</w:t>
      </w:r>
      <w:r>
        <w:rPr>
          <w:color w:val="252525"/>
        </w:rPr>
        <w:t>: Group specification for anti-inflammatory activity</w:t>
      </w:r>
    </w:p>
    <w:tbl>
      <w:tblPr>
        <w:tblStyle w:val="TableGrid"/>
        <w:tblW w:w="9498" w:type="dxa"/>
        <w:jc w:val="center"/>
        <w:tblLook w:val="04A0" w:firstRow="1" w:lastRow="0" w:firstColumn="1" w:lastColumn="0" w:noHBand="0" w:noVBand="1"/>
      </w:tblPr>
      <w:tblGrid>
        <w:gridCol w:w="1003"/>
        <w:gridCol w:w="2867"/>
        <w:gridCol w:w="1984"/>
        <w:gridCol w:w="1798"/>
        <w:gridCol w:w="1846"/>
      </w:tblGrid>
      <w:tr w:rsidR="00903388" w:rsidRPr="001827EF" w14:paraId="3F4A2500" w14:textId="77777777" w:rsidTr="00EB195E">
        <w:trPr>
          <w:jc w:val="center"/>
        </w:trPr>
        <w:tc>
          <w:tcPr>
            <w:tcW w:w="1003" w:type="dxa"/>
          </w:tcPr>
          <w:p w14:paraId="0A02A60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Group Number</w:t>
            </w:r>
          </w:p>
        </w:tc>
        <w:tc>
          <w:tcPr>
            <w:tcW w:w="2867" w:type="dxa"/>
          </w:tcPr>
          <w:p w14:paraId="22A8082D"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Group Specification</w:t>
            </w:r>
          </w:p>
        </w:tc>
        <w:tc>
          <w:tcPr>
            <w:tcW w:w="1984" w:type="dxa"/>
          </w:tcPr>
          <w:p w14:paraId="234E7194"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t>species</w:t>
            </w:r>
          </w:p>
        </w:tc>
        <w:tc>
          <w:tcPr>
            <w:tcW w:w="1798" w:type="dxa"/>
          </w:tcPr>
          <w:p w14:paraId="1367FC55"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Dose Treatment species (mg/kg)</w:t>
            </w:r>
          </w:p>
        </w:tc>
        <w:tc>
          <w:tcPr>
            <w:tcW w:w="1846" w:type="dxa"/>
          </w:tcPr>
          <w:p w14:paraId="1747F9E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Abbreviation of Groups</w:t>
            </w:r>
          </w:p>
        </w:tc>
      </w:tr>
      <w:tr w:rsidR="00903388" w:rsidRPr="001827EF" w14:paraId="0D358B48" w14:textId="77777777" w:rsidTr="00EB195E">
        <w:trPr>
          <w:jc w:val="center"/>
        </w:trPr>
        <w:tc>
          <w:tcPr>
            <w:tcW w:w="1003" w:type="dxa"/>
          </w:tcPr>
          <w:p w14:paraId="1A7A38E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1</w:t>
            </w:r>
          </w:p>
        </w:tc>
        <w:tc>
          <w:tcPr>
            <w:tcW w:w="2867" w:type="dxa"/>
          </w:tcPr>
          <w:p w14:paraId="5DE6EAA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Carrageenan Control</w:t>
            </w:r>
          </w:p>
        </w:tc>
        <w:tc>
          <w:tcPr>
            <w:tcW w:w="1984" w:type="dxa"/>
          </w:tcPr>
          <w:p w14:paraId="7EC62EC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N/A</w:t>
            </w:r>
          </w:p>
        </w:tc>
        <w:tc>
          <w:tcPr>
            <w:tcW w:w="1798" w:type="dxa"/>
          </w:tcPr>
          <w:p w14:paraId="13FEC95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N/A</w:t>
            </w:r>
          </w:p>
        </w:tc>
        <w:tc>
          <w:tcPr>
            <w:tcW w:w="1846" w:type="dxa"/>
          </w:tcPr>
          <w:p w14:paraId="307ED81D"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p>
        </w:tc>
      </w:tr>
      <w:tr w:rsidR="00903388" w:rsidRPr="001827EF" w14:paraId="0DBB2B86" w14:textId="77777777" w:rsidTr="00EB195E">
        <w:trPr>
          <w:jc w:val="center"/>
        </w:trPr>
        <w:tc>
          <w:tcPr>
            <w:tcW w:w="1003" w:type="dxa"/>
          </w:tcPr>
          <w:p w14:paraId="5A2D0C3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2</w:t>
            </w:r>
          </w:p>
        </w:tc>
        <w:tc>
          <w:tcPr>
            <w:tcW w:w="2867" w:type="dxa"/>
          </w:tcPr>
          <w:p w14:paraId="0D3A89A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Carrageenan + Ibuprofen</w:t>
            </w:r>
          </w:p>
        </w:tc>
        <w:tc>
          <w:tcPr>
            <w:tcW w:w="1984" w:type="dxa"/>
          </w:tcPr>
          <w:p w14:paraId="19BE8B54"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Ibuprofen</w:t>
            </w:r>
          </w:p>
        </w:tc>
        <w:tc>
          <w:tcPr>
            <w:tcW w:w="1798" w:type="dxa"/>
          </w:tcPr>
          <w:p w14:paraId="3DF3E4F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10</w:t>
            </w:r>
          </w:p>
        </w:tc>
        <w:tc>
          <w:tcPr>
            <w:tcW w:w="1846" w:type="dxa"/>
          </w:tcPr>
          <w:p w14:paraId="50A2B9B5"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Car+Ib</w:t>
            </w:r>
            <w:r w:rsidRPr="001827EF">
              <w:rPr>
                <w:rFonts w:ascii="Times New Roman" w:hAnsi="Times New Roman" w:cs="Times New Roman"/>
                <w:sz w:val="24"/>
                <w:szCs w:val="24"/>
                <w:vertAlign w:val="subscript"/>
              </w:rPr>
              <w:t>10</w:t>
            </w:r>
          </w:p>
        </w:tc>
      </w:tr>
      <w:tr w:rsidR="00903388" w:rsidRPr="001827EF" w14:paraId="379B4ED5" w14:textId="77777777" w:rsidTr="00EB195E">
        <w:trPr>
          <w:jc w:val="center"/>
        </w:trPr>
        <w:tc>
          <w:tcPr>
            <w:tcW w:w="1003" w:type="dxa"/>
          </w:tcPr>
          <w:p w14:paraId="6081743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3</w:t>
            </w:r>
          </w:p>
        </w:tc>
        <w:tc>
          <w:tcPr>
            <w:tcW w:w="2867" w:type="dxa"/>
          </w:tcPr>
          <w:p w14:paraId="615364B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r w:rsidR="00457329">
              <w:rPr>
                <w:rFonts w:ascii="Times New Roman" w:hAnsi="Times New Roman" w:cs="Times New Roman"/>
                <w:i/>
                <w:color w:val="000000"/>
                <w:sz w:val="24"/>
                <w:szCs w:val="24"/>
              </w:rPr>
              <w:t xml:space="preserve">Bixa </w:t>
            </w:r>
            <w:proofErr w:type="spellStart"/>
            <w:r w:rsidR="00457329">
              <w:rPr>
                <w:rFonts w:ascii="Times New Roman" w:hAnsi="Times New Roman" w:cs="Times New Roman"/>
                <w:i/>
                <w:color w:val="000000"/>
                <w:sz w:val="24"/>
                <w:szCs w:val="24"/>
              </w:rPr>
              <w:t>orellana</w:t>
            </w:r>
            <w:proofErr w:type="spellEnd"/>
          </w:p>
        </w:tc>
        <w:tc>
          <w:tcPr>
            <w:tcW w:w="1984" w:type="dxa"/>
          </w:tcPr>
          <w:p w14:paraId="574B0C41" w14:textId="77777777" w:rsidR="00903388" w:rsidRPr="001827EF" w:rsidRDefault="00457329" w:rsidP="00EB195E">
            <w:pPr>
              <w:spacing w:line="360" w:lineRule="auto"/>
              <w:jc w:val="center"/>
              <w:rPr>
                <w:rFonts w:ascii="Times New Roman" w:hAnsi="Times New Roman" w:cs="Times New Roman"/>
                <w:i/>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p>
        </w:tc>
        <w:tc>
          <w:tcPr>
            <w:tcW w:w="1798" w:type="dxa"/>
          </w:tcPr>
          <w:p w14:paraId="752202A9" w14:textId="77777777" w:rsidR="00903388" w:rsidRPr="001827EF" w:rsidRDefault="00107BE6" w:rsidP="00EB195E">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846" w:type="dxa"/>
          </w:tcPr>
          <w:p w14:paraId="34CD008F" w14:textId="77777777" w:rsidR="00903388" w:rsidRPr="001827EF" w:rsidRDefault="00107BE6" w:rsidP="00107BE6">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Pr>
                <w:rFonts w:ascii="Times New Roman" w:hAnsi="Times New Roman" w:cs="Times New Roman"/>
                <w:sz w:val="24"/>
                <w:szCs w:val="24"/>
                <w:vertAlign w:val="subscript"/>
              </w:rPr>
              <w:t>250</w:t>
            </w:r>
          </w:p>
        </w:tc>
      </w:tr>
      <w:tr w:rsidR="00903388" w:rsidRPr="001827EF" w14:paraId="39E1B97E" w14:textId="77777777" w:rsidTr="00EB195E">
        <w:trPr>
          <w:jc w:val="center"/>
        </w:trPr>
        <w:tc>
          <w:tcPr>
            <w:tcW w:w="1003" w:type="dxa"/>
          </w:tcPr>
          <w:p w14:paraId="5C2C15E6"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4</w:t>
            </w:r>
          </w:p>
        </w:tc>
        <w:tc>
          <w:tcPr>
            <w:tcW w:w="2867" w:type="dxa"/>
          </w:tcPr>
          <w:p w14:paraId="2250EE3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r w:rsidR="00457329">
              <w:rPr>
                <w:rFonts w:ascii="Times New Roman" w:hAnsi="Times New Roman" w:cs="Times New Roman"/>
                <w:i/>
                <w:color w:val="000000"/>
                <w:sz w:val="24"/>
                <w:szCs w:val="24"/>
              </w:rPr>
              <w:t xml:space="preserve">Bixa </w:t>
            </w:r>
            <w:proofErr w:type="spellStart"/>
            <w:r w:rsidR="00457329">
              <w:rPr>
                <w:rFonts w:ascii="Times New Roman" w:hAnsi="Times New Roman" w:cs="Times New Roman"/>
                <w:i/>
                <w:color w:val="000000"/>
                <w:sz w:val="24"/>
                <w:szCs w:val="24"/>
              </w:rPr>
              <w:t>orellana</w:t>
            </w:r>
            <w:proofErr w:type="spellEnd"/>
          </w:p>
        </w:tc>
        <w:tc>
          <w:tcPr>
            <w:tcW w:w="1984" w:type="dxa"/>
          </w:tcPr>
          <w:p w14:paraId="15CEE59C" w14:textId="77777777" w:rsidR="00903388" w:rsidRPr="001827EF" w:rsidRDefault="00457329" w:rsidP="00EB195E">
            <w:pPr>
              <w:spacing w:line="360" w:lineRule="auto"/>
              <w:jc w:val="center"/>
              <w:rPr>
                <w:rFonts w:ascii="Times New Roman" w:hAnsi="Times New Roman" w:cs="Times New Roman"/>
                <w:i/>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p>
        </w:tc>
        <w:tc>
          <w:tcPr>
            <w:tcW w:w="1798" w:type="dxa"/>
          </w:tcPr>
          <w:p w14:paraId="3D4B454C"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500</w:t>
            </w:r>
          </w:p>
        </w:tc>
        <w:tc>
          <w:tcPr>
            <w:tcW w:w="1846" w:type="dxa"/>
          </w:tcPr>
          <w:p w14:paraId="0BAE5439"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p>
        </w:tc>
      </w:tr>
      <w:tr w:rsidR="00903388" w:rsidRPr="001827EF" w14:paraId="51A91D11" w14:textId="77777777" w:rsidTr="00EB195E">
        <w:trPr>
          <w:jc w:val="center"/>
        </w:trPr>
        <w:tc>
          <w:tcPr>
            <w:tcW w:w="1003" w:type="dxa"/>
          </w:tcPr>
          <w:p w14:paraId="2395E5C0"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5</w:t>
            </w:r>
          </w:p>
        </w:tc>
        <w:tc>
          <w:tcPr>
            <w:tcW w:w="2867" w:type="dxa"/>
          </w:tcPr>
          <w:p w14:paraId="489BBB76"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r w:rsidR="00457329">
              <w:rPr>
                <w:rFonts w:ascii="Times New Roman" w:hAnsi="Times New Roman" w:cs="Times New Roman"/>
                <w:i/>
                <w:color w:val="000000"/>
                <w:sz w:val="24"/>
                <w:szCs w:val="24"/>
              </w:rPr>
              <w:t xml:space="preserve">Bixa </w:t>
            </w:r>
            <w:proofErr w:type="spellStart"/>
            <w:r w:rsidR="00457329">
              <w:rPr>
                <w:rFonts w:ascii="Times New Roman" w:hAnsi="Times New Roman" w:cs="Times New Roman"/>
                <w:i/>
                <w:color w:val="000000"/>
                <w:sz w:val="24"/>
                <w:szCs w:val="24"/>
              </w:rPr>
              <w:t>orellana</w:t>
            </w:r>
            <w:proofErr w:type="spellEnd"/>
          </w:p>
        </w:tc>
        <w:tc>
          <w:tcPr>
            <w:tcW w:w="1984" w:type="dxa"/>
          </w:tcPr>
          <w:p w14:paraId="19736700" w14:textId="77777777" w:rsidR="00903388" w:rsidRPr="001827EF" w:rsidRDefault="00457329" w:rsidP="00EB195E">
            <w:pPr>
              <w:spacing w:line="360" w:lineRule="auto"/>
              <w:jc w:val="center"/>
              <w:rPr>
                <w:rFonts w:ascii="Times New Roman" w:hAnsi="Times New Roman" w:cs="Times New Roman"/>
                <w:i/>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p>
        </w:tc>
        <w:tc>
          <w:tcPr>
            <w:tcW w:w="1798" w:type="dxa"/>
          </w:tcPr>
          <w:p w14:paraId="7B432943"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750</w:t>
            </w:r>
          </w:p>
        </w:tc>
        <w:tc>
          <w:tcPr>
            <w:tcW w:w="1846" w:type="dxa"/>
          </w:tcPr>
          <w:p w14:paraId="5A92ED5E"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p>
        </w:tc>
      </w:tr>
    </w:tbl>
    <w:p w14:paraId="5FCD00EC" w14:textId="77777777" w:rsidR="00041C98" w:rsidRPr="001827EF" w:rsidRDefault="00041C98" w:rsidP="001827EF">
      <w:pPr>
        <w:spacing w:line="360" w:lineRule="auto"/>
        <w:jc w:val="both"/>
        <w:rPr>
          <w:rFonts w:ascii="Times New Roman" w:hAnsi="Times New Roman" w:cs="Times New Roman"/>
          <w:b/>
          <w:bCs/>
          <w:sz w:val="24"/>
          <w:szCs w:val="24"/>
        </w:rPr>
      </w:pPr>
    </w:p>
    <w:p w14:paraId="56A93F37"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Carrageenan-Induced Acute Inflammatory Model:</w:t>
      </w:r>
    </w:p>
    <w:p w14:paraId="35EB06E2" w14:textId="77E96DE1" w:rsidR="00137386" w:rsidRPr="001827EF" w:rsidRDefault="0089184E" w:rsidP="001827EF">
      <w:pPr>
        <w:spacing w:before="240" w:after="240" w:line="360" w:lineRule="auto"/>
        <w:jc w:val="both"/>
        <w:rPr>
          <w:rFonts w:ascii="Times New Roman" w:eastAsia="Times New Roman" w:hAnsi="Times New Roman" w:cs="Times New Roman"/>
          <w:sz w:val="24"/>
          <w:szCs w:val="24"/>
        </w:rPr>
      </w:pPr>
      <w:r w:rsidRPr="0089184E">
        <w:rPr>
          <w:rFonts w:ascii="Times New Roman" w:eastAsia="Times New Roman" w:hAnsi="Times New Roman" w:cs="Times New Roman"/>
          <w:color w:val="252525"/>
          <w:sz w:val="24"/>
          <w:szCs w:val="24"/>
        </w:rPr>
        <w:t xml:space="preserve">The classic approach for assessing the efficacy of an anti-inflammatory drug is the carrageenan-induced rat paw edema test. The anti-inflammatory assessment was performed utilizing a </w:t>
      </w:r>
      <w:proofErr w:type="spellStart"/>
      <w:r w:rsidRPr="0089184E">
        <w:rPr>
          <w:rFonts w:ascii="Times New Roman" w:eastAsia="Times New Roman" w:hAnsi="Times New Roman" w:cs="Times New Roman"/>
          <w:color w:val="252525"/>
          <w:sz w:val="24"/>
          <w:szCs w:val="24"/>
        </w:rPr>
        <w:t>plethysmometer</w:t>
      </w:r>
      <w:proofErr w:type="spellEnd"/>
      <w:r w:rsidRPr="0089184E">
        <w:rPr>
          <w:rFonts w:ascii="Times New Roman" w:eastAsia="Times New Roman" w:hAnsi="Times New Roman" w:cs="Times New Roman"/>
          <w:color w:val="252525"/>
          <w:sz w:val="24"/>
          <w:szCs w:val="24"/>
        </w:rPr>
        <w:t xml:space="preserve">, a specialized instrument. The subsequent phase was measuring the dimensions of each rodent's paw. The </w:t>
      </w:r>
      <w:proofErr w:type="spellStart"/>
      <w:r w:rsidRPr="0089184E">
        <w:rPr>
          <w:rFonts w:ascii="Times New Roman" w:eastAsia="Times New Roman" w:hAnsi="Times New Roman" w:cs="Times New Roman"/>
          <w:color w:val="252525"/>
          <w:sz w:val="24"/>
          <w:szCs w:val="24"/>
        </w:rPr>
        <w:t>subplanar</w:t>
      </w:r>
      <w:proofErr w:type="spellEnd"/>
      <w:r w:rsidRPr="0089184E">
        <w:rPr>
          <w:rFonts w:ascii="Times New Roman" w:eastAsia="Times New Roman" w:hAnsi="Times New Roman" w:cs="Times New Roman"/>
          <w:color w:val="252525"/>
          <w:sz w:val="24"/>
          <w:szCs w:val="24"/>
        </w:rPr>
        <w:t xml:space="preserve"> tissue of the left hind paw of the rat was administered 0.1 mL of a 1% carrageenan solution per 100 g of body weight to induce edema. An hour was thereafter allocated. The test medicine and extracts were administered to rats in various dosages. The paw volume was quantified with a </w:t>
      </w:r>
      <w:proofErr w:type="spellStart"/>
      <w:r w:rsidRPr="0089184E">
        <w:rPr>
          <w:rFonts w:ascii="Times New Roman" w:eastAsia="Times New Roman" w:hAnsi="Times New Roman" w:cs="Times New Roman"/>
          <w:color w:val="252525"/>
          <w:sz w:val="24"/>
          <w:szCs w:val="24"/>
        </w:rPr>
        <w:t>plethysmometer</w:t>
      </w:r>
      <w:proofErr w:type="spellEnd"/>
      <w:r w:rsidRPr="0089184E">
        <w:rPr>
          <w:rFonts w:ascii="Times New Roman" w:eastAsia="Times New Roman" w:hAnsi="Times New Roman" w:cs="Times New Roman"/>
          <w:color w:val="252525"/>
          <w:sz w:val="24"/>
          <w:szCs w:val="24"/>
        </w:rPr>
        <w:t xml:space="preserve"> at 0 and 6 hours post-Carrageenan inf</w:t>
      </w:r>
      <w:r w:rsidR="00874E55">
        <w:rPr>
          <w:rFonts w:ascii="Times New Roman" w:eastAsia="Times New Roman" w:hAnsi="Times New Roman" w:cs="Times New Roman"/>
          <w:color w:val="252525"/>
          <w:sz w:val="24"/>
          <w:szCs w:val="24"/>
        </w:rPr>
        <w:t>usion. The following formula [34, 35</w:t>
      </w:r>
      <w:r w:rsidRPr="0089184E">
        <w:rPr>
          <w:rFonts w:ascii="Times New Roman" w:eastAsia="Times New Roman" w:hAnsi="Times New Roman" w:cs="Times New Roman"/>
          <w:color w:val="252525"/>
          <w:sz w:val="24"/>
          <w:szCs w:val="24"/>
        </w:rPr>
        <w:t>] was employed to compute the rate of edema blockage.</w:t>
      </w:r>
    </w:p>
    <w:p w14:paraId="1473E724"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w:t>
      </w:r>
      <w:r w:rsidRPr="00B36F3F">
        <w:rPr>
          <w:rFonts w:ascii="Times New Roman" w:hAnsi="Times New Roman" w:cs="Times New Roman"/>
          <w:sz w:val="24"/>
          <w:szCs w:val="24"/>
        </w:rPr>
        <w:t xml:space="preserve">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den>
        </m:f>
        <m:r>
          <w:rPr>
            <w:rFonts w:ascii="Cambria Math" w:hAnsi="Cambria Math" w:cs="Times New Roman"/>
            <w:sz w:val="24"/>
            <w:szCs w:val="24"/>
          </w:rPr>
          <m:t>×100</m:t>
        </m:r>
      </m:oMath>
    </w:p>
    <w:p w14:paraId="3D771E27"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Here, </w:t>
      </w:r>
    </w:p>
    <w:p w14:paraId="1DCCA259"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VPC = volume of animals' paw in Positive Control rat</w:t>
      </w:r>
    </w:p>
    <w:p w14:paraId="4E7D048D"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V</w:t>
      </w:r>
      <w:r w:rsidRPr="001827EF">
        <w:rPr>
          <w:rFonts w:ascii="Times New Roman" w:hAnsi="Times New Roman" w:cs="Times New Roman"/>
          <w:sz w:val="24"/>
          <w:szCs w:val="24"/>
          <w:vertAlign w:val="subscript"/>
        </w:rPr>
        <w:t>0</w:t>
      </w:r>
      <w:r w:rsidR="000E5E1C">
        <w:rPr>
          <w:rFonts w:ascii="Times New Roman" w:hAnsi="Times New Roman" w:cs="Times New Roman"/>
          <w:sz w:val="24"/>
          <w:szCs w:val="24"/>
          <w:vertAlign w:val="subscript"/>
        </w:rPr>
        <w:t xml:space="preserve"> </w:t>
      </w:r>
      <w:r w:rsidRPr="001827EF">
        <w:rPr>
          <w:rFonts w:ascii="Times New Roman" w:hAnsi="Times New Roman" w:cs="Times New Roman"/>
          <w:sz w:val="24"/>
          <w:szCs w:val="24"/>
        </w:rPr>
        <w:t>=</w:t>
      </w:r>
      <w:r w:rsidR="000E5E1C">
        <w:rPr>
          <w:rFonts w:ascii="Times New Roman" w:hAnsi="Times New Roman" w:cs="Times New Roman"/>
          <w:sz w:val="24"/>
          <w:szCs w:val="24"/>
        </w:rPr>
        <w:t xml:space="preserve"> </w:t>
      </w:r>
      <w:r w:rsidRPr="001827EF">
        <w:rPr>
          <w:rFonts w:ascii="Times New Roman" w:hAnsi="Times New Roman" w:cs="Times New Roman"/>
          <w:sz w:val="24"/>
          <w:szCs w:val="24"/>
        </w:rPr>
        <w:t>volume of animals' paw in Treatment Group</w:t>
      </w:r>
    </w:p>
    <w:p w14:paraId="2D24755B" w14:textId="77777777" w:rsidR="00DC56E9" w:rsidRPr="001827EF" w:rsidRDefault="00DC56E9" w:rsidP="001827EF">
      <w:pPr>
        <w:spacing w:line="360" w:lineRule="auto"/>
        <w:jc w:val="both"/>
        <w:rPr>
          <w:rFonts w:ascii="Times New Roman" w:hAnsi="Times New Roman" w:cs="Times New Roman"/>
          <w:b/>
          <w:bCs/>
          <w:sz w:val="24"/>
          <w:szCs w:val="24"/>
        </w:rPr>
      </w:pPr>
      <w:r w:rsidRPr="001827EF">
        <w:rPr>
          <w:rFonts w:ascii="Times New Roman" w:hAnsi="Times New Roman" w:cs="Times New Roman"/>
          <w:b/>
          <w:bCs/>
          <w:sz w:val="24"/>
          <w:szCs w:val="24"/>
        </w:rPr>
        <w:t>Ev</w:t>
      </w:r>
      <w:r w:rsidR="00B36F3F">
        <w:rPr>
          <w:rFonts w:ascii="Times New Roman" w:hAnsi="Times New Roman" w:cs="Times New Roman"/>
          <w:b/>
          <w:bCs/>
          <w:sz w:val="24"/>
          <w:szCs w:val="24"/>
        </w:rPr>
        <w:t>aluation of analgesic activity</w:t>
      </w:r>
    </w:p>
    <w:p w14:paraId="6AB6FF9E" w14:textId="77777777" w:rsidR="00DC56E9"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The rodent is stimulated with pain through the acetic acid-induced writhing test and tail-flick method.</w:t>
      </w:r>
    </w:p>
    <w:p w14:paraId="09794F41" w14:textId="77777777" w:rsidR="00C82D9F" w:rsidRPr="001827EF" w:rsidRDefault="00C82D9F" w:rsidP="00C82D9F">
      <w:pPr>
        <w:pStyle w:val="NormalWeb"/>
        <w:spacing w:before="240" w:beforeAutospacing="0" w:after="240" w:afterAutospacing="0" w:line="360" w:lineRule="auto"/>
        <w:jc w:val="both"/>
      </w:pPr>
      <w:r w:rsidRPr="00DC0989">
        <w:rPr>
          <w:b/>
          <w:color w:val="252525"/>
        </w:rPr>
        <w:t xml:space="preserve">Table </w:t>
      </w:r>
      <w:r>
        <w:rPr>
          <w:b/>
          <w:color w:val="252525"/>
        </w:rPr>
        <w:t>2</w:t>
      </w:r>
      <w:r>
        <w:rPr>
          <w:color w:val="252525"/>
        </w:rPr>
        <w:t>: Group specification for analgesic activity by acetic acid writhing method</w:t>
      </w:r>
    </w:p>
    <w:tbl>
      <w:tblPr>
        <w:tblStyle w:val="TableGrid"/>
        <w:tblW w:w="9923" w:type="dxa"/>
        <w:jc w:val="center"/>
        <w:tblLook w:val="04A0" w:firstRow="1" w:lastRow="0" w:firstColumn="1" w:lastColumn="0" w:noHBand="0" w:noVBand="1"/>
      </w:tblPr>
      <w:tblGrid>
        <w:gridCol w:w="1134"/>
        <w:gridCol w:w="2694"/>
        <w:gridCol w:w="2268"/>
        <w:gridCol w:w="1417"/>
        <w:gridCol w:w="2410"/>
      </w:tblGrid>
      <w:tr w:rsidR="00DC56E9" w:rsidRPr="001827EF" w14:paraId="1AB58482" w14:textId="77777777" w:rsidTr="00701626">
        <w:trPr>
          <w:jc w:val="center"/>
        </w:trPr>
        <w:tc>
          <w:tcPr>
            <w:tcW w:w="1134" w:type="dxa"/>
          </w:tcPr>
          <w:p w14:paraId="0DE237F3"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Number</w:t>
            </w:r>
          </w:p>
        </w:tc>
        <w:tc>
          <w:tcPr>
            <w:tcW w:w="2694" w:type="dxa"/>
          </w:tcPr>
          <w:p w14:paraId="3A8915C2"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Specification</w:t>
            </w:r>
          </w:p>
        </w:tc>
        <w:tc>
          <w:tcPr>
            <w:tcW w:w="2268" w:type="dxa"/>
          </w:tcPr>
          <w:p w14:paraId="38147AF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t>species</w:t>
            </w:r>
          </w:p>
        </w:tc>
        <w:tc>
          <w:tcPr>
            <w:tcW w:w="1417" w:type="dxa"/>
          </w:tcPr>
          <w:p w14:paraId="04BDEDC9"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Dose Treatment species (mg/kg)</w:t>
            </w:r>
          </w:p>
        </w:tc>
        <w:tc>
          <w:tcPr>
            <w:tcW w:w="2410" w:type="dxa"/>
          </w:tcPr>
          <w:p w14:paraId="0557F743"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Abbreviation of Groups</w:t>
            </w:r>
          </w:p>
        </w:tc>
      </w:tr>
      <w:tr w:rsidR="00DC56E9" w:rsidRPr="001827EF" w14:paraId="0AEFBCC1" w14:textId="77777777" w:rsidTr="00701626">
        <w:trPr>
          <w:jc w:val="center"/>
        </w:trPr>
        <w:tc>
          <w:tcPr>
            <w:tcW w:w="1134" w:type="dxa"/>
          </w:tcPr>
          <w:p w14:paraId="40A9276C"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w:t>
            </w:r>
          </w:p>
        </w:tc>
        <w:tc>
          <w:tcPr>
            <w:tcW w:w="2694" w:type="dxa"/>
          </w:tcPr>
          <w:p w14:paraId="345A3CEA"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Acetic Acid Control</w:t>
            </w:r>
          </w:p>
        </w:tc>
        <w:tc>
          <w:tcPr>
            <w:tcW w:w="2268" w:type="dxa"/>
          </w:tcPr>
          <w:p w14:paraId="04DFBF51"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Physiological Saline</w:t>
            </w:r>
          </w:p>
        </w:tc>
        <w:tc>
          <w:tcPr>
            <w:tcW w:w="1417" w:type="dxa"/>
          </w:tcPr>
          <w:p w14:paraId="16BB45E5" w14:textId="26EDFA74"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w:t>
            </w:r>
            <w:r w:rsidR="00AF7ADA">
              <w:rPr>
                <w:rFonts w:ascii="Times New Roman" w:hAnsi="Times New Roman" w:cs="Times New Roman"/>
                <w:sz w:val="24"/>
                <w:szCs w:val="24"/>
              </w:rPr>
              <w:t xml:space="preserve"> </w:t>
            </w:r>
            <w:r w:rsidRPr="001827EF">
              <w:rPr>
                <w:rFonts w:ascii="Times New Roman" w:hAnsi="Times New Roman" w:cs="Times New Roman"/>
                <w:sz w:val="24"/>
                <w:szCs w:val="24"/>
              </w:rPr>
              <w:t>ml/kg</w:t>
            </w:r>
          </w:p>
        </w:tc>
        <w:tc>
          <w:tcPr>
            <w:tcW w:w="2410" w:type="dxa"/>
          </w:tcPr>
          <w:p w14:paraId="29750FE6"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Ace</w:t>
            </w:r>
          </w:p>
        </w:tc>
      </w:tr>
      <w:tr w:rsidR="00DC56E9" w:rsidRPr="001827EF" w14:paraId="092B9D87" w14:textId="77777777" w:rsidTr="00701626">
        <w:trPr>
          <w:jc w:val="center"/>
        </w:trPr>
        <w:tc>
          <w:tcPr>
            <w:tcW w:w="1134" w:type="dxa"/>
          </w:tcPr>
          <w:p w14:paraId="2A28F58E"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2</w:t>
            </w:r>
          </w:p>
        </w:tc>
        <w:tc>
          <w:tcPr>
            <w:tcW w:w="2694" w:type="dxa"/>
          </w:tcPr>
          <w:p w14:paraId="0061205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Aspirin  +</w:t>
            </w:r>
            <w:r w:rsidR="00423AC5">
              <w:rPr>
                <w:rFonts w:ascii="Times New Roman" w:hAnsi="Times New Roman" w:cs="Times New Roman"/>
                <w:sz w:val="24"/>
                <w:szCs w:val="24"/>
              </w:rPr>
              <w:t xml:space="preserve"> </w:t>
            </w:r>
            <w:r w:rsidRPr="001827EF">
              <w:rPr>
                <w:rFonts w:ascii="Times New Roman" w:hAnsi="Times New Roman" w:cs="Times New Roman"/>
                <w:sz w:val="24"/>
                <w:szCs w:val="24"/>
              </w:rPr>
              <w:t xml:space="preserve">Acetic Acid </w:t>
            </w:r>
          </w:p>
        </w:tc>
        <w:tc>
          <w:tcPr>
            <w:tcW w:w="2268" w:type="dxa"/>
          </w:tcPr>
          <w:p w14:paraId="292204E4"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w:t>
            </w:r>
          </w:p>
        </w:tc>
        <w:tc>
          <w:tcPr>
            <w:tcW w:w="1417" w:type="dxa"/>
          </w:tcPr>
          <w:p w14:paraId="1922788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100</w:t>
            </w:r>
          </w:p>
        </w:tc>
        <w:tc>
          <w:tcPr>
            <w:tcW w:w="2410" w:type="dxa"/>
          </w:tcPr>
          <w:p w14:paraId="5A765870"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w:t>
            </w:r>
            <w:r w:rsidRPr="001827EF">
              <w:rPr>
                <w:rFonts w:ascii="Times New Roman" w:hAnsi="Times New Roman" w:cs="Times New Roman"/>
                <w:sz w:val="24"/>
                <w:szCs w:val="24"/>
                <w:vertAlign w:val="subscript"/>
              </w:rPr>
              <w:t>100</w:t>
            </w:r>
            <w:r w:rsidRPr="001827EF">
              <w:rPr>
                <w:rFonts w:ascii="Times New Roman" w:hAnsi="Times New Roman" w:cs="Times New Roman"/>
                <w:sz w:val="24"/>
                <w:szCs w:val="24"/>
              </w:rPr>
              <w:t>+Acetic Acid</w:t>
            </w:r>
          </w:p>
        </w:tc>
      </w:tr>
      <w:tr w:rsidR="00DC56E9" w:rsidRPr="001827EF" w14:paraId="1603D5C3" w14:textId="77777777" w:rsidTr="00701626">
        <w:trPr>
          <w:jc w:val="center"/>
        </w:trPr>
        <w:tc>
          <w:tcPr>
            <w:tcW w:w="1134" w:type="dxa"/>
          </w:tcPr>
          <w:p w14:paraId="6946F98A"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3</w:t>
            </w:r>
          </w:p>
        </w:tc>
        <w:tc>
          <w:tcPr>
            <w:tcW w:w="2694" w:type="dxa"/>
          </w:tcPr>
          <w:p w14:paraId="62E0177F"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w:t>
            </w:r>
            <w:r w:rsidR="00457329">
              <w:rPr>
                <w:rFonts w:ascii="Times New Roman" w:hAnsi="Times New Roman" w:cs="Times New Roman"/>
                <w:i/>
                <w:color w:val="000000"/>
                <w:sz w:val="24"/>
                <w:szCs w:val="24"/>
              </w:rPr>
              <w:t xml:space="preserve">Bixa </w:t>
            </w:r>
            <w:proofErr w:type="spellStart"/>
            <w:r w:rsidR="00457329">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Pr="001827EF">
              <w:rPr>
                <w:rFonts w:ascii="Times New Roman" w:hAnsi="Times New Roman" w:cs="Times New Roman"/>
                <w:i/>
                <w:color w:val="000000"/>
                <w:sz w:val="24"/>
                <w:szCs w:val="24"/>
              </w:rPr>
              <w:t>+ Acetic acid</w:t>
            </w:r>
          </w:p>
        </w:tc>
        <w:tc>
          <w:tcPr>
            <w:tcW w:w="2268" w:type="dxa"/>
          </w:tcPr>
          <w:p w14:paraId="49F24059" w14:textId="77777777" w:rsidR="00DC56E9" w:rsidRPr="001827EF" w:rsidRDefault="00457329" w:rsidP="001827EF">
            <w:pPr>
              <w:spacing w:line="360" w:lineRule="auto"/>
              <w:jc w:val="both"/>
              <w:rPr>
                <w:rFonts w:ascii="Times New Roman" w:hAnsi="Times New Roman" w:cs="Times New Roman"/>
                <w:i/>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p>
        </w:tc>
        <w:tc>
          <w:tcPr>
            <w:tcW w:w="1417" w:type="dxa"/>
          </w:tcPr>
          <w:p w14:paraId="6D9B6EAC"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410" w:type="dxa"/>
          </w:tcPr>
          <w:p w14:paraId="7EF19C3D" w14:textId="77777777" w:rsidR="00DC56E9" w:rsidRPr="001827EF" w:rsidRDefault="00803229" w:rsidP="00803229">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sidRPr="001827EF">
              <w:rPr>
                <w:rFonts w:ascii="Times New Roman" w:hAnsi="Times New Roman" w:cs="Times New Roman"/>
                <w:sz w:val="24"/>
                <w:szCs w:val="24"/>
              </w:rPr>
              <w:t>+Acetic Acid</w:t>
            </w:r>
            <w:r>
              <w:rPr>
                <w:rFonts w:ascii="Times New Roman" w:hAnsi="Times New Roman" w:cs="Times New Roman"/>
                <w:sz w:val="24"/>
                <w:szCs w:val="24"/>
              </w:rPr>
              <w:t xml:space="preserve"> </w:t>
            </w:r>
          </w:p>
        </w:tc>
      </w:tr>
      <w:tr w:rsidR="00DC56E9" w:rsidRPr="001827EF" w14:paraId="2E0B3F6E" w14:textId="77777777" w:rsidTr="00701626">
        <w:trPr>
          <w:jc w:val="center"/>
        </w:trPr>
        <w:tc>
          <w:tcPr>
            <w:tcW w:w="1134" w:type="dxa"/>
          </w:tcPr>
          <w:p w14:paraId="2C2C4839"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4</w:t>
            </w:r>
          </w:p>
        </w:tc>
        <w:tc>
          <w:tcPr>
            <w:tcW w:w="2694" w:type="dxa"/>
          </w:tcPr>
          <w:p w14:paraId="39DB76E4" w14:textId="77777777" w:rsidR="00DC56E9" w:rsidRPr="001827EF" w:rsidRDefault="00457329" w:rsidP="001827EF">
            <w:pPr>
              <w:spacing w:line="360" w:lineRule="auto"/>
              <w:jc w:val="both"/>
              <w:rPr>
                <w:rFonts w:ascii="Times New Roman" w:hAnsi="Times New Roman" w:cs="Times New Roman"/>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00DC56E9" w:rsidRPr="001827EF">
              <w:rPr>
                <w:rFonts w:ascii="Times New Roman" w:hAnsi="Times New Roman" w:cs="Times New Roman"/>
                <w:i/>
                <w:color w:val="000000"/>
                <w:sz w:val="24"/>
                <w:szCs w:val="24"/>
              </w:rPr>
              <w:t>+ Acetic acid</w:t>
            </w:r>
          </w:p>
        </w:tc>
        <w:tc>
          <w:tcPr>
            <w:tcW w:w="2268" w:type="dxa"/>
          </w:tcPr>
          <w:p w14:paraId="336CEDE8" w14:textId="77777777" w:rsidR="00DC56E9" w:rsidRPr="001827EF" w:rsidRDefault="00DC56E9" w:rsidP="001827EF">
            <w:pPr>
              <w:spacing w:line="360" w:lineRule="auto"/>
              <w:jc w:val="both"/>
              <w:rPr>
                <w:rFonts w:ascii="Times New Roman" w:hAnsi="Times New Roman" w:cs="Times New Roman"/>
                <w:i/>
                <w:sz w:val="24"/>
                <w:szCs w:val="24"/>
              </w:rPr>
            </w:pPr>
            <w:r w:rsidRPr="001827EF">
              <w:rPr>
                <w:rFonts w:ascii="Times New Roman" w:hAnsi="Times New Roman" w:cs="Times New Roman"/>
                <w:i/>
                <w:sz w:val="24"/>
                <w:szCs w:val="24"/>
              </w:rPr>
              <w:t xml:space="preserve"> </w:t>
            </w:r>
            <w:r w:rsidR="00457329">
              <w:rPr>
                <w:rFonts w:ascii="Times New Roman" w:hAnsi="Times New Roman" w:cs="Times New Roman"/>
                <w:i/>
                <w:color w:val="000000"/>
                <w:sz w:val="24"/>
                <w:szCs w:val="24"/>
              </w:rPr>
              <w:t xml:space="preserve">Bixa </w:t>
            </w:r>
            <w:proofErr w:type="spellStart"/>
            <w:r w:rsidR="00457329">
              <w:rPr>
                <w:rFonts w:ascii="Times New Roman" w:hAnsi="Times New Roman" w:cs="Times New Roman"/>
                <w:i/>
                <w:color w:val="000000"/>
                <w:sz w:val="24"/>
                <w:szCs w:val="24"/>
              </w:rPr>
              <w:t>orellana</w:t>
            </w:r>
            <w:proofErr w:type="spellEnd"/>
          </w:p>
        </w:tc>
        <w:tc>
          <w:tcPr>
            <w:tcW w:w="1417" w:type="dxa"/>
          </w:tcPr>
          <w:p w14:paraId="74EFB864" w14:textId="77777777" w:rsidR="00DC56E9" w:rsidRPr="001827EF" w:rsidRDefault="0080322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500</w:t>
            </w:r>
          </w:p>
        </w:tc>
        <w:tc>
          <w:tcPr>
            <w:tcW w:w="2410" w:type="dxa"/>
          </w:tcPr>
          <w:p w14:paraId="2B81CFBD"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r w:rsidRPr="001827EF">
              <w:rPr>
                <w:rFonts w:ascii="Times New Roman" w:hAnsi="Times New Roman" w:cs="Times New Roman"/>
                <w:sz w:val="24"/>
                <w:szCs w:val="24"/>
              </w:rPr>
              <w:t>+Acetic Acid</w:t>
            </w:r>
          </w:p>
        </w:tc>
      </w:tr>
      <w:tr w:rsidR="00DC56E9" w:rsidRPr="001827EF" w14:paraId="276B62E9" w14:textId="77777777" w:rsidTr="00B36F3F">
        <w:trPr>
          <w:trHeight w:val="647"/>
          <w:jc w:val="center"/>
        </w:trPr>
        <w:tc>
          <w:tcPr>
            <w:tcW w:w="1134" w:type="dxa"/>
          </w:tcPr>
          <w:p w14:paraId="008D3A87"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w:t>
            </w:r>
          </w:p>
        </w:tc>
        <w:tc>
          <w:tcPr>
            <w:tcW w:w="2694" w:type="dxa"/>
          </w:tcPr>
          <w:p w14:paraId="450AFF2C" w14:textId="77777777" w:rsidR="00DC56E9" w:rsidRPr="001827EF" w:rsidRDefault="00457329" w:rsidP="001827EF">
            <w:pPr>
              <w:spacing w:line="360" w:lineRule="auto"/>
              <w:jc w:val="both"/>
              <w:rPr>
                <w:rFonts w:ascii="Times New Roman" w:hAnsi="Times New Roman" w:cs="Times New Roman"/>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00DC56E9" w:rsidRPr="001827EF">
              <w:rPr>
                <w:rFonts w:ascii="Times New Roman" w:hAnsi="Times New Roman" w:cs="Times New Roman"/>
                <w:i/>
                <w:color w:val="000000"/>
                <w:sz w:val="24"/>
                <w:szCs w:val="24"/>
              </w:rPr>
              <w:t>+ Acetic acid</w:t>
            </w:r>
          </w:p>
        </w:tc>
        <w:tc>
          <w:tcPr>
            <w:tcW w:w="2268" w:type="dxa"/>
          </w:tcPr>
          <w:p w14:paraId="51EC0251" w14:textId="77777777" w:rsidR="00DC56E9" w:rsidRPr="001827EF" w:rsidRDefault="00457329" w:rsidP="001827EF">
            <w:pPr>
              <w:spacing w:line="360" w:lineRule="auto"/>
              <w:jc w:val="both"/>
              <w:rPr>
                <w:rFonts w:ascii="Times New Roman" w:hAnsi="Times New Roman" w:cs="Times New Roman"/>
                <w:i/>
                <w:sz w:val="24"/>
                <w:szCs w:val="24"/>
              </w:rPr>
            </w:pPr>
            <w:r>
              <w:rPr>
                <w:rFonts w:ascii="Times New Roman" w:hAnsi="Times New Roman" w:cs="Times New Roman"/>
                <w:i/>
                <w:color w:val="000000"/>
                <w:sz w:val="24"/>
                <w:szCs w:val="24"/>
              </w:rPr>
              <w:t xml:space="preserve">Bixa </w:t>
            </w:r>
            <w:proofErr w:type="spellStart"/>
            <w:r>
              <w:rPr>
                <w:rFonts w:ascii="Times New Roman" w:hAnsi="Times New Roman" w:cs="Times New Roman"/>
                <w:i/>
                <w:color w:val="000000"/>
                <w:sz w:val="24"/>
                <w:szCs w:val="24"/>
              </w:rPr>
              <w:t>orellana</w:t>
            </w:r>
            <w:proofErr w:type="spellEnd"/>
          </w:p>
        </w:tc>
        <w:tc>
          <w:tcPr>
            <w:tcW w:w="1417" w:type="dxa"/>
          </w:tcPr>
          <w:p w14:paraId="6621BFBB" w14:textId="77777777" w:rsidR="00DC56E9" w:rsidRPr="001827EF" w:rsidRDefault="0080322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750</w:t>
            </w:r>
          </w:p>
        </w:tc>
        <w:tc>
          <w:tcPr>
            <w:tcW w:w="2410" w:type="dxa"/>
          </w:tcPr>
          <w:p w14:paraId="37C54EC3"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r w:rsidRPr="001827EF">
              <w:rPr>
                <w:rFonts w:ascii="Times New Roman" w:hAnsi="Times New Roman" w:cs="Times New Roman"/>
                <w:sz w:val="24"/>
                <w:szCs w:val="24"/>
              </w:rPr>
              <w:t>+Acetic Acid</w:t>
            </w:r>
          </w:p>
        </w:tc>
      </w:tr>
    </w:tbl>
    <w:p w14:paraId="5DBE56D7"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Acetic acid-induced writhing test</w:t>
      </w:r>
    </w:p>
    <w:p w14:paraId="6A1659E8" w14:textId="312F25DE" w:rsidR="00DC56E9" w:rsidRPr="0089184E" w:rsidRDefault="0089184E" w:rsidP="0089184E">
      <w:pPr>
        <w:spacing w:before="240" w:after="240" w:line="360" w:lineRule="auto"/>
        <w:jc w:val="both"/>
        <w:rPr>
          <w:rFonts w:ascii="Times New Roman" w:eastAsia="Times New Roman" w:hAnsi="Times New Roman" w:cs="Times New Roman"/>
          <w:color w:val="252525"/>
          <w:sz w:val="24"/>
          <w:szCs w:val="24"/>
        </w:rPr>
      </w:pPr>
      <w:r w:rsidRPr="0089184E">
        <w:rPr>
          <w:rFonts w:ascii="Times New Roman" w:eastAsia="Times New Roman" w:hAnsi="Times New Roman" w:cs="Times New Roman"/>
          <w:color w:val="252525"/>
          <w:sz w:val="24"/>
          <w:szCs w:val="24"/>
        </w:rPr>
        <w:t xml:space="preserve">The acetic acid-induced writhing assay was employed to evaluate peripheral analgesic efficacy. Multiple test samples were administered in the 30 minutes preceding the intraperitoneal injection of acetic acid. The rats received an intraperitoneal injection of 0.9% acetic acid at 10 ml/kg while subjected to aversive stimuli. During 20 minutes commencing immediately after the acetic acid injection, the frequency of writhes (muscle contractions) was recorded. The percentage of writhing inhibition was calculated by tallying the instances of abdominal muscle contractions, hind limb retractions towards the abdominal walls, hind limb extensions, and intermittent back arching </w:t>
      </w:r>
      <w:r w:rsidR="00874E55">
        <w:rPr>
          <w:rFonts w:ascii="Times New Roman" w:eastAsia="Times New Roman" w:hAnsi="Times New Roman" w:cs="Times New Roman"/>
          <w:color w:val="252525"/>
          <w:sz w:val="24"/>
          <w:szCs w:val="24"/>
        </w:rPr>
        <w:t>for twenty minutes. Equation [36</w:t>
      </w:r>
      <w:r w:rsidRPr="0089184E">
        <w:rPr>
          <w:rFonts w:ascii="Times New Roman" w:eastAsia="Times New Roman" w:hAnsi="Times New Roman" w:cs="Times New Roman"/>
          <w:color w:val="252525"/>
          <w:sz w:val="24"/>
          <w:szCs w:val="24"/>
        </w:rPr>
        <w:t>] was employed to determine the percentage of writhes indicative of analgesic efficacy.</w:t>
      </w:r>
    </w:p>
    <w:p w14:paraId="76841762" w14:textId="77777777" w:rsidR="00081C16" w:rsidRPr="001827EF" w:rsidRDefault="008E173A" w:rsidP="001827EF">
      <w:pPr>
        <w:pBdr>
          <w:top w:val="nil"/>
          <w:left w:val="nil"/>
          <w:bottom w:val="nil"/>
          <w:right w:val="nil"/>
          <w:between w:val="nil"/>
        </w:pBdr>
        <w:spacing w:after="0" w:line="360" w:lineRule="auto"/>
        <w:jc w:val="both"/>
        <w:rPr>
          <w:rFonts w:ascii="Times New Roman" w:eastAsia="Times New Roman" w:hAnsi="Times New Roman" w:cs="Times New Roman"/>
          <w:color w:val="44546A"/>
          <w:sz w:val="24"/>
          <w:szCs w:val="24"/>
        </w:rPr>
      </w:pPr>
      <w:r>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sz w:val="24"/>
                <w:szCs w:val="24"/>
              </w:rPr>
            </m:ctrlPr>
          </m:dPr>
          <m:e>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A.  Control mean- Treatment mean</m:t>
                </m:r>
              </m:num>
              <m:den>
                <m:r>
                  <w:rPr>
                    <w:rFonts w:ascii="Cambria Math" w:eastAsia="Cambria Math" w:hAnsi="Cambria Math" w:cs="Times New Roman"/>
                    <w:color w:val="000000"/>
                    <w:sz w:val="24"/>
                    <w:szCs w:val="24"/>
                  </w:rPr>
                  <m:t>A Control mean</m:t>
                </m:r>
              </m:den>
            </m:f>
          </m:e>
        </m:d>
        <m:r>
          <w:rPr>
            <w:rFonts w:ascii="Cambria Math" w:eastAsia="Cambria Math" w:hAnsi="Cambria Math" w:cs="Times New Roman"/>
            <w:color w:val="000000"/>
            <w:sz w:val="24"/>
            <w:szCs w:val="24"/>
          </w:rPr>
          <m:t>×100</m:t>
        </m:r>
      </m:oMath>
      <w:r w:rsidR="00081C16" w:rsidRPr="001827EF">
        <w:rPr>
          <w:rFonts w:ascii="Times New Roman" w:eastAsia="Times New Roman" w:hAnsi="Times New Roman" w:cs="Times New Roman"/>
          <w:i/>
          <w:color w:val="000000"/>
          <w:sz w:val="24"/>
          <w:szCs w:val="24"/>
        </w:rPr>
        <w:t xml:space="preserve">  </w:t>
      </w:r>
    </w:p>
    <w:p w14:paraId="4481FF57" w14:textId="77777777" w:rsidR="00081C16" w:rsidRPr="001827EF" w:rsidRDefault="00081C16" w:rsidP="0089184E">
      <w:pPr>
        <w:spacing w:after="0" w:line="360" w:lineRule="auto"/>
        <w:ind w:left="1440"/>
        <w:jc w:val="both"/>
        <w:rPr>
          <w:rFonts w:ascii="Times New Roman" w:eastAsia="Times New Roman" w:hAnsi="Times New Roman" w:cs="Times New Roman"/>
          <w:sz w:val="24"/>
          <w:szCs w:val="24"/>
        </w:rPr>
      </w:pPr>
      <w:r w:rsidRPr="001827EF">
        <w:rPr>
          <w:rFonts w:ascii="Times New Roman" w:eastAsia="Times New Roman" w:hAnsi="Times New Roman" w:cs="Times New Roman"/>
          <w:sz w:val="24"/>
          <w:szCs w:val="24"/>
        </w:rPr>
        <w:t xml:space="preserve">Where </w:t>
      </w:r>
      <m:oMath>
        <m:r>
          <w:rPr>
            <w:rFonts w:ascii="Cambria Math" w:eastAsia="Cambria Math" w:hAnsi="Cambria Math" w:cs="Times New Roman"/>
            <w:sz w:val="24"/>
            <w:szCs w:val="24"/>
          </w:rPr>
          <m:t>T Control</m:t>
        </m:r>
      </m:oMath>
      <w:r w:rsidRPr="001827EF">
        <w:rPr>
          <w:rFonts w:ascii="Times New Roman" w:eastAsia="Times New Roman" w:hAnsi="Times New Roman" w:cs="Times New Roman"/>
          <w:sz w:val="24"/>
          <w:szCs w:val="24"/>
        </w:rPr>
        <w:t xml:space="preserve"> = the mean number of the writhing of each test group</w:t>
      </w:r>
    </w:p>
    <w:p w14:paraId="4A2D8672" w14:textId="77777777" w:rsidR="00081C16" w:rsidRPr="001827EF" w:rsidRDefault="00081C16" w:rsidP="0089184E">
      <w:pPr>
        <w:spacing w:after="0" w:line="360" w:lineRule="auto"/>
        <w:ind w:left="720" w:firstLine="720"/>
        <w:jc w:val="both"/>
        <w:rPr>
          <w:rFonts w:ascii="Times New Roman" w:eastAsia="Times New Roman" w:hAnsi="Times New Roman" w:cs="Times New Roman"/>
          <w:sz w:val="24"/>
          <w:szCs w:val="24"/>
        </w:rPr>
      </w:pPr>
      <m:oMath>
        <m:r>
          <w:rPr>
            <w:rFonts w:ascii="Cambria Math" w:eastAsia="Cambria Math" w:hAnsi="Cambria Math" w:cs="Times New Roman"/>
            <w:sz w:val="24"/>
            <w:szCs w:val="24"/>
          </w:rPr>
          <m:t>A Control</m:t>
        </m:r>
      </m:oMath>
      <w:r w:rsidRPr="001827EF">
        <w:rPr>
          <w:rFonts w:ascii="Times New Roman" w:eastAsia="Times New Roman" w:hAnsi="Times New Roman" w:cs="Times New Roman"/>
          <w:sz w:val="24"/>
          <w:szCs w:val="24"/>
        </w:rPr>
        <w:t xml:space="preserve"> = The mean number of the writhing of acetic acid control group</w:t>
      </w:r>
    </w:p>
    <w:p w14:paraId="4F8B9516" w14:textId="77777777" w:rsidR="0089184E" w:rsidRDefault="0089184E" w:rsidP="0089184E">
      <w:pPr>
        <w:spacing w:line="360" w:lineRule="auto"/>
        <w:jc w:val="both"/>
        <w:rPr>
          <w:rFonts w:ascii="Times New Roman" w:hAnsi="Times New Roman" w:cs="Times New Roman"/>
          <w:sz w:val="24"/>
          <w:szCs w:val="24"/>
        </w:rPr>
      </w:pPr>
    </w:p>
    <w:p w14:paraId="38E34662" w14:textId="77777777" w:rsidR="00081C16" w:rsidRPr="0089184E" w:rsidRDefault="0089184E" w:rsidP="0089184E">
      <w:pPr>
        <w:spacing w:line="360" w:lineRule="auto"/>
        <w:jc w:val="both"/>
        <w:rPr>
          <w:rFonts w:ascii="Times New Roman" w:hAnsi="Times New Roman" w:cs="Times New Roman"/>
          <w:sz w:val="24"/>
          <w:szCs w:val="24"/>
        </w:rPr>
      </w:pPr>
      <w:r w:rsidRPr="0089184E">
        <w:rPr>
          <w:rFonts w:ascii="Times New Roman" w:hAnsi="Times New Roman" w:cs="Times New Roman"/>
          <w:sz w:val="24"/>
          <w:szCs w:val="24"/>
        </w:rPr>
        <w:t>The extract's analgesic efficacy is subsequently evaluated using the "Tail Flick Method" on the identical rat model following a seven-day interval. By this time, the action of the injected acetic acid had ceased.</w:t>
      </w:r>
    </w:p>
    <w:p w14:paraId="020FEBD5" w14:textId="77777777" w:rsidR="00C82D9F" w:rsidRPr="001827EF" w:rsidRDefault="00C82D9F" w:rsidP="00C82D9F">
      <w:pPr>
        <w:pStyle w:val="NormalWeb"/>
        <w:spacing w:before="240" w:beforeAutospacing="0" w:after="240" w:afterAutospacing="0" w:line="360" w:lineRule="auto"/>
        <w:jc w:val="both"/>
      </w:pPr>
      <w:r w:rsidRPr="00DC0989">
        <w:rPr>
          <w:b/>
          <w:color w:val="252525"/>
        </w:rPr>
        <w:t xml:space="preserve">Table </w:t>
      </w:r>
      <w:r>
        <w:rPr>
          <w:b/>
          <w:color w:val="252525"/>
        </w:rPr>
        <w:t>3</w:t>
      </w:r>
      <w:r>
        <w:rPr>
          <w:color w:val="252525"/>
        </w:rPr>
        <w:t>: Group specification for analgesic activity by tail flick method</w:t>
      </w:r>
    </w:p>
    <w:tbl>
      <w:tblPr>
        <w:tblStyle w:val="TableGrid"/>
        <w:tblW w:w="9973" w:type="dxa"/>
        <w:jc w:val="center"/>
        <w:tblLook w:val="04A0" w:firstRow="1" w:lastRow="0" w:firstColumn="1" w:lastColumn="0" w:noHBand="0" w:noVBand="1"/>
      </w:tblPr>
      <w:tblGrid>
        <w:gridCol w:w="1003"/>
        <w:gridCol w:w="3444"/>
        <w:gridCol w:w="1982"/>
        <w:gridCol w:w="1987"/>
        <w:gridCol w:w="1557"/>
      </w:tblGrid>
      <w:tr w:rsidR="00081C16" w:rsidRPr="001827EF" w14:paraId="6116D8BD" w14:textId="77777777" w:rsidTr="00FC7EAF">
        <w:trPr>
          <w:jc w:val="center"/>
        </w:trPr>
        <w:tc>
          <w:tcPr>
            <w:tcW w:w="1003" w:type="dxa"/>
          </w:tcPr>
          <w:p w14:paraId="37D6EFC5"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Number</w:t>
            </w:r>
          </w:p>
        </w:tc>
        <w:tc>
          <w:tcPr>
            <w:tcW w:w="3444" w:type="dxa"/>
          </w:tcPr>
          <w:p w14:paraId="4BB9248C"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Specification</w:t>
            </w:r>
          </w:p>
        </w:tc>
        <w:tc>
          <w:tcPr>
            <w:tcW w:w="1982" w:type="dxa"/>
          </w:tcPr>
          <w:p w14:paraId="18BBE062"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t>species</w:t>
            </w:r>
          </w:p>
        </w:tc>
        <w:tc>
          <w:tcPr>
            <w:tcW w:w="1987" w:type="dxa"/>
          </w:tcPr>
          <w:p w14:paraId="7A9BDB0D"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Dose Treatment species (mg/kg)</w:t>
            </w:r>
          </w:p>
        </w:tc>
        <w:tc>
          <w:tcPr>
            <w:tcW w:w="1557" w:type="dxa"/>
          </w:tcPr>
          <w:p w14:paraId="482F7E8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Abbreviation of Groups</w:t>
            </w:r>
          </w:p>
        </w:tc>
      </w:tr>
      <w:tr w:rsidR="00081C16" w:rsidRPr="001827EF" w14:paraId="1ED8F37D" w14:textId="77777777" w:rsidTr="00FC7EAF">
        <w:trPr>
          <w:jc w:val="center"/>
        </w:trPr>
        <w:tc>
          <w:tcPr>
            <w:tcW w:w="1003" w:type="dxa"/>
          </w:tcPr>
          <w:p w14:paraId="4485AB9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1</w:t>
            </w:r>
          </w:p>
        </w:tc>
        <w:tc>
          <w:tcPr>
            <w:tcW w:w="3444" w:type="dxa"/>
          </w:tcPr>
          <w:p w14:paraId="5715A7E3"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Tail Flick Stress (control)</w:t>
            </w:r>
          </w:p>
        </w:tc>
        <w:tc>
          <w:tcPr>
            <w:tcW w:w="1982" w:type="dxa"/>
          </w:tcPr>
          <w:p w14:paraId="74D680FC"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Physiological Saline</w:t>
            </w:r>
          </w:p>
        </w:tc>
        <w:tc>
          <w:tcPr>
            <w:tcW w:w="1987" w:type="dxa"/>
          </w:tcPr>
          <w:p w14:paraId="641F355C" w14:textId="599792F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w:t>
            </w:r>
            <w:r w:rsidR="00AF7ADA">
              <w:rPr>
                <w:rFonts w:ascii="Times New Roman" w:hAnsi="Times New Roman" w:cs="Times New Roman"/>
                <w:sz w:val="24"/>
                <w:szCs w:val="24"/>
              </w:rPr>
              <w:t xml:space="preserve"> </w:t>
            </w:r>
            <w:r w:rsidRPr="001827EF">
              <w:rPr>
                <w:rFonts w:ascii="Times New Roman" w:hAnsi="Times New Roman" w:cs="Times New Roman"/>
                <w:sz w:val="24"/>
                <w:szCs w:val="24"/>
              </w:rPr>
              <w:t>ml/kg</w:t>
            </w:r>
          </w:p>
        </w:tc>
        <w:tc>
          <w:tcPr>
            <w:tcW w:w="1557" w:type="dxa"/>
          </w:tcPr>
          <w:p w14:paraId="1C4F0754"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TFS</w:t>
            </w:r>
          </w:p>
        </w:tc>
      </w:tr>
      <w:tr w:rsidR="00081C16" w:rsidRPr="001827EF" w14:paraId="1A01B3EB" w14:textId="77777777" w:rsidTr="00FC7EAF">
        <w:trPr>
          <w:jc w:val="center"/>
        </w:trPr>
        <w:tc>
          <w:tcPr>
            <w:tcW w:w="1003" w:type="dxa"/>
          </w:tcPr>
          <w:p w14:paraId="0401D150"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2</w:t>
            </w:r>
          </w:p>
        </w:tc>
        <w:tc>
          <w:tcPr>
            <w:tcW w:w="3444" w:type="dxa"/>
          </w:tcPr>
          <w:p w14:paraId="54C7A7CD"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 + Tail Flick Stress</w:t>
            </w:r>
          </w:p>
        </w:tc>
        <w:tc>
          <w:tcPr>
            <w:tcW w:w="1982" w:type="dxa"/>
          </w:tcPr>
          <w:p w14:paraId="0A7D5717"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w:t>
            </w:r>
          </w:p>
        </w:tc>
        <w:tc>
          <w:tcPr>
            <w:tcW w:w="1987" w:type="dxa"/>
          </w:tcPr>
          <w:p w14:paraId="0582CB40"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100</w:t>
            </w:r>
          </w:p>
        </w:tc>
        <w:tc>
          <w:tcPr>
            <w:tcW w:w="1557" w:type="dxa"/>
          </w:tcPr>
          <w:p w14:paraId="05BC0B14"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w:t>
            </w:r>
            <w:r w:rsidRPr="001827EF">
              <w:rPr>
                <w:rFonts w:ascii="Times New Roman" w:hAnsi="Times New Roman" w:cs="Times New Roman"/>
                <w:sz w:val="24"/>
                <w:szCs w:val="24"/>
                <w:vertAlign w:val="subscript"/>
              </w:rPr>
              <w:t>100</w:t>
            </w:r>
            <w:r w:rsidRPr="001827EF">
              <w:rPr>
                <w:rFonts w:ascii="Times New Roman" w:hAnsi="Times New Roman" w:cs="Times New Roman"/>
                <w:sz w:val="24"/>
                <w:szCs w:val="24"/>
              </w:rPr>
              <w:t>+TFS</w:t>
            </w:r>
          </w:p>
        </w:tc>
      </w:tr>
      <w:tr w:rsidR="00081C16" w:rsidRPr="001827EF" w14:paraId="47778848" w14:textId="77777777" w:rsidTr="00FC7EAF">
        <w:trPr>
          <w:jc w:val="center"/>
        </w:trPr>
        <w:tc>
          <w:tcPr>
            <w:tcW w:w="1003" w:type="dxa"/>
          </w:tcPr>
          <w:p w14:paraId="4E5FF3F2"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w:t>
            </w:r>
          </w:p>
        </w:tc>
        <w:tc>
          <w:tcPr>
            <w:tcW w:w="3444" w:type="dxa"/>
          </w:tcPr>
          <w:p w14:paraId="521E5FE2"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081C16" w:rsidRPr="001827EF">
              <w:rPr>
                <w:rFonts w:ascii="Times New Roman" w:hAnsi="Times New Roman" w:cs="Times New Roman"/>
                <w:sz w:val="24"/>
                <w:szCs w:val="24"/>
                <w:lang w:val="sv-SE"/>
              </w:rPr>
              <w:t xml:space="preserve"> + Tail Flick Stress</w:t>
            </w:r>
          </w:p>
        </w:tc>
        <w:tc>
          <w:tcPr>
            <w:tcW w:w="1982" w:type="dxa"/>
          </w:tcPr>
          <w:p w14:paraId="72513A30"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31324284"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557" w:type="dxa"/>
          </w:tcPr>
          <w:p w14:paraId="702E9E30"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sidRPr="001827EF">
              <w:rPr>
                <w:rFonts w:ascii="Times New Roman" w:hAnsi="Times New Roman" w:cs="Times New Roman"/>
                <w:sz w:val="24"/>
                <w:szCs w:val="24"/>
              </w:rPr>
              <w:t>+TFS</w:t>
            </w:r>
          </w:p>
        </w:tc>
      </w:tr>
      <w:tr w:rsidR="00081C16" w:rsidRPr="001827EF" w14:paraId="4B18BD7C" w14:textId="77777777" w:rsidTr="00FC7EAF">
        <w:trPr>
          <w:jc w:val="center"/>
        </w:trPr>
        <w:tc>
          <w:tcPr>
            <w:tcW w:w="1003" w:type="dxa"/>
          </w:tcPr>
          <w:p w14:paraId="4FB3FAE9"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6</w:t>
            </w:r>
          </w:p>
        </w:tc>
        <w:tc>
          <w:tcPr>
            <w:tcW w:w="3444" w:type="dxa"/>
          </w:tcPr>
          <w:p w14:paraId="46ADA4CB"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5573B9" w:rsidRPr="001827EF">
              <w:rPr>
                <w:rFonts w:ascii="Times New Roman" w:hAnsi="Times New Roman" w:cs="Times New Roman"/>
                <w:sz w:val="24"/>
                <w:szCs w:val="24"/>
                <w:lang w:val="sv-SE"/>
              </w:rPr>
              <w:t xml:space="preserve"> + Tail Flick Stress</w:t>
            </w:r>
          </w:p>
        </w:tc>
        <w:tc>
          <w:tcPr>
            <w:tcW w:w="1982" w:type="dxa"/>
          </w:tcPr>
          <w:p w14:paraId="0E97EC05"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75464159" w14:textId="77777777" w:rsidR="00081C16" w:rsidRPr="001827EF" w:rsidRDefault="00107BE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500</w:t>
            </w:r>
          </w:p>
        </w:tc>
        <w:tc>
          <w:tcPr>
            <w:tcW w:w="1557" w:type="dxa"/>
          </w:tcPr>
          <w:p w14:paraId="2345E2C1"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r w:rsidRPr="001827EF">
              <w:rPr>
                <w:rFonts w:ascii="Times New Roman" w:hAnsi="Times New Roman" w:cs="Times New Roman"/>
                <w:sz w:val="24"/>
                <w:szCs w:val="24"/>
              </w:rPr>
              <w:t>+TFS</w:t>
            </w:r>
          </w:p>
        </w:tc>
      </w:tr>
      <w:tr w:rsidR="00081C16" w:rsidRPr="001827EF" w14:paraId="57B1E006" w14:textId="77777777" w:rsidTr="00FC7EAF">
        <w:trPr>
          <w:jc w:val="center"/>
        </w:trPr>
        <w:tc>
          <w:tcPr>
            <w:tcW w:w="1003" w:type="dxa"/>
          </w:tcPr>
          <w:p w14:paraId="0F2A20C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w:t>
            </w:r>
          </w:p>
        </w:tc>
        <w:tc>
          <w:tcPr>
            <w:tcW w:w="3444" w:type="dxa"/>
          </w:tcPr>
          <w:p w14:paraId="5E3941BF"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5573B9" w:rsidRPr="001827EF">
              <w:rPr>
                <w:rFonts w:ascii="Times New Roman" w:hAnsi="Times New Roman" w:cs="Times New Roman"/>
                <w:sz w:val="24"/>
                <w:szCs w:val="24"/>
                <w:lang w:val="sv-SE"/>
              </w:rPr>
              <w:t xml:space="preserve"> + Tail Flick Stress</w:t>
            </w:r>
          </w:p>
        </w:tc>
        <w:tc>
          <w:tcPr>
            <w:tcW w:w="1982" w:type="dxa"/>
          </w:tcPr>
          <w:p w14:paraId="559C1E18"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613B5329" w14:textId="77777777" w:rsidR="00081C16" w:rsidRPr="001827EF" w:rsidRDefault="00107BE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750</w:t>
            </w:r>
          </w:p>
        </w:tc>
        <w:tc>
          <w:tcPr>
            <w:tcW w:w="1557" w:type="dxa"/>
          </w:tcPr>
          <w:p w14:paraId="3BF240EF" w14:textId="77777777" w:rsidR="00081C16" w:rsidRPr="001827EF" w:rsidRDefault="00107BE6" w:rsidP="00107BE6">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r w:rsidRPr="001827EF">
              <w:rPr>
                <w:rFonts w:ascii="Times New Roman" w:hAnsi="Times New Roman" w:cs="Times New Roman"/>
                <w:sz w:val="24"/>
                <w:szCs w:val="24"/>
              </w:rPr>
              <w:t>+TFS</w:t>
            </w:r>
            <w:r>
              <w:rPr>
                <w:rFonts w:ascii="Times New Roman" w:hAnsi="Times New Roman" w:cs="Times New Roman"/>
                <w:sz w:val="24"/>
                <w:szCs w:val="24"/>
              </w:rPr>
              <w:t xml:space="preserve"> </w:t>
            </w:r>
          </w:p>
        </w:tc>
      </w:tr>
    </w:tbl>
    <w:p w14:paraId="5DEC1FCB"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Tail flick method</w:t>
      </w:r>
    </w:p>
    <w:p w14:paraId="468C91E0" w14:textId="01376CA8" w:rsidR="00137386" w:rsidRPr="0089184E" w:rsidRDefault="0089184E" w:rsidP="0089184E">
      <w:pPr>
        <w:spacing w:before="240" w:after="240" w:line="360" w:lineRule="auto"/>
        <w:jc w:val="both"/>
        <w:rPr>
          <w:rFonts w:ascii="Times New Roman" w:eastAsia="Times New Roman" w:hAnsi="Times New Roman" w:cs="Times New Roman"/>
          <w:color w:val="252525"/>
          <w:sz w:val="24"/>
          <w:szCs w:val="24"/>
        </w:rPr>
      </w:pPr>
      <w:r w:rsidRPr="0089184E">
        <w:rPr>
          <w:rFonts w:ascii="Times New Roman" w:eastAsia="Times New Roman" w:hAnsi="Times New Roman" w:cs="Times New Roman"/>
          <w:color w:val="252525"/>
          <w:sz w:val="24"/>
          <w:szCs w:val="24"/>
        </w:rPr>
        <w:t>The behavioral response of animals to painful stimuli is assessed by a nociceptive test known as the tail-flick experiment, initially describ</w:t>
      </w:r>
      <w:r w:rsidR="00874E55">
        <w:rPr>
          <w:rFonts w:ascii="Times New Roman" w:eastAsia="Times New Roman" w:hAnsi="Times New Roman" w:cs="Times New Roman"/>
          <w:color w:val="252525"/>
          <w:sz w:val="24"/>
          <w:szCs w:val="24"/>
        </w:rPr>
        <w:t>ed by Love and Smith in 1941 [37</w:t>
      </w:r>
      <w:r w:rsidRPr="0089184E">
        <w:rPr>
          <w:rFonts w:ascii="Times New Roman" w:eastAsia="Times New Roman" w:hAnsi="Times New Roman" w:cs="Times New Roman"/>
          <w:color w:val="252525"/>
          <w:sz w:val="24"/>
          <w:szCs w:val="24"/>
        </w:rPr>
        <w:t>]. A tail-flick analgesia meter (UGO BASILE®, Germany) calibrated with radiant heat was utilized to measure the latency between stimulus exposure and the initiation of the avoidance response. A continuous current of 4 Amps was delivered to the exposed nichrome to achieve the appropriate temperature, aided by the heat controls. Applying radiant heat to the central region of the rats' tails may induce pain. The duration to display a tail-flick response was documented for untreated and treated rats. After administering test substances to the animals, trials were performed at 0, 15, 30, 45, and 60 minutes.</w:t>
      </w:r>
    </w:p>
    <w:p w14:paraId="19C52421"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252525"/>
          <w:sz w:val="24"/>
          <w:szCs w:val="24"/>
        </w:rPr>
        <w:t>Statistical analysis:</w:t>
      </w:r>
    </w:p>
    <w:p w14:paraId="3B07D317" w14:textId="77777777" w:rsidR="00137386"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Our results (raw data) were documented and analyzed in a spreadsheet using MS Excel and categorized into various classifications, including a broad spectrum of study variables.  Descriptive statistics were utilized on the data, with results presented as a mean and standard deviation (SD).  The statistical significance of the observed variance among groups was evaluated using the "One Way ANOVA Test" tool in SPSS 1600.  We categorize the occurrences as statistically significant if the 'p' value is below 0.05 (p &lt; 0.05).</w:t>
      </w:r>
    </w:p>
    <w:p w14:paraId="3639EFAC" w14:textId="77777777" w:rsidR="00686E48" w:rsidRDefault="00686E48" w:rsidP="001827EF">
      <w:pPr>
        <w:spacing w:before="240" w:after="240" w:line="360" w:lineRule="auto"/>
        <w:jc w:val="both"/>
        <w:rPr>
          <w:rFonts w:ascii="Times New Roman" w:eastAsia="Times New Roman" w:hAnsi="Times New Roman" w:cs="Times New Roman"/>
          <w:b/>
          <w:color w:val="252525"/>
          <w:sz w:val="24"/>
          <w:szCs w:val="24"/>
        </w:rPr>
      </w:pPr>
      <w:r w:rsidRPr="001827EF">
        <w:rPr>
          <w:rFonts w:ascii="Times New Roman" w:eastAsia="Times New Roman" w:hAnsi="Times New Roman" w:cs="Times New Roman"/>
          <w:b/>
          <w:color w:val="252525"/>
          <w:sz w:val="24"/>
          <w:szCs w:val="24"/>
        </w:rPr>
        <w:t>Results</w:t>
      </w:r>
      <w:r w:rsidR="006241C9">
        <w:rPr>
          <w:rFonts w:ascii="Times New Roman" w:eastAsia="Times New Roman" w:hAnsi="Times New Roman" w:cs="Times New Roman"/>
          <w:b/>
          <w:color w:val="252525"/>
          <w:sz w:val="24"/>
          <w:szCs w:val="24"/>
        </w:rPr>
        <w:t xml:space="preserve"> and Discussion</w:t>
      </w:r>
    </w:p>
    <w:p w14:paraId="67AC7CEA" w14:textId="77777777" w:rsidR="001D3524" w:rsidRPr="001827EF" w:rsidRDefault="00005EB8" w:rsidP="001827EF">
      <w:pPr>
        <w:spacing w:before="240" w:after="240" w:line="360" w:lineRule="auto"/>
        <w:jc w:val="both"/>
        <w:rPr>
          <w:rFonts w:ascii="Times New Roman" w:eastAsia="Times New Roman" w:hAnsi="Times New Roman" w:cs="Times New Roman"/>
          <w:b/>
          <w:color w:val="252525"/>
          <w:sz w:val="24"/>
          <w:szCs w:val="24"/>
        </w:rPr>
      </w:pPr>
      <w:proofErr w:type="spellStart"/>
      <w:r>
        <w:rPr>
          <w:rFonts w:ascii="Times New Roman" w:eastAsia="Times New Roman" w:hAnsi="Times New Roman" w:cs="Times New Roman"/>
          <w:b/>
          <w:color w:val="252525"/>
          <w:sz w:val="24"/>
          <w:szCs w:val="24"/>
        </w:rPr>
        <w:t>Antiinflammatory</w:t>
      </w:r>
      <w:proofErr w:type="spellEnd"/>
      <w:r w:rsidR="001D3524" w:rsidRPr="001D3524">
        <w:rPr>
          <w:rFonts w:ascii="Times New Roman" w:eastAsia="Times New Roman" w:hAnsi="Times New Roman" w:cs="Times New Roman"/>
          <w:b/>
          <w:color w:val="252525"/>
          <w:sz w:val="24"/>
          <w:szCs w:val="24"/>
        </w:rPr>
        <w:t xml:space="preserve"> Activity of</w:t>
      </w:r>
      <w:r w:rsidR="001D3524" w:rsidRPr="001D3524">
        <w:rPr>
          <w:rFonts w:ascii="Times New Roman" w:eastAsia="Times New Roman" w:hAnsi="Times New Roman" w:cs="Times New Roman"/>
          <w:b/>
          <w:i/>
          <w:color w:val="252525"/>
          <w:sz w:val="24"/>
          <w:szCs w:val="24"/>
        </w:rPr>
        <w:t xml:space="preserve"> </w:t>
      </w:r>
      <w:r w:rsidR="00457329">
        <w:rPr>
          <w:rFonts w:ascii="Times New Roman" w:eastAsia="Times New Roman" w:hAnsi="Times New Roman" w:cs="Times New Roman"/>
          <w:b/>
          <w:i/>
          <w:color w:val="252525"/>
          <w:sz w:val="24"/>
          <w:szCs w:val="24"/>
        </w:rPr>
        <w:t xml:space="preserve">Bixa </w:t>
      </w:r>
      <w:proofErr w:type="spellStart"/>
      <w:r w:rsidR="00457329">
        <w:rPr>
          <w:rFonts w:ascii="Times New Roman" w:eastAsia="Times New Roman" w:hAnsi="Times New Roman" w:cs="Times New Roman"/>
          <w:b/>
          <w:i/>
          <w:color w:val="252525"/>
          <w:sz w:val="24"/>
          <w:szCs w:val="24"/>
        </w:rPr>
        <w:t>orellana</w:t>
      </w:r>
      <w:proofErr w:type="spellEnd"/>
      <w:r w:rsidR="001D3524" w:rsidRPr="001D3524">
        <w:rPr>
          <w:rFonts w:ascii="Times New Roman" w:eastAsia="Times New Roman" w:hAnsi="Times New Roman" w:cs="Times New Roman"/>
          <w:b/>
          <w:i/>
          <w:color w:val="252525"/>
          <w:sz w:val="24"/>
          <w:szCs w:val="24"/>
        </w:rPr>
        <w:t>:</w:t>
      </w:r>
    </w:p>
    <w:p w14:paraId="5F40F845" w14:textId="77777777" w:rsidR="00686E48" w:rsidRDefault="00C82D9F" w:rsidP="001827EF">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4</w:t>
      </w:r>
      <w:r w:rsidR="00686E48" w:rsidRPr="001827EF">
        <w:rPr>
          <w:rFonts w:ascii="Times New Roman" w:hAnsi="Times New Roman" w:cs="Times New Roman"/>
          <w:b/>
          <w:bCs/>
          <w:iCs/>
          <w:color w:val="000000"/>
          <w:sz w:val="24"/>
          <w:szCs w:val="24"/>
        </w:rPr>
        <w:t>:</w:t>
      </w:r>
      <w:r w:rsidR="00686E48" w:rsidRPr="001827EF">
        <w:rPr>
          <w:rFonts w:ascii="Times New Roman" w:hAnsi="Times New Roman" w:cs="Times New Roman"/>
          <w:iCs/>
          <w:color w:val="000000"/>
          <w:sz w:val="24"/>
          <w:szCs w:val="24"/>
        </w:rPr>
        <w:t xml:space="preserve"> Anti-inflammatory activity of </w:t>
      </w:r>
      <w:r w:rsidR="001D3524">
        <w:rPr>
          <w:rFonts w:ascii="Times New Roman" w:hAnsi="Times New Roman" w:cs="Times New Roman"/>
          <w:iCs/>
          <w:color w:val="000000"/>
          <w:sz w:val="24"/>
          <w:szCs w:val="24"/>
        </w:rPr>
        <w:t xml:space="preserve">different doses of </w:t>
      </w:r>
      <w:r w:rsidR="00457329">
        <w:rPr>
          <w:rFonts w:ascii="Times New Roman" w:hAnsi="Times New Roman" w:cs="Times New Roman"/>
          <w:i/>
          <w:iCs/>
          <w:color w:val="000000"/>
          <w:sz w:val="24"/>
          <w:szCs w:val="24"/>
        </w:rPr>
        <w:t xml:space="preserve">Bixa </w:t>
      </w:r>
      <w:proofErr w:type="spellStart"/>
      <w:r w:rsidR="00457329">
        <w:rPr>
          <w:rFonts w:ascii="Times New Roman" w:hAnsi="Times New Roman" w:cs="Times New Roman"/>
          <w:i/>
          <w:iCs/>
          <w:color w:val="000000"/>
          <w:sz w:val="24"/>
          <w:szCs w:val="24"/>
        </w:rPr>
        <w:t>orellana</w:t>
      </w:r>
      <w:proofErr w:type="spellEnd"/>
      <w:r w:rsidR="00686E48" w:rsidRPr="001827EF">
        <w:rPr>
          <w:rFonts w:ascii="Times New Roman" w:hAnsi="Times New Roman" w:cs="Times New Roman"/>
          <w:iCs/>
          <w:color w:val="000000"/>
          <w:sz w:val="24"/>
          <w:szCs w:val="24"/>
        </w:rPr>
        <w:t xml:space="preserve"> extract and </w:t>
      </w:r>
      <w:r w:rsidR="00686E48" w:rsidRPr="001827EF">
        <w:rPr>
          <w:rFonts w:ascii="Times New Roman" w:hAnsi="Times New Roman" w:cs="Times New Roman"/>
          <w:iCs/>
          <w:sz w:val="24"/>
          <w:szCs w:val="24"/>
        </w:rPr>
        <w:t>Ibuprofen</w:t>
      </w:r>
      <w:r w:rsidR="00686E48" w:rsidRPr="001827EF">
        <w:rPr>
          <w:rFonts w:ascii="Times New Roman" w:hAnsi="Times New Roman" w:cs="Times New Roman"/>
          <w:iCs/>
          <w:color w:val="000000"/>
          <w:sz w:val="24"/>
          <w:szCs w:val="24"/>
        </w:rPr>
        <w:t xml:space="preserve"> through p</w:t>
      </w:r>
      <w:r w:rsidR="00B31631">
        <w:rPr>
          <w:rFonts w:ascii="Times New Roman" w:hAnsi="Times New Roman" w:cs="Times New Roman"/>
          <w:iCs/>
          <w:color w:val="000000"/>
          <w:sz w:val="24"/>
          <w:szCs w:val="24"/>
        </w:rPr>
        <w:t>aw edema test in a rat model.</w:t>
      </w:r>
    </w:p>
    <w:tbl>
      <w:tblPr>
        <w:tblStyle w:val="TableGridLight1"/>
        <w:tblW w:w="5000" w:type="pct"/>
        <w:tblLook w:val="04A0" w:firstRow="1" w:lastRow="0" w:firstColumn="1" w:lastColumn="0" w:noHBand="0" w:noVBand="1"/>
      </w:tblPr>
      <w:tblGrid>
        <w:gridCol w:w="1409"/>
        <w:gridCol w:w="1475"/>
        <w:gridCol w:w="1518"/>
        <w:gridCol w:w="1702"/>
        <w:gridCol w:w="1698"/>
        <w:gridCol w:w="1548"/>
      </w:tblGrid>
      <w:tr w:rsidR="009F0FAA" w14:paraId="52D089B1" w14:textId="77777777" w:rsidTr="00B31631">
        <w:trPr>
          <w:trHeight w:val="351"/>
        </w:trPr>
        <w:tc>
          <w:tcPr>
            <w:tcW w:w="753" w:type="pct"/>
            <w:vMerge w:val="restart"/>
            <w:hideMark/>
          </w:tcPr>
          <w:p w14:paraId="5A81520C" w14:textId="77777777" w:rsidR="009F0FAA" w:rsidRDefault="009F0FAA" w:rsidP="007D08B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Group</w:t>
            </w:r>
          </w:p>
        </w:tc>
        <w:tc>
          <w:tcPr>
            <w:tcW w:w="4247" w:type="pct"/>
            <w:gridSpan w:val="5"/>
            <w:hideMark/>
          </w:tcPr>
          <w:p w14:paraId="2E356E2D" w14:textId="77777777" w:rsidR="009F0FAA" w:rsidRDefault="009F0FAA" w:rsidP="007D08B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Time µL</w:t>
            </w:r>
          </w:p>
        </w:tc>
      </w:tr>
      <w:tr w:rsidR="009F0FAA" w14:paraId="6FB3FC42" w14:textId="77777777" w:rsidTr="00B31631">
        <w:trPr>
          <w:trHeight w:val="1403"/>
        </w:trPr>
        <w:tc>
          <w:tcPr>
            <w:tcW w:w="0" w:type="auto"/>
            <w:vMerge/>
            <w:hideMark/>
          </w:tcPr>
          <w:p w14:paraId="253F20DF" w14:textId="77777777" w:rsidR="009F0FAA" w:rsidRDefault="009F0FAA" w:rsidP="007D08BB">
            <w:pPr>
              <w:jc w:val="center"/>
              <w:rPr>
                <w:rFonts w:ascii="Times New Roman" w:eastAsia="Times New Roman" w:hAnsi="Times New Roman" w:cs="Times New Roman"/>
                <w:b/>
                <w:bCs/>
                <w:color w:val="000000"/>
                <w:sz w:val="24"/>
                <w:szCs w:val="24"/>
              </w:rPr>
            </w:pPr>
          </w:p>
        </w:tc>
        <w:tc>
          <w:tcPr>
            <w:tcW w:w="789" w:type="pct"/>
            <w:hideMark/>
          </w:tcPr>
          <w:p w14:paraId="01DCCF2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0 Minute (Just before carrageenan injection)</w:t>
            </w:r>
          </w:p>
        </w:tc>
        <w:tc>
          <w:tcPr>
            <w:tcW w:w="812" w:type="pct"/>
            <w:hideMark/>
          </w:tcPr>
          <w:p w14:paraId="0F02B66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 hour (just before treatment)</w:t>
            </w:r>
          </w:p>
        </w:tc>
        <w:tc>
          <w:tcPr>
            <w:tcW w:w="910" w:type="pct"/>
            <w:hideMark/>
          </w:tcPr>
          <w:p w14:paraId="761B39BF"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2 Hours</w:t>
            </w:r>
          </w:p>
        </w:tc>
        <w:tc>
          <w:tcPr>
            <w:tcW w:w="908" w:type="pct"/>
            <w:hideMark/>
          </w:tcPr>
          <w:p w14:paraId="0D83401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3 Hours</w:t>
            </w:r>
          </w:p>
        </w:tc>
        <w:tc>
          <w:tcPr>
            <w:tcW w:w="828" w:type="pct"/>
            <w:hideMark/>
          </w:tcPr>
          <w:p w14:paraId="7F3D5A09"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4 Hours</w:t>
            </w:r>
          </w:p>
        </w:tc>
      </w:tr>
      <w:tr w:rsidR="009F0FAA" w14:paraId="694B3AEF" w14:textId="77777777" w:rsidTr="00B31631">
        <w:trPr>
          <w:trHeight w:val="338"/>
        </w:trPr>
        <w:tc>
          <w:tcPr>
            <w:tcW w:w="753" w:type="pct"/>
            <w:hideMark/>
          </w:tcPr>
          <w:p w14:paraId="66E16CE1"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w:t>
            </w:r>
          </w:p>
        </w:tc>
        <w:tc>
          <w:tcPr>
            <w:tcW w:w="789" w:type="pct"/>
          </w:tcPr>
          <w:p w14:paraId="711AEC25"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108.45±6.45</w:t>
            </w:r>
          </w:p>
        </w:tc>
        <w:tc>
          <w:tcPr>
            <w:tcW w:w="812" w:type="pct"/>
          </w:tcPr>
          <w:p w14:paraId="30E243A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115.48±7.42</w:t>
            </w:r>
          </w:p>
        </w:tc>
        <w:tc>
          <w:tcPr>
            <w:tcW w:w="910" w:type="pct"/>
          </w:tcPr>
          <w:p w14:paraId="734AFD9D"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126.45±6.45</w:t>
            </w:r>
          </w:p>
          <w:p w14:paraId="1EF071F7" w14:textId="77777777" w:rsidR="009F0FAA" w:rsidRDefault="009F0FAA" w:rsidP="007D08BB">
            <w:pPr>
              <w:jc w:val="center"/>
              <w:rPr>
                <w:rFonts w:ascii="Times New Roman" w:hAnsi="Times New Roman" w:cs="Times New Roman"/>
                <w:color w:val="000000"/>
                <w:sz w:val="24"/>
                <w:szCs w:val="24"/>
              </w:rPr>
            </w:pPr>
          </w:p>
        </w:tc>
        <w:tc>
          <w:tcPr>
            <w:tcW w:w="908" w:type="pct"/>
          </w:tcPr>
          <w:p w14:paraId="0950C30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133.45±6.58</w:t>
            </w:r>
          </w:p>
          <w:p w14:paraId="7A55F8FE" w14:textId="77777777" w:rsidR="009F0FAA" w:rsidRDefault="009F0FAA" w:rsidP="007D08BB">
            <w:pPr>
              <w:jc w:val="center"/>
              <w:rPr>
                <w:rFonts w:ascii="Times New Roman" w:hAnsi="Times New Roman" w:cs="Times New Roman"/>
                <w:color w:val="000000"/>
                <w:sz w:val="24"/>
                <w:szCs w:val="24"/>
              </w:rPr>
            </w:pPr>
          </w:p>
        </w:tc>
        <w:tc>
          <w:tcPr>
            <w:tcW w:w="828" w:type="pct"/>
          </w:tcPr>
          <w:p w14:paraId="4F3E1D3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141.45±8.50</w:t>
            </w:r>
          </w:p>
          <w:p w14:paraId="1CF47578" w14:textId="77777777" w:rsidR="009F0FAA" w:rsidRDefault="009F0FAA" w:rsidP="007D08BB">
            <w:pPr>
              <w:jc w:val="center"/>
              <w:rPr>
                <w:rFonts w:ascii="Times New Roman" w:hAnsi="Times New Roman" w:cs="Times New Roman"/>
                <w:color w:val="000000"/>
                <w:sz w:val="24"/>
                <w:szCs w:val="24"/>
              </w:rPr>
            </w:pPr>
          </w:p>
        </w:tc>
      </w:tr>
      <w:tr w:rsidR="009F0FAA" w14:paraId="1FD19EBC" w14:textId="77777777" w:rsidTr="00B31631">
        <w:trPr>
          <w:trHeight w:val="530"/>
        </w:trPr>
        <w:tc>
          <w:tcPr>
            <w:tcW w:w="753" w:type="pct"/>
            <w:hideMark/>
          </w:tcPr>
          <w:p w14:paraId="0620C176"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Car+Ib</w:t>
            </w:r>
            <w:r>
              <w:rPr>
                <w:rFonts w:ascii="Times New Roman" w:eastAsia="Times New Roman" w:hAnsi="Times New Roman" w:cs="Times New Roman"/>
                <w:b/>
                <w:bCs/>
                <w:sz w:val="24"/>
                <w:szCs w:val="24"/>
                <w:vertAlign w:val="subscript"/>
              </w:rPr>
              <w:t>10</w:t>
            </w:r>
          </w:p>
        </w:tc>
        <w:tc>
          <w:tcPr>
            <w:tcW w:w="789" w:type="pct"/>
          </w:tcPr>
          <w:p w14:paraId="31AA8F2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109.65±5.65</w:t>
            </w:r>
          </w:p>
        </w:tc>
        <w:tc>
          <w:tcPr>
            <w:tcW w:w="812" w:type="pct"/>
          </w:tcPr>
          <w:p w14:paraId="7742A95A" w14:textId="77777777" w:rsidR="009F0FAA" w:rsidRDefault="009F0FAA" w:rsidP="007D08BB">
            <w:pPr>
              <w:rPr>
                <w:rFonts w:ascii="Times New Roman" w:hAnsi="Times New Roman" w:cs="Times New Roman"/>
                <w:color w:val="000000"/>
                <w:sz w:val="24"/>
                <w:szCs w:val="24"/>
              </w:rPr>
            </w:pPr>
            <w:r>
              <w:rPr>
                <w:rFonts w:ascii="Times New Roman" w:hAnsi="Times New Roman" w:cs="Times New Roman"/>
                <w:color w:val="000000"/>
                <w:sz w:val="24"/>
                <w:szCs w:val="24"/>
              </w:rPr>
              <w:t>113.45±5.65</w:t>
            </w:r>
          </w:p>
        </w:tc>
        <w:tc>
          <w:tcPr>
            <w:tcW w:w="910" w:type="pct"/>
          </w:tcPr>
          <w:p w14:paraId="5367C7E6"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120.44±6.42</w:t>
            </w:r>
          </w:p>
        </w:tc>
        <w:tc>
          <w:tcPr>
            <w:tcW w:w="908" w:type="pct"/>
          </w:tcPr>
          <w:p w14:paraId="4F6C931A"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124.57±5.57</w:t>
            </w:r>
          </w:p>
        </w:tc>
        <w:tc>
          <w:tcPr>
            <w:tcW w:w="828" w:type="pct"/>
          </w:tcPr>
          <w:p w14:paraId="1354306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126.47±5.48</w:t>
            </w:r>
          </w:p>
        </w:tc>
      </w:tr>
      <w:tr w:rsidR="009F0FAA" w14:paraId="15A29F0B" w14:textId="77777777" w:rsidTr="00B31631">
        <w:trPr>
          <w:trHeight w:val="530"/>
        </w:trPr>
        <w:tc>
          <w:tcPr>
            <w:tcW w:w="753" w:type="pct"/>
            <w:hideMark/>
          </w:tcPr>
          <w:p w14:paraId="47C3586E"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250</w:t>
            </w:r>
          </w:p>
        </w:tc>
        <w:tc>
          <w:tcPr>
            <w:tcW w:w="789" w:type="pct"/>
          </w:tcPr>
          <w:p w14:paraId="2C244E6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106.45±5.59</w:t>
            </w:r>
          </w:p>
        </w:tc>
        <w:tc>
          <w:tcPr>
            <w:tcW w:w="812" w:type="pct"/>
          </w:tcPr>
          <w:p w14:paraId="07E0821D"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115.47±5.88</w:t>
            </w:r>
          </w:p>
        </w:tc>
        <w:tc>
          <w:tcPr>
            <w:tcW w:w="910" w:type="pct"/>
          </w:tcPr>
          <w:p w14:paraId="4AEC4AF5"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124.22±8.78</w:t>
            </w:r>
          </w:p>
        </w:tc>
        <w:tc>
          <w:tcPr>
            <w:tcW w:w="908" w:type="pct"/>
          </w:tcPr>
          <w:p w14:paraId="66046A39"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130.99±6.47</w:t>
            </w:r>
          </w:p>
        </w:tc>
        <w:tc>
          <w:tcPr>
            <w:tcW w:w="828" w:type="pct"/>
          </w:tcPr>
          <w:p w14:paraId="526C090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138.90±7.89.</w:t>
            </w:r>
          </w:p>
        </w:tc>
      </w:tr>
      <w:tr w:rsidR="009F0FAA" w14:paraId="0C92A142" w14:textId="77777777" w:rsidTr="00B31631">
        <w:trPr>
          <w:trHeight w:val="521"/>
        </w:trPr>
        <w:tc>
          <w:tcPr>
            <w:tcW w:w="753" w:type="pct"/>
            <w:hideMark/>
          </w:tcPr>
          <w:p w14:paraId="1ABC3281"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500</w:t>
            </w:r>
          </w:p>
        </w:tc>
        <w:tc>
          <w:tcPr>
            <w:tcW w:w="789" w:type="pct"/>
          </w:tcPr>
          <w:p w14:paraId="40EA399B"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108.22±6.90</w:t>
            </w:r>
          </w:p>
        </w:tc>
        <w:tc>
          <w:tcPr>
            <w:tcW w:w="812" w:type="pct"/>
          </w:tcPr>
          <w:p w14:paraId="74B0D8BB"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112.47±7.46</w:t>
            </w:r>
          </w:p>
        </w:tc>
        <w:tc>
          <w:tcPr>
            <w:tcW w:w="910" w:type="pct"/>
          </w:tcPr>
          <w:p w14:paraId="3F776D94"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121.46±8.45</w:t>
            </w:r>
          </w:p>
        </w:tc>
        <w:tc>
          <w:tcPr>
            <w:tcW w:w="908" w:type="pct"/>
          </w:tcPr>
          <w:p w14:paraId="63B3931E"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126.45±6.75</w:t>
            </w:r>
          </w:p>
        </w:tc>
        <w:tc>
          <w:tcPr>
            <w:tcW w:w="828" w:type="pct"/>
          </w:tcPr>
          <w:p w14:paraId="7B1FC341"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135±5.66</w:t>
            </w:r>
          </w:p>
        </w:tc>
      </w:tr>
      <w:tr w:rsidR="009F0FAA" w14:paraId="26A1C2F1" w14:textId="77777777" w:rsidTr="00B31631">
        <w:trPr>
          <w:trHeight w:val="539"/>
        </w:trPr>
        <w:tc>
          <w:tcPr>
            <w:tcW w:w="753" w:type="pct"/>
            <w:hideMark/>
          </w:tcPr>
          <w:p w14:paraId="70411234"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750</w:t>
            </w:r>
          </w:p>
        </w:tc>
        <w:tc>
          <w:tcPr>
            <w:tcW w:w="789" w:type="pct"/>
          </w:tcPr>
          <w:p w14:paraId="0B643BB2"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104.56±5.54</w:t>
            </w:r>
          </w:p>
        </w:tc>
        <w:tc>
          <w:tcPr>
            <w:tcW w:w="812" w:type="pct"/>
          </w:tcPr>
          <w:p w14:paraId="1F52D73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111.47±7.20</w:t>
            </w:r>
          </w:p>
        </w:tc>
        <w:tc>
          <w:tcPr>
            <w:tcW w:w="910" w:type="pct"/>
          </w:tcPr>
          <w:p w14:paraId="4817DBC8"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119.89±6.45</w:t>
            </w:r>
          </w:p>
        </w:tc>
        <w:tc>
          <w:tcPr>
            <w:tcW w:w="908" w:type="pct"/>
          </w:tcPr>
          <w:p w14:paraId="56577054"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122.46±7.99*</w:t>
            </w:r>
          </w:p>
        </w:tc>
        <w:tc>
          <w:tcPr>
            <w:tcW w:w="828" w:type="pct"/>
          </w:tcPr>
          <w:p w14:paraId="737D3D3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130.22±6.47*</w:t>
            </w:r>
          </w:p>
        </w:tc>
      </w:tr>
    </w:tbl>
    <w:p w14:paraId="26C0634E" w14:textId="77777777" w:rsidR="00B31631"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3DAE7350" w14:textId="77777777" w:rsidR="00786F3E" w:rsidRDefault="00786F3E" w:rsidP="00107BE6">
      <w:pPr>
        <w:spacing w:after="200" w:line="276" w:lineRule="auto"/>
        <w:jc w:val="both"/>
        <w:rPr>
          <w:rFonts w:ascii="Times New Roman" w:hAnsi="Times New Roman" w:cs="Times New Roman"/>
          <w:b/>
          <w:bCs/>
          <w:sz w:val="24"/>
          <w:szCs w:val="24"/>
        </w:rPr>
      </w:pPr>
    </w:p>
    <w:p w14:paraId="688AA4F1" w14:textId="77777777" w:rsidR="004116BE" w:rsidRPr="00107BE6" w:rsidRDefault="009F0FAA" w:rsidP="00107BE6">
      <w:pPr>
        <w:spacing w:after="200" w:line="276" w:lineRule="auto"/>
        <w:jc w:val="both"/>
        <w:rPr>
          <w:rFonts w:ascii="Times New Roman" w:eastAsia="Calibri" w:hAnsi="Times New Roman" w:cs="Times New Roman"/>
          <w:b/>
          <w:i/>
          <w:color w:val="000000"/>
          <w:sz w:val="24"/>
          <w:szCs w:val="24"/>
        </w:rPr>
      </w:pPr>
      <w:r w:rsidRPr="009F0FAA">
        <w:rPr>
          <w:rFonts w:ascii="Times New Roman" w:eastAsia="Calibri" w:hAnsi="Times New Roman" w:cs="Times New Roman"/>
          <w:b/>
          <w:color w:val="000000"/>
          <w:sz w:val="24"/>
          <w:szCs w:val="24"/>
        </w:rPr>
        <w:t>Analgesic Activity of</w:t>
      </w:r>
      <w:r w:rsidR="00EA099E">
        <w:rPr>
          <w:rFonts w:ascii="Times New Roman" w:eastAsia="Calibri" w:hAnsi="Times New Roman" w:cs="Times New Roman"/>
          <w:b/>
          <w:i/>
          <w:color w:val="000000"/>
          <w:sz w:val="24"/>
          <w:szCs w:val="24"/>
        </w:rPr>
        <w:t xml:space="preserve"> </w:t>
      </w:r>
      <w:r w:rsidR="00457329">
        <w:rPr>
          <w:rFonts w:ascii="Times New Roman" w:eastAsia="Calibri" w:hAnsi="Times New Roman" w:cs="Times New Roman"/>
          <w:b/>
          <w:i/>
          <w:color w:val="000000"/>
          <w:sz w:val="24"/>
          <w:szCs w:val="24"/>
        </w:rPr>
        <w:t xml:space="preserve">Bixa </w:t>
      </w:r>
      <w:proofErr w:type="spellStart"/>
      <w:r w:rsidR="00457329">
        <w:rPr>
          <w:rFonts w:ascii="Times New Roman" w:eastAsia="Calibri" w:hAnsi="Times New Roman" w:cs="Times New Roman"/>
          <w:b/>
          <w:i/>
          <w:color w:val="000000"/>
          <w:sz w:val="24"/>
          <w:szCs w:val="24"/>
        </w:rPr>
        <w:t>orellana</w:t>
      </w:r>
      <w:proofErr w:type="spellEnd"/>
      <w:r w:rsidRPr="009F0FAA">
        <w:rPr>
          <w:rFonts w:ascii="Times New Roman" w:eastAsia="Calibri" w:hAnsi="Times New Roman" w:cs="Times New Roman"/>
          <w:b/>
          <w:i/>
          <w:color w:val="000000"/>
          <w:sz w:val="24"/>
          <w:szCs w:val="24"/>
        </w:rPr>
        <w:t xml:space="preserve">:  </w:t>
      </w:r>
    </w:p>
    <w:p w14:paraId="29E6AC6F" w14:textId="77777777" w:rsidR="009F0FAA" w:rsidRPr="00E80A1A" w:rsidRDefault="00C82D9F" w:rsidP="001827EF">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5</w:t>
      </w:r>
      <w:r w:rsidR="004116BE" w:rsidRPr="00E80A1A">
        <w:rPr>
          <w:rFonts w:ascii="Times New Roman" w:hAnsi="Times New Roman" w:cs="Times New Roman"/>
          <w:b/>
          <w:bCs/>
          <w:iCs/>
          <w:color w:val="000000"/>
          <w:sz w:val="24"/>
          <w:szCs w:val="24"/>
        </w:rPr>
        <w:t>:</w:t>
      </w:r>
      <w:r w:rsidR="00D02743" w:rsidRPr="00E80A1A">
        <w:rPr>
          <w:rFonts w:ascii="Times New Roman" w:hAnsi="Times New Roman" w:cs="Times New Roman"/>
          <w:iCs/>
          <w:color w:val="000000"/>
          <w:sz w:val="24"/>
          <w:szCs w:val="24"/>
        </w:rPr>
        <w:t xml:space="preserve"> </w:t>
      </w:r>
      <w:r w:rsidR="004116BE" w:rsidRPr="00E80A1A">
        <w:rPr>
          <w:rFonts w:ascii="Times New Roman" w:hAnsi="Times New Roman" w:cs="Times New Roman"/>
          <w:iCs/>
          <w:color w:val="000000"/>
          <w:sz w:val="24"/>
          <w:szCs w:val="24"/>
        </w:rPr>
        <w:t xml:space="preserve">Analgesic effect of different doses of </w:t>
      </w:r>
      <w:r w:rsidR="00457329">
        <w:rPr>
          <w:rFonts w:ascii="Times New Roman" w:hAnsi="Times New Roman" w:cs="Times New Roman"/>
          <w:i/>
          <w:iCs/>
          <w:color w:val="000000"/>
          <w:sz w:val="24"/>
          <w:szCs w:val="24"/>
        </w:rPr>
        <w:t xml:space="preserve">Bixa </w:t>
      </w:r>
      <w:proofErr w:type="spellStart"/>
      <w:r w:rsidR="00457329">
        <w:rPr>
          <w:rFonts w:ascii="Times New Roman" w:hAnsi="Times New Roman" w:cs="Times New Roman"/>
          <w:i/>
          <w:iCs/>
          <w:color w:val="000000"/>
          <w:sz w:val="24"/>
          <w:szCs w:val="24"/>
        </w:rPr>
        <w:t>orellana</w:t>
      </w:r>
      <w:proofErr w:type="spellEnd"/>
      <w:r w:rsidR="004116BE" w:rsidRPr="00E80A1A">
        <w:rPr>
          <w:rFonts w:ascii="Times New Roman" w:hAnsi="Times New Roman" w:cs="Times New Roman"/>
          <w:iCs/>
          <w:color w:val="000000"/>
          <w:sz w:val="24"/>
          <w:szCs w:val="24"/>
        </w:rPr>
        <w:t xml:space="preserve"> </w:t>
      </w:r>
      <w:r w:rsidR="001D3524">
        <w:rPr>
          <w:rFonts w:ascii="Times New Roman" w:hAnsi="Times New Roman" w:cs="Times New Roman"/>
          <w:iCs/>
          <w:color w:val="000000"/>
          <w:sz w:val="24"/>
          <w:szCs w:val="24"/>
        </w:rPr>
        <w:t xml:space="preserve">extract </w:t>
      </w:r>
      <w:r w:rsidR="004116BE" w:rsidRPr="00E80A1A">
        <w:rPr>
          <w:rFonts w:ascii="Times New Roman" w:hAnsi="Times New Roman" w:cs="Times New Roman"/>
          <w:iCs/>
          <w:color w:val="000000"/>
          <w:sz w:val="24"/>
          <w:szCs w:val="24"/>
        </w:rPr>
        <w:t>and Aspirin by acetic acid writhing test (*</w:t>
      </w:r>
      <w:r w:rsidR="00CB3CDA">
        <w:rPr>
          <w:rFonts w:ascii="Times New Roman" w:hAnsi="Times New Roman" w:cs="Times New Roman"/>
          <w:iCs/>
          <w:color w:val="000000"/>
          <w:sz w:val="24"/>
          <w:szCs w:val="24"/>
        </w:rPr>
        <w:t xml:space="preserve"> </w:t>
      </w:r>
      <w:r w:rsidR="004116BE" w:rsidRPr="00E80A1A">
        <w:rPr>
          <w:rFonts w:ascii="Times New Roman" w:hAnsi="Times New Roman" w:cs="Times New Roman"/>
          <w:iCs/>
          <w:color w:val="000000"/>
          <w:sz w:val="24"/>
          <w:szCs w:val="24"/>
        </w:rPr>
        <w:t>presents the le</w:t>
      </w:r>
      <w:r w:rsidR="009F0FAA">
        <w:rPr>
          <w:rFonts w:ascii="Times New Roman" w:hAnsi="Times New Roman" w:cs="Times New Roman"/>
          <w:iCs/>
          <w:color w:val="000000"/>
          <w:sz w:val="24"/>
          <w:szCs w:val="24"/>
        </w:rPr>
        <w:t>vel of significance of result).</w:t>
      </w:r>
    </w:p>
    <w:tbl>
      <w:tblPr>
        <w:tblStyle w:val="TableGridLight1"/>
        <w:tblW w:w="4934" w:type="pct"/>
        <w:tblLook w:val="04A0" w:firstRow="1" w:lastRow="0" w:firstColumn="1" w:lastColumn="0" w:noHBand="0" w:noVBand="1"/>
      </w:tblPr>
      <w:tblGrid>
        <w:gridCol w:w="1834"/>
        <w:gridCol w:w="1067"/>
        <w:gridCol w:w="3030"/>
        <w:gridCol w:w="3296"/>
      </w:tblGrid>
      <w:tr w:rsidR="00F43E7F" w:rsidRPr="001827EF" w14:paraId="5049B253" w14:textId="77777777" w:rsidTr="00EE0BD4">
        <w:trPr>
          <w:trHeight w:val="746"/>
        </w:trPr>
        <w:tc>
          <w:tcPr>
            <w:tcW w:w="994" w:type="pct"/>
            <w:hideMark/>
          </w:tcPr>
          <w:p w14:paraId="1171F3F8" w14:textId="77777777" w:rsidR="00F43E7F" w:rsidRPr="004116BE" w:rsidRDefault="00F43E7F" w:rsidP="00F43E7F">
            <w:pPr>
              <w:jc w:val="center"/>
              <w:rPr>
                <w:rFonts w:ascii="Times New Roman" w:hAnsi="Times New Roman" w:cs="Times New Roman"/>
                <w:b/>
                <w:bCs/>
                <w:sz w:val="24"/>
                <w:szCs w:val="24"/>
                <w:lang w:val="en-GB"/>
              </w:rPr>
            </w:pPr>
            <w:r w:rsidRPr="004116BE">
              <w:rPr>
                <w:rFonts w:ascii="Times New Roman" w:hAnsi="Times New Roman" w:cs="Times New Roman"/>
                <w:b/>
                <w:bCs/>
                <w:sz w:val="24"/>
                <w:szCs w:val="24"/>
                <w:lang w:val="en-GB"/>
              </w:rPr>
              <w:t>Group specification</w:t>
            </w:r>
          </w:p>
        </w:tc>
        <w:tc>
          <w:tcPr>
            <w:tcW w:w="578" w:type="pct"/>
            <w:hideMark/>
          </w:tcPr>
          <w:p w14:paraId="5BA93C2C" w14:textId="77777777" w:rsidR="00F43E7F" w:rsidRPr="004116BE" w:rsidRDefault="00F43E7F" w:rsidP="00F43E7F">
            <w:pPr>
              <w:jc w:val="center"/>
              <w:rPr>
                <w:rFonts w:ascii="Times New Roman" w:hAnsi="Times New Roman" w:cs="Times New Roman"/>
                <w:b/>
                <w:bCs/>
                <w:sz w:val="24"/>
                <w:szCs w:val="24"/>
                <w:highlight w:val="yellow"/>
                <w:lang w:val="en-GB"/>
              </w:rPr>
            </w:pPr>
            <w:r w:rsidRPr="004116BE">
              <w:rPr>
                <w:rFonts w:ascii="Times New Roman" w:hAnsi="Times New Roman" w:cs="Times New Roman"/>
                <w:b/>
                <w:bCs/>
                <w:sz w:val="24"/>
                <w:szCs w:val="24"/>
                <w:lang w:val="en-GB"/>
              </w:rPr>
              <w:t>Dose</w:t>
            </w:r>
          </w:p>
        </w:tc>
        <w:tc>
          <w:tcPr>
            <w:tcW w:w="1642" w:type="pct"/>
            <w:hideMark/>
          </w:tcPr>
          <w:p w14:paraId="06763DFA" w14:textId="77777777" w:rsidR="00F43E7F" w:rsidRDefault="00F43E7F" w:rsidP="00F43E7F">
            <w:pPr>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Number of writhing</w:t>
            </w:r>
          </w:p>
        </w:tc>
        <w:tc>
          <w:tcPr>
            <w:tcW w:w="1786" w:type="pct"/>
            <w:hideMark/>
          </w:tcPr>
          <w:p w14:paraId="01345912" w14:textId="77777777" w:rsidR="00F43E7F" w:rsidRDefault="00F43E7F" w:rsidP="00F43E7F">
            <w:pPr>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 Inhibition</w:t>
            </w:r>
          </w:p>
        </w:tc>
      </w:tr>
      <w:tr w:rsidR="00F43E7F" w:rsidRPr="001827EF" w14:paraId="21F58575" w14:textId="77777777" w:rsidTr="00EE0BD4">
        <w:trPr>
          <w:trHeight w:val="440"/>
        </w:trPr>
        <w:tc>
          <w:tcPr>
            <w:tcW w:w="994" w:type="pct"/>
            <w:hideMark/>
          </w:tcPr>
          <w:p w14:paraId="364AE921"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Ace</w:t>
            </w:r>
          </w:p>
        </w:tc>
        <w:tc>
          <w:tcPr>
            <w:tcW w:w="578" w:type="pct"/>
          </w:tcPr>
          <w:p w14:paraId="72DE6729" w14:textId="77777777" w:rsidR="00F43E7F" w:rsidRPr="008341B1" w:rsidRDefault="00F43E7F"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N/A</w:t>
            </w:r>
          </w:p>
        </w:tc>
        <w:tc>
          <w:tcPr>
            <w:tcW w:w="1642" w:type="pct"/>
          </w:tcPr>
          <w:p w14:paraId="5928775F"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97.46</w:t>
            </w:r>
            <w:r>
              <w:rPr>
                <w:rFonts w:ascii="Times New Roman" w:hAnsi="Times New Roman" w:cs="Times New Roman"/>
                <w:color w:val="000000"/>
                <w:sz w:val="24"/>
                <w:szCs w:val="24"/>
              </w:rPr>
              <w:t>±8.90</w:t>
            </w:r>
          </w:p>
        </w:tc>
        <w:tc>
          <w:tcPr>
            <w:tcW w:w="1786" w:type="pct"/>
          </w:tcPr>
          <w:p w14:paraId="00784B83" w14:textId="77777777" w:rsidR="00F43E7F" w:rsidRDefault="00F43E7F" w:rsidP="00F43E7F">
            <w:pPr>
              <w:jc w:val="center"/>
              <w:rPr>
                <w:rFonts w:ascii="Times New Roman" w:hAnsi="Times New Roman" w:cs="Times New Roman"/>
                <w:color w:val="000000"/>
                <w:sz w:val="24"/>
                <w:szCs w:val="24"/>
                <w:lang w:val="en-GB"/>
              </w:rPr>
            </w:pPr>
          </w:p>
        </w:tc>
      </w:tr>
      <w:tr w:rsidR="00F43E7F" w:rsidRPr="001827EF" w14:paraId="783A702A" w14:textId="77777777" w:rsidTr="00EE0BD4">
        <w:trPr>
          <w:trHeight w:val="719"/>
        </w:trPr>
        <w:tc>
          <w:tcPr>
            <w:tcW w:w="994" w:type="pct"/>
            <w:hideMark/>
          </w:tcPr>
          <w:p w14:paraId="630D9B11"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As</w:t>
            </w:r>
            <w:r>
              <w:rPr>
                <w:rFonts w:ascii="Times New Roman" w:hAnsi="Times New Roman" w:cs="Times New Roman"/>
                <w:b/>
                <w:bCs/>
                <w:sz w:val="24"/>
                <w:szCs w:val="24"/>
                <w:vertAlign w:val="subscript"/>
                <w:lang w:val="en-GB"/>
              </w:rPr>
              <w:t>100</w:t>
            </w:r>
            <w:r>
              <w:rPr>
                <w:rFonts w:ascii="Times New Roman" w:hAnsi="Times New Roman" w:cs="Times New Roman"/>
                <w:b/>
                <w:bCs/>
                <w:sz w:val="24"/>
                <w:szCs w:val="24"/>
                <w:lang w:val="en-GB"/>
              </w:rPr>
              <w:t>+Acetic Acid</w:t>
            </w:r>
          </w:p>
        </w:tc>
        <w:tc>
          <w:tcPr>
            <w:tcW w:w="578" w:type="pct"/>
          </w:tcPr>
          <w:p w14:paraId="1C02BE0C" w14:textId="77777777" w:rsidR="00F43E7F" w:rsidRPr="008341B1" w:rsidRDefault="00F43E7F"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100</w:t>
            </w:r>
          </w:p>
        </w:tc>
        <w:tc>
          <w:tcPr>
            <w:tcW w:w="1642" w:type="pct"/>
          </w:tcPr>
          <w:p w14:paraId="30418C81"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66.45</w:t>
            </w:r>
            <w:r>
              <w:rPr>
                <w:rFonts w:ascii="Times New Roman" w:hAnsi="Times New Roman" w:cs="Times New Roman"/>
                <w:color w:val="000000"/>
                <w:sz w:val="24"/>
                <w:szCs w:val="24"/>
              </w:rPr>
              <w:t>±5.57</w:t>
            </w:r>
          </w:p>
        </w:tc>
        <w:tc>
          <w:tcPr>
            <w:tcW w:w="1786" w:type="pct"/>
          </w:tcPr>
          <w:p w14:paraId="5DB808E7" w14:textId="77777777" w:rsidR="00F43E7F" w:rsidRDefault="00F43E7F" w:rsidP="00F43E7F">
            <w:pPr>
              <w:jc w:val="center"/>
              <w:rPr>
                <w:rFonts w:ascii="Times New Roman" w:hAnsi="Times New Roman" w:cs="Times New Roman"/>
                <w:color w:val="000000"/>
                <w:sz w:val="24"/>
                <w:szCs w:val="24"/>
                <w:lang w:val="en-GB"/>
              </w:rPr>
            </w:pPr>
          </w:p>
        </w:tc>
      </w:tr>
      <w:tr w:rsidR="00F43E7F" w:rsidRPr="001827EF" w14:paraId="42A30A36" w14:textId="77777777" w:rsidTr="00EE0BD4">
        <w:trPr>
          <w:trHeight w:val="701"/>
        </w:trPr>
        <w:tc>
          <w:tcPr>
            <w:tcW w:w="994" w:type="pct"/>
            <w:hideMark/>
          </w:tcPr>
          <w:p w14:paraId="74EDEAD3"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250</w:t>
            </w:r>
            <w:r>
              <w:rPr>
                <w:rFonts w:ascii="Times New Roman" w:hAnsi="Times New Roman" w:cs="Times New Roman"/>
                <w:b/>
                <w:bCs/>
                <w:sz w:val="24"/>
                <w:szCs w:val="24"/>
                <w:lang w:val="en-GB"/>
              </w:rPr>
              <w:t>+Acetic Acid</w:t>
            </w:r>
          </w:p>
        </w:tc>
        <w:tc>
          <w:tcPr>
            <w:tcW w:w="578" w:type="pct"/>
          </w:tcPr>
          <w:p w14:paraId="66568C53" w14:textId="77777777" w:rsidR="00F43E7F" w:rsidRPr="008341B1" w:rsidRDefault="00107BE6" w:rsidP="00F43E7F">
            <w:pPr>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250</w:t>
            </w:r>
          </w:p>
        </w:tc>
        <w:tc>
          <w:tcPr>
            <w:tcW w:w="1642" w:type="pct"/>
          </w:tcPr>
          <w:p w14:paraId="215226BE"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94.25</w:t>
            </w:r>
            <w:r>
              <w:rPr>
                <w:rFonts w:ascii="Times New Roman" w:hAnsi="Times New Roman" w:cs="Times New Roman"/>
                <w:color w:val="000000"/>
                <w:sz w:val="24"/>
                <w:szCs w:val="24"/>
              </w:rPr>
              <w:t>±6.24</w:t>
            </w:r>
          </w:p>
        </w:tc>
        <w:tc>
          <w:tcPr>
            <w:tcW w:w="1786" w:type="pct"/>
          </w:tcPr>
          <w:p w14:paraId="67A511A6"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2.05%</w:t>
            </w:r>
          </w:p>
        </w:tc>
      </w:tr>
      <w:tr w:rsidR="00F43E7F" w:rsidRPr="001827EF" w14:paraId="0B036E7A" w14:textId="77777777" w:rsidTr="00EE0BD4">
        <w:trPr>
          <w:trHeight w:val="719"/>
        </w:trPr>
        <w:tc>
          <w:tcPr>
            <w:tcW w:w="994" w:type="pct"/>
            <w:hideMark/>
          </w:tcPr>
          <w:p w14:paraId="03CB8B98"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500</w:t>
            </w:r>
            <w:r>
              <w:rPr>
                <w:rFonts w:ascii="Times New Roman" w:hAnsi="Times New Roman" w:cs="Times New Roman"/>
                <w:b/>
                <w:bCs/>
                <w:sz w:val="24"/>
                <w:szCs w:val="24"/>
                <w:lang w:val="en-GB"/>
              </w:rPr>
              <w:t>+Acetic Acid</w:t>
            </w:r>
          </w:p>
        </w:tc>
        <w:tc>
          <w:tcPr>
            <w:tcW w:w="578" w:type="pct"/>
          </w:tcPr>
          <w:p w14:paraId="32B6EEC2" w14:textId="77777777" w:rsidR="00F43E7F" w:rsidRPr="008341B1" w:rsidRDefault="00107BE6"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500</w:t>
            </w:r>
          </w:p>
        </w:tc>
        <w:tc>
          <w:tcPr>
            <w:tcW w:w="1642" w:type="pct"/>
          </w:tcPr>
          <w:p w14:paraId="2EF24638"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92.33</w:t>
            </w:r>
            <w:r>
              <w:rPr>
                <w:rFonts w:ascii="Times New Roman" w:hAnsi="Times New Roman" w:cs="Times New Roman"/>
                <w:color w:val="000000"/>
                <w:sz w:val="24"/>
                <w:szCs w:val="24"/>
              </w:rPr>
              <w:t>±5.45</w:t>
            </w:r>
          </w:p>
        </w:tc>
        <w:tc>
          <w:tcPr>
            <w:tcW w:w="1786" w:type="pct"/>
          </w:tcPr>
          <w:p w14:paraId="1F7C9F99"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4.40%</w:t>
            </w:r>
          </w:p>
        </w:tc>
      </w:tr>
      <w:tr w:rsidR="00F43E7F" w:rsidRPr="001827EF" w14:paraId="2DB2EEE3" w14:textId="77777777" w:rsidTr="00EE0BD4">
        <w:trPr>
          <w:trHeight w:val="701"/>
        </w:trPr>
        <w:tc>
          <w:tcPr>
            <w:tcW w:w="994" w:type="pct"/>
            <w:hideMark/>
          </w:tcPr>
          <w:p w14:paraId="1DB1F326"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750</w:t>
            </w:r>
            <w:r>
              <w:rPr>
                <w:rFonts w:ascii="Times New Roman" w:hAnsi="Times New Roman" w:cs="Times New Roman"/>
                <w:b/>
                <w:bCs/>
                <w:sz w:val="24"/>
                <w:szCs w:val="24"/>
                <w:lang w:val="en-GB"/>
              </w:rPr>
              <w:t>+Acetic Acid</w:t>
            </w:r>
          </w:p>
        </w:tc>
        <w:tc>
          <w:tcPr>
            <w:tcW w:w="578" w:type="pct"/>
          </w:tcPr>
          <w:p w14:paraId="4EC9AE74" w14:textId="77777777" w:rsidR="00F43E7F" w:rsidRPr="008341B1" w:rsidRDefault="00107BE6"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750</w:t>
            </w:r>
          </w:p>
        </w:tc>
        <w:tc>
          <w:tcPr>
            <w:tcW w:w="1642" w:type="pct"/>
          </w:tcPr>
          <w:p w14:paraId="2A367414"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89.47</w:t>
            </w:r>
            <w:r>
              <w:rPr>
                <w:rFonts w:ascii="Times New Roman" w:hAnsi="Times New Roman" w:cs="Times New Roman"/>
                <w:color w:val="000000"/>
                <w:sz w:val="24"/>
                <w:szCs w:val="24"/>
              </w:rPr>
              <w:t>±6.33*</w:t>
            </w:r>
          </w:p>
        </w:tc>
        <w:tc>
          <w:tcPr>
            <w:tcW w:w="1786" w:type="pct"/>
          </w:tcPr>
          <w:p w14:paraId="060FF83D"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7.37%</w:t>
            </w:r>
          </w:p>
        </w:tc>
      </w:tr>
    </w:tbl>
    <w:p w14:paraId="4483532E" w14:textId="77777777" w:rsidR="00B31631"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7D1AE7F2" w14:textId="77777777" w:rsidR="00B31631" w:rsidRDefault="00B31631" w:rsidP="00A0516C">
      <w:pPr>
        <w:pStyle w:val="NormalWeb"/>
        <w:spacing w:before="240" w:beforeAutospacing="0" w:after="240" w:afterAutospacing="0" w:line="360" w:lineRule="auto"/>
        <w:jc w:val="both"/>
        <w:rPr>
          <w:b/>
          <w:bCs/>
          <w:iCs/>
          <w:color w:val="000000"/>
        </w:rPr>
      </w:pPr>
    </w:p>
    <w:p w14:paraId="0C411FC2" w14:textId="77777777" w:rsidR="004116BE" w:rsidRDefault="004116BE" w:rsidP="00A0516C">
      <w:pPr>
        <w:pStyle w:val="NormalWeb"/>
        <w:spacing w:before="240" w:beforeAutospacing="0" w:after="240" w:afterAutospacing="0" w:line="360" w:lineRule="auto"/>
        <w:jc w:val="both"/>
        <w:rPr>
          <w:iCs/>
          <w:color w:val="000000"/>
        </w:rPr>
      </w:pPr>
      <w:r w:rsidRPr="00E80A1A">
        <w:rPr>
          <w:b/>
          <w:bCs/>
          <w:iCs/>
          <w:color w:val="000000"/>
        </w:rPr>
        <w:t xml:space="preserve">Table </w:t>
      </w:r>
      <w:r w:rsidR="00C82D9F">
        <w:rPr>
          <w:b/>
          <w:bCs/>
          <w:iCs/>
          <w:color w:val="000000"/>
        </w:rPr>
        <w:t>6</w:t>
      </w:r>
      <w:r w:rsidRPr="00E80A1A">
        <w:rPr>
          <w:b/>
          <w:bCs/>
          <w:iCs/>
          <w:color w:val="000000"/>
        </w:rPr>
        <w:t>:</w:t>
      </w:r>
      <w:r w:rsidR="00D02743" w:rsidRPr="00E80A1A">
        <w:rPr>
          <w:iCs/>
          <w:color w:val="000000"/>
        </w:rPr>
        <w:t xml:space="preserve"> A</w:t>
      </w:r>
      <w:r w:rsidRPr="00E80A1A">
        <w:rPr>
          <w:iCs/>
          <w:color w:val="000000"/>
        </w:rPr>
        <w:t xml:space="preserve">nalgesic activity of </w:t>
      </w:r>
      <w:r w:rsidR="00457329">
        <w:rPr>
          <w:i/>
          <w:iCs/>
          <w:color w:val="000000"/>
        </w:rPr>
        <w:t xml:space="preserve">Bixa </w:t>
      </w:r>
      <w:proofErr w:type="spellStart"/>
      <w:r w:rsidR="00457329">
        <w:rPr>
          <w:i/>
          <w:iCs/>
          <w:color w:val="000000"/>
        </w:rPr>
        <w:t>orellana</w:t>
      </w:r>
      <w:proofErr w:type="spellEnd"/>
      <w:r w:rsidRPr="00E80A1A">
        <w:rPr>
          <w:iCs/>
          <w:color w:val="000000"/>
        </w:rPr>
        <w:t xml:space="preserve"> and Aspirin</w:t>
      </w:r>
      <w:r w:rsidR="00F43E7F">
        <w:rPr>
          <w:iCs/>
          <w:color w:val="000000"/>
        </w:rPr>
        <w:t xml:space="preserve"> by the tail-flick test method.</w:t>
      </w:r>
    </w:p>
    <w:tbl>
      <w:tblPr>
        <w:tblStyle w:val="TableGridLight1"/>
        <w:tblW w:w="5000" w:type="pct"/>
        <w:tblLook w:val="04A0" w:firstRow="1" w:lastRow="0" w:firstColumn="1" w:lastColumn="0" w:noHBand="0" w:noVBand="1"/>
      </w:tblPr>
      <w:tblGrid>
        <w:gridCol w:w="897"/>
        <w:gridCol w:w="1536"/>
        <w:gridCol w:w="1188"/>
        <w:gridCol w:w="1237"/>
        <w:gridCol w:w="1492"/>
        <w:gridCol w:w="1489"/>
        <w:gridCol w:w="1511"/>
      </w:tblGrid>
      <w:tr w:rsidR="00F43E7F" w14:paraId="4C10B6B2" w14:textId="77777777" w:rsidTr="00B31631">
        <w:trPr>
          <w:trHeight w:val="385"/>
        </w:trPr>
        <w:tc>
          <w:tcPr>
            <w:tcW w:w="480" w:type="pct"/>
            <w:vMerge w:val="restart"/>
            <w:hideMark/>
          </w:tcPr>
          <w:p w14:paraId="396C1E3C"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No</w:t>
            </w:r>
          </w:p>
        </w:tc>
        <w:tc>
          <w:tcPr>
            <w:tcW w:w="821" w:type="pct"/>
            <w:vMerge w:val="restart"/>
            <w:hideMark/>
          </w:tcPr>
          <w:p w14:paraId="03D0A597"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Specification</w:t>
            </w:r>
          </w:p>
        </w:tc>
        <w:tc>
          <w:tcPr>
            <w:tcW w:w="635" w:type="pct"/>
            <w:vMerge w:val="restart"/>
            <w:hideMark/>
          </w:tcPr>
          <w:p w14:paraId="766D3166"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Basal Reaction</w:t>
            </w:r>
          </w:p>
        </w:tc>
        <w:tc>
          <w:tcPr>
            <w:tcW w:w="3064" w:type="pct"/>
            <w:gridSpan w:val="4"/>
            <w:hideMark/>
          </w:tcPr>
          <w:p w14:paraId="560D01F3"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Reaction time in second</w:t>
            </w:r>
          </w:p>
        </w:tc>
      </w:tr>
      <w:tr w:rsidR="00F43E7F" w14:paraId="5A61EE11" w14:textId="77777777" w:rsidTr="00B31631">
        <w:trPr>
          <w:trHeight w:val="944"/>
        </w:trPr>
        <w:tc>
          <w:tcPr>
            <w:tcW w:w="0" w:type="auto"/>
            <w:vMerge/>
            <w:hideMark/>
          </w:tcPr>
          <w:p w14:paraId="383DA853" w14:textId="77777777" w:rsidR="00F43E7F" w:rsidRDefault="00F43E7F" w:rsidP="007D08BB">
            <w:pPr>
              <w:jc w:val="center"/>
              <w:rPr>
                <w:rFonts w:ascii="Times New Roman" w:eastAsia="Times New Roman" w:hAnsi="Times New Roman" w:cs="Times New Roman"/>
                <w:b/>
                <w:bCs/>
                <w:sz w:val="24"/>
                <w:szCs w:val="24"/>
              </w:rPr>
            </w:pPr>
          </w:p>
        </w:tc>
        <w:tc>
          <w:tcPr>
            <w:tcW w:w="0" w:type="auto"/>
            <w:vMerge/>
            <w:hideMark/>
          </w:tcPr>
          <w:p w14:paraId="306F53F1" w14:textId="77777777" w:rsidR="00F43E7F" w:rsidRDefault="00F43E7F" w:rsidP="007D08BB">
            <w:pPr>
              <w:jc w:val="center"/>
              <w:rPr>
                <w:rFonts w:ascii="Times New Roman" w:eastAsia="Times New Roman" w:hAnsi="Times New Roman" w:cs="Times New Roman"/>
                <w:b/>
                <w:bCs/>
                <w:sz w:val="24"/>
                <w:szCs w:val="24"/>
              </w:rPr>
            </w:pPr>
          </w:p>
        </w:tc>
        <w:tc>
          <w:tcPr>
            <w:tcW w:w="0" w:type="auto"/>
            <w:vMerge/>
            <w:hideMark/>
          </w:tcPr>
          <w:p w14:paraId="39F40B95" w14:textId="77777777" w:rsidR="00F43E7F" w:rsidRDefault="00F43E7F" w:rsidP="007D08BB">
            <w:pPr>
              <w:jc w:val="center"/>
              <w:rPr>
                <w:rFonts w:ascii="Times New Roman" w:eastAsia="Times New Roman" w:hAnsi="Times New Roman" w:cs="Times New Roman"/>
                <w:b/>
                <w:bCs/>
                <w:sz w:val="24"/>
                <w:szCs w:val="24"/>
              </w:rPr>
            </w:pPr>
          </w:p>
        </w:tc>
        <w:tc>
          <w:tcPr>
            <w:tcW w:w="662" w:type="pct"/>
            <w:hideMark/>
          </w:tcPr>
          <w:p w14:paraId="626D347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30 minutes</w:t>
            </w:r>
          </w:p>
        </w:tc>
        <w:tc>
          <w:tcPr>
            <w:tcW w:w="798" w:type="pct"/>
            <w:hideMark/>
          </w:tcPr>
          <w:p w14:paraId="12826AD6"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1 Hour</w:t>
            </w:r>
          </w:p>
        </w:tc>
        <w:tc>
          <w:tcPr>
            <w:tcW w:w="796" w:type="pct"/>
            <w:hideMark/>
          </w:tcPr>
          <w:p w14:paraId="304950A9"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2 Hour</w:t>
            </w:r>
          </w:p>
        </w:tc>
        <w:tc>
          <w:tcPr>
            <w:tcW w:w="808" w:type="pct"/>
            <w:hideMark/>
          </w:tcPr>
          <w:p w14:paraId="07A830B9"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4 Hour</w:t>
            </w:r>
          </w:p>
        </w:tc>
      </w:tr>
      <w:tr w:rsidR="00F43E7F" w14:paraId="1E37BA7D" w14:textId="77777777" w:rsidTr="00B31631">
        <w:trPr>
          <w:trHeight w:val="530"/>
        </w:trPr>
        <w:tc>
          <w:tcPr>
            <w:tcW w:w="480" w:type="pct"/>
            <w:hideMark/>
          </w:tcPr>
          <w:p w14:paraId="79F6D93D"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w:t>
            </w:r>
          </w:p>
        </w:tc>
        <w:tc>
          <w:tcPr>
            <w:tcW w:w="821" w:type="pct"/>
            <w:hideMark/>
          </w:tcPr>
          <w:p w14:paraId="0DF8FBE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TFS</w:t>
            </w:r>
          </w:p>
        </w:tc>
        <w:tc>
          <w:tcPr>
            <w:tcW w:w="635" w:type="pct"/>
          </w:tcPr>
          <w:p w14:paraId="23E4F22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4.02</w:t>
            </w:r>
            <w:r>
              <w:rPr>
                <w:rFonts w:ascii="Times New Roman" w:hAnsi="Times New Roman" w:cs="Times New Roman"/>
                <w:color w:val="000000"/>
                <w:sz w:val="24"/>
                <w:szCs w:val="24"/>
              </w:rPr>
              <w:t>±0.77</w:t>
            </w:r>
          </w:p>
        </w:tc>
        <w:tc>
          <w:tcPr>
            <w:tcW w:w="662" w:type="pct"/>
          </w:tcPr>
          <w:p w14:paraId="2129F00C"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4.47</w:t>
            </w:r>
            <w:r>
              <w:rPr>
                <w:rFonts w:ascii="Times New Roman" w:hAnsi="Times New Roman" w:cs="Times New Roman"/>
                <w:color w:val="000000"/>
                <w:sz w:val="24"/>
                <w:szCs w:val="24"/>
              </w:rPr>
              <w:t>±0.87</w:t>
            </w:r>
          </w:p>
        </w:tc>
        <w:tc>
          <w:tcPr>
            <w:tcW w:w="798" w:type="pct"/>
          </w:tcPr>
          <w:p w14:paraId="60EAD33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5.67</w:t>
            </w:r>
            <w:r>
              <w:rPr>
                <w:rFonts w:ascii="Times New Roman" w:hAnsi="Times New Roman" w:cs="Times New Roman"/>
                <w:color w:val="000000"/>
                <w:sz w:val="24"/>
                <w:szCs w:val="24"/>
              </w:rPr>
              <w:t>±0.77</w:t>
            </w:r>
          </w:p>
        </w:tc>
        <w:tc>
          <w:tcPr>
            <w:tcW w:w="796" w:type="pct"/>
          </w:tcPr>
          <w:p w14:paraId="2BB53960"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6.27</w:t>
            </w:r>
            <w:r>
              <w:rPr>
                <w:rFonts w:ascii="Times New Roman" w:hAnsi="Times New Roman" w:cs="Times New Roman"/>
                <w:color w:val="000000"/>
                <w:sz w:val="24"/>
                <w:szCs w:val="24"/>
              </w:rPr>
              <w:t>±0.55</w:t>
            </w:r>
          </w:p>
        </w:tc>
        <w:tc>
          <w:tcPr>
            <w:tcW w:w="808" w:type="pct"/>
          </w:tcPr>
          <w:p w14:paraId="6266D64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7.12</w:t>
            </w:r>
            <w:r>
              <w:rPr>
                <w:rFonts w:ascii="Times New Roman" w:hAnsi="Times New Roman" w:cs="Times New Roman"/>
                <w:color w:val="000000"/>
                <w:sz w:val="24"/>
                <w:szCs w:val="24"/>
              </w:rPr>
              <w:t>±0.97</w:t>
            </w:r>
          </w:p>
        </w:tc>
      </w:tr>
      <w:tr w:rsidR="00F43E7F" w14:paraId="00C5AD09" w14:textId="77777777" w:rsidTr="00B31631">
        <w:trPr>
          <w:trHeight w:val="530"/>
        </w:trPr>
        <w:tc>
          <w:tcPr>
            <w:tcW w:w="480" w:type="pct"/>
            <w:hideMark/>
          </w:tcPr>
          <w:p w14:paraId="5AFA0C93"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821" w:type="pct"/>
            <w:hideMark/>
          </w:tcPr>
          <w:p w14:paraId="45C141F6"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vertAlign w:val="subscript"/>
              </w:rPr>
              <w:t>100</w:t>
            </w:r>
            <w:r>
              <w:rPr>
                <w:rFonts w:ascii="Times New Roman" w:hAnsi="Times New Roman" w:cs="Times New Roman"/>
                <w:sz w:val="24"/>
                <w:szCs w:val="24"/>
              </w:rPr>
              <w:t>+TFS</w:t>
            </w:r>
          </w:p>
        </w:tc>
        <w:tc>
          <w:tcPr>
            <w:tcW w:w="635" w:type="pct"/>
          </w:tcPr>
          <w:p w14:paraId="220C5D0D"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color w:val="000000"/>
                <w:sz w:val="24"/>
                <w:szCs w:val="24"/>
              </w:rPr>
              <w:t>±0.93</w:t>
            </w:r>
          </w:p>
        </w:tc>
        <w:tc>
          <w:tcPr>
            <w:tcW w:w="662" w:type="pct"/>
          </w:tcPr>
          <w:p w14:paraId="4F5A77A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5.05</w:t>
            </w:r>
            <w:r>
              <w:rPr>
                <w:rFonts w:ascii="Times New Roman" w:hAnsi="Times New Roman" w:cs="Times New Roman"/>
                <w:color w:val="000000"/>
                <w:sz w:val="24"/>
                <w:szCs w:val="24"/>
              </w:rPr>
              <w:t>±0.82</w:t>
            </w:r>
          </w:p>
        </w:tc>
        <w:tc>
          <w:tcPr>
            <w:tcW w:w="798" w:type="pct"/>
          </w:tcPr>
          <w:p w14:paraId="5CAD9A9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6.93</w:t>
            </w:r>
            <w:r>
              <w:rPr>
                <w:rFonts w:ascii="Times New Roman" w:hAnsi="Times New Roman" w:cs="Times New Roman"/>
                <w:color w:val="000000"/>
                <w:sz w:val="24"/>
                <w:szCs w:val="24"/>
              </w:rPr>
              <w:t>±0.69</w:t>
            </w:r>
          </w:p>
        </w:tc>
        <w:tc>
          <w:tcPr>
            <w:tcW w:w="796" w:type="pct"/>
          </w:tcPr>
          <w:p w14:paraId="0B104091"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7.46</w:t>
            </w:r>
            <w:r>
              <w:rPr>
                <w:rFonts w:ascii="Times New Roman" w:hAnsi="Times New Roman" w:cs="Times New Roman"/>
                <w:color w:val="000000"/>
                <w:sz w:val="24"/>
                <w:szCs w:val="24"/>
              </w:rPr>
              <w:t>±0.95</w:t>
            </w:r>
          </w:p>
        </w:tc>
        <w:tc>
          <w:tcPr>
            <w:tcW w:w="808" w:type="pct"/>
          </w:tcPr>
          <w:p w14:paraId="0989A68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9.34</w:t>
            </w:r>
            <w:r>
              <w:rPr>
                <w:rFonts w:ascii="Times New Roman" w:hAnsi="Times New Roman" w:cs="Times New Roman"/>
                <w:color w:val="000000"/>
                <w:sz w:val="24"/>
                <w:szCs w:val="24"/>
              </w:rPr>
              <w:t>±0.82</w:t>
            </w:r>
          </w:p>
        </w:tc>
      </w:tr>
      <w:tr w:rsidR="00F43E7F" w14:paraId="593709EA" w14:textId="77777777" w:rsidTr="00B31631">
        <w:trPr>
          <w:trHeight w:val="530"/>
        </w:trPr>
        <w:tc>
          <w:tcPr>
            <w:tcW w:w="480" w:type="pct"/>
            <w:hideMark/>
          </w:tcPr>
          <w:p w14:paraId="3A8BE3A6"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w:t>
            </w:r>
          </w:p>
        </w:tc>
        <w:tc>
          <w:tcPr>
            <w:tcW w:w="821" w:type="pct"/>
            <w:hideMark/>
          </w:tcPr>
          <w:p w14:paraId="23A925A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Pr>
                <w:rFonts w:ascii="Times New Roman" w:hAnsi="Times New Roman" w:cs="Times New Roman"/>
                <w:sz w:val="24"/>
                <w:szCs w:val="24"/>
              </w:rPr>
              <w:t>+TFS</w:t>
            </w:r>
          </w:p>
        </w:tc>
        <w:tc>
          <w:tcPr>
            <w:tcW w:w="635" w:type="pct"/>
          </w:tcPr>
          <w:p w14:paraId="2B17695E" w14:textId="77777777" w:rsidR="00F43E7F" w:rsidRDefault="00F43E7F" w:rsidP="007D08BB">
            <w:pPr>
              <w:rPr>
                <w:rFonts w:ascii="Times New Roman" w:hAnsi="Times New Roman" w:cs="Times New Roman"/>
                <w:sz w:val="24"/>
                <w:szCs w:val="24"/>
              </w:rPr>
            </w:pPr>
            <w:r>
              <w:rPr>
                <w:rFonts w:ascii="Times New Roman" w:hAnsi="Times New Roman" w:cs="Times New Roman"/>
                <w:sz w:val="24"/>
                <w:szCs w:val="24"/>
              </w:rPr>
              <w:t>3.77</w:t>
            </w:r>
            <w:r>
              <w:rPr>
                <w:rFonts w:ascii="Times New Roman" w:hAnsi="Times New Roman" w:cs="Times New Roman"/>
                <w:color w:val="000000"/>
                <w:sz w:val="24"/>
                <w:szCs w:val="24"/>
              </w:rPr>
              <w:t>±0.63</w:t>
            </w:r>
          </w:p>
        </w:tc>
        <w:tc>
          <w:tcPr>
            <w:tcW w:w="662" w:type="pct"/>
          </w:tcPr>
          <w:p w14:paraId="3C31F6DE"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4.93</w:t>
            </w:r>
            <w:r>
              <w:rPr>
                <w:rFonts w:ascii="Times New Roman" w:hAnsi="Times New Roman" w:cs="Times New Roman"/>
                <w:color w:val="000000"/>
                <w:sz w:val="24"/>
                <w:szCs w:val="24"/>
              </w:rPr>
              <w:t>±0.91</w:t>
            </w:r>
          </w:p>
        </w:tc>
        <w:tc>
          <w:tcPr>
            <w:tcW w:w="798" w:type="pct"/>
          </w:tcPr>
          <w:p w14:paraId="63D87392"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5.56</w:t>
            </w:r>
            <w:r>
              <w:rPr>
                <w:rFonts w:ascii="Times New Roman" w:hAnsi="Times New Roman" w:cs="Times New Roman"/>
                <w:color w:val="000000"/>
                <w:sz w:val="24"/>
                <w:szCs w:val="24"/>
              </w:rPr>
              <w:t>±0.82</w:t>
            </w:r>
          </w:p>
        </w:tc>
        <w:tc>
          <w:tcPr>
            <w:tcW w:w="796" w:type="pct"/>
          </w:tcPr>
          <w:p w14:paraId="01D6887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color w:val="000000"/>
                <w:sz w:val="24"/>
                <w:szCs w:val="24"/>
              </w:rPr>
              <w:t>±0.74</w:t>
            </w:r>
          </w:p>
        </w:tc>
        <w:tc>
          <w:tcPr>
            <w:tcW w:w="808" w:type="pct"/>
          </w:tcPr>
          <w:p w14:paraId="1E3E5B0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6.80</w:t>
            </w:r>
            <w:r>
              <w:rPr>
                <w:rFonts w:ascii="Times New Roman" w:hAnsi="Times New Roman" w:cs="Times New Roman"/>
                <w:color w:val="000000"/>
                <w:sz w:val="24"/>
                <w:szCs w:val="24"/>
              </w:rPr>
              <w:t>±0.91</w:t>
            </w:r>
          </w:p>
        </w:tc>
      </w:tr>
      <w:tr w:rsidR="00F43E7F" w14:paraId="3395D24C" w14:textId="77777777" w:rsidTr="00B31631">
        <w:trPr>
          <w:trHeight w:val="530"/>
        </w:trPr>
        <w:tc>
          <w:tcPr>
            <w:tcW w:w="480" w:type="pct"/>
            <w:hideMark/>
          </w:tcPr>
          <w:p w14:paraId="2F8435D8"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w:t>
            </w:r>
          </w:p>
        </w:tc>
        <w:tc>
          <w:tcPr>
            <w:tcW w:w="821" w:type="pct"/>
            <w:hideMark/>
          </w:tcPr>
          <w:p w14:paraId="7E125F2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500</w:t>
            </w:r>
            <w:r>
              <w:rPr>
                <w:rFonts w:ascii="Times New Roman" w:hAnsi="Times New Roman" w:cs="Times New Roman"/>
                <w:sz w:val="24"/>
                <w:szCs w:val="24"/>
              </w:rPr>
              <w:t>+TFS</w:t>
            </w:r>
          </w:p>
        </w:tc>
        <w:tc>
          <w:tcPr>
            <w:tcW w:w="635" w:type="pct"/>
          </w:tcPr>
          <w:p w14:paraId="21D96A82"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3.65</w:t>
            </w:r>
            <w:r>
              <w:rPr>
                <w:rFonts w:ascii="Times New Roman" w:hAnsi="Times New Roman" w:cs="Times New Roman"/>
                <w:color w:val="000000"/>
                <w:sz w:val="24"/>
                <w:szCs w:val="24"/>
              </w:rPr>
              <w:t>±0.85</w:t>
            </w:r>
          </w:p>
        </w:tc>
        <w:tc>
          <w:tcPr>
            <w:tcW w:w="662" w:type="pct"/>
          </w:tcPr>
          <w:p w14:paraId="2CD7C32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4.62</w:t>
            </w:r>
            <w:r>
              <w:rPr>
                <w:rFonts w:ascii="Times New Roman" w:hAnsi="Times New Roman" w:cs="Times New Roman"/>
                <w:color w:val="000000"/>
                <w:sz w:val="24"/>
                <w:szCs w:val="24"/>
              </w:rPr>
              <w:t>±0.93</w:t>
            </w:r>
          </w:p>
        </w:tc>
        <w:tc>
          <w:tcPr>
            <w:tcW w:w="798" w:type="pct"/>
          </w:tcPr>
          <w:p w14:paraId="6C65DB3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5.93</w:t>
            </w:r>
            <w:r>
              <w:rPr>
                <w:rFonts w:ascii="Times New Roman" w:hAnsi="Times New Roman" w:cs="Times New Roman"/>
                <w:color w:val="000000"/>
                <w:sz w:val="24"/>
                <w:szCs w:val="24"/>
              </w:rPr>
              <w:t>±0.90</w:t>
            </w:r>
          </w:p>
        </w:tc>
        <w:tc>
          <w:tcPr>
            <w:tcW w:w="796" w:type="pct"/>
          </w:tcPr>
          <w:p w14:paraId="1A98EF4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6.72</w:t>
            </w:r>
            <w:r>
              <w:rPr>
                <w:rFonts w:ascii="Times New Roman" w:hAnsi="Times New Roman" w:cs="Times New Roman"/>
                <w:color w:val="000000"/>
                <w:sz w:val="24"/>
                <w:szCs w:val="24"/>
              </w:rPr>
              <w:t>±0.83</w:t>
            </w:r>
          </w:p>
        </w:tc>
        <w:tc>
          <w:tcPr>
            <w:tcW w:w="808" w:type="pct"/>
          </w:tcPr>
          <w:p w14:paraId="78216111"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7.70</w:t>
            </w:r>
            <w:r>
              <w:rPr>
                <w:rFonts w:ascii="Times New Roman" w:hAnsi="Times New Roman" w:cs="Times New Roman"/>
                <w:color w:val="000000"/>
                <w:sz w:val="24"/>
                <w:szCs w:val="24"/>
              </w:rPr>
              <w:t>±0.95</w:t>
            </w:r>
          </w:p>
        </w:tc>
      </w:tr>
      <w:tr w:rsidR="00F43E7F" w14:paraId="6C2F6E37" w14:textId="77777777" w:rsidTr="00B31631">
        <w:trPr>
          <w:trHeight w:val="521"/>
        </w:trPr>
        <w:tc>
          <w:tcPr>
            <w:tcW w:w="480" w:type="pct"/>
            <w:hideMark/>
          </w:tcPr>
          <w:p w14:paraId="15B170AC"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p>
        </w:tc>
        <w:tc>
          <w:tcPr>
            <w:tcW w:w="821" w:type="pct"/>
            <w:hideMark/>
          </w:tcPr>
          <w:p w14:paraId="533C3FC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750</w:t>
            </w:r>
            <w:r>
              <w:rPr>
                <w:rFonts w:ascii="Times New Roman" w:hAnsi="Times New Roman" w:cs="Times New Roman"/>
                <w:sz w:val="24"/>
                <w:szCs w:val="24"/>
              </w:rPr>
              <w:t>+TFS</w:t>
            </w:r>
          </w:p>
        </w:tc>
        <w:tc>
          <w:tcPr>
            <w:tcW w:w="635" w:type="pct"/>
          </w:tcPr>
          <w:p w14:paraId="49670E6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3.90</w:t>
            </w:r>
            <w:r>
              <w:rPr>
                <w:rFonts w:ascii="Times New Roman" w:hAnsi="Times New Roman" w:cs="Times New Roman"/>
                <w:color w:val="000000"/>
                <w:sz w:val="24"/>
                <w:szCs w:val="24"/>
              </w:rPr>
              <w:t>±0.82</w:t>
            </w:r>
          </w:p>
        </w:tc>
        <w:tc>
          <w:tcPr>
            <w:tcW w:w="662" w:type="pct"/>
          </w:tcPr>
          <w:p w14:paraId="11A07B3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5.03</w:t>
            </w:r>
            <w:r>
              <w:rPr>
                <w:rFonts w:ascii="Times New Roman" w:hAnsi="Times New Roman" w:cs="Times New Roman"/>
                <w:color w:val="000000"/>
                <w:sz w:val="24"/>
                <w:szCs w:val="24"/>
              </w:rPr>
              <w:t>±0.99</w:t>
            </w:r>
          </w:p>
        </w:tc>
        <w:tc>
          <w:tcPr>
            <w:tcW w:w="798" w:type="pct"/>
          </w:tcPr>
          <w:p w14:paraId="54A36869" w14:textId="77777777" w:rsidR="00F43E7F" w:rsidRPr="008341B1" w:rsidRDefault="00F43E7F" w:rsidP="007D08BB">
            <w:pPr>
              <w:jc w:val="center"/>
              <w:rPr>
                <w:rFonts w:ascii="Times New Roman" w:hAnsi="Times New Roman" w:cs="Times New Roman"/>
                <w:b/>
                <w:sz w:val="24"/>
                <w:szCs w:val="24"/>
              </w:rPr>
            </w:pPr>
            <w:r>
              <w:rPr>
                <w:rFonts w:ascii="Times New Roman" w:hAnsi="Times New Roman" w:cs="Times New Roman"/>
                <w:sz w:val="24"/>
                <w:szCs w:val="24"/>
              </w:rPr>
              <w:t>6.17</w:t>
            </w:r>
            <w:r>
              <w:rPr>
                <w:rFonts w:ascii="Times New Roman" w:hAnsi="Times New Roman" w:cs="Times New Roman"/>
                <w:color w:val="000000"/>
                <w:sz w:val="24"/>
                <w:szCs w:val="24"/>
              </w:rPr>
              <w:t>±0.79</w:t>
            </w:r>
          </w:p>
        </w:tc>
        <w:tc>
          <w:tcPr>
            <w:tcW w:w="796" w:type="pct"/>
          </w:tcPr>
          <w:p w14:paraId="1BE95AE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7.32</w:t>
            </w:r>
            <w:r>
              <w:rPr>
                <w:rFonts w:ascii="Times New Roman" w:hAnsi="Times New Roman" w:cs="Times New Roman"/>
                <w:color w:val="000000"/>
                <w:sz w:val="24"/>
                <w:szCs w:val="24"/>
              </w:rPr>
              <w:t>±0.0.91*</w:t>
            </w:r>
          </w:p>
        </w:tc>
        <w:tc>
          <w:tcPr>
            <w:tcW w:w="808" w:type="pct"/>
          </w:tcPr>
          <w:p w14:paraId="6251838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8.01</w:t>
            </w:r>
            <w:r>
              <w:rPr>
                <w:rFonts w:ascii="Times New Roman" w:hAnsi="Times New Roman" w:cs="Times New Roman"/>
                <w:color w:val="000000"/>
                <w:sz w:val="24"/>
                <w:szCs w:val="24"/>
              </w:rPr>
              <w:t>±0.95*</w:t>
            </w:r>
          </w:p>
        </w:tc>
      </w:tr>
    </w:tbl>
    <w:p w14:paraId="72A41935" w14:textId="77777777" w:rsidR="001D3524"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1C67EF61" w14:textId="77777777" w:rsidR="00B31631" w:rsidRPr="00B31631" w:rsidRDefault="00B31631" w:rsidP="00B31631">
      <w:pPr>
        <w:spacing w:after="0" w:line="360" w:lineRule="auto"/>
        <w:jc w:val="both"/>
        <w:rPr>
          <w:rStyle w:val="css-0"/>
          <w:rFonts w:ascii="Times New Roman" w:hAnsi="Times New Roman" w:cs="Times New Roman"/>
          <w:sz w:val="20"/>
          <w:szCs w:val="24"/>
        </w:rPr>
      </w:pPr>
    </w:p>
    <w:p w14:paraId="5A573015" w14:textId="30C298AE" w:rsidR="00590B45"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 xml:space="preserve">The therapeutic properties of plants have been acknowledged for millennia, with Indigenous societies utilizing traditional herbal treatments to address various maladies. This study examines the analgesic and anti-inflammatory effects of </w:t>
      </w:r>
      <w:r w:rsidR="00457329" w:rsidRPr="00457329">
        <w:rPr>
          <w:rFonts w:ascii="Times New Roman" w:eastAsia="Times New Roman" w:hAnsi="Times New Roman" w:cs="Times New Roman"/>
          <w:i/>
          <w:iCs/>
          <w:color w:val="252525"/>
          <w:sz w:val="24"/>
          <w:szCs w:val="24"/>
        </w:rPr>
        <w:t xml:space="preserve">Bixa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leaves, seeking to scientifically substantiate their traditional application and assess their potential as a natural medicinal agent for p</w:t>
      </w:r>
      <w:r w:rsidR="00874E55">
        <w:rPr>
          <w:rFonts w:ascii="Times New Roman" w:eastAsia="Times New Roman" w:hAnsi="Times New Roman" w:cs="Times New Roman"/>
          <w:color w:val="252525"/>
          <w:sz w:val="24"/>
          <w:szCs w:val="24"/>
        </w:rPr>
        <w:t>ain and inflammation control [38</w:t>
      </w:r>
      <w:r w:rsidRPr="00590B45">
        <w:rPr>
          <w:rFonts w:ascii="Times New Roman" w:eastAsia="Times New Roman" w:hAnsi="Times New Roman" w:cs="Times New Roman"/>
          <w:color w:val="252525"/>
          <w:sz w:val="24"/>
          <w:szCs w:val="24"/>
        </w:rPr>
        <w:t xml:space="preserve">]. The anti-inflammatory effects of a 750 mg/kg dosage were statistically significant (p &lt; 0.05) at a 4-hour interval. Nevertheless, no statistically significant differences were observed with any other dosage. Elevated </w:t>
      </w:r>
      <w:r w:rsidR="00874E55">
        <w:rPr>
          <w:rFonts w:ascii="Times New Roman" w:eastAsia="Times New Roman" w:hAnsi="Times New Roman" w:cs="Times New Roman"/>
          <w:color w:val="252525"/>
          <w:sz w:val="24"/>
          <w:szCs w:val="24"/>
        </w:rPr>
        <w:t>concentrations of flavonoids [39, 40] and saponins [41, 42</w:t>
      </w:r>
      <w:r w:rsidRPr="00590B45">
        <w:rPr>
          <w:rFonts w:ascii="Times New Roman" w:eastAsia="Times New Roman" w:hAnsi="Times New Roman" w:cs="Times New Roman"/>
          <w:color w:val="252525"/>
          <w:sz w:val="24"/>
          <w:szCs w:val="24"/>
        </w:rPr>
        <w:t xml:space="preserve">] are accountable for their significant anti-inflammatory effects. Numerous studies, including </w:t>
      </w:r>
      <w:r w:rsidR="00457329" w:rsidRPr="00457329">
        <w:rPr>
          <w:rFonts w:ascii="Times New Roman" w:eastAsia="Times New Roman" w:hAnsi="Times New Roman" w:cs="Times New Roman"/>
          <w:i/>
          <w:iCs/>
          <w:color w:val="252525"/>
          <w:sz w:val="24"/>
          <w:szCs w:val="24"/>
        </w:rPr>
        <w:t xml:space="preserve">Bixa </w:t>
      </w:r>
      <w:proofErr w:type="spellStart"/>
      <w:r w:rsidR="00457329" w:rsidRPr="00457329">
        <w:rPr>
          <w:rFonts w:ascii="Times New Roman" w:eastAsia="Times New Roman" w:hAnsi="Times New Roman" w:cs="Times New Roman"/>
          <w:i/>
          <w:iCs/>
          <w:color w:val="252525"/>
          <w:sz w:val="24"/>
          <w:szCs w:val="24"/>
        </w:rPr>
        <w:t>orellana</w:t>
      </w:r>
      <w:proofErr w:type="spellEnd"/>
      <w:r w:rsidR="00874E55">
        <w:rPr>
          <w:rFonts w:ascii="Times New Roman" w:eastAsia="Times New Roman" w:hAnsi="Times New Roman" w:cs="Times New Roman"/>
          <w:color w:val="252525"/>
          <w:sz w:val="24"/>
          <w:szCs w:val="24"/>
        </w:rPr>
        <w:t>, yielded analogous results [43, 44</w:t>
      </w:r>
      <w:r w:rsidRPr="00590B45">
        <w:rPr>
          <w:rFonts w:ascii="Times New Roman" w:eastAsia="Times New Roman" w:hAnsi="Times New Roman" w:cs="Times New Roman"/>
          <w:color w:val="252525"/>
          <w:sz w:val="24"/>
          <w:szCs w:val="24"/>
        </w:rPr>
        <w:t xml:space="preserve">]. The number of writhing rats in the acetic acid writhing assay decreased across all administered dosages, although this trend lacked statistical significance compared to the positive control groups. The tail flick test demonstrated statistical significance (p &lt; 0.05) for the 750 mg/kg dosage at the 3-hour and 4-hour intervals. Statistical significance (p &lt; 0.05) was observed solely 4 hours post-administration of the 750 mg/kg </w:t>
      </w:r>
      <w:r w:rsidR="00874E55">
        <w:rPr>
          <w:rFonts w:ascii="Times New Roman" w:eastAsia="Times New Roman" w:hAnsi="Times New Roman" w:cs="Times New Roman"/>
          <w:color w:val="252525"/>
          <w:sz w:val="24"/>
          <w:szCs w:val="24"/>
        </w:rPr>
        <w:t>dosage. Prior studies [45, 46</w:t>
      </w:r>
      <w:r w:rsidRPr="00590B45">
        <w:rPr>
          <w:rFonts w:ascii="Times New Roman" w:eastAsia="Times New Roman" w:hAnsi="Times New Roman" w:cs="Times New Roman"/>
          <w:color w:val="252525"/>
          <w:sz w:val="24"/>
          <w:szCs w:val="24"/>
        </w:rPr>
        <w:t xml:space="preserve">] suggest that the elevated alkaloids and flavonoids account </w:t>
      </w:r>
      <w:r w:rsidRPr="00590B45">
        <w:rPr>
          <w:rFonts w:ascii="Times New Roman" w:eastAsia="Times New Roman" w:hAnsi="Times New Roman" w:cs="Times New Roman"/>
          <w:color w:val="252525"/>
          <w:sz w:val="24"/>
          <w:szCs w:val="24"/>
        </w:rPr>
        <w:lastRenderedPageBreak/>
        <w:t xml:space="preserve">for the analgesic properties. Subsequent investigations corroborated the findings on </w:t>
      </w:r>
      <w:r w:rsidR="00457329" w:rsidRPr="00457329">
        <w:rPr>
          <w:rFonts w:ascii="Times New Roman" w:eastAsia="Times New Roman" w:hAnsi="Times New Roman" w:cs="Times New Roman"/>
          <w:i/>
          <w:iCs/>
          <w:color w:val="252525"/>
          <w:sz w:val="24"/>
          <w:szCs w:val="24"/>
        </w:rPr>
        <w:t xml:space="preserve">Bixa </w:t>
      </w:r>
      <w:proofErr w:type="spellStart"/>
      <w:r w:rsidR="00457329" w:rsidRPr="00457329">
        <w:rPr>
          <w:rFonts w:ascii="Times New Roman" w:eastAsia="Times New Roman" w:hAnsi="Times New Roman" w:cs="Times New Roman"/>
          <w:i/>
          <w:iCs/>
          <w:color w:val="252525"/>
          <w:sz w:val="24"/>
          <w:szCs w:val="24"/>
        </w:rPr>
        <w:t>orellana</w:t>
      </w:r>
      <w:proofErr w:type="spellEnd"/>
      <w:r w:rsidR="00874E55">
        <w:rPr>
          <w:rFonts w:ascii="Times New Roman" w:eastAsia="Times New Roman" w:hAnsi="Times New Roman" w:cs="Times New Roman"/>
          <w:color w:val="252525"/>
          <w:sz w:val="24"/>
          <w:szCs w:val="24"/>
        </w:rPr>
        <w:t xml:space="preserve"> [47, 48</w:t>
      </w:r>
      <w:r w:rsidRPr="00590B45">
        <w:rPr>
          <w:rFonts w:ascii="Times New Roman" w:eastAsia="Times New Roman" w:hAnsi="Times New Roman" w:cs="Times New Roman"/>
          <w:color w:val="252525"/>
          <w:sz w:val="24"/>
          <w:szCs w:val="24"/>
        </w:rPr>
        <w:t>]. Other phytoconstituents, including anthraquinones</w:t>
      </w:r>
      <w:r w:rsidR="00874E55">
        <w:rPr>
          <w:rFonts w:ascii="Times New Roman" w:eastAsia="Times New Roman" w:hAnsi="Times New Roman" w:cs="Times New Roman"/>
          <w:color w:val="252525"/>
          <w:sz w:val="24"/>
          <w:szCs w:val="24"/>
        </w:rPr>
        <w:t xml:space="preserve"> [49</w:t>
      </w:r>
      <w:r w:rsidR="009F6B01">
        <w:rPr>
          <w:rFonts w:ascii="Times New Roman" w:eastAsia="Times New Roman" w:hAnsi="Times New Roman" w:cs="Times New Roman"/>
          <w:color w:val="252525"/>
          <w:sz w:val="24"/>
          <w:szCs w:val="24"/>
        </w:rPr>
        <w:t>]</w:t>
      </w:r>
      <w:r w:rsidRPr="00590B45">
        <w:rPr>
          <w:rFonts w:ascii="Times New Roman" w:eastAsia="Times New Roman" w:hAnsi="Times New Roman" w:cs="Times New Roman"/>
          <w:color w:val="252525"/>
          <w:sz w:val="24"/>
          <w:szCs w:val="24"/>
        </w:rPr>
        <w:t>, terpenes, tannins, and glycosides, may also contribute to the analgesic and anti-inflammatory effects</w:t>
      </w:r>
      <w:r w:rsidR="009F6B01">
        <w:rPr>
          <w:rFonts w:ascii="Times New Roman" w:eastAsia="Times New Roman" w:hAnsi="Times New Roman" w:cs="Times New Roman"/>
          <w:color w:val="252525"/>
          <w:sz w:val="24"/>
          <w:szCs w:val="24"/>
        </w:rPr>
        <w:t xml:space="preserve"> [</w:t>
      </w:r>
      <w:r w:rsidR="00874E55">
        <w:rPr>
          <w:rFonts w:ascii="Times New Roman" w:eastAsia="Times New Roman" w:hAnsi="Times New Roman" w:cs="Times New Roman"/>
          <w:color w:val="252525"/>
          <w:sz w:val="24"/>
          <w:szCs w:val="24"/>
        </w:rPr>
        <w:t>50</w:t>
      </w:r>
      <w:r w:rsidR="009F6B01">
        <w:rPr>
          <w:rFonts w:ascii="Times New Roman" w:eastAsia="Times New Roman" w:hAnsi="Times New Roman" w:cs="Times New Roman"/>
          <w:color w:val="252525"/>
          <w:sz w:val="24"/>
          <w:szCs w:val="24"/>
        </w:rPr>
        <w:t>]</w:t>
      </w:r>
      <w:r w:rsidRPr="00590B45">
        <w:rPr>
          <w:rFonts w:ascii="Times New Roman" w:eastAsia="Times New Roman" w:hAnsi="Times New Roman" w:cs="Times New Roman"/>
          <w:color w:val="252525"/>
          <w:sz w:val="24"/>
          <w:szCs w:val="24"/>
        </w:rPr>
        <w:t xml:space="preserve"> found in rat models, necessitating further phytochemical study to clarify their precise functions.</w:t>
      </w:r>
    </w:p>
    <w:p w14:paraId="5DDC7948" w14:textId="77777777" w:rsidR="00E80A1A"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Further investigation is required to identify the precise molecule accountable for the analgesic and anti-inflammatory properties.</w:t>
      </w:r>
    </w:p>
    <w:p w14:paraId="6E25AF52" w14:textId="77777777" w:rsidR="00353D58" w:rsidRPr="00E80A1A" w:rsidRDefault="00F85F65" w:rsidP="00E80A1A">
      <w:pPr>
        <w:spacing w:before="240" w:after="24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Conclusion</w:t>
      </w:r>
    </w:p>
    <w:p w14:paraId="36C3D9C5" w14:textId="42647B66" w:rsidR="00E80A1A"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 xml:space="preserve">This study revealed, utilizing a rat model and different dosages of ethanolic extract and reference drugs, that </w:t>
      </w:r>
      <w:r w:rsidR="00457329" w:rsidRPr="00457329">
        <w:rPr>
          <w:rFonts w:ascii="Times New Roman" w:eastAsia="Times New Roman" w:hAnsi="Times New Roman" w:cs="Times New Roman"/>
          <w:i/>
          <w:iCs/>
          <w:color w:val="252525"/>
          <w:sz w:val="24"/>
          <w:szCs w:val="24"/>
        </w:rPr>
        <w:t xml:space="preserve">Bixa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leaves display considerable analgesic and anti-inflammatory properties, especially at 750 mg/kg. The inclusion of flavonoids, saponins, and alkaloids likely enhances these bioactivities. Despite several results lacking statistical significance, the findings are consistent with previous studies, reinforcing the plant's therapeutic promise and necessitating further exploration to optimize dosage and efficacy.</w:t>
      </w:r>
    </w:p>
    <w:p w14:paraId="3F5FD319" w14:textId="77777777" w:rsidR="004A55BC" w:rsidRPr="004A55BC" w:rsidRDefault="004A55BC" w:rsidP="004A55BC">
      <w:pPr>
        <w:spacing w:after="200" w:line="276" w:lineRule="auto"/>
        <w:rPr>
          <w:rFonts w:ascii="Calibri" w:eastAsia="Calibri" w:hAnsi="Calibri" w:cs="Times New Roman"/>
          <w:b/>
          <w:sz w:val="28"/>
        </w:rPr>
      </w:pPr>
      <w:r w:rsidRPr="004A55BC">
        <w:rPr>
          <w:rFonts w:ascii="Calibri" w:eastAsia="Calibri" w:hAnsi="Calibri" w:cs="Times New Roman"/>
          <w:b/>
          <w:sz w:val="28"/>
        </w:rPr>
        <w:t>Ethical Approval</w:t>
      </w:r>
    </w:p>
    <w:p w14:paraId="5A322C24" w14:textId="77777777" w:rsidR="004A55BC" w:rsidRPr="004A55BC" w:rsidRDefault="004A55BC" w:rsidP="004A55BC">
      <w:pPr>
        <w:spacing w:after="200" w:line="276" w:lineRule="auto"/>
        <w:rPr>
          <w:rFonts w:ascii="Calibri" w:eastAsia="Calibri" w:hAnsi="Calibri" w:cs="Times New Roman"/>
        </w:rPr>
      </w:pPr>
      <w:r w:rsidRPr="004A55BC">
        <w:rPr>
          <w:rFonts w:ascii="Calibri" w:eastAsia="Calibri" w:hAnsi="Calibri" w:cs="Times New Roman"/>
        </w:rPr>
        <w:t>Animal Ethic committee approval has been collected and preserved by the author(s)</w:t>
      </w:r>
    </w:p>
    <w:p w14:paraId="1FAE3544" w14:textId="77777777" w:rsidR="004A55BC" w:rsidRDefault="004A55BC" w:rsidP="00590B45">
      <w:pPr>
        <w:spacing w:before="240" w:after="240" w:line="360" w:lineRule="auto"/>
        <w:jc w:val="both"/>
        <w:rPr>
          <w:rFonts w:ascii="Times New Roman" w:eastAsia="Times New Roman" w:hAnsi="Times New Roman" w:cs="Times New Roman"/>
          <w:color w:val="252525"/>
          <w:sz w:val="24"/>
          <w:szCs w:val="24"/>
        </w:rPr>
      </w:pPr>
    </w:p>
    <w:p w14:paraId="330DB38F" w14:textId="77777777" w:rsidR="00DF6BD5" w:rsidRPr="009C5487" w:rsidRDefault="00DF6BD5" w:rsidP="00DF6BD5">
      <w:pPr>
        <w:rPr>
          <w:rFonts w:ascii="Calibri" w:eastAsia="Calibri" w:hAnsi="Calibri" w:cs="Times New Roman"/>
          <w:kern w:val="2"/>
          <w:highlight w:val="yellow"/>
        </w:rPr>
      </w:pPr>
      <w:bookmarkStart w:id="0" w:name="_Hlk180402183"/>
      <w:bookmarkStart w:id="1" w:name="_Hlk183680988"/>
      <w:r w:rsidRPr="009C5487">
        <w:rPr>
          <w:rFonts w:ascii="Calibri" w:eastAsia="Calibri" w:hAnsi="Calibri" w:cs="Times New Roman"/>
          <w:kern w:val="2"/>
          <w:highlight w:val="yellow"/>
        </w:rPr>
        <w:t>Disclaimer (Artificial intelligence)</w:t>
      </w:r>
    </w:p>
    <w:p w14:paraId="2FAE40DA"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AFAC51C"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1689BD1"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52E4FD4"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B96CFB"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096A17D"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DBE1D1C" w14:textId="77777777" w:rsidR="00DF6BD5" w:rsidRPr="009C5487" w:rsidRDefault="00DF6BD5" w:rsidP="00DF6BD5">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316FC02C" w14:textId="77777777" w:rsidR="00DF6BD5" w:rsidRPr="009C5487" w:rsidRDefault="00DF6BD5" w:rsidP="00DF6BD5">
      <w:pPr>
        <w:rPr>
          <w:rFonts w:ascii="Calibri" w:eastAsia="Calibri" w:hAnsi="Calibri" w:cs="Times New Roman"/>
          <w:kern w:val="2"/>
        </w:rPr>
      </w:pPr>
      <w:r w:rsidRPr="009C5487">
        <w:rPr>
          <w:rFonts w:ascii="Calibri" w:eastAsia="Calibri" w:hAnsi="Calibri" w:cs="Times New Roman"/>
          <w:kern w:val="2"/>
          <w:highlight w:val="yellow"/>
        </w:rPr>
        <w:t>3.</w:t>
      </w:r>
    </w:p>
    <w:bookmarkEnd w:id="0"/>
    <w:bookmarkEnd w:id="1"/>
    <w:p w14:paraId="23DEBD37" w14:textId="77777777" w:rsidR="00DF6BD5" w:rsidRPr="00590B45" w:rsidRDefault="00DF6BD5" w:rsidP="00590B45">
      <w:pPr>
        <w:spacing w:before="240" w:after="240" w:line="360" w:lineRule="auto"/>
        <w:jc w:val="both"/>
        <w:rPr>
          <w:rFonts w:ascii="Times New Roman" w:eastAsia="Times New Roman" w:hAnsi="Times New Roman" w:cs="Times New Roman"/>
          <w:color w:val="252525"/>
          <w:sz w:val="24"/>
          <w:szCs w:val="24"/>
        </w:rPr>
      </w:pPr>
    </w:p>
    <w:p w14:paraId="12863382" w14:textId="77777777" w:rsidR="0020270F" w:rsidRDefault="0020270F" w:rsidP="00E80A1A">
      <w:pPr>
        <w:spacing w:before="240" w:after="240" w:line="360" w:lineRule="auto"/>
        <w:jc w:val="both"/>
        <w:rPr>
          <w:rFonts w:ascii="Times New Roman" w:eastAsia="Times New Roman" w:hAnsi="Times New Roman" w:cs="Times New Roman"/>
          <w:color w:val="252525"/>
          <w:sz w:val="24"/>
          <w:szCs w:val="24"/>
        </w:rPr>
      </w:pPr>
    </w:p>
    <w:p w14:paraId="4172CD01" w14:textId="77777777" w:rsidR="009C770B" w:rsidRPr="009C770B" w:rsidRDefault="00B36F3F" w:rsidP="009C770B">
      <w:pPr>
        <w:jc w:val="both"/>
        <w:rPr>
          <w:rFonts w:ascii="Times New Roman" w:hAnsi="Times New Roman" w:cs="Times New Roman"/>
          <w:sz w:val="24"/>
          <w:szCs w:val="24"/>
        </w:rPr>
      </w:pPr>
      <w:r>
        <w:rPr>
          <w:rFonts w:ascii="Times New Roman" w:hAnsi="Times New Roman" w:cs="Times New Roman"/>
          <w:b/>
          <w:bCs/>
          <w:sz w:val="24"/>
          <w:szCs w:val="24"/>
        </w:rPr>
        <w:t>References</w:t>
      </w:r>
    </w:p>
    <w:p w14:paraId="6C2F83D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Raja SN, Carr DB, Cohen M, Finnerup NB, Flor H, et al. (2020) The revised International Association for the Study of Pain definition of pain: concepts, challenges, and compromises. Pain 161(9): 1976-1982.</w:t>
      </w:r>
    </w:p>
    <w:p w14:paraId="75E1BF3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Punchard NA, Whelan CJ, Adcock I. The journal of inflammation. Journal of inflammation. 2004 </w:t>
      </w:r>
      <w:proofErr w:type="gramStart"/>
      <w:r w:rsidRPr="009C770B">
        <w:rPr>
          <w:rFonts w:ascii="Times New Roman" w:hAnsi="Times New Roman" w:cs="Times New Roman"/>
          <w:sz w:val="24"/>
          <w:szCs w:val="24"/>
        </w:rPr>
        <w:t>Dec;1:1</w:t>
      </w:r>
      <w:proofErr w:type="gramEnd"/>
      <w:r w:rsidRPr="009C770B">
        <w:rPr>
          <w:rFonts w:ascii="Times New Roman" w:hAnsi="Times New Roman" w:cs="Times New Roman"/>
          <w:sz w:val="24"/>
          <w:szCs w:val="24"/>
        </w:rPr>
        <w:t>-4.</w:t>
      </w:r>
    </w:p>
    <w:p w14:paraId="7070D72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Chowdhury M, Chakma B, Islam A, Sikder I, Sultan RA. Phytochemical investigation and in vitro and in vivo pharmacological activities of methanol extract of whole plant </w:t>
      </w:r>
      <w:proofErr w:type="spellStart"/>
      <w:r w:rsidRPr="009C770B">
        <w:rPr>
          <w:rFonts w:ascii="Times New Roman" w:hAnsi="Times New Roman" w:cs="Times New Roman"/>
          <w:sz w:val="24"/>
          <w:szCs w:val="24"/>
        </w:rPr>
        <w:t>Argyreia</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capitiformis</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Poir</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Ooststr</w:t>
      </w:r>
      <w:proofErr w:type="spellEnd"/>
      <w:r w:rsidRPr="009C770B">
        <w:rPr>
          <w:rFonts w:ascii="Times New Roman" w:hAnsi="Times New Roman" w:cs="Times New Roman"/>
          <w:sz w:val="24"/>
          <w:szCs w:val="24"/>
        </w:rPr>
        <w:t xml:space="preserve">. Clinical </w:t>
      </w:r>
      <w:proofErr w:type="spellStart"/>
      <w:r w:rsidRPr="009C770B">
        <w:rPr>
          <w:rFonts w:ascii="Times New Roman" w:hAnsi="Times New Roman" w:cs="Times New Roman"/>
          <w:sz w:val="24"/>
          <w:szCs w:val="24"/>
        </w:rPr>
        <w:t>Phytoscience</w:t>
      </w:r>
      <w:proofErr w:type="spellEnd"/>
      <w:r w:rsidRPr="009C770B">
        <w:rPr>
          <w:rFonts w:ascii="Times New Roman" w:hAnsi="Times New Roman" w:cs="Times New Roman"/>
          <w:sz w:val="24"/>
          <w:szCs w:val="24"/>
        </w:rPr>
        <w:t>. 2024 Aug 29;10(1):18.</w:t>
      </w:r>
    </w:p>
    <w:p w14:paraId="33FBB67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Islam M, Rupak AH, Nasrin N, Chowdhury MM, Sen P, </w:t>
      </w:r>
      <w:proofErr w:type="spellStart"/>
      <w:r w:rsidRPr="009C770B">
        <w:rPr>
          <w:rFonts w:ascii="Times New Roman" w:hAnsi="Times New Roman" w:cs="Times New Roman"/>
          <w:sz w:val="24"/>
          <w:szCs w:val="24"/>
        </w:rPr>
        <w:t>Foysal</w:t>
      </w:r>
      <w:proofErr w:type="spellEnd"/>
      <w:r w:rsidRPr="009C770B">
        <w:rPr>
          <w:rFonts w:ascii="Times New Roman" w:hAnsi="Times New Roman" w:cs="Times New Roman"/>
          <w:sz w:val="24"/>
          <w:szCs w:val="24"/>
        </w:rPr>
        <w:t xml:space="preserve"> AU, Uddin MJ, Ferdous J, Tahsin MR, Aktar F, Kabir S. An evaluation of potential </w:t>
      </w:r>
      <w:proofErr w:type="spellStart"/>
      <w:r w:rsidRPr="009C770B">
        <w:rPr>
          <w:rFonts w:ascii="Times New Roman" w:hAnsi="Times New Roman" w:cs="Times New Roman"/>
          <w:sz w:val="24"/>
          <w:szCs w:val="24"/>
        </w:rPr>
        <w:t>hepato</w:t>
      </w:r>
      <w:proofErr w:type="spellEnd"/>
      <w:r w:rsidRPr="009C770B">
        <w:rPr>
          <w:rFonts w:ascii="Times New Roman" w:hAnsi="Times New Roman" w:cs="Times New Roman"/>
          <w:sz w:val="24"/>
          <w:szCs w:val="24"/>
        </w:rPr>
        <w:t xml:space="preserve">–protective properties of </w:t>
      </w:r>
      <w:proofErr w:type="spellStart"/>
      <w:r w:rsidRPr="009C770B">
        <w:rPr>
          <w:rFonts w:ascii="Times New Roman" w:hAnsi="Times New Roman" w:cs="Times New Roman"/>
          <w:sz w:val="24"/>
          <w:szCs w:val="24"/>
        </w:rPr>
        <w:t>hylocereus</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undatus</w:t>
      </w:r>
      <w:proofErr w:type="spellEnd"/>
      <w:r w:rsidRPr="009C770B">
        <w:rPr>
          <w:rFonts w:ascii="Times New Roman" w:hAnsi="Times New Roman" w:cs="Times New Roman"/>
          <w:sz w:val="24"/>
          <w:szCs w:val="24"/>
        </w:rPr>
        <w:t xml:space="preserve"> fruit in experimental rat model. Biomedical Journal of Scientific &amp; Technical Research. 2022;43(2):34405-16.</w:t>
      </w:r>
    </w:p>
    <w:p w14:paraId="5A94847E"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Baroi JA, </w:t>
      </w:r>
      <w:proofErr w:type="spellStart"/>
      <w:r w:rsidRPr="009C770B">
        <w:rPr>
          <w:rFonts w:ascii="Times New Roman" w:hAnsi="Times New Roman" w:cs="Times New Roman"/>
          <w:sz w:val="24"/>
          <w:szCs w:val="24"/>
        </w:rPr>
        <w:t>Hossian</w:t>
      </w:r>
      <w:proofErr w:type="spellEnd"/>
      <w:r w:rsidRPr="009C770B">
        <w:rPr>
          <w:rFonts w:ascii="Times New Roman" w:hAnsi="Times New Roman" w:cs="Times New Roman"/>
          <w:sz w:val="24"/>
          <w:szCs w:val="24"/>
        </w:rPr>
        <w:t xml:space="preserve"> MR, Chowdhury MM, Dolon NN, Maliha F, Rupak MA, Lima NN, Ullah MR, Tahsin R. An assessment of anti-hyperlipidemic potentialities of ethanolic extract of </w:t>
      </w:r>
      <w:proofErr w:type="spellStart"/>
      <w:r w:rsidRPr="009C770B">
        <w:rPr>
          <w:rFonts w:ascii="Times New Roman" w:hAnsi="Times New Roman" w:cs="Times New Roman"/>
          <w:sz w:val="24"/>
          <w:szCs w:val="24"/>
        </w:rPr>
        <w:t>hemidesmus</w:t>
      </w:r>
      <w:proofErr w:type="spellEnd"/>
      <w:r w:rsidRPr="009C770B">
        <w:rPr>
          <w:rFonts w:ascii="Times New Roman" w:hAnsi="Times New Roman" w:cs="Times New Roman"/>
          <w:sz w:val="24"/>
          <w:szCs w:val="24"/>
        </w:rPr>
        <w:t xml:space="preserve"> indicus in high fat induced rat model. Asian Journal of Food Research and Nutrition. 2023 Jul 9;2(4):323-30.</w:t>
      </w:r>
    </w:p>
    <w:p w14:paraId="0EABC0A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Chowdhury MM, Sikder MI, Islam MR, Barua N, Yeasmin S, Eva TA, et al. A review of ethnomedicinal uses, phytochemistry, nutritional values, and pharmacological activities of Hylocereus </w:t>
      </w:r>
      <w:proofErr w:type="spellStart"/>
      <w:r w:rsidRPr="009C770B">
        <w:rPr>
          <w:rFonts w:ascii="Times New Roman" w:hAnsi="Times New Roman" w:cs="Times New Roman"/>
          <w:sz w:val="24"/>
          <w:szCs w:val="24"/>
        </w:rPr>
        <w:t>polyrhizus</w:t>
      </w:r>
      <w:proofErr w:type="spellEnd"/>
      <w:r w:rsidRPr="009C770B">
        <w:rPr>
          <w:rFonts w:ascii="Times New Roman" w:hAnsi="Times New Roman" w:cs="Times New Roman"/>
          <w:sz w:val="24"/>
          <w:szCs w:val="24"/>
        </w:rPr>
        <w:t xml:space="preserve">. J </w:t>
      </w:r>
      <w:proofErr w:type="spellStart"/>
      <w:r w:rsidRPr="009C770B">
        <w:rPr>
          <w:rFonts w:ascii="Times New Roman" w:hAnsi="Times New Roman" w:cs="Times New Roman"/>
          <w:sz w:val="24"/>
          <w:szCs w:val="24"/>
        </w:rPr>
        <w:t>Herbmed</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Pharmacol</w:t>
      </w:r>
      <w:proofErr w:type="spellEnd"/>
      <w:r w:rsidRPr="009C770B">
        <w:rPr>
          <w:rFonts w:ascii="Times New Roman" w:hAnsi="Times New Roman" w:cs="Times New Roman"/>
          <w:sz w:val="24"/>
          <w:szCs w:val="24"/>
        </w:rPr>
        <w:t xml:space="preserve">. 2024;13(3):353-365.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10.34172/jhp.2024.49411.</w:t>
      </w:r>
    </w:p>
    <w:p w14:paraId="6E096E5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Lima NN, Dolon NN, Maliha F, Ullah MR, Humayra F, Chowdhury MM, Rupak MA, Baroi JA, </w:t>
      </w:r>
      <w:proofErr w:type="spellStart"/>
      <w:r w:rsidRPr="009C770B">
        <w:rPr>
          <w:rFonts w:ascii="Times New Roman" w:hAnsi="Times New Roman" w:cs="Times New Roman"/>
          <w:sz w:val="24"/>
          <w:szCs w:val="24"/>
        </w:rPr>
        <w:t>Shohan</w:t>
      </w:r>
      <w:proofErr w:type="spellEnd"/>
      <w:r w:rsidRPr="009C770B">
        <w:rPr>
          <w:rFonts w:ascii="Times New Roman" w:hAnsi="Times New Roman" w:cs="Times New Roman"/>
          <w:sz w:val="24"/>
          <w:szCs w:val="24"/>
        </w:rPr>
        <w:t xml:space="preserve"> FS, Tashin R. An Evaluation of Analgesic and Anti-Inflammatory Activity of Ficus racemosa in Rat Model.</w:t>
      </w:r>
    </w:p>
    <w:p w14:paraId="7ADB3D5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Yang L, </w:t>
      </w:r>
      <w:proofErr w:type="spellStart"/>
      <w:r w:rsidRPr="009C770B">
        <w:rPr>
          <w:rFonts w:ascii="Times New Roman" w:hAnsi="Times New Roman" w:cs="Times New Roman"/>
          <w:sz w:val="24"/>
          <w:szCs w:val="24"/>
        </w:rPr>
        <w:t>Stöckigt</w:t>
      </w:r>
      <w:proofErr w:type="spellEnd"/>
      <w:r w:rsidRPr="009C770B">
        <w:rPr>
          <w:rFonts w:ascii="Times New Roman" w:hAnsi="Times New Roman" w:cs="Times New Roman"/>
          <w:sz w:val="24"/>
          <w:szCs w:val="24"/>
        </w:rPr>
        <w:t xml:space="preserve"> J. Trends for diverse production strategies of plant medicinal alkaloids. Natural product reports. 2010;27(10):1469-79.</w:t>
      </w:r>
    </w:p>
    <w:p w14:paraId="47CC6FB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Saxena M, Saxena J, </w:t>
      </w:r>
      <w:proofErr w:type="spellStart"/>
      <w:r w:rsidRPr="009C770B">
        <w:rPr>
          <w:rFonts w:ascii="Times New Roman" w:hAnsi="Times New Roman" w:cs="Times New Roman"/>
          <w:sz w:val="24"/>
          <w:szCs w:val="24"/>
        </w:rPr>
        <w:t>Nema</w:t>
      </w:r>
      <w:proofErr w:type="spellEnd"/>
      <w:r w:rsidRPr="009C770B">
        <w:rPr>
          <w:rFonts w:ascii="Times New Roman" w:hAnsi="Times New Roman" w:cs="Times New Roman"/>
          <w:sz w:val="24"/>
          <w:szCs w:val="24"/>
        </w:rPr>
        <w:t xml:space="preserve"> R, Singh D, Gupta A. Phytochemistry of medicinal plants. Journal of pharmacognosy and phytochemistry. 2013 Mar 1;1(6).</w:t>
      </w:r>
    </w:p>
    <w:p w14:paraId="08E5D1B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lastRenderedPageBreak/>
        <w:t xml:space="preserve">Lima NN, Dolon NN, Maliha F, Ullah MR, Humayra F, Chowdhury MM, Rupak MA, Baroi JA, </w:t>
      </w:r>
      <w:proofErr w:type="spellStart"/>
      <w:r w:rsidRPr="009C770B">
        <w:rPr>
          <w:rFonts w:ascii="Times New Roman" w:hAnsi="Times New Roman" w:cs="Times New Roman"/>
          <w:sz w:val="24"/>
          <w:szCs w:val="24"/>
        </w:rPr>
        <w:t>Shohan</w:t>
      </w:r>
      <w:proofErr w:type="spellEnd"/>
      <w:r w:rsidRPr="009C770B">
        <w:rPr>
          <w:rFonts w:ascii="Times New Roman" w:hAnsi="Times New Roman" w:cs="Times New Roman"/>
          <w:sz w:val="24"/>
          <w:szCs w:val="24"/>
        </w:rPr>
        <w:t xml:space="preserve"> FS, Tashin R. An Evaluation of Analgesic and Anti-Inflammatory Activity of Ficus racemosa in Rat Model.</w:t>
      </w:r>
    </w:p>
    <w:p w14:paraId="73AB08FB"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Pracheta SS, Sharma V, Paliwal R, Sharma S, Yadav S, Singh L, et al. Chemoprotective activity of hydro-ethanolic extract of Euphorbia </w:t>
      </w:r>
      <w:proofErr w:type="spellStart"/>
      <w:r w:rsidRPr="009C770B">
        <w:rPr>
          <w:rFonts w:ascii="Times New Roman" w:hAnsi="Times New Roman" w:cs="Times New Roman"/>
          <w:sz w:val="24"/>
          <w:szCs w:val="24"/>
        </w:rPr>
        <w:t>nerrifolia</w:t>
      </w:r>
      <w:proofErr w:type="spellEnd"/>
      <w:r w:rsidRPr="009C770B">
        <w:rPr>
          <w:rFonts w:ascii="Times New Roman" w:hAnsi="Times New Roman" w:cs="Times New Roman"/>
          <w:sz w:val="24"/>
          <w:szCs w:val="24"/>
        </w:rPr>
        <w:t xml:space="preserve"> Linn. Leaves against DENA-induced liver carcinogenesis in mice. Biol Med. 2011; 3(2):36–44.</w:t>
      </w:r>
    </w:p>
    <w:p w14:paraId="03848B8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Yong YK, Zakaria ZA, Kadir AA, Somchit MN, Ee Cheng Lian G, Ahmad Z. Chemical constituents and antihistamine activity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leaf extract. BMC Complementary and Alternative Medicine. 2013 </w:t>
      </w:r>
      <w:proofErr w:type="gramStart"/>
      <w:r w:rsidRPr="009C770B">
        <w:rPr>
          <w:rFonts w:ascii="Times New Roman" w:hAnsi="Times New Roman" w:cs="Times New Roman"/>
          <w:sz w:val="24"/>
          <w:szCs w:val="24"/>
        </w:rPr>
        <w:t>Dec;13:1</w:t>
      </w:r>
      <w:proofErr w:type="gramEnd"/>
      <w:r w:rsidRPr="009C770B">
        <w:rPr>
          <w:rFonts w:ascii="Times New Roman" w:hAnsi="Times New Roman" w:cs="Times New Roman"/>
          <w:sz w:val="24"/>
          <w:szCs w:val="24"/>
        </w:rPr>
        <w:t>-7.</w:t>
      </w:r>
    </w:p>
    <w:p w14:paraId="0EE9AE1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Raju SK, Chandrasekar S, </w:t>
      </w:r>
      <w:proofErr w:type="spellStart"/>
      <w:r w:rsidRPr="009C770B">
        <w:rPr>
          <w:rFonts w:ascii="Times New Roman" w:hAnsi="Times New Roman" w:cs="Times New Roman"/>
          <w:sz w:val="24"/>
          <w:szCs w:val="24"/>
        </w:rPr>
        <w:t>Vengadhajalapathy</w:t>
      </w:r>
      <w:proofErr w:type="spellEnd"/>
      <w:r w:rsidRPr="009C770B">
        <w:rPr>
          <w:rFonts w:ascii="Times New Roman" w:hAnsi="Times New Roman" w:cs="Times New Roman"/>
          <w:sz w:val="24"/>
          <w:szCs w:val="24"/>
        </w:rPr>
        <w:t xml:space="preserve"> P, Sundaram R, Periyasamy S, Chinnaraj T, Sekar P, Kumar S. Review on phytochemical composition and pharmacological activities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Journal of Pharmaceutical and Biological Sciences. 2023;10(2):57-67.</w:t>
      </w:r>
    </w:p>
    <w:p w14:paraId="35C92983"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Radhika B, Begum N, Srisailam K. </w:t>
      </w:r>
      <w:proofErr w:type="spellStart"/>
      <w:r w:rsidRPr="009C770B">
        <w:rPr>
          <w:rFonts w:ascii="Times New Roman" w:hAnsi="Times New Roman" w:cs="Times New Roman"/>
          <w:sz w:val="24"/>
          <w:szCs w:val="24"/>
        </w:rPr>
        <w:t>Pharmacognostic</w:t>
      </w:r>
      <w:proofErr w:type="spellEnd"/>
      <w:r w:rsidRPr="009C770B">
        <w:rPr>
          <w:rFonts w:ascii="Times New Roman" w:hAnsi="Times New Roman" w:cs="Times New Roman"/>
          <w:sz w:val="24"/>
          <w:szCs w:val="24"/>
        </w:rPr>
        <w:t xml:space="preserve"> and preliminary phytochemical evaluation of the leaves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Pharmacognosy Journal. 2010 Mar 1;2(7):132-6.</w:t>
      </w:r>
    </w:p>
    <w:p w14:paraId="014A490E"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Aktary</w:t>
      </w:r>
      <w:proofErr w:type="spellEnd"/>
      <w:r w:rsidRPr="009C770B">
        <w:rPr>
          <w:rFonts w:ascii="Times New Roman" w:hAnsi="Times New Roman" w:cs="Times New Roman"/>
          <w:sz w:val="24"/>
          <w:szCs w:val="24"/>
        </w:rPr>
        <w:t xml:space="preserve"> N, Sultana S, Hossain ML. Assessment of analgesic and neuropharmacological activity of leaves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(Family: </w:t>
      </w:r>
      <w:proofErr w:type="spellStart"/>
      <w:r w:rsidRPr="009C770B">
        <w:rPr>
          <w:rFonts w:ascii="Times New Roman" w:hAnsi="Times New Roman" w:cs="Times New Roman"/>
          <w:sz w:val="24"/>
          <w:szCs w:val="24"/>
        </w:rPr>
        <w:t>Bixaceae</w:t>
      </w:r>
      <w:proofErr w:type="spellEnd"/>
      <w:r w:rsidRPr="009C770B">
        <w:rPr>
          <w:rFonts w:ascii="Times New Roman" w:hAnsi="Times New Roman" w:cs="Times New Roman"/>
          <w:sz w:val="24"/>
          <w:szCs w:val="24"/>
        </w:rPr>
        <w:t xml:space="preserve">). Int J Sci Rep. 2020 </w:t>
      </w:r>
      <w:proofErr w:type="gramStart"/>
      <w:r w:rsidRPr="009C770B">
        <w:rPr>
          <w:rFonts w:ascii="Times New Roman" w:hAnsi="Times New Roman" w:cs="Times New Roman"/>
          <w:sz w:val="24"/>
          <w:szCs w:val="24"/>
        </w:rPr>
        <w:t>Jan;6:13</w:t>
      </w:r>
      <w:proofErr w:type="gramEnd"/>
      <w:r w:rsidRPr="009C770B">
        <w:rPr>
          <w:rFonts w:ascii="Times New Roman" w:hAnsi="Times New Roman" w:cs="Times New Roman"/>
          <w:sz w:val="24"/>
          <w:szCs w:val="24"/>
        </w:rPr>
        <w:t>-20.</w:t>
      </w:r>
    </w:p>
    <w:p w14:paraId="19E155F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Purushothaman T, </w:t>
      </w:r>
      <w:proofErr w:type="spellStart"/>
      <w:r w:rsidRPr="009C770B">
        <w:rPr>
          <w:rFonts w:ascii="Times New Roman" w:hAnsi="Times New Roman" w:cs="Times New Roman"/>
          <w:sz w:val="24"/>
          <w:szCs w:val="24"/>
        </w:rPr>
        <w:t>Irfanamol</w:t>
      </w:r>
      <w:proofErr w:type="spellEnd"/>
      <w:r w:rsidRPr="009C770B">
        <w:rPr>
          <w:rFonts w:ascii="Times New Roman" w:hAnsi="Times New Roman" w:cs="Times New Roman"/>
          <w:sz w:val="24"/>
          <w:szCs w:val="24"/>
        </w:rPr>
        <w:t xml:space="preserve"> K. Ethnobotany, Phytochemistry, and Pharmacological Efficacy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A Review.</w:t>
      </w:r>
    </w:p>
    <w:p w14:paraId="74AC6B5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Yolmeh</w:t>
      </w:r>
      <w:proofErr w:type="spellEnd"/>
      <w:r w:rsidRPr="009C770B">
        <w:rPr>
          <w:rFonts w:ascii="Times New Roman" w:hAnsi="Times New Roman" w:cs="Times New Roman"/>
          <w:sz w:val="24"/>
          <w:szCs w:val="24"/>
        </w:rPr>
        <w:t xml:space="preserve"> M, Najafi MB, </w:t>
      </w:r>
      <w:proofErr w:type="spellStart"/>
      <w:r w:rsidRPr="009C770B">
        <w:rPr>
          <w:rFonts w:ascii="Times New Roman" w:hAnsi="Times New Roman" w:cs="Times New Roman"/>
          <w:sz w:val="24"/>
          <w:szCs w:val="24"/>
        </w:rPr>
        <w:t>Farhoosh</w:t>
      </w:r>
      <w:proofErr w:type="spellEnd"/>
      <w:r w:rsidRPr="009C770B">
        <w:rPr>
          <w:rFonts w:ascii="Times New Roman" w:hAnsi="Times New Roman" w:cs="Times New Roman"/>
          <w:sz w:val="24"/>
          <w:szCs w:val="24"/>
        </w:rPr>
        <w:t xml:space="preserve"> R. </w:t>
      </w:r>
      <w:proofErr w:type="spellStart"/>
      <w:r w:rsidRPr="009C770B">
        <w:rPr>
          <w:rFonts w:ascii="Times New Roman" w:hAnsi="Times New Roman" w:cs="Times New Roman"/>
          <w:sz w:val="24"/>
          <w:szCs w:val="24"/>
        </w:rPr>
        <w:t>Optimisation</w:t>
      </w:r>
      <w:proofErr w:type="spellEnd"/>
      <w:r w:rsidRPr="009C770B">
        <w:rPr>
          <w:rFonts w:ascii="Times New Roman" w:hAnsi="Times New Roman" w:cs="Times New Roman"/>
          <w:sz w:val="24"/>
          <w:szCs w:val="24"/>
        </w:rPr>
        <w:t xml:space="preserve"> of ultrasound-assisted extraction of natural pigment from annatto seeds by response surface methodology (RSM). Food chemistry. 2014 Jul </w:t>
      </w:r>
      <w:proofErr w:type="gramStart"/>
      <w:r w:rsidRPr="009C770B">
        <w:rPr>
          <w:rFonts w:ascii="Times New Roman" w:hAnsi="Times New Roman" w:cs="Times New Roman"/>
          <w:sz w:val="24"/>
          <w:szCs w:val="24"/>
        </w:rPr>
        <w:t>15;155:319</w:t>
      </w:r>
      <w:proofErr w:type="gramEnd"/>
      <w:r w:rsidRPr="009C770B">
        <w:rPr>
          <w:rFonts w:ascii="Times New Roman" w:hAnsi="Times New Roman" w:cs="Times New Roman"/>
          <w:sz w:val="24"/>
          <w:szCs w:val="24"/>
        </w:rPr>
        <w:t>-24.</w:t>
      </w:r>
    </w:p>
    <w:p w14:paraId="159F59FD"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Taham T, Cabral FA, Barrozo MA. Extraction of bixin from annatto seeds using combined technologies. The Journal of Supercritical Fluids. 2015 May </w:t>
      </w:r>
      <w:proofErr w:type="gramStart"/>
      <w:r w:rsidRPr="009C770B">
        <w:rPr>
          <w:rFonts w:ascii="Times New Roman" w:hAnsi="Times New Roman" w:cs="Times New Roman"/>
          <w:sz w:val="24"/>
          <w:szCs w:val="24"/>
        </w:rPr>
        <w:t>1;100:175</w:t>
      </w:r>
      <w:proofErr w:type="gramEnd"/>
      <w:r w:rsidRPr="009C770B">
        <w:rPr>
          <w:rFonts w:ascii="Times New Roman" w:hAnsi="Times New Roman" w:cs="Times New Roman"/>
          <w:sz w:val="24"/>
          <w:szCs w:val="24"/>
        </w:rPr>
        <w:t>-83.</w:t>
      </w:r>
    </w:p>
    <w:p w14:paraId="1D4C0B9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Zarza-García AL, Sauri-Duch E, Raddatz-Mota D, Cuevas-Glory LF, Pinzón-López LL, Rivera-Cabrera F, Mendoza-Espinoza JA. Pharmacological, phytochemical and morphological study of three Mayan accessions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leaves. Emirates Journal of Food and Agriculture. 2017 Mar 1;29(3):163.</w:t>
      </w:r>
    </w:p>
    <w:p w14:paraId="0964663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Joshi SG. Medicinal plants. Oxford and IBH publishing; 2000.</w:t>
      </w:r>
    </w:p>
    <w:p w14:paraId="6BB0EEDD"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Van Cuong T, Chin KB. Effects of annatto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seeds powder on physicochemical properties, antioxidant and antimicrobial activities of pork patties during refrigerated storage. Korean Journal for Food Science of Animal Resources. 2016 Aug 30;36(4):476.</w:t>
      </w:r>
    </w:p>
    <w:p w14:paraId="7DC893A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Valarezo E, Torres-Torres S, Pineda-Guarnizo N, Jaramillo-Fierro X, </w:t>
      </w:r>
      <w:proofErr w:type="spellStart"/>
      <w:r w:rsidRPr="009C770B">
        <w:rPr>
          <w:rFonts w:ascii="Times New Roman" w:hAnsi="Times New Roman" w:cs="Times New Roman"/>
          <w:sz w:val="24"/>
          <w:szCs w:val="24"/>
        </w:rPr>
        <w:t>Cartuche</w:t>
      </w:r>
      <w:proofErr w:type="spellEnd"/>
      <w:r w:rsidRPr="009C770B">
        <w:rPr>
          <w:rFonts w:ascii="Times New Roman" w:hAnsi="Times New Roman" w:cs="Times New Roman"/>
          <w:sz w:val="24"/>
          <w:szCs w:val="24"/>
        </w:rPr>
        <w:t xml:space="preserve"> L, Morocho V, Meneses MA. Study of essential oil Isolated from achiote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lastRenderedPageBreak/>
        <w:t>orellana</w:t>
      </w:r>
      <w:proofErr w:type="spellEnd"/>
      <w:r w:rsidRPr="009C770B">
        <w:rPr>
          <w:rFonts w:ascii="Times New Roman" w:hAnsi="Times New Roman" w:cs="Times New Roman"/>
          <w:sz w:val="24"/>
          <w:szCs w:val="24"/>
        </w:rPr>
        <w:t>) leaves: Chemical composition, enantiomeric distribution and antimicrobial, antioxidant and anticholinesterase activities. Antibiotics. 2023 Apr 5;12(4):710.</w:t>
      </w:r>
    </w:p>
    <w:p w14:paraId="2B2DDF4C" w14:textId="5302A794" w:rsidR="009C770B" w:rsidRPr="00874E55" w:rsidRDefault="009C770B" w:rsidP="00874E55">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Seraj S, Jahan FI, Chowdhury AR, Monjur-</w:t>
      </w:r>
      <w:proofErr w:type="spellStart"/>
      <w:r w:rsidRPr="009C770B">
        <w:rPr>
          <w:rFonts w:ascii="Times New Roman" w:hAnsi="Times New Roman" w:cs="Times New Roman"/>
          <w:sz w:val="24"/>
          <w:szCs w:val="24"/>
        </w:rPr>
        <w:t>EKhuda</w:t>
      </w:r>
      <w:proofErr w:type="spellEnd"/>
      <w:r w:rsidRPr="009C770B">
        <w:rPr>
          <w:rFonts w:ascii="Times New Roman" w:hAnsi="Times New Roman" w:cs="Times New Roman"/>
          <w:sz w:val="24"/>
          <w:szCs w:val="24"/>
        </w:rPr>
        <w:t xml:space="preserve"> M, Khan MS, Aporna SA, Jahan R, </w:t>
      </w:r>
      <w:proofErr w:type="spellStart"/>
      <w:r w:rsidRPr="009C770B">
        <w:rPr>
          <w:rFonts w:ascii="Times New Roman" w:hAnsi="Times New Roman" w:cs="Times New Roman"/>
          <w:sz w:val="24"/>
          <w:szCs w:val="24"/>
        </w:rPr>
        <w:t>Samarrai</w:t>
      </w:r>
      <w:proofErr w:type="spellEnd"/>
      <w:r w:rsidRPr="009C770B">
        <w:rPr>
          <w:rFonts w:ascii="Times New Roman" w:hAnsi="Times New Roman" w:cs="Times New Roman"/>
          <w:sz w:val="24"/>
          <w:szCs w:val="24"/>
        </w:rPr>
        <w:t xml:space="preserve"> W, Islam F, Khatun Z, Rahmatullah M. Tribal formulations for treatment of pain: A study of the Bede community traditional medicinal practitioners of </w:t>
      </w:r>
      <w:proofErr w:type="spellStart"/>
      <w:r w:rsidRPr="009C770B">
        <w:rPr>
          <w:rFonts w:ascii="Times New Roman" w:hAnsi="Times New Roman" w:cs="Times New Roman"/>
          <w:sz w:val="24"/>
          <w:szCs w:val="24"/>
        </w:rPr>
        <w:t>Porabari</w:t>
      </w:r>
      <w:proofErr w:type="spellEnd"/>
      <w:r w:rsidRPr="009C770B">
        <w:rPr>
          <w:rFonts w:ascii="Times New Roman" w:hAnsi="Times New Roman" w:cs="Times New Roman"/>
          <w:sz w:val="24"/>
          <w:szCs w:val="24"/>
        </w:rPr>
        <w:t xml:space="preserve"> Village in Dhaka District, Bangladesh. African Journal of Traditional, Complementary and Alternative Medicines. 2013;10(1):26-34.</w:t>
      </w:r>
    </w:p>
    <w:p w14:paraId="19DC37AF" w14:textId="77777777" w:rsidR="00EB6400"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Sangvikar</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Malgaonkar</w:t>
      </w:r>
      <w:proofErr w:type="spellEnd"/>
      <w:r w:rsidRPr="009C770B">
        <w:rPr>
          <w:rFonts w:ascii="Times New Roman" w:hAnsi="Times New Roman" w:cs="Times New Roman"/>
          <w:sz w:val="24"/>
          <w:szCs w:val="24"/>
        </w:rPr>
        <w:t xml:space="preserve"> M, Sharma C, Kumar S, Murthy SN. Comparative phytochemical screening of qualitative and quantitative parameters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World J. Pharm </w:t>
      </w:r>
      <w:proofErr w:type="spellStart"/>
      <w:r w:rsidRPr="009C770B">
        <w:rPr>
          <w:rFonts w:ascii="Times New Roman" w:hAnsi="Times New Roman" w:cs="Times New Roman"/>
          <w:sz w:val="24"/>
          <w:szCs w:val="24"/>
        </w:rPr>
        <w:t>Pharm</w:t>
      </w:r>
      <w:proofErr w:type="spellEnd"/>
      <w:r w:rsidRPr="009C770B">
        <w:rPr>
          <w:rFonts w:ascii="Times New Roman" w:hAnsi="Times New Roman" w:cs="Times New Roman"/>
          <w:sz w:val="24"/>
          <w:szCs w:val="24"/>
        </w:rPr>
        <w:t xml:space="preserve"> Sci. 2015 Sep 30;4(12):1001-17.</w:t>
      </w:r>
    </w:p>
    <w:p w14:paraId="3050FC95" w14:textId="77777777" w:rsidR="009C770B" w:rsidRPr="00EB6400" w:rsidRDefault="009C770B" w:rsidP="00B36F3F">
      <w:pPr>
        <w:numPr>
          <w:ilvl w:val="0"/>
          <w:numId w:val="19"/>
        </w:numPr>
        <w:ind w:left="1440" w:hanging="1080"/>
        <w:jc w:val="both"/>
        <w:rPr>
          <w:rFonts w:ascii="Times New Roman" w:hAnsi="Times New Roman" w:cs="Times New Roman"/>
          <w:sz w:val="24"/>
          <w:szCs w:val="24"/>
        </w:rPr>
      </w:pPr>
      <w:r w:rsidRPr="00EB6400">
        <w:rPr>
          <w:rFonts w:ascii="Times New Roman" w:hAnsi="Times New Roman" w:cs="Times New Roman"/>
          <w:sz w:val="24"/>
          <w:szCs w:val="24"/>
        </w:rPr>
        <w:t xml:space="preserve">Fleischer TC, </w:t>
      </w:r>
      <w:proofErr w:type="spellStart"/>
      <w:r w:rsidRPr="00EB6400">
        <w:rPr>
          <w:rFonts w:ascii="Times New Roman" w:hAnsi="Times New Roman" w:cs="Times New Roman"/>
          <w:sz w:val="24"/>
          <w:szCs w:val="24"/>
        </w:rPr>
        <w:t>Ameade</w:t>
      </w:r>
      <w:proofErr w:type="spellEnd"/>
      <w:r w:rsidRPr="00EB6400">
        <w:rPr>
          <w:rFonts w:ascii="Times New Roman" w:hAnsi="Times New Roman" w:cs="Times New Roman"/>
          <w:sz w:val="24"/>
          <w:szCs w:val="24"/>
        </w:rPr>
        <w:t xml:space="preserve"> EP, Mensah ML, Sawer IK. Antimicrobial activity of the leaves and seeds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EB6400">
        <w:rPr>
          <w:rFonts w:ascii="Times New Roman" w:hAnsi="Times New Roman" w:cs="Times New Roman"/>
          <w:sz w:val="24"/>
          <w:szCs w:val="24"/>
        </w:rPr>
        <w:t xml:space="preserve">. </w:t>
      </w:r>
      <w:proofErr w:type="spellStart"/>
      <w:r w:rsidRPr="00EB6400">
        <w:rPr>
          <w:rFonts w:ascii="Times New Roman" w:hAnsi="Times New Roman" w:cs="Times New Roman"/>
          <w:sz w:val="24"/>
          <w:szCs w:val="24"/>
        </w:rPr>
        <w:t>Fitoterapia</w:t>
      </w:r>
      <w:proofErr w:type="spellEnd"/>
      <w:r w:rsidRPr="00EB6400">
        <w:rPr>
          <w:rFonts w:ascii="Times New Roman" w:hAnsi="Times New Roman" w:cs="Times New Roman"/>
          <w:sz w:val="24"/>
          <w:szCs w:val="24"/>
        </w:rPr>
        <w:t>. 2003 Feb 1;74(1-2):136-8.</w:t>
      </w:r>
    </w:p>
    <w:p w14:paraId="2DF6A8F6"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Braga FG, </w:t>
      </w:r>
      <w:proofErr w:type="spellStart"/>
      <w:r w:rsidRPr="009C770B">
        <w:rPr>
          <w:rFonts w:ascii="Times New Roman" w:hAnsi="Times New Roman" w:cs="Times New Roman"/>
          <w:sz w:val="24"/>
          <w:szCs w:val="24"/>
        </w:rPr>
        <w:t>Bouzada</w:t>
      </w:r>
      <w:proofErr w:type="spellEnd"/>
      <w:r w:rsidRPr="009C770B">
        <w:rPr>
          <w:rFonts w:ascii="Times New Roman" w:hAnsi="Times New Roman" w:cs="Times New Roman"/>
          <w:sz w:val="24"/>
          <w:szCs w:val="24"/>
        </w:rPr>
        <w:t xml:space="preserve"> ML, Fabri RL, Matos MD, Moreira FO, Scio E, Coimbra ES. Antileishmanial and antifungal activity of plants used in traditional medicine in Brazil. Journal of ethnopharmacology. 2007 May 4;111(2):396-402.</w:t>
      </w:r>
    </w:p>
    <w:p w14:paraId="6ABCAE1F"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Shilpi JA, Taufiq-Ur-Rahman M, Uddin SJ, Alam MS, Sadhu SK, Seidel V. Preliminary pharmacological screening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leaves. Journal of Ethnopharmacology. 2006 Nov 24;108(2):264-71.</w:t>
      </w:r>
    </w:p>
    <w:p w14:paraId="6370C36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Yoke Keong Y, Arifah AK, </w:t>
      </w:r>
      <w:proofErr w:type="spellStart"/>
      <w:r w:rsidRPr="009C770B">
        <w:rPr>
          <w:rFonts w:ascii="Times New Roman" w:hAnsi="Times New Roman" w:cs="Times New Roman"/>
          <w:sz w:val="24"/>
          <w:szCs w:val="24"/>
        </w:rPr>
        <w:t>Sukardi</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Roslida</w:t>
      </w:r>
      <w:proofErr w:type="spellEnd"/>
      <w:r w:rsidRPr="009C770B">
        <w:rPr>
          <w:rFonts w:ascii="Times New Roman" w:hAnsi="Times New Roman" w:cs="Times New Roman"/>
          <w:sz w:val="24"/>
          <w:szCs w:val="24"/>
        </w:rPr>
        <w:t xml:space="preserve"> AH, Somchit MN, </w:t>
      </w:r>
      <w:proofErr w:type="spellStart"/>
      <w:r w:rsidRPr="009C770B">
        <w:rPr>
          <w:rFonts w:ascii="Times New Roman" w:hAnsi="Times New Roman" w:cs="Times New Roman"/>
          <w:sz w:val="24"/>
          <w:szCs w:val="24"/>
        </w:rPr>
        <w:t>Zuraini</w:t>
      </w:r>
      <w:proofErr w:type="spellEnd"/>
      <w:r w:rsidRPr="009C770B">
        <w:rPr>
          <w:rFonts w:ascii="Times New Roman" w:hAnsi="Times New Roman" w:cs="Times New Roman"/>
          <w:sz w:val="24"/>
          <w:szCs w:val="24"/>
        </w:rPr>
        <w:t xml:space="preserve"> A.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leaves extract inhibits bradykinin-induced inflammation through suppression of nitric oxide production. Medical Principles and Practice. 2011 Jan 20;20(2):142-6.</w:t>
      </w:r>
    </w:p>
    <w:p w14:paraId="78057F6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Dinesh MG, Satyan RS, Chandrasekaran B, Rose C. Leaf and seed extracts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exert anti-microbial activity against bacterial pathogens. Journal of Applied Pharmaceutical Science. 2011 Nov 30(Issue):116-20.</w:t>
      </w:r>
    </w:p>
    <w:p w14:paraId="05F5F16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Bhatnagar S, Swain S, Sahoo M. Bixa </w:t>
      </w:r>
      <w:proofErr w:type="spellStart"/>
      <w:r w:rsidRPr="009C770B">
        <w:rPr>
          <w:rFonts w:ascii="Times New Roman" w:hAnsi="Times New Roman" w:cs="Times New Roman"/>
          <w:sz w:val="24"/>
          <w:szCs w:val="24"/>
        </w:rPr>
        <w:t>oreallana</w:t>
      </w:r>
      <w:proofErr w:type="spellEnd"/>
      <w:r w:rsidRPr="009C770B">
        <w:rPr>
          <w:rFonts w:ascii="Times New Roman" w:hAnsi="Times New Roman" w:cs="Times New Roman"/>
          <w:sz w:val="24"/>
          <w:szCs w:val="24"/>
        </w:rPr>
        <w:t xml:space="preserve"> L.: A study of phytochemical, cytotoxic and antioxidant activity profile of the leaf extracts of the plant. World J Pharm Res. 2015 Aug </w:t>
      </w:r>
      <w:proofErr w:type="gramStart"/>
      <w:r w:rsidRPr="009C770B">
        <w:rPr>
          <w:rFonts w:ascii="Times New Roman" w:hAnsi="Times New Roman" w:cs="Times New Roman"/>
          <w:sz w:val="24"/>
          <w:szCs w:val="24"/>
        </w:rPr>
        <w:t>12;4:2715</w:t>
      </w:r>
      <w:proofErr w:type="gramEnd"/>
      <w:r w:rsidRPr="009C770B">
        <w:rPr>
          <w:rFonts w:ascii="Times New Roman" w:hAnsi="Times New Roman" w:cs="Times New Roman"/>
          <w:sz w:val="24"/>
          <w:szCs w:val="24"/>
        </w:rPr>
        <w:t>-19.</w:t>
      </w:r>
    </w:p>
    <w:p w14:paraId="473AEBD6"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Cárdenas-Conejo Y, Carballo-Uicab V, Lieberman M, Aguilar-Espinosa M, Comai L, Rivera-Madrid R. De novo transcriptome sequencing in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to identify genes involved in methylerythritol phosphate, carotenoid and bixin biosynthesis. BMC genomics. 2015 </w:t>
      </w:r>
      <w:proofErr w:type="gramStart"/>
      <w:r w:rsidRPr="009C770B">
        <w:rPr>
          <w:rFonts w:ascii="Times New Roman" w:hAnsi="Times New Roman" w:cs="Times New Roman"/>
          <w:sz w:val="24"/>
          <w:szCs w:val="24"/>
        </w:rPr>
        <w:t>Dec;16:1</w:t>
      </w:r>
      <w:proofErr w:type="gramEnd"/>
      <w:r w:rsidRPr="009C770B">
        <w:rPr>
          <w:rFonts w:ascii="Times New Roman" w:hAnsi="Times New Roman" w:cs="Times New Roman"/>
          <w:sz w:val="24"/>
          <w:szCs w:val="24"/>
        </w:rPr>
        <w:t>-9.</w:t>
      </w:r>
    </w:p>
    <w:p w14:paraId="3A764E6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Fokam Tagne, M.A., </w:t>
      </w:r>
      <w:proofErr w:type="spellStart"/>
      <w:r w:rsidRPr="009C770B">
        <w:rPr>
          <w:rFonts w:ascii="Times New Roman" w:hAnsi="Times New Roman" w:cs="Times New Roman"/>
          <w:sz w:val="24"/>
          <w:szCs w:val="24"/>
        </w:rPr>
        <w:t>Akaou</w:t>
      </w:r>
      <w:proofErr w:type="spellEnd"/>
      <w:r w:rsidRPr="009C770B">
        <w:rPr>
          <w:rFonts w:ascii="Times New Roman" w:hAnsi="Times New Roman" w:cs="Times New Roman"/>
          <w:sz w:val="24"/>
          <w:szCs w:val="24"/>
        </w:rPr>
        <w:t xml:space="preserve">, H., Noubissi, P.A., </w:t>
      </w:r>
      <w:proofErr w:type="spellStart"/>
      <w:r w:rsidRPr="009C770B">
        <w:rPr>
          <w:rFonts w:ascii="Times New Roman" w:hAnsi="Times New Roman" w:cs="Times New Roman"/>
          <w:sz w:val="24"/>
          <w:szCs w:val="24"/>
        </w:rPr>
        <w:t>Foyet</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Fondjo</w:t>
      </w:r>
      <w:proofErr w:type="spellEnd"/>
      <w:r w:rsidRPr="009C770B">
        <w:rPr>
          <w:rFonts w:ascii="Times New Roman" w:hAnsi="Times New Roman" w:cs="Times New Roman"/>
          <w:sz w:val="24"/>
          <w:szCs w:val="24"/>
        </w:rPr>
        <w:t xml:space="preserve">, A., </w:t>
      </w:r>
      <w:proofErr w:type="spellStart"/>
      <w:r w:rsidRPr="009C770B">
        <w:rPr>
          <w:rFonts w:ascii="Times New Roman" w:hAnsi="Times New Roman" w:cs="Times New Roman"/>
          <w:sz w:val="24"/>
          <w:szCs w:val="24"/>
        </w:rPr>
        <w:t>Rékabi</w:t>
      </w:r>
      <w:proofErr w:type="spellEnd"/>
      <w:r w:rsidRPr="009C770B">
        <w:rPr>
          <w:rFonts w:ascii="Times New Roman" w:hAnsi="Times New Roman" w:cs="Times New Roman"/>
          <w:sz w:val="24"/>
          <w:szCs w:val="24"/>
        </w:rPr>
        <w:t xml:space="preserve">, Y., </w:t>
      </w:r>
      <w:proofErr w:type="spellStart"/>
      <w:r w:rsidRPr="009C770B">
        <w:rPr>
          <w:rFonts w:ascii="Times New Roman" w:hAnsi="Times New Roman" w:cs="Times New Roman"/>
          <w:sz w:val="24"/>
          <w:szCs w:val="24"/>
        </w:rPr>
        <w:t>Wambe</w:t>
      </w:r>
      <w:proofErr w:type="spellEnd"/>
      <w:r w:rsidRPr="009C770B">
        <w:rPr>
          <w:rFonts w:ascii="Times New Roman" w:hAnsi="Times New Roman" w:cs="Times New Roman"/>
          <w:sz w:val="24"/>
          <w:szCs w:val="24"/>
        </w:rPr>
        <w:t xml:space="preserve">, H., Kamgang, R. and Essame Oyono, J.L., 2019. Effect of the Hydroethanolic Extract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Linn (</w:t>
      </w:r>
      <w:proofErr w:type="spellStart"/>
      <w:r w:rsidRPr="009C770B">
        <w:rPr>
          <w:rFonts w:ascii="Times New Roman" w:hAnsi="Times New Roman" w:cs="Times New Roman"/>
          <w:sz w:val="24"/>
          <w:szCs w:val="24"/>
        </w:rPr>
        <w:t>Bixaceae</w:t>
      </w:r>
      <w:proofErr w:type="spellEnd"/>
      <w:r w:rsidRPr="009C770B">
        <w:rPr>
          <w:rFonts w:ascii="Times New Roman" w:hAnsi="Times New Roman" w:cs="Times New Roman"/>
          <w:sz w:val="24"/>
          <w:szCs w:val="24"/>
        </w:rPr>
        <w:t xml:space="preserve">) Leaves on Castor Oil‐Induced Diarrhea in Swiss Albino Mice. </w:t>
      </w:r>
      <w:r w:rsidRPr="009C770B">
        <w:rPr>
          <w:rFonts w:ascii="Times New Roman" w:hAnsi="Times New Roman" w:cs="Times New Roman"/>
          <w:i/>
          <w:iCs/>
          <w:sz w:val="24"/>
          <w:szCs w:val="24"/>
        </w:rPr>
        <w:t>Gastroenterology Research and Practice</w:t>
      </w:r>
      <w:r w:rsidRPr="009C770B">
        <w:rPr>
          <w:rFonts w:ascii="Times New Roman" w:hAnsi="Times New Roman" w:cs="Times New Roman"/>
          <w:sz w:val="24"/>
          <w:szCs w:val="24"/>
        </w:rPr>
        <w:t xml:space="preserve">, </w:t>
      </w:r>
      <w:r w:rsidRPr="009C770B">
        <w:rPr>
          <w:rFonts w:ascii="Times New Roman" w:hAnsi="Times New Roman" w:cs="Times New Roman"/>
          <w:i/>
          <w:iCs/>
          <w:sz w:val="24"/>
          <w:szCs w:val="24"/>
        </w:rPr>
        <w:t>2019</w:t>
      </w:r>
      <w:r w:rsidRPr="009C770B">
        <w:rPr>
          <w:rFonts w:ascii="Times New Roman" w:hAnsi="Times New Roman" w:cs="Times New Roman"/>
          <w:sz w:val="24"/>
          <w:szCs w:val="24"/>
        </w:rPr>
        <w:t>(1), p.6963548.</w:t>
      </w:r>
    </w:p>
    <w:p w14:paraId="67AAA134"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lastRenderedPageBreak/>
        <w:t xml:space="preserve">Tahsin MR, Tithi TI, </w:t>
      </w:r>
      <w:proofErr w:type="spellStart"/>
      <w:r w:rsidRPr="009C770B">
        <w:rPr>
          <w:rFonts w:ascii="Times New Roman" w:hAnsi="Times New Roman" w:cs="Times New Roman"/>
          <w:sz w:val="24"/>
          <w:szCs w:val="24"/>
        </w:rPr>
        <w:t>Mim</w:t>
      </w:r>
      <w:proofErr w:type="spellEnd"/>
      <w:r w:rsidRPr="009C770B">
        <w:rPr>
          <w:rFonts w:ascii="Times New Roman" w:hAnsi="Times New Roman" w:cs="Times New Roman"/>
          <w:sz w:val="24"/>
          <w:szCs w:val="24"/>
        </w:rPr>
        <w:t xml:space="preserve"> SR, Haque E, Sultana A, Bahar NB, Ahmed R, Chowdhury JA, Chowdhury AA, Kabir S, Aktar F, Uddin MS, Amran MS. In Vivo and In Silico Assessment of Diabetes Ameliorating Potentiality and Safety Profile of </w:t>
      </w:r>
      <w:proofErr w:type="spellStart"/>
      <w:r w:rsidRPr="009C770B">
        <w:rPr>
          <w:rFonts w:ascii="Times New Roman" w:hAnsi="Times New Roman" w:cs="Times New Roman"/>
          <w:i/>
          <w:iCs/>
          <w:sz w:val="24"/>
          <w:szCs w:val="24"/>
        </w:rPr>
        <w:t>Gynura</w:t>
      </w:r>
      <w:proofErr w:type="spellEnd"/>
      <w:r w:rsidRPr="009C770B">
        <w:rPr>
          <w:rFonts w:ascii="Times New Roman" w:hAnsi="Times New Roman" w:cs="Times New Roman"/>
          <w:i/>
          <w:iCs/>
          <w:sz w:val="24"/>
          <w:szCs w:val="24"/>
        </w:rPr>
        <w:t xml:space="preserve"> procumbens</w:t>
      </w:r>
      <w:r w:rsidRPr="009C770B">
        <w:rPr>
          <w:rFonts w:ascii="Times New Roman" w:hAnsi="Times New Roman" w:cs="Times New Roman"/>
          <w:sz w:val="24"/>
          <w:szCs w:val="24"/>
        </w:rPr>
        <w:t xml:space="preserve"> Leaves. Evid Based Complement Alternat Med. 2022 Jan </w:t>
      </w:r>
      <w:proofErr w:type="gramStart"/>
      <w:r w:rsidRPr="009C770B">
        <w:rPr>
          <w:rFonts w:ascii="Times New Roman" w:hAnsi="Times New Roman" w:cs="Times New Roman"/>
          <w:sz w:val="24"/>
          <w:szCs w:val="24"/>
        </w:rPr>
        <w:t>19;2022:9095504</w:t>
      </w:r>
      <w:proofErr w:type="gram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10.1155/2022/9095504. PMID: 35096119; PMCID: PMC8791719.</w:t>
      </w:r>
    </w:p>
    <w:p w14:paraId="17F7354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C.A. Winter, E.A. Risley, G.W. Nuss, Carrageenin-induced edema in hind paw of the rat as an assay for </w:t>
      </w:r>
      <w:proofErr w:type="spellStart"/>
      <w:r w:rsidRPr="009C770B">
        <w:rPr>
          <w:rFonts w:ascii="Times New Roman" w:hAnsi="Times New Roman" w:cs="Times New Roman"/>
          <w:sz w:val="24"/>
          <w:szCs w:val="24"/>
        </w:rPr>
        <w:t>antiinflammatory</w:t>
      </w:r>
      <w:proofErr w:type="spellEnd"/>
      <w:r w:rsidRPr="009C770B">
        <w:rPr>
          <w:rFonts w:ascii="Times New Roman" w:hAnsi="Times New Roman" w:cs="Times New Roman"/>
          <w:sz w:val="24"/>
          <w:szCs w:val="24"/>
        </w:rPr>
        <w:t xml:space="preserve"> drugs, Proc. Soc. Exp. Biol. Med. 111 (3) (Dec. 1962) 544–547.</w:t>
      </w:r>
    </w:p>
    <w:p w14:paraId="01C412DB"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O.O. Adeyemi, S.O. Okpo, O.O. </w:t>
      </w:r>
      <w:proofErr w:type="spellStart"/>
      <w:r w:rsidRPr="009C770B">
        <w:rPr>
          <w:rFonts w:ascii="Times New Roman" w:hAnsi="Times New Roman" w:cs="Times New Roman"/>
          <w:sz w:val="24"/>
          <w:szCs w:val="24"/>
        </w:rPr>
        <w:t>Ogunti</w:t>
      </w:r>
      <w:proofErr w:type="spellEnd"/>
      <w:r w:rsidRPr="009C770B">
        <w:rPr>
          <w:rFonts w:ascii="Times New Roman" w:hAnsi="Times New Roman" w:cs="Times New Roman"/>
          <w:sz w:val="24"/>
          <w:szCs w:val="24"/>
        </w:rPr>
        <w:t xml:space="preserve">, Analgesic and anti-inflammatory effects of the aqueous extract of leaves of </w:t>
      </w:r>
      <w:proofErr w:type="spellStart"/>
      <w:r w:rsidRPr="009C770B">
        <w:rPr>
          <w:rFonts w:ascii="Times New Roman" w:hAnsi="Times New Roman" w:cs="Times New Roman"/>
          <w:sz w:val="24"/>
          <w:szCs w:val="24"/>
        </w:rPr>
        <w:t>Persea</w:t>
      </w:r>
      <w:proofErr w:type="spellEnd"/>
      <w:r w:rsidRPr="009C770B">
        <w:rPr>
          <w:rFonts w:ascii="Times New Roman" w:hAnsi="Times New Roman" w:cs="Times New Roman"/>
          <w:sz w:val="24"/>
          <w:szCs w:val="24"/>
        </w:rPr>
        <w:t xml:space="preserve"> americana Mill (</w:t>
      </w:r>
      <w:proofErr w:type="spellStart"/>
      <w:r w:rsidRPr="009C770B">
        <w:rPr>
          <w:rFonts w:ascii="Times New Roman" w:hAnsi="Times New Roman" w:cs="Times New Roman"/>
          <w:sz w:val="24"/>
          <w:szCs w:val="24"/>
        </w:rPr>
        <w:t>Lauraceae</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Fitoterapia</w:t>
      </w:r>
      <w:proofErr w:type="spellEnd"/>
      <w:r w:rsidRPr="009C770B">
        <w:rPr>
          <w:rFonts w:ascii="Times New Roman" w:hAnsi="Times New Roman" w:cs="Times New Roman"/>
          <w:sz w:val="24"/>
          <w:szCs w:val="24"/>
        </w:rPr>
        <w:t xml:space="preserve"> 73 (5) (Aug. 2002) 375–380.</w:t>
      </w:r>
    </w:p>
    <w:p w14:paraId="5A140D2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 Ahmed, A. Naved, R. A. Khan, and S. Siddiqui, 'Analgesic Activities of Methanol Extract of Terminalia </w:t>
      </w:r>
      <w:proofErr w:type="spellStart"/>
      <w:r w:rsidRPr="009C770B">
        <w:rPr>
          <w:rFonts w:ascii="Times New Roman" w:hAnsi="Times New Roman" w:cs="Times New Roman"/>
          <w:sz w:val="24"/>
          <w:szCs w:val="24"/>
        </w:rPr>
        <w:t>chebula</w:t>
      </w:r>
      <w:proofErr w:type="spellEnd"/>
      <w:r w:rsidRPr="009C770B">
        <w:rPr>
          <w:rFonts w:ascii="Times New Roman" w:hAnsi="Times New Roman" w:cs="Times New Roman"/>
          <w:sz w:val="24"/>
          <w:szCs w:val="24"/>
        </w:rPr>
        <w:t xml:space="preserve"> Fruit', </w:t>
      </w:r>
      <w:proofErr w:type="spellStart"/>
      <w:r w:rsidRPr="009C770B">
        <w:rPr>
          <w:rFonts w:ascii="Times New Roman" w:hAnsi="Times New Roman" w:cs="Times New Roman"/>
          <w:i/>
          <w:iCs/>
          <w:sz w:val="24"/>
          <w:szCs w:val="24"/>
        </w:rPr>
        <w:t>Pharmacol</w:t>
      </w:r>
      <w:proofErr w:type="spellEnd"/>
      <w:r w:rsidRPr="009C770B">
        <w:rPr>
          <w:rFonts w:ascii="Times New Roman" w:hAnsi="Times New Roman" w:cs="Times New Roman"/>
          <w:i/>
          <w:iCs/>
          <w:sz w:val="24"/>
          <w:szCs w:val="24"/>
        </w:rPr>
        <w:t>. Amp Pharm.</w:t>
      </w:r>
      <w:r w:rsidRPr="009C770B">
        <w:rPr>
          <w:rFonts w:ascii="Times New Roman" w:hAnsi="Times New Roman" w:cs="Times New Roman"/>
          <w:sz w:val="24"/>
          <w:szCs w:val="24"/>
        </w:rPr>
        <w:t xml:space="preserve">, vol. 6, no. 12, Art. no. 12, Dec. 2015,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10.4236/pp.2015.612056</w:t>
      </w:r>
    </w:p>
    <w:p w14:paraId="4E49C12D" w14:textId="77777777" w:rsid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F. E. D'amour and D. L. Smith, 'A Method for Determining Los</w:t>
      </w:r>
      <w:r>
        <w:rPr>
          <w:rFonts w:ascii="Times New Roman" w:hAnsi="Times New Roman" w:cs="Times New Roman"/>
          <w:sz w:val="24"/>
          <w:szCs w:val="24"/>
        </w:rPr>
        <w:t xml:space="preserve">s of Pain Sensation', J. </w:t>
      </w:r>
      <w:proofErr w:type="spellStart"/>
      <w:r w:rsidRPr="009C770B">
        <w:rPr>
          <w:rFonts w:ascii="Times New Roman" w:hAnsi="Times New Roman" w:cs="Times New Roman"/>
          <w:sz w:val="24"/>
          <w:szCs w:val="24"/>
        </w:rPr>
        <w:t>Pharmacol</w:t>
      </w:r>
      <w:proofErr w:type="spellEnd"/>
      <w:r w:rsidRPr="009C770B">
        <w:rPr>
          <w:rFonts w:ascii="Times New Roman" w:hAnsi="Times New Roman" w:cs="Times New Roman"/>
          <w:i/>
          <w:iCs/>
          <w:sz w:val="24"/>
          <w:szCs w:val="24"/>
        </w:rPr>
        <w:t xml:space="preserve">. </w:t>
      </w:r>
      <w:r w:rsidRPr="009C770B">
        <w:rPr>
          <w:rFonts w:ascii="Times New Roman" w:hAnsi="Times New Roman" w:cs="Times New Roman"/>
          <w:sz w:val="24"/>
          <w:szCs w:val="24"/>
        </w:rPr>
        <w:t>Exp. Ther</w:t>
      </w:r>
      <w:r w:rsidRPr="009C770B">
        <w:rPr>
          <w:rFonts w:ascii="Times New Roman" w:hAnsi="Times New Roman" w:cs="Times New Roman"/>
          <w:i/>
          <w:iCs/>
          <w:sz w:val="24"/>
          <w:szCs w:val="24"/>
        </w:rPr>
        <w:t>.</w:t>
      </w:r>
      <w:r w:rsidRPr="009C770B">
        <w:rPr>
          <w:rFonts w:ascii="Times New Roman" w:hAnsi="Times New Roman" w:cs="Times New Roman"/>
          <w:sz w:val="24"/>
          <w:szCs w:val="24"/>
        </w:rPr>
        <w:t>, vol. 72, no. 1, pp. 74–79, May 1941</w:t>
      </w:r>
    </w:p>
    <w:p w14:paraId="7E84BFAC" w14:textId="77777777" w:rsidR="003E5E6B" w:rsidRPr="009C770B" w:rsidRDefault="003E5E6B" w:rsidP="00B36F3F">
      <w:pPr>
        <w:numPr>
          <w:ilvl w:val="0"/>
          <w:numId w:val="19"/>
        </w:numPr>
        <w:ind w:left="1440" w:hanging="1080"/>
        <w:jc w:val="both"/>
        <w:rPr>
          <w:rFonts w:ascii="Times New Roman" w:hAnsi="Times New Roman" w:cs="Times New Roman"/>
          <w:sz w:val="24"/>
          <w:szCs w:val="24"/>
        </w:rPr>
      </w:pPr>
      <w:r w:rsidRPr="003E5E6B">
        <w:rPr>
          <w:rFonts w:ascii="Times New Roman" w:hAnsi="Times New Roman" w:cs="Times New Roman"/>
          <w:sz w:val="24"/>
          <w:szCs w:val="24"/>
        </w:rPr>
        <w:t xml:space="preserve">Benoit PS, Fong HH, Svoboda GH, Farmsworth NR. Biological and phytochemical evaluation of plants. XIV. </w:t>
      </w:r>
      <w:proofErr w:type="spellStart"/>
      <w:r w:rsidRPr="003E5E6B">
        <w:rPr>
          <w:rFonts w:ascii="Times New Roman" w:hAnsi="Times New Roman" w:cs="Times New Roman"/>
          <w:sz w:val="24"/>
          <w:szCs w:val="24"/>
        </w:rPr>
        <w:t>Antiinflammatory</w:t>
      </w:r>
      <w:proofErr w:type="spellEnd"/>
      <w:r w:rsidRPr="003E5E6B">
        <w:rPr>
          <w:rFonts w:ascii="Times New Roman" w:hAnsi="Times New Roman" w:cs="Times New Roman"/>
          <w:sz w:val="24"/>
          <w:szCs w:val="24"/>
        </w:rPr>
        <w:t xml:space="preserve"> evaluation of 163 species of plants. </w:t>
      </w:r>
      <w:proofErr w:type="spellStart"/>
      <w:r w:rsidRPr="003E5E6B">
        <w:rPr>
          <w:rFonts w:ascii="Times New Roman" w:hAnsi="Times New Roman" w:cs="Times New Roman"/>
          <w:sz w:val="24"/>
          <w:szCs w:val="24"/>
        </w:rPr>
        <w:t>Lloydia</w:t>
      </w:r>
      <w:proofErr w:type="spellEnd"/>
      <w:r w:rsidRPr="003E5E6B">
        <w:rPr>
          <w:rFonts w:ascii="Times New Roman" w:hAnsi="Times New Roman" w:cs="Times New Roman"/>
          <w:sz w:val="24"/>
          <w:szCs w:val="24"/>
        </w:rPr>
        <w:t>. 1976 Mar 1;39(2-3):160-71.</w:t>
      </w:r>
    </w:p>
    <w:p w14:paraId="45BA3201"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Falodun</w:t>
      </w:r>
      <w:proofErr w:type="spellEnd"/>
      <w:r w:rsidRPr="009C770B">
        <w:rPr>
          <w:rFonts w:ascii="Times New Roman" w:hAnsi="Times New Roman" w:cs="Times New Roman"/>
          <w:sz w:val="24"/>
          <w:szCs w:val="24"/>
        </w:rPr>
        <w:t xml:space="preserve"> A, </w:t>
      </w:r>
      <w:proofErr w:type="spellStart"/>
      <w:r w:rsidRPr="009C770B">
        <w:rPr>
          <w:rFonts w:ascii="Times New Roman" w:hAnsi="Times New Roman" w:cs="Times New Roman"/>
          <w:sz w:val="24"/>
          <w:szCs w:val="24"/>
        </w:rPr>
        <w:t>Okunrobo</w:t>
      </w:r>
      <w:proofErr w:type="spellEnd"/>
      <w:r w:rsidRPr="009C770B">
        <w:rPr>
          <w:rFonts w:ascii="Times New Roman" w:hAnsi="Times New Roman" w:cs="Times New Roman"/>
          <w:sz w:val="24"/>
          <w:szCs w:val="24"/>
        </w:rPr>
        <w:t xml:space="preserve"> LO, Uzoamaka N (2006) Phytochemical screening and anti-inflammatory evaluation of methanolic and aqueous extracts of Euphorbia heterophylla Linn (</w:t>
      </w:r>
      <w:proofErr w:type="spellStart"/>
      <w:r w:rsidRPr="009C770B">
        <w:rPr>
          <w:rFonts w:ascii="Times New Roman" w:hAnsi="Times New Roman" w:cs="Times New Roman"/>
          <w:sz w:val="24"/>
          <w:szCs w:val="24"/>
        </w:rPr>
        <w:t>Euphorbiaceae</w:t>
      </w:r>
      <w:proofErr w:type="spellEnd"/>
      <w:r w:rsidRPr="009C770B">
        <w:rPr>
          <w:rFonts w:ascii="Times New Roman" w:hAnsi="Times New Roman" w:cs="Times New Roman"/>
          <w:sz w:val="24"/>
          <w:szCs w:val="24"/>
        </w:rPr>
        <w:t>). African Journal of biotechnology 5(6): 529-531.</w:t>
      </w:r>
    </w:p>
    <w:p w14:paraId="131D2868" w14:textId="77777777" w:rsid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P, Chaudhary H, </w:t>
      </w: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D, Kumar V, Kohli K. Mechanism of action of flavonoids as anti-inflammatory agents: a review. Inflammation &amp; Allergy-Drug Targets (Formerly Curre</w:t>
      </w:r>
      <w:r>
        <w:rPr>
          <w:rFonts w:ascii="Times New Roman" w:hAnsi="Times New Roman" w:cs="Times New Roman"/>
          <w:sz w:val="24"/>
          <w:szCs w:val="24"/>
        </w:rPr>
        <w:t xml:space="preserve">nt Drug Targets-Inflammation &amp; </w:t>
      </w:r>
      <w:proofErr w:type="gramStart"/>
      <w:r w:rsidRPr="009C770B">
        <w:rPr>
          <w:rFonts w:ascii="Times New Roman" w:hAnsi="Times New Roman" w:cs="Times New Roman"/>
          <w:sz w:val="24"/>
          <w:szCs w:val="24"/>
        </w:rPr>
        <w:t>Allergy)(</w:t>
      </w:r>
      <w:proofErr w:type="gramEnd"/>
      <w:r w:rsidRPr="009C770B">
        <w:rPr>
          <w:rFonts w:ascii="Times New Roman" w:hAnsi="Times New Roman" w:cs="Times New Roman"/>
          <w:sz w:val="24"/>
          <w:szCs w:val="24"/>
        </w:rPr>
        <w:t>Discontinued). 2009 Jul 1;8(3):229-35.</w:t>
      </w:r>
    </w:p>
    <w:p w14:paraId="60A3E1AA" w14:textId="77777777" w:rsidR="00D92F77" w:rsidRDefault="00D92F77" w:rsidP="00B36F3F">
      <w:pPr>
        <w:numPr>
          <w:ilvl w:val="0"/>
          <w:numId w:val="19"/>
        </w:numPr>
        <w:ind w:left="1440" w:hanging="1080"/>
        <w:jc w:val="both"/>
        <w:rPr>
          <w:rFonts w:ascii="Times New Roman" w:hAnsi="Times New Roman" w:cs="Times New Roman"/>
          <w:sz w:val="24"/>
          <w:szCs w:val="24"/>
        </w:rPr>
      </w:pPr>
      <w:r w:rsidRPr="00D92F77">
        <w:rPr>
          <w:rFonts w:ascii="Times New Roman" w:hAnsi="Times New Roman" w:cs="Times New Roman"/>
          <w:sz w:val="24"/>
          <w:szCs w:val="24"/>
        </w:rPr>
        <w:t xml:space="preserve">Passos FR, Araújo-Filho HG, Monteiro BS, Shanmugam S, de Souza Araújo AA, da Silva Almeida JR, Thangaraj P, Júnior LJ, Quintans JD. Anti-inflammatory and modulatory effects of steroidal saponins and sapogenins on cytokines: A review of pre-clinical research. Phytomedicine. 2022 Feb </w:t>
      </w:r>
      <w:proofErr w:type="gramStart"/>
      <w:r w:rsidRPr="00D92F77">
        <w:rPr>
          <w:rFonts w:ascii="Times New Roman" w:hAnsi="Times New Roman" w:cs="Times New Roman"/>
          <w:sz w:val="24"/>
          <w:szCs w:val="24"/>
        </w:rPr>
        <w:t>1;96:153842</w:t>
      </w:r>
      <w:proofErr w:type="gramEnd"/>
      <w:r w:rsidRPr="00D92F77">
        <w:rPr>
          <w:rFonts w:ascii="Times New Roman" w:hAnsi="Times New Roman" w:cs="Times New Roman"/>
          <w:sz w:val="24"/>
          <w:szCs w:val="24"/>
        </w:rPr>
        <w:t>.</w:t>
      </w:r>
    </w:p>
    <w:p w14:paraId="0A152654" w14:textId="77777777" w:rsidR="00D92F77" w:rsidRDefault="00D92F77" w:rsidP="00B36F3F">
      <w:pPr>
        <w:numPr>
          <w:ilvl w:val="0"/>
          <w:numId w:val="19"/>
        </w:numPr>
        <w:ind w:left="1440" w:hanging="1080"/>
        <w:jc w:val="both"/>
        <w:rPr>
          <w:rFonts w:ascii="Times New Roman" w:hAnsi="Times New Roman" w:cs="Times New Roman"/>
          <w:sz w:val="24"/>
          <w:szCs w:val="24"/>
        </w:rPr>
      </w:pPr>
      <w:r w:rsidRPr="00D92F77">
        <w:rPr>
          <w:rFonts w:ascii="Times New Roman" w:hAnsi="Times New Roman" w:cs="Times New Roman"/>
          <w:sz w:val="24"/>
          <w:szCs w:val="24"/>
        </w:rPr>
        <w:t>Wijesekara T, Luo J, Xu B. Critical review on anti‐inflammation effects of saponins and their molecular mechanisms. Phytotherapy Research. 2024 Apr;38(4):2007-22.</w:t>
      </w:r>
    </w:p>
    <w:p w14:paraId="686C29BF" w14:textId="77777777" w:rsidR="00294E58" w:rsidRDefault="00294E58" w:rsidP="00B36F3F">
      <w:pPr>
        <w:numPr>
          <w:ilvl w:val="0"/>
          <w:numId w:val="19"/>
        </w:numPr>
        <w:ind w:left="1440" w:hanging="1080"/>
        <w:jc w:val="both"/>
        <w:rPr>
          <w:rFonts w:ascii="Times New Roman" w:hAnsi="Times New Roman" w:cs="Times New Roman"/>
          <w:sz w:val="24"/>
          <w:szCs w:val="24"/>
        </w:rPr>
      </w:pPr>
      <w:proofErr w:type="spellStart"/>
      <w:r w:rsidRPr="00294E58">
        <w:rPr>
          <w:rFonts w:ascii="Times New Roman" w:hAnsi="Times New Roman" w:cs="Times New Roman"/>
          <w:sz w:val="24"/>
          <w:szCs w:val="24"/>
        </w:rPr>
        <w:t>Bothon</w:t>
      </w:r>
      <w:proofErr w:type="spellEnd"/>
      <w:r w:rsidRPr="00294E58">
        <w:rPr>
          <w:rFonts w:ascii="Times New Roman" w:hAnsi="Times New Roman" w:cs="Times New Roman"/>
          <w:sz w:val="24"/>
          <w:szCs w:val="24"/>
        </w:rPr>
        <w:t xml:space="preserve"> FT, </w:t>
      </w:r>
      <w:proofErr w:type="spellStart"/>
      <w:r w:rsidRPr="00294E58">
        <w:rPr>
          <w:rFonts w:ascii="Times New Roman" w:hAnsi="Times New Roman" w:cs="Times New Roman"/>
          <w:sz w:val="24"/>
          <w:szCs w:val="24"/>
        </w:rPr>
        <w:t>Adovelande</w:t>
      </w:r>
      <w:proofErr w:type="spellEnd"/>
      <w:r w:rsidRPr="00294E58">
        <w:rPr>
          <w:rFonts w:ascii="Times New Roman" w:hAnsi="Times New Roman" w:cs="Times New Roman"/>
          <w:sz w:val="24"/>
          <w:szCs w:val="24"/>
        </w:rPr>
        <w:t xml:space="preserve"> J, Dossa CP, </w:t>
      </w:r>
      <w:proofErr w:type="spellStart"/>
      <w:r w:rsidRPr="00294E58">
        <w:rPr>
          <w:rFonts w:ascii="Times New Roman" w:hAnsi="Times New Roman" w:cs="Times New Roman"/>
          <w:sz w:val="24"/>
          <w:szCs w:val="24"/>
        </w:rPr>
        <w:t>Avlessi</w:t>
      </w:r>
      <w:proofErr w:type="spellEnd"/>
      <w:r w:rsidRPr="00294E58">
        <w:rPr>
          <w:rFonts w:ascii="Times New Roman" w:hAnsi="Times New Roman" w:cs="Times New Roman"/>
          <w:sz w:val="24"/>
          <w:szCs w:val="24"/>
        </w:rPr>
        <w:t xml:space="preserve"> F, </w:t>
      </w:r>
      <w:proofErr w:type="spellStart"/>
      <w:r w:rsidRPr="00294E58">
        <w:rPr>
          <w:rFonts w:ascii="Times New Roman" w:hAnsi="Times New Roman" w:cs="Times New Roman"/>
          <w:sz w:val="24"/>
          <w:szCs w:val="24"/>
        </w:rPr>
        <w:t>Wotto</w:t>
      </w:r>
      <w:proofErr w:type="spellEnd"/>
      <w:r w:rsidRPr="00294E58">
        <w:rPr>
          <w:rFonts w:ascii="Times New Roman" w:hAnsi="Times New Roman" w:cs="Times New Roman"/>
          <w:sz w:val="24"/>
          <w:szCs w:val="24"/>
        </w:rPr>
        <w:t xml:space="preserve"> DV, </w:t>
      </w:r>
      <w:proofErr w:type="spellStart"/>
      <w:r w:rsidRPr="00294E58">
        <w:rPr>
          <w:rFonts w:ascii="Times New Roman" w:hAnsi="Times New Roman" w:cs="Times New Roman"/>
          <w:sz w:val="24"/>
          <w:szCs w:val="24"/>
        </w:rPr>
        <w:t>Sohounhloue</w:t>
      </w:r>
      <w:proofErr w:type="spellEnd"/>
      <w:r w:rsidRPr="00294E58">
        <w:rPr>
          <w:rFonts w:ascii="Times New Roman" w:hAnsi="Times New Roman" w:cs="Times New Roman"/>
          <w:sz w:val="24"/>
          <w:szCs w:val="24"/>
        </w:rPr>
        <w:t xml:space="preserve"> DC. Phytochemical study, vitamins content and free radical scavenging activity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294E58">
        <w:rPr>
          <w:rFonts w:ascii="Times New Roman" w:hAnsi="Times New Roman" w:cs="Times New Roman"/>
          <w:sz w:val="24"/>
          <w:szCs w:val="24"/>
        </w:rPr>
        <w:t xml:space="preserve"> L. leaves from Benin. INDO AMERICAN JOURNAL OF PHARMACEUTICAL SCIENCES. 2018 Sep 1;5(9):9106-13.</w:t>
      </w:r>
    </w:p>
    <w:p w14:paraId="188A7E4C" w14:textId="77777777" w:rsidR="00CE6B8C" w:rsidRPr="00CE6B8C" w:rsidRDefault="006929FA" w:rsidP="00B36F3F">
      <w:pPr>
        <w:numPr>
          <w:ilvl w:val="0"/>
          <w:numId w:val="19"/>
        </w:numPr>
        <w:ind w:left="1440" w:hanging="1080"/>
        <w:jc w:val="both"/>
        <w:rPr>
          <w:rFonts w:ascii="Times New Roman" w:hAnsi="Times New Roman" w:cs="Times New Roman"/>
          <w:sz w:val="24"/>
          <w:szCs w:val="24"/>
        </w:rPr>
      </w:pPr>
      <w:r w:rsidRPr="006929FA">
        <w:rPr>
          <w:rFonts w:ascii="Times New Roman" w:hAnsi="Times New Roman" w:cs="Times New Roman"/>
          <w:sz w:val="24"/>
          <w:szCs w:val="24"/>
        </w:rPr>
        <w:lastRenderedPageBreak/>
        <w:t xml:space="preserve">Dike IP, </w:t>
      </w:r>
      <w:proofErr w:type="spellStart"/>
      <w:r w:rsidRPr="006929FA">
        <w:rPr>
          <w:rFonts w:ascii="Times New Roman" w:hAnsi="Times New Roman" w:cs="Times New Roman"/>
          <w:sz w:val="24"/>
          <w:szCs w:val="24"/>
        </w:rPr>
        <w:t>Ibojo</w:t>
      </w:r>
      <w:proofErr w:type="spellEnd"/>
      <w:r w:rsidRPr="006929FA">
        <w:rPr>
          <w:rFonts w:ascii="Times New Roman" w:hAnsi="Times New Roman" w:cs="Times New Roman"/>
          <w:sz w:val="24"/>
          <w:szCs w:val="24"/>
        </w:rPr>
        <w:t xml:space="preserve"> OO, Daramola FY, </w:t>
      </w:r>
      <w:proofErr w:type="spellStart"/>
      <w:r w:rsidRPr="006929FA">
        <w:rPr>
          <w:rFonts w:ascii="Times New Roman" w:hAnsi="Times New Roman" w:cs="Times New Roman"/>
          <w:sz w:val="24"/>
          <w:szCs w:val="24"/>
        </w:rPr>
        <w:t>Omonhinmin</w:t>
      </w:r>
      <w:proofErr w:type="spellEnd"/>
      <w:r w:rsidRPr="006929FA">
        <w:rPr>
          <w:rFonts w:ascii="Times New Roman" w:hAnsi="Times New Roman" w:cs="Times New Roman"/>
          <w:sz w:val="24"/>
          <w:szCs w:val="24"/>
        </w:rPr>
        <w:t xml:space="preserve"> AC. Phytochemical and proximate analysis of foliage and seed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6929FA">
        <w:rPr>
          <w:rFonts w:ascii="Times New Roman" w:hAnsi="Times New Roman" w:cs="Times New Roman"/>
          <w:sz w:val="24"/>
          <w:szCs w:val="24"/>
        </w:rPr>
        <w:t xml:space="preserve"> linn. Int. J. Pharm. Sci. Rev. Res. 2016;36(2):247-51.</w:t>
      </w:r>
    </w:p>
    <w:p w14:paraId="141BF165"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Abdullahi MH, Anuka JA, Yaro AH, Musa A (2014) Analgesic and </w:t>
      </w:r>
      <w:proofErr w:type="spellStart"/>
      <w:r w:rsidRPr="009C770B">
        <w:rPr>
          <w:rFonts w:ascii="Times New Roman" w:hAnsi="Times New Roman" w:cs="Times New Roman"/>
          <w:sz w:val="24"/>
          <w:szCs w:val="24"/>
        </w:rPr>
        <w:t>antiinflammatory</w:t>
      </w:r>
      <w:proofErr w:type="spellEnd"/>
      <w:r w:rsidRPr="009C770B">
        <w:rPr>
          <w:rFonts w:ascii="Times New Roman" w:hAnsi="Times New Roman" w:cs="Times New Roman"/>
          <w:sz w:val="24"/>
          <w:szCs w:val="24"/>
        </w:rPr>
        <w:t xml:space="preserve"> effects of aqueous </w:t>
      </w:r>
      <w:proofErr w:type="spellStart"/>
      <w:r w:rsidRPr="009C770B">
        <w:rPr>
          <w:rFonts w:ascii="Times New Roman" w:hAnsi="Times New Roman" w:cs="Times New Roman"/>
          <w:sz w:val="24"/>
          <w:szCs w:val="24"/>
        </w:rPr>
        <w:t>leafextract</w:t>
      </w:r>
      <w:proofErr w:type="spellEnd"/>
      <w:r w:rsidRPr="009C770B">
        <w:rPr>
          <w:rFonts w:ascii="Times New Roman" w:hAnsi="Times New Roman" w:cs="Times New Roman"/>
          <w:sz w:val="24"/>
          <w:szCs w:val="24"/>
        </w:rPr>
        <w:t xml:space="preserve"> of Combretum </w:t>
      </w:r>
      <w:proofErr w:type="spellStart"/>
      <w:r w:rsidRPr="009C770B">
        <w:rPr>
          <w:rFonts w:ascii="Times New Roman" w:hAnsi="Times New Roman" w:cs="Times New Roman"/>
          <w:sz w:val="24"/>
          <w:szCs w:val="24"/>
        </w:rPr>
        <w:t>micranthumg</w:t>
      </w:r>
      <w:proofErr w:type="spellEnd"/>
      <w:r w:rsidRPr="009C770B">
        <w:rPr>
          <w:rFonts w:ascii="Times New Roman" w:hAnsi="Times New Roman" w:cs="Times New Roman"/>
          <w:sz w:val="24"/>
          <w:szCs w:val="24"/>
        </w:rPr>
        <w:t>. Don (</w:t>
      </w:r>
      <w:proofErr w:type="spellStart"/>
      <w:r w:rsidRPr="009C770B">
        <w:rPr>
          <w:rFonts w:ascii="Times New Roman" w:hAnsi="Times New Roman" w:cs="Times New Roman"/>
          <w:sz w:val="24"/>
          <w:szCs w:val="24"/>
        </w:rPr>
        <w:t>Combretaceae</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Bayero</w:t>
      </w:r>
      <w:proofErr w:type="spellEnd"/>
      <w:r w:rsidRPr="009C770B">
        <w:rPr>
          <w:rFonts w:ascii="Times New Roman" w:hAnsi="Times New Roman" w:cs="Times New Roman"/>
          <w:sz w:val="24"/>
          <w:szCs w:val="24"/>
        </w:rPr>
        <w:t xml:space="preserve"> Journal of Pure and Applied Sciences 7(2): 78-82.</w:t>
      </w:r>
    </w:p>
    <w:p w14:paraId="0F08639F" w14:textId="77777777" w:rsidR="00D17FD1"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Uche FI, </w:t>
      </w:r>
      <w:proofErr w:type="spellStart"/>
      <w:r w:rsidRPr="009C770B">
        <w:rPr>
          <w:rFonts w:ascii="Times New Roman" w:hAnsi="Times New Roman" w:cs="Times New Roman"/>
          <w:sz w:val="24"/>
          <w:szCs w:val="24"/>
        </w:rPr>
        <w:t>Aprioku</w:t>
      </w:r>
      <w:proofErr w:type="spellEnd"/>
      <w:r w:rsidRPr="009C770B">
        <w:rPr>
          <w:rFonts w:ascii="Times New Roman" w:hAnsi="Times New Roman" w:cs="Times New Roman"/>
          <w:sz w:val="24"/>
          <w:szCs w:val="24"/>
        </w:rPr>
        <w:t xml:space="preserve"> JS (2008) The Phytochemical Constituents, Analgesic and Anti-inflammatory effects of methanol extract of Jatropha </w:t>
      </w:r>
      <w:proofErr w:type="spellStart"/>
      <w:r w:rsidRPr="009C770B">
        <w:rPr>
          <w:rFonts w:ascii="Times New Roman" w:hAnsi="Times New Roman" w:cs="Times New Roman"/>
          <w:sz w:val="24"/>
          <w:szCs w:val="24"/>
        </w:rPr>
        <w:t>curcas</w:t>
      </w:r>
      <w:proofErr w:type="spellEnd"/>
      <w:r w:rsidRPr="009C770B">
        <w:rPr>
          <w:rFonts w:ascii="Times New Roman" w:hAnsi="Times New Roman" w:cs="Times New Roman"/>
          <w:sz w:val="24"/>
          <w:szCs w:val="24"/>
        </w:rPr>
        <w:t xml:space="preserve"> leaves in Mice and Wister albino rats. Journal of Applied Sciences and Environmental Management 12(4).</w:t>
      </w:r>
    </w:p>
    <w:p w14:paraId="4FE27984" w14:textId="77777777" w:rsidR="002A76C0" w:rsidRDefault="002A76C0" w:rsidP="00B36F3F">
      <w:pPr>
        <w:numPr>
          <w:ilvl w:val="0"/>
          <w:numId w:val="19"/>
        </w:numPr>
        <w:ind w:left="1440" w:hanging="1080"/>
        <w:jc w:val="both"/>
        <w:rPr>
          <w:rFonts w:ascii="Times New Roman" w:hAnsi="Times New Roman" w:cs="Times New Roman"/>
          <w:sz w:val="24"/>
          <w:szCs w:val="24"/>
        </w:rPr>
      </w:pPr>
      <w:proofErr w:type="spellStart"/>
      <w:r w:rsidRPr="002A76C0">
        <w:rPr>
          <w:rFonts w:ascii="Times New Roman" w:hAnsi="Times New Roman" w:cs="Times New Roman"/>
          <w:sz w:val="24"/>
          <w:szCs w:val="24"/>
        </w:rPr>
        <w:t>Muddapur</w:t>
      </w:r>
      <w:proofErr w:type="spellEnd"/>
      <w:r w:rsidRPr="002A76C0">
        <w:rPr>
          <w:rFonts w:ascii="Times New Roman" w:hAnsi="Times New Roman" w:cs="Times New Roman"/>
          <w:sz w:val="24"/>
          <w:szCs w:val="24"/>
        </w:rPr>
        <w:t xml:space="preserve"> UM, </w:t>
      </w:r>
      <w:proofErr w:type="spellStart"/>
      <w:r w:rsidRPr="002A76C0">
        <w:rPr>
          <w:rFonts w:ascii="Times New Roman" w:hAnsi="Times New Roman" w:cs="Times New Roman"/>
          <w:sz w:val="24"/>
          <w:szCs w:val="24"/>
        </w:rPr>
        <w:t>Turakani</w:t>
      </w:r>
      <w:proofErr w:type="spellEnd"/>
      <w:r w:rsidRPr="002A76C0">
        <w:rPr>
          <w:rFonts w:ascii="Times New Roman" w:hAnsi="Times New Roman" w:cs="Times New Roman"/>
          <w:sz w:val="24"/>
          <w:szCs w:val="24"/>
        </w:rPr>
        <w:t xml:space="preserve"> B, Jalal NA, </w:t>
      </w:r>
      <w:proofErr w:type="spellStart"/>
      <w:r w:rsidRPr="002A76C0">
        <w:rPr>
          <w:rFonts w:ascii="Times New Roman" w:hAnsi="Times New Roman" w:cs="Times New Roman"/>
          <w:sz w:val="24"/>
          <w:szCs w:val="24"/>
        </w:rPr>
        <w:t>Ashgar</w:t>
      </w:r>
      <w:proofErr w:type="spellEnd"/>
      <w:r w:rsidRPr="002A76C0">
        <w:rPr>
          <w:rFonts w:ascii="Times New Roman" w:hAnsi="Times New Roman" w:cs="Times New Roman"/>
          <w:sz w:val="24"/>
          <w:szCs w:val="24"/>
        </w:rPr>
        <w:t xml:space="preserve"> SS, </w:t>
      </w:r>
      <w:proofErr w:type="spellStart"/>
      <w:r w:rsidRPr="002A76C0">
        <w:rPr>
          <w:rFonts w:ascii="Times New Roman" w:hAnsi="Times New Roman" w:cs="Times New Roman"/>
          <w:sz w:val="24"/>
          <w:szCs w:val="24"/>
        </w:rPr>
        <w:t>Momenah</w:t>
      </w:r>
      <w:proofErr w:type="spellEnd"/>
      <w:r w:rsidRPr="002A76C0">
        <w:rPr>
          <w:rFonts w:ascii="Times New Roman" w:hAnsi="Times New Roman" w:cs="Times New Roman"/>
          <w:sz w:val="24"/>
          <w:szCs w:val="24"/>
        </w:rPr>
        <w:t xml:space="preserve"> AM, Alshehri OM, </w:t>
      </w:r>
      <w:proofErr w:type="spellStart"/>
      <w:r w:rsidRPr="002A76C0">
        <w:rPr>
          <w:rFonts w:ascii="Times New Roman" w:hAnsi="Times New Roman" w:cs="Times New Roman"/>
          <w:sz w:val="24"/>
          <w:szCs w:val="24"/>
        </w:rPr>
        <w:t>Mahnashi</w:t>
      </w:r>
      <w:proofErr w:type="spellEnd"/>
      <w:r w:rsidRPr="002A76C0">
        <w:rPr>
          <w:rFonts w:ascii="Times New Roman" w:hAnsi="Times New Roman" w:cs="Times New Roman"/>
          <w:sz w:val="24"/>
          <w:szCs w:val="24"/>
        </w:rPr>
        <w:t xml:space="preserve"> MH, Shaikh IA, Khan AA, Dafalla SE, </w:t>
      </w:r>
      <w:proofErr w:type="spellStart"/>
      <w:r w:rsidRPr="002A76C0">
        <w:rPr>
          <w:rFonts w:ascii="Times New Roman" w:hAnsi="Times New Roman" w:cs="Times New Roman"/>
          <w:sz w:val="24"/>
          <w:szCs w:val="24"/>
        </w:rPr>
        <w:t>Malpani</w:t>
      </w:r>
      <w:proofErr w:type="spellEnd"/>
      <w:r w:rsidRPr="002A76C0">
        <w:rPr>
          <w:rFonts w:ascii="Times New Roman" w:hAnsi="Times New Roman" w:cs="Times New Roman"/>
          <w:sz w:val="24"/>
          <w:szCs w:val="24"/>
        </w:rPr>
        <w:t xml:space="preserve"> J. Phytochemical screening of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2A76C0">
        <w:rPr>
          <w:rFonts w:ascii="Times New Roman" w:hAnsi="Times New Roman" w:cs="Times New Roman"/>
          <w:sz w:val="24"/>
          <w:szCs w:val="24"/>
        </w:rPr>
        <w:t xml:space="preserve"> and preliminary antidiabetic, antibacterial, antifibrinolytic, anthelmintic, antioxidant, and cytotoxic activity against lung cancer (A549) cell lines. Journal of King Saud University-Science. 2023 Jul 1;35(5):102683.</w:t>
      </w:r>
    </w:p>
    <w:p w14:paraId="3E5CA3FB" w14:textId="77777777" w:rsidR="00B7612A" w:rsidRDefault="00B7612A" w:rsidP="00B36F3F">
      <w:pPr>
        <w:numPr>
          <w:ilvl w:val="0"/>
          <w:numId w:val="19"/>
        </w:numPr>
        <w:ind w:left="1440" w:hanging="1080"/>
        <w:jc w:val="both"/>
        <w:rPr>
          <w:rFonts w:ascii="Times New Roman" w:hAnsi="Times New Roman" w:cs="Times New Roman"/>
          <w:sz w:val="24"/>
          <w:szCs w:val="24"/>
        </w:rPr>
      </w:pPr>
      <w:r w:rsidRPr="00B7612A">
        <w:rPr>
          <w:rFonts w:ascii="Times New Roman" w:hAnsi="Times New Roman" w:cs="Times New Roman"/>
          <w:sz w:val="24"/>
          <w:szCs w:val="24"/>
        </w:rPr>
        <w:t>Venugopalan A, Giridhar P. Bacterial growth inhibition potential of annatto plant parts. Asian Pacific Journal of Tropical Biomedicine. 2012 Jan 1;2(3</w:t>
      </w:r>
      <w:proofErr w:type="gramStart"/>
      <w:r w:rsidRPr="00B7612A">
        <w:rPr>
          <w:rFonts w:ascii="Times New Roman" w:hAnsi="Times New Roman" w:cs="Times New Roman"/>
          <w:sz w:val="24"/>
          <w:szCs w:val="24"/>
        </w:rPr>
        <w:t>):S</w:t>
      </w:r>
      <w:proofErr w:type="gramEnd"/>
      <w:r w:rsidRPr="00B7612A">
        <w:rPr>
          <w:rFonts w:ascii="Times New Roman" w:hAnsi="Times New Roman" w:cs="Times New Roman"/>
          <w:sz w:val="24"/>
          <w:szCs w:val="24"/>
        </w:rPr>
        <w:t>1879-82.</w:t>
      </w:r>
    </w:p>
    <w:p w14:paraId="030BA4A9" w14:textId="77777777" w:rsidR="00222C3F" w:rsidRDefault="00222C3F" w:rsidP="00B36F3F">
      <w:pPr>
        <w:numPr>
          <w:ilvl w:val="0"/>
          <w:numId w:val="19"/>
        </w:numPr>
        <w:ind w:left="1440" w:hanging="1080"/>
        <w:jc w:val="both"/>
        <w:rPr>
          <w:rFonts w:ascii="Times New Roman" w:hAnsi="Times New Roman" w:cs="Times New Roman"/>
          <w:sz w:val="24"/>
          <w:szCs w:val="24"/>
        </w:rPr>
      </w:pPr>
      <w:r w:rsidRPr="00222C3F">
        <w:rPr>
          <w:rFonts w:ascii="Times New Roman" w:hAnsi="Times New Roman" w:cs="Times New Roman"/>
          <w:sz w:val="24"/>
          <w:szCs w:val="24"/>
        </w:rPr>
        <w:t xml:space="preserve">Lopez CP, </w:t>
      </w:r>
      <w:proofErr w:type="spellStart"/>
      <w:r w:rsidRPr="00222C3F">
        <w:rPr>
          <w:rFonts w:ascii="Times New Roman" w:hAnsi="Times New Roman" w:cs="Times New Roman"/>
          <w:sz w:val="24"/>
          <w:szCs w:val="24"/>
        </w:rPr>
        <w:t>Sumalapao</w:t>
      </w:r>
      <w:proofErr w:type="spellEnd"/>
      <w:r w:rsidRPr="00222C3F">
        <w:rPr>
          <w:rFonts w:ascii="Times New Roman" w:hAnsi="Times New Roman" w:cs="Times New Roman"/>
          <w:sz w:val="24"/>
          <w:szCs w:val="24"/>
        </w:rPr>
        <w:t xml:space="preserve"> DE, </w:t>
      </w:r>
      <w:proofErr w:type="spellStart"/>
      <w:r w:rsidRPr="00222C3F">
        <w:rPr>
          <w:rFonts w:ascii="Times New Roman" w:hAnsi="Times New Roman" w:cs="Times New Roman"/>
          <w:sz w:val="24"/>
          <w:szCs w:val="24"/>
        </w:rPr>
        <w:t>Villarante</w:t>
      </w:r>
      <w:proofErr w:type="spellEnd"/>
      <w:r w:rsidRPr="00222C3F">
        <w:rPr>
          <w:rFonts w:ascii="Times New Roman" w:hAnsi="Times New Roman" w:cs="Times New Roman"/>
          <w:sz w:val="24"/>
          <w:szCs w:val="24"/>
        </w:rPr>
        <w:t xml:space="preserve"> NR. Hepatoprotective activity of aqueous and ethanolic </w:t>
      </w:r>
      <w:r w:rsidR="00457329">
        <w:rPr>
          <w:rFonts w:ascii="Times New Roman" w:hAnsi="Times New Roman" w:cs="Times New Roman"/>
          <w:sz w:val="24"/>
          <w:szCs w:val="24"/>
        </w:rPr>
        <w:t xml:space="preserve">Bixa </w:t>
      </w:r>
      <w:proofErr w:type="spellStart"/>
      <w:r w:rsidR="00457329">
        <w:rPr>
          <w:rFonts w:ascii="Times New Roman" w:hAnsi="Times New Roman" w:cs="Times New Roman"/>
          <w:sz w:val="24"/>
          <w:szCs w:val="24"/>
        </w:rPr>
        <w:t>orellana</w:t>
      </w:r>
      <w:proofErr w:type="spellEnd"/>
      <w:r w:rsidRPr="00222C3F">
        <w:rPr>
          <w:rFonts w:ascii="Times New Roman" w:hAnsi="Times New Roman" w:cs="Times New Roman"/>
          <w:sz w:val="24"/>
          <w:szCs w:val="24"/>
        </w:rPr>
        <w:t xml:space="preserve"> L. leaf extracts against carbon tetrachloride-induced hepatotoxicity. National Journal of Physiology, Pharmacy and Pharmacology. 2017;7(9):972.</w:t>
      </w:r>
    </w:p>
    <w:p w14:paraId="70B89E04" w14:textId="77777777" w:rsidR="00B7612A" w:rsidRPr="00B7612A" w:rsidRDefault="00B7612A" w:rsidP="00B36F3F">
      <w:pPr>
        <w:numPr>
          <w:ilvl w:val="0"/>
          <w:numId w:val="19"/>
        </w:numPr>
        <w:ind w:left="1440" w:hanging="1080"/>
        <w:jc w:val="both"/>
        <w:rPr>
          <w:rFonts w:ascii="Times New Roman" w:hAnsi="Times New Roman" w:cs="Times New Roman"/>
          <w:sz w:val="24"/>
          <w:szCs w:val="24"/>
        </w:rPr>
      </w:pPr>
      <w:r w:rsidRPr="00B7612A">
        <w:rPr>
          <w:rFonts w:ascii="Times New Roman" w:hAnsi="Times New Roman" w:cs="Times New Roman"/>
          <w:sz w:val="24"/>
          <w:szCs w:val="24"/>
        </w:rPr>
        <w:t xml:space="preserve">Chhetri SB, Khatri D, Parajuli K. Antioxidant, Anti‐Inflammatory, and Analgesic Activities of Aqueous Extract of </w:t>
      </w:r>
      <w:proofErr w:type="spellStart"/>
      <w:r w:rsidRPr="00B7612A">
        <w:rPr>
          <w:rFonts w:ascii="Times New Roman" w:hAnsi="Times New Roman" w:cs="Times New Roman"/>
          <w:sz w:val="24"/>
          <w:szCs w:val="24"/>
        </w:rPr>
        <w:t>Diploknema</w:t>
      </w:r>
      <w:proofErr w:type="spellEnd"/>
      <w:r w:rsidRPr="00B7612A">
        <w:rPr>
          <w:rFonts w:ascii="Times New Roman" w:hAnsi="Times New Roman" w:cs="Times New Roman"/>
          <w:sz w:val="24"/>
          <w:szCs w:val="24"/>
        </w:rPr>
        <w:t xml:space="preserve"> </w:t>
      </w:r>
      <w:proofErr w:type="spellStart"/>
      <w:r w:rsidRPr="00B7612A">
        <w:rPr>
          <w:rFonts w:ascii="Times New Roman" w:hAnsi="Times New Roman" w:cs="Times New Roman"/>
          <w:sz w:val="24"/>
          <w:szCs w:val="24"/>
        </w:rPr>
        <w:t>butyracea</w:t>
      </w:r>
      <w:proofErr w:type="spellEnd"/>
      <w:r w:rsidRPr="00B7612A">
        <w:rPr>
          <w:rFonts w:ascii="Times New Roman" w:hAnsi="Times New Roman" w:cs="Times New Roman"/>
          <w:sz w:val="24"/>
          <w:szCs w:val="24"/>
        </w:rPr>
        <w:t xml:space="preserve"> (</w:t>
      </w:r>
      <w:proofErr w:type="spellStart"/>
      <w:r w:rsidRPr="00B7612A">
        <w:rPr>
          <w:rFonts w:ascii="Times New Roman" w:hAnsi="Times New Roman" w:cs="Times New Roman"/>
          <w:sz w:val="24"/>
          <w:szCs w:val="24"/>
        </w:rPr>
        <w:t>Roxb</w:t>
      </w:r>
      <w:proofErr w:type="spellEnd"/>
      <w:r w:rsidRPr="00B7612A">
        <w:rPr>
          <w:rFonts w:ascii="Times New Roman" w:hAnsi="Times New Roman" w:cs="Times New Roman"/>
          <w:sz w:val="24"/>
          <w:szCs w:val="24"/>
        </w:rPr>
        <w:t>.) HJ Lam Bark. The Scientific World Journal. 2020;2020(1):6141847.</w:t>
      </w:r>
    </w:p>
    <w:sectPr w:rsidR="00B7612A" w:rsidRPr="00B761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4387" w14:textId="77777777" w:rsidR="00B41F05" w:rsidRDefault="00B41F05" w:rsidP="00EE0BD4">
      <w:pPr>
        <w:spacing w:after="0" w:line="240" w:lineRule="auto"/>
      </w:pPr>
      <w:r>
        <w:separator/>
      </w:r>
    </w:p>
  </w:endnote>
  <w:endnote w:type="continuationSeparator" w:id="0">
    <w:p w14:paraId="31AAE4C3" w14:textId="77777777" w:rsidR="00B41F05" w:rsidRDefault="00B41F05" w:rsidP="00EE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E41" w14:textId="77777777" w:rsidR="00570B52" w:rsidRDefault="0057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2AFC" w14:textId="77777777" w:rsidR="00570B52" w:rsidRDefault="00570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C0C6" w14:textId="77777777" w:rsidR="00570B52" w:rsidRDefault="0057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8975" w14:textId="77777777" w:rsidR="00B41F05" w:rsidRDefault="00B41F05" w:rsidP="00EE0BD4">
      <w:pPr>
        <w:spacing w:after="0" w:line="240" w:lineRule="auto"/>
      </w:pPr>
      <w:r>
        <w:separator/>
      </w:r>
    </w:p>
  </w:footnote>
  <w:footnote w:type="continuationSeparator" w:id="0">
    <w:p w14:paraId="3158FF02" w14:textId="77777777" w:rsidR="00B41F05" w:rsidRDefault="00B41F05" w:rsidP="00EE0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978" w14:textId="60316C6E" w:rsidR="00570B52" w:rsidRDefault="00000000">
    <w:pPr>
      <w:pStyle w:val="Header"/>
    </w:pPr>
    <w:r>
      <w:rPr>
        <w:noProof/>
      </w:rPr>
      <w:pict w14:anchorId="610A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F1DD" w14:textId="529AE496" w:rsidR="00570B52" w:rsidRDefault="00000000">
    <w:pPr>
      <w:pStyle w:val="Header"/>
    </w:pPr>
    <w:r>
      <w:rPr>
        <w:noProof/>
      </w:rPr>
      <w:pict w14:anchorId="74BEB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B613" w14:textId="7500B9D7" w:rsidR="00570B52" w:rsidRDefault="00000000">
    <w:pPr>
      <w:pStyle w:val="Header"/>
    </w:pPr>
    <w:r>
      <w:rPr>
        <w:noProof/>
      </w:rPr>
      <w:pict w14:anchorId="78E49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80B"/>
    <w:multiLevelType w:val="multilevel"/>
    <w:tmpl w:val="06FE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C1E45"/>
    <w:multiLevelType w:val="hybridMultilevel"/>
    <w:tmpl w:val="7E146810"/>
    <w:lvl w:ilvl="0" w:tplc="946C8D9E">
      <w:start w:val="37"/>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38F8"/>
    <w:multiLevelType w:val="hybridMultilevel"/>
    <w:tmpl w:val="C41C1BF4"/>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20747"/>
    <w:multiLevelType w:val="hybridMultilevel"/>
    <w:tmpl w:val="3F58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422E"/>
    <w:multiLevelType w:val="multilevel"/>
    <w:tmpl w:val="432E9E1C"/>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011260E"/>
    <w:multiLevelType w:val="hybridMultilevel"/>
    <w:tmpl w:val="2EEA4F60"/>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E38E0"/>
    <w:multiLevelType w:val="hybridMultilevel"/>
    <w:tmpl w:val="FB047AE8"/>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C3FA2"/>
    <w:multiLevelType w:val="hybridMultilevel"/>
    <w:tmpl w:val="92B80C7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961B4"/>
    <w:multiLevelType w:val="hybridMultilevel"/>
    <w:tmpl w:val="DB8C2248"/>
    <w:lvl w:ilvl="0" w:tplc="E9ECA162">
      <w:start w:val="40"/>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E25C1"/>
    <w:multiLevelType w:val="multilevel"/>
    <w:tmpl w:val="1D360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4613AA"/>
    <w:multiLevelType w:val="multilevel"/>
    <w:tmpl w:val="2152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7B369C"/>
    <w:multiLevelType w:val="hybridMultilevel"/>
    <w:tmpl w:val="7332B13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76A8E"/>
    <w:multiLevelType w:val="hybridMultilevel"/>
    <w:tmpl w:val="2A489A6C"/>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E2BFE"/>
    <w:multiLevelType w:val="hybridMultilevel"/>
    <w:tmpl w:val="A3822FA0"/>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B7460"/>
    <w:multiLevelType w:val="hybridMultilevel"/>
    <w:tmpl w:val="02C48A0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E7057"/>
    <w:multiLevelType w:val="hybridMultilevel"/>
    <w:tmpl w:val="6852833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840E0"/>
    <w:multiLevelType w:val="hybridMultilevel"/>
    <w:tmpl w:val="785866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8C6618"/>
    <w:multiLevelType w:val="hybridMultilevel"/>
    <w:tmpl w:val="944CAE92"/>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497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831784">
    <w:abstractNumId w:val="0"/>
  </w:num>
  <w:num w:numId="3" w16cid:durableId="935745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112316">
    <w:abstractNumId w:val="3"/>
  </w:num>
  <w:num w:numId="5" w16cid:durableId="1491285489">
    <w:abstractNumId w:val="16"/>
  </w:num>
  <w:num w:numId="6" w16cid:durableId="169292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111789">
    <w:abstractNumId w:val="17"/>
  </w:num>
  <w:num w:numId="8" w16cid:durableId="1414471611">
    <w:abstractNumId w:val="6"/>
  </w:num>
  <w:num w:numId="9" w16cid:durableId="1969427963">
    <w:abstractNumId w:val="8"/>
  </w:num>
  <w:num w:numId="10" w16cid:durableId="1045375940">
    <w:abstractNumId w:val="2"/>
  </w:num>
  <w:num w:numId="11" w16cid:durableId="1820882202">
    <w:abstractNumId w:val="1"/>
  </w:num>
  <w:num w:numId="12" w16cid:durableId="1699618354">
    <w:abstractNumId w:val="13"/>
  </w:num>
  <w:num w:numId="13" w16cid:durableId="2084335351">
    <w:abstractNumId w:val="5"/>
  </w:num>
  <w:num w:numId="14" w16cid:durableId="779570557">
    <w:abstractNumId w:val="7"/>
  </w:num>
  <w:num w:numId="15" w16cid:durableId="1105923390">
    <w:abstractNumId w:val="12"/>
  </w:num>
  <w:num w:numId="16" w16cid:durableId="1366904975">
    <w:abstractNumId w:val="14"/>
  </w:num>
  <w:num w:numId="17" w16cid:durableId="246502753">
    <w:abstractNumId w:val="15"/>
  </w:num>
  <w:num w:numId="18" w16cid:durableId="497186140">
    <w:abstractNumId w:val="11"/>
  </w:num>
  <w:num w:numId="19" w16cid:durableId="698314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F9"/>
    <w:rsid w:val="00005EB8"/>
    <w:rsid w:val="00010B53"/>
    <w:rsid w:val="00016946"/>
    <w:rsid w:val="00041C98"/>
    <w:rsid w:val="000475CC"/>
    <w:rsid w:val="00062008"/>
    <w:rsid w:val="00081C16"/>
    <w:rsid w:val="000824B9"/>
    <w:rsid w:val="00092924"/>
    <w:rsid w:val="000A097D"/>
    <w:rsid w:val="000C33A6"/>
    <w:rsid w:val="000E5E1C"/>
    <w:rsid w:val="000F6BD9"/>
    <w:rsid w:val="00100C5C"/>
    <w:rsid w:val="00107BE6"/>
    <w:rsid w:val="00137386"/>
    <w:rsid w:val="001664E4"/>
    <w:rsid w:val="00181F97"/>
    <w:rsid w:val="001827EF"/>
    <w:rsid w:val="001D3524"/>
    <w:rsid w:val="001E062F"/>
    <w:rsid w:val="001E368C"/>
    <w:rsid w:val="001E5AFB"/>
    <w:rsid w:val="001F7E49"/>
    <w:rsid w:val="0020270F"/>
    <w:rsid w:val="00222C3F"/>
    <w:rsid w:val="002310B3"/>
    <w:rsid w:val="00250F28"/>
    <w:rsid w:val="00254627"/>
    <w:rsid w:val="00281621"/>
    <w:rsid w:val="00294E58"/>
    <w:rsid w:val="002A37B4"/>
    <w:rsid w:val="002A76C0"/>
    <w:rsid w:val="002C38FA"/>
    <w:rsid w:val="002D5F3E"/>
    <w:rsid w:val="002E7897"/>
    <w:rsid w:val="003128B6"/>
    <w:rsid w:val="00334490"/>
    <w:rsid w:val="00343519"/>
    <w:rsid w:val="00353D58"/>
    <w:rsid w:val="00354496"/>
    <w:rsid w:val="003575C7"/>
    <w:rsid w:val="00361870"/>
    <w:rsid w:val="00393CAA"/>
    <w:rsid w:val="003C660E"/>
    <w:rsid w:val="003E5E6B"/>
    <w:rsid w:val="004116BE"/>
    <w:rsid w:val="00417481"/>
    <w:rsid w:val="00423AC5"/>
    <w:rsid w:val="004275C4"/>
    <w:rsid w:val="00430BD3"/>
    <w:rsid w:val="00457329"/>
    <w:rsid w:val="00475CCE"/>
    <w:rsid w:val="00475CF0"/>
    <w:rsid w:val="004929C5"/>
    <w:rsid w:val="00496B2E"/>
    <w:rsid w:val="004A55BC"/>
    <w:rsid w:val="004B7611"/>
    <w:rsid w:val="004D2712"/>
    <w:rsid w:val="004F1D3B"/>
    <w:rsid w:val="00512341"/>
    <w:rsid w:val="005126B3"/>
    <w:rsid w:val="00512CAD"/>
    <w:rsid w:val="00535046"/>
    <w:rsid w:val="005527C6"/>
    <w:rsid w:val="005573B9"/>
    <w:rsid w:val="00570B52"/>
    <w:rsid w:val="005764DD"/>
    <w:rsid w:val="0057653D"/>
    <w:rsid w:val="005826FE"/>
    <w:rsid w:val="00590B45"/>
    <w:rsid w:val="005A2EBA"/>
    <w:rsid w:val="005B1FEF"/>
    <w:rsid w:val="005D1A60"/>
    <w:rsid w:val="005D6143"/>
    <w:rsid w:val="0060599A"/>
    <w:rsid w:val="006241C9"/>
    <w:rsid w:val="006618F3"/>
    <w:rsid w:val="006631DC"/>
    <w:rsid w:val="00665A33"/>
    <w:rsid w:val="00686E48"/>
    <w:rsid w:val="00687BD8"/>
    <w:rsid w:val="006929FA"/>
    <w:rsid w:val="006B78E1"/>
    <w:rsid w:val="006C1235"/>
    <w:rsid w:val="006D64E7"/>
    <w:rsid w:val="00701626"/>
    <w:rsid w:val="00720A39"/>
    <w:rsid w:val="00722961"/>
    <w:rsid w:val="0073697C"/>
    <w:rsid w:val="00742B2E"/>
    <w:rsid w:val="00764F4D"/>
    <w:rsid w:val="007713C9"/>
    <w:rsid w:val="00784BBA"/>
    <w:rsid w:val="00786F3E"/>
    <w:rsid w:val="007954A6"/>
    <w:rsid w:val="007D08BB"/>
    <w:rsid w:val="007D3AF4"/>
    <w:rsid w:val="007D50AA"/>
    <w:rsid w:val="007E5594"/>
    <w:rsid w:val="007F5687"/>
    <w:rsid w:val="007F616A"/>
    <w:rsid w:val="00803229"/>
    <w:rsid w:val="00822BD3"/>
    <w:rsid w:val="00841AFD"/>
    <w:rsid w:val="00874E55"/>
    <w:rsid w:val="0089184E"/>
    <w:rsid w:val="008C2384"/>
    <w:rsid w:val="008E173A"/>
    <w:rsid w:val="00903388"/>
    <w:rsid w:val="009B7A04"/>
    <w:rsid w:val="009C770B"/>
    <w:rsid w:val="009D6CBD"/>
    <w:rsid w:val="009F0FAA"/>
    <w:rsid w:val="009F6B01"/>
    <w:rsid w:val="00A0516C"/>
    <w:rsid w:val="00A11BA0"/>
    <w:rsid w:val="00A270ED"/>
    <w:rsid w:val="00A63194"/>
    <w:rsid w:val="00A63DC2"/>
    <w:rsid w:val="00A726D1"/>
    <w:rsid w:val="00AB406A"/>
    <w:rsid w:val="00AE5944"/>
    <w:rsid w:val="00AF142B"/>
    <w:rsid w:val="00AF7ADA"/>
    <w:rsid w:val="00B00950"/>
    <w:rsid w:val="00B14ABE"/>
    <w:rsid w:val="00B31631"/>
    <w:rsid w:val="00B36F3F"/>
    <w:rsid w:val="00B41F05"/>
    <w:rsid w:val="00B7612A"/>
    <w:rsid w:val="00B81DF8"/>
    <w:rsid w:val="00BB0B05"/>
    <w:rsid w:val="00BC61A1"/>
    <w:rsid w:val="00BD6F93"/>
    <w:rsid w:val="00BE2B2C"/>
    <w:rsid w:val="00BE4C4C"/>
    <w:rsid w:val="00C168D6"/>
    <w:rsid w:val="00C40974"/>
    <w:rsid w:val="00C42029"/>
    <w:rsid w:val="00C65E8E"/>
    <w:rsid w:val="00C82C7E"/>
    <w:rsid w:val="00C82D9F"/>
    <w:rsid w:val="00C83C25"/>
    <w:rsid w:val="00C85E79"/>
    <w:rsid w:val="00C9444B"/>
    <w:rsid w:val="00CA12A7"/>
    <w:rsid w:val="00CB3CDA"/>
    <w:rsid w:val="00CB5856"/>
    <w:rsid w:val="00CB67C3"/>
    <w:rsid w:val="00CD0148"/>
    <w:rsid w:val="00CE6B8C"/>
    <w:rsid w:val="00D02743"/>
    <w:rsid w:val="00D043A0"/>
    <w:rsid w:val="00D13655"/>
    <w:rsid w:val="00D17FD1"/>
    <w:rsid w:val="00D2541F"/>
    <w:rsid w:val="00D82E70"/>
    <w:rsid w:val="00D92F77"/>
    <w:rsid w:val="00DB1831"/>
    <w:rsid w:val="00DB1DA1"/>
    <w:rsid w:val="00DC23BD"/>
    <w:rsid w:val="00DC56E9"/>
    <w:rsid w:val="00DC758C"/>
    <w:rsid w:val="00DF6BD5"/>
    <w:rsid w:val="00DF7102"/>
    <w:rsid w:val="00E14C72"/>
    <w:rsid w:val="00E420A2"/>
    <w:rsid w:val="00E464EA"/>
    <w:rsid w:val="00E62073"/>
    <w:rsid w:val="00E62C7F"/>
    <w:rsid w:val="00E6449D"/>
    <w:rsid w:val="00E73178"/>
    <w:rsid w:val="00E80A1A"/>
    <w:rsid w:val="00EA0628"/>
    <w:rsid w:val="00EA099E"/>
    <w:rsid w:val="00EB0AF9"/>
    <w:rsid w:val="00EB195E"/>
    <w:rsid w:val="00EB6400"/>
    <w:rsid w:val="00EC1582"/>
    <w:rsid w:val="00ED64DB"/>
    <w:rsid w:val="00EE0BD4"/>
    <w:rsid w:val="00F13CD0"/>
    <w:rsid w:val="00F23E8B"/>
    <w:rsid w:val="00F43E7F"/>
    <w:rsid w:val="00F51C8C"/>
    <w:rsid w:val="00F53074"/>
    <w:rsid w:val="00F5356C"/>
    <w:rsid w:val="00F625A8"/>
    <w:rsid w:val="00F73CD7"/>
    <w:rsid w:val="00F85F65"/>
    <w:rsid w:val="00FB7BDB"/>
    <w:rsid w:val="00FC2BCE"/>
    <w:rsid w:val="00FC6BB1"/>
    <w:rsid w:val="00FC7E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E723"/>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x5hiaf">
    <w:name w:val="css-x5hiaf"/>
    <w:basedOn w:val="DefaultParagraphFont"/>
    <w:rsid w:val="002A37B4"/>
  </w:style>
  <w:style w:type="character" w:customStyle="1" w:styleId="css-0">
    <w:name w:val="css-0"/>
    <w:basedOn w:val="DefaultParagraphFont"/>
    <w:rsid w:val="002A37B4"/>
  </w:style>
  <w:style w:type="character" w:customStyle="1" w:styleId="css-rh820s">
    <w:name w:val="css-rh820s"/>
    <w:basedOn w:val="DefaultParagraphFont"/>
    <w:rsid w:val="002A37B4"/>
  </w:style>
  <w:style w:type="character" w:customStyle="1" w:styleId="css-15iwe0d">
    <w:name w:val="css-15iwe0d"/>
    <w:basedOn w:val="DefaultParagraphFont"/>
    <w:rsid w:val="002A37B4"/>
  </w:style>
  <w:style w:type="character" w:customStyle="1" w:styleId="css-2yp7ui">
    <w:name w:val="css-2yp7ui"/>
    <w:basedOn w:val="DefaultParagraphFont"/>
    <w:rsid w:val="002A37B4"/>
  </w:style>
  <w:style w:type="character" w:customStyle="1" w:styleId="css-1eh0vfs">
    <w:name w:val="css-1eh0vfs"/>
    <w:basedOn w:val="DefaultParagraphFont"/>
    <w:rsid w:val="002A37B4"/>
  </w:style>
  <w:style w:type="character" w:customStyle="1" w:styleId="css-1ber87j">
    <w:name w:val="css-1ber87j"/>
    <w:basedOn w:val="DefaultParagraphFont"/>
    <w:rsid w:val="002A37B4"/>
  </w:style>
  <w:style w:type="table" w:styleId="TableGrid">
    <w:name w:val="Table Grid"/>
    <w:basedOn w:val="TableNormal"/>
    <w:uiPriority w:val="59"/>
    <w:rsid w:val="002A37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3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7B4"/>
    <w:rPr>
      <w:rFonts w:ascii="Tahoma" w:hAnsi="Tahoma" w:cs="Tahoma"/>
      <w:sz w:val="16"/>
      <w:szCs w:val="16"/>
    </w:rPr>
  </w:style>
  <w:style w:type="table" w:customStyle="1" w:styleId="TableGridLight1">
    <w:name w:val="Table Grid Light1"/>
    <w:basedOn w:val="TableNormal"/>
    <w:uiPriority w:val="40"/>
    <w:rsid w:val="00686E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116BE"/>
    <w:rPr>
      <w:color w:val="808080"/>
    </w:rPr>
  </w:style>
  <w:style w:type="character" w:styleId="Emphasis">
    <w:name w:val="Emphasis"/>
    <w:basedOn w:val="DefaultParagraphFont"/>
    <w:uiPriority w:val="20"/>
    <w:qFormat/>
    <w:rsid w:val="001827EF"/>
    <w:rPr>
      <w:i/>
      <w:iCs/>
    </w:rPr>
  </w:style>
  <w:style w:type="character" w:styleId="Hyperlink">
    <w:name w:val="Hyperlink"/>
    <w:basedOn w:val="DefaultParagraphFont"/>
    <w:uiPriority w:val="99"/>
    <w:unhideWhenUsed/>
    <w:rsid w:val="00D13655"/>
    <w:rPr>
      <w:color w:val="0563C1" w:themeColor="hyperlink"/>
      <w:u w:val="single"/>
    </w:rPr>
  </w:style>
  <w:style w:type="paragraph" w:styleId="ListParagraph">
    <w:name w:val="List Paragraph"/>
    <w:basedOn w:val="Normal"/>
    <w:uiPriority w:val="34"/>
    <w:qFormat/>
    <w:rsid w:val="00430BD3"/>
    <w:pPr>
      <w:ind w:left="720"/>
      <w:contextualSpacing/>
    </w:pPr>
  </w:style>
  <w:style w:type="paragraph" w:styleId="Header">
    <w:name w:val="header"/>
    <w:basedOn w:val="Normal"/>
    <w:link w:val="HeaderChar"/>
    <w:uiPriority w:val="99"/>
    <w:unhideWhenUsed/>
    <w:rsid w:val="00EE0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D4"/>
  </w:style>
  <w:style w:type="paragraph" w:styleId="Footer">
    <w:name w:val="footer"/>
    <w:basedOn w:val="Normal"/>
    <w:link w:val="FooterChar"/>
    <w:uiPriority w:val="99"/>
    <w:unhideWhenUsed/>
    <w:rsid w:val="00EE0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D4"/>
  </w:style>
  <w:style w:type="character" w:customStyle="1" w:styleId="UnresolvedMention1">
    <w:name w:val="Unresolved Mention1"/>
    <w:basedOn w:val="DefaultParagraphFont"/>
    <w:uiPriority w:val="99"/>
    <w:semiHidden/>
    <w:unhideWhenUsed/>
    <w:rsid w:val="0016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0494">
      <w:bodyDiv w:val="1"/>
      <w:marLeft w:val="0"/>
      <w:marRight w:val="0"/>
      <w:marTop w:val="0"/>
      <w:marBottom w:val="0"/>
      <w:divBdr>
        <w:top w:val="none" w:sz="0" w:space="0" w:color="auto"/>
        <w:left w:val="none" w:sz="0" w:space="0" w:color="auto"/>
        <w:bottom w:val="none" w:sz="0" w:space="0" w:color="auto"/>
        <w:right w:val="none" w:sz="0" w:space="0" w:color="auto"/>
      </w:divBdr>
    </w:div>
    <w:div w:id="266155103">
      <w:bodyDiv w:val="1"/>
      <w:marLeft w:val="0"/>
      <w:marRight w:val="0"/>
      <w:marTop w:val="0"/>
      <w:marBottom w:val="0"/>
      <w:divBdr>
        <w:top w:val="none" w:sz="0" w:space="0" w:color="auto"/>
        <w:left w:val="none" w:sz="0" w:space="0" w:color="auto"/>
        <w:bottom w:val="none" w:sz="0" w:space="0" w:color="auto"/>
        <w:right w:val="none" w:sz="0" w:space="0" w:color="auto"/>
      </w:divBdr>
    </w:div>
    <w:div w:id="342753617">
      <w:bodyDiv w:val="1"/>
      <w:marLeft w:val="0"/>
      <w:marRight w:val="0"/>
      <w:marTop w:val="0"/>
      <w:marBottom w:val="0"/>
      <w:divBdr>
        <w:top w:val="none" w:sz="0" w:space="0" w:color="auto"/>
        <w:left w:val="none" w:sz="0" w:space="0" w:color="auto"/>
        <w:bottom w:val="none" w:sz="0" w:space="0" w:color="auto"/>
        <w:right w:val="none" w:sz="0" w:space="0" w:color="auto"/>
      </w:divBdr>
    </w:div>
    <w:div w:id="356392400">
      <w:bodyDiv w:val="1"/>
      <w:marLeft w:val="0"/>
      <w:marRight w:val="0"/>
      <w:marTop w:val="0"/>
      <w:marBottom w:val="0"/>
      <w:divBdr>
        <w:top w:val="none" w:sz="0" w:space="0" w:color="auto"/>
        <w:left w:val="none" w:sz="0" w:space="0" w:color="auto"/>
        <w:bottom w:val="none" w:sz="0" w:space="0" w:color="auto"/>
        <w:right w:val="none" w:sz="0" w:space="0" w:color="auto"/>
      </w:divBdr>
    </w:div>
    <w:div w:id="371807888">
      <w:bodyDiv w:val="1"/>
      <w:marLeft w:val="0"/>
      <w:marRight w:val="0"/>
      <w:marTop w:val="0"/>
      <w:marBottom w:val="0"/>
      <w:divBdr>
        <w:top w:val="none" w:sz="0" w:space="0" w:color="auto"/>
        <w:left w:val="none" w:sz="0" w:space="0" w:color="auto"/>
        <w:bottom w:val="none" w:sz="0" w:space="0" w:color="auto"/>
        <w:right w:val="none" w:sz="0" w:space="0" w:color="auto"/>
      </w:divBdr>
    </w:div>
    <w:div w:id="433015345">
      <w:bodyDiv w:val="1"/>
      <w:marLeft w:val="0"/>
      <w:marRight w:val="0"/>
      <w:marTop w:val="0"/>
      <w:marBottom w:val="0"/>
      <w:divBdr>
        <w:top w:val="none" w:sz="0" w:space="0" w:color="auto"/>
        <w:left w:val="none" w:sz="0" w:space="0" w:color="auto"/>
        <w:bottom w:val="none" w:sz="0" w:space="0" w:color="auto"/>
        <w:right w:val="none" w:sz="0" w:space="0" w:color="auto"/>
      </w:divBdr>
      <w:divsChild>
        <w:div w:id="2060930458">
          <w:marLeft w:val="0"/>
          <w:marRight w:val="0"/>
          <w:marTop w:val="0"/>
          <w:marBottom w:val="0"/>
          <w:divBdr>
            <w:top w:val="none" w:sz="0" w:space="0" w:color="auto"/>
            <w:left w:val="none" w:sz="0" w:space="0" w:color="auto"/>
            <w:bottom w:val="none" w:sz="0" w:space="0" w:color="auto"/>
            <w:right w:val="none" w:sz="0" w:space="0" w:color="auto"/>
          </w:divBdr>
        </w:div>
      </w:divsChild>
    </w:div>
    <w:div w:id="581914894">
      <w:bodyDiv w:val="1"/>
      <w:marLeft w:val="0"/>
      <w:marRight w:val="0"/>
      <w:marTop w:val="0"/>
      <w:marBottom w:val="0"/>
      <w:divBdr>
        <w:top w:val="none" w:sz="0" w:space="0" w:color="auto"/>
        <w:left w:val="none" w:sz="0" w:space="0" w:color="auto"/>
        <w:bottom w:val="none" w:sz="0" w:space="0" w:color="auto"/>
        <w:right w:val="none" w:sz="0" w:space="0" w:color="auto"/>
      </w:divBdr>
      <w:divsChild>
        <w:div w:id="1980840348">
          <w:marLeft w:val="0"/>
          <w:marRight w:val="0"/>
          <w:marTop w:val="0"/>
          <w:marBottom w:val="0"/>
          <w:divBdr>
            <w:top w:val="none" w:sz="0" w:space="0" w:color="auto"/>
            <w:left w:val="none" w:sz="0" w:space="0" w:color="auto"/>
            <w:bottom w:val="none" w:sz="0" w:space="0" w:color="auto"/>
            <w:right w:val="none" w:sz="0" w:space="0" w:color="auto"/>
          </w:divBdr>
        </w:div>
      </w:divsChild>
    </w:div>
    <w:div w:id="666985542">
      <w:bodyDiv w:val="1"/>
      <w:marLeft w:val="0"/>
      <w:marRight w:val="0"/>
      <w:marTop w:val="0"/>
      <w:marBottom w:val="0"/>
      <w:divBdr>
        <w:top w:val="none" w:sz="0" w:space="0" w:color="auto"/>
        <w:left w:val="none" w:sz="0" w:space="0" w:color="auto"/>
        <w:bottom w:val="none" w:sz="0" w:space="0" w:color="auto"/>
        <w:right w:val="none" w:sz="0" w:space="0" w:color="auto"/>
      </w:divBdr>
      <w:divsChild>
        <w:div w:id="1704019647">
          <w:marLeft w:val="0"/>
          <w:marRight w:val="0"/>
          <w:marTop w:val="0"/>
          <w:marBottom w:val="0"/>
          <w:divBdr>
            <w:top w:val="none" w:sz="0" w:space="0" w:color="auto"/>
            <w:left w:val="none" w:sz="0" w:space="0" w:color="auto"/>
            <w:bottom w:val="none" w:sz="0" w:space="0" w:color="auto"/>
            <w:right w:val="none" w:sz="0" w:space="0" w:color="auto"/>
          </w:divBdr>
        </w:div>
      </w:divsChild>
    </w:div>
    <w:div w:id="679164887">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sChild>
        <w:div w:id="941495685">
          <w:marLeft w:val="0"/>
          <w:marRight w:val="0"/>
          <w:marTop w:val="0"/>
          <w:marBottom w:val="0"/>
          <w:divBdr>
            <w:top w:val="none" w:sz="0" w:space="0" w:color="auto"/>
            <w:left w:val="none" w:sz="0" w:space="0" w:color="auto"/>
            <w:bottom w:val="none" w:sz="0" w:space="0" w:color="auto"/>
            <w:right w:val="none" w:sz="0" w:space="0" w:color="auto"/>
          </w:divBdr>
        </w:div>
      </w:divsChild>
    </w:div>
    <w:div w:id="807017124">
      <w:bodyDiv w:val="1"/>
      <w:marLeft w:val="0"/>
      <w:marRight w:val="0"/>
      <w:marTop w:val="0"/>
      <w:marBottom w:val="0"/>
      <w:divBdr>
        <w:top w:val="none" w:sz="0" w:space="0" w:color="auto"/>
        <w:left w:val="none" w:sz="0" w:space="0" w:color="auto"/>
        <w:bottom w:val="none" w:sz="0" w:space="0" w:color="auto"/>
        <w:right w:val="none" w:sz="0" w:space="0" w:color="auto"/>
      </w:divBdr>
      <w:divsChild>
        <w:div w:id="249511525">
          <w:marLeft w:val="0"/>
          <w:marRight w:val="0"/>
          <w:marTop w:val="0"/>
          <w:marBottom w:val="0"/>
          <w:divBdr>
            <w:top w:val="none" w:sz="0" w:space="0" w:color="auto"/>
            <w:left w:val="none" w:sz="0" w:space="0" w:color="auto"/>
            <w:bottom w:val="none" w:sz="0" w:space="0" w:color="auto"/>
            <w:right w:val="none" w:sz="0" w:space="0" w:color="auto"/>
          </w:divBdr>
        </w:div>
      </w:divsChild>
    </w:div>
    <w:div w:id="990987476">
      <w:bodyDiv w:val="1"/>
      <w:marLeft w:val="0"/>
      <w:marRight w:val="0"/>
      <w:marTop w:val="0"/>
      <w:marBottom w:val="0"/>
      <w:divBdr>
        <w:top w:val="none" w:sz="0" w:space="0" w:color="auto"/>
        <w:left w:val="none" w:sz="0" w:space="0" w:color="auto"/>
        <w:bottom w:val="none" w:sz="0" w:space="0" w:color="auto"/>
        <w:right w:val="none" w:sz="0" w:space="0" w:color="auto"/>
      </w:divBdr>
    </w:div>
    <w:div w:id="1029525864">
      <w:bodyDiv w:val="1"/>
      <w:marLeft w:val="0"/>
      <w:marRight w:val="0"/>
      <w:marTop w:val="0"/>
      <w:marBottom w:val="0"/>
      <w:divBdr>
        <w:top w:val="none" w:sz="0" w:space="0" w:color="auto"/>
        <w:left w:val="none" w:sz="0" w:space="0" w:color="auto"/>
        <w:bottom w:val="none" w:sz="0" w:space="0" w:color="auto"/>
        <w:right w:val="none" w:sz="0" w:space="0" w:color="auto"/>
      </w:divBdr>
      <w:divsChild>
        <w:div w:id="212810938">
          <w:marLeft w:val="0"/>
          <w:marRight w:val="0"/>
          <w:marTop w:val="0"/>
          <w:marBottom w:val="0"/>
          <w:divBdr>
            <w:top w:val="none" w:sz="0" w:space="0" w:color="auto"/>
            <w:left w:val="none" w:sz="0" w:space="0" w:color="auto"/>
            <w:bottom w:val="none" w:sz="0" w:space="0" w:color="auto"/>
            <w:right w:val="none" w:sz="0" w:space="0" w:color="auto"/>
          </w:divBdr>
        </w:div>
      </w:divsChild>
    </w:div>
    <w:div w:id="1052079299">
      <w:bodyDiv w:val="1"/>
      <w:marLeft w:val="0"/>
      <w:marRight w:val="0"/>
      <w:marTop w:val="0"/>
      <w:marBottom w:val="0"/>
      <w:divBdr>
        <w:top w:val="none" w:sz="0" w:space="0" w:color="auto"/>
        <w:left w:val="none" w:sz="0" w:space="0" w:color="auto"/>
        <w:bottom w:val="none" w:sz="0" w:space="0" w:color="auto"/>
        <w:right w:val="none" w:sz="0" w:space="0" w:color="auto"/>
      </w:divBdr>
    </w:div>
    <w:div w:id="1063066791">
      <w:bodyDiv w:val="1"/>
      <w:marLeft w:val="0"/>
      <w:marRight w:val="0"/>
      <w:marTop w:val="0"/>
      <w:marBottom w:val="0"/>
      <w:divBdr>
        <w:top w:val="none" w:sz="0" w:space="0" w:color="auto"/>
        <w:left w:val="none" w:sz="0" w:space="0" w:color="auto"/>
        <w:bottom w:val="none" w:sz="0" w:space="0" w:color="auto"/>
        <w:right w:val="none" w:sz="0" w:space="0" w:color="auto"/>
      </w:divBdr>
    </w:div>
    <w:div w:id="1077364601">
      <w:bodyDiv w:val="1"/>
      <w:marLeft w:val="0"/>
      <w:marRight w:val="0"/>
      <w:marTop w:val="0"/>
      <w:marBottom w:val="0"/>
      <w:divBdr>
        <w:top w:val="none" w:sz="0" w:space="0" w:color="auto"/>
        <w:left w:val="none" w:sz="0" w:space="0" w:color="auto"/>
        <w:bottom w:val="none" w:sz="0" w:space="0" w:color="auto"/>
        <w:right w:val="none" w:sz="0" w:space="0" w:color="auto"/>
      </w:divBdr>
    </w:div>
    <w:div w:id="1116221618">
      <w:bodyDiv w:val="1"/>
      <w:marLeft w:val="0"/>
      <w:marRight w:val="0"/>
      <w:marTop w:val="0"/>
      <w:marBottom w:val="0"/>
      <w:divBdr>
        <w:top w:val="none" w:sz="0" w:space="0" w:color="auto"/>
        <w:left w:val="none" w:sz="0" w:space="0" w:color="auto"/>
        <w:bottom w:val="none" w:sz="0" w:space="0" w:color="auto"/>
        <w:right w:val="none" w:sz="0" w:space="0" w:color="auto"/>
      </w:divBdr>
    </w:div>
    <w:div w:id="1192838926">
      <w:bodyDiv w:val="1"/>
      <w:marLeft w:val="0"/>
      <w:marRight w:val="0"/>
      <w:marTop w:val="0"/>
      <w:marBottom w:val="0"/>
      <w:divBdr>
        <w:top w:val="none" w:sz="0" w:space="0" w:color="auto"/>
        <w:left w:val="none" w:sz="0" w:space="0" w:color="auto"/>
        <w:bottom w:val="none" w:sz="0" w:space="0" w:color="auto"/>
        <w:right w:val="none" w:sz="0" w:space="0" w:color="auto"/>
      </w:divBdr>
    </w:div>
    <w:div w:id="1237663860">
      <w:bodyDiv w:val="1"/>
      <w:marLeft w:val="0"/>
      <w:marRight w:val="0"/>
      <w:marTop w:val="0"/>
      <w:marBottom w:val="0"/>
      <w:divBdr>
        <w:top w:val="none" w:sz="0" w:space="0" w:color="auto"/>
        <w:left w:val="none" w:sz="0" w:space="0" w:color="auto"/>
        <w:bottom w:val="none" w:sz="0" w:space="0" w:color="auto"/>
        <w:right w:val="none" w:sz="0" w:space="0" w:color="auto"/>
      </w:divBdr>
    </w:div>
    <w:div w:id="1268000023">
      <w:bodyDiv w:val="1"/>
      <w:marLeft w:val="0"/>
      <w:marRight w:val="0"/>
      <w:marTop w:val="0"/>
      <w:marBottom w:val="0"/>
      <w:divBdr>
        <w:top w:val="none" w:sz="0" w:space="0" w:color="auto"/>
        <w:left w:val="none" w:sz="0" w:space="0" w:color="auto"/>
        <w:bottom w:val="none" w:sz="0" w:space="0" w:color="auto"/>
        <w:right w:val="none" w:sz="0" w:space="0" w:color="auto"/>
      </w:divBdr>
    </w:div>
    <w:div w:id="1288469815">
      <w:bodyDiv w:val="1"/>
      <w:marLeft w:val="0"/>
      <w:marRight w:val="0"/>
      <w:marTop w:val="0"/>
      <w:marBottom w:val="0"/>
      <w:divBdr>
        <w:top w:val="none" w:sz="0" w:space="0" w:color="auto"/>
        <w:left w:val="none" w:sz="0" w:space="0" w:color="auto"/>
        <w:bottom w:val="none" w:sz="0" w:space="0" w:color="auto"/>
        <w:right w:val="none" w:sz="0" w:space="0" w:color="auto"/>
      </w:divBdr>
    </w:div>
    <w:div w:id="1411075180">
      <w:bodyDiv w:val="1"/>
      <w:marLeft w:val="0"/>
      <w:marRight w:val="0"/>
      <w:marTop w:val="0"/>
      <w:marBottom w:val="0"/>
      <w:divBdr>
        <w:top w:val="none" w:sz="0" w:space="0" w:color="auto"/>
        <w:left w:val="none" w:sz="0" w:space="0" w:color="auto"/>
        <w:bottom w:val="none" w:sz="0" w:space="0" w:color="auto"/>
        <w:right w:val="none" w:sz="0" w:space="0" w:color="auto"/>
      </w:divBdr>
    </w:div>
    <w:div w:id="1555386952">
      <w:bodyDiv w:val="1"/>
      <w:marLeft w:val="0"/>
      <w:marRight w:val="0"/>
      <w:marTop w:val="0"/>
      <w:marBottom w:val="0"/>
      <w:divBdr>
        <w:top w:val="none" w:sz="0" w:space="0" w:color="auto"/>
        <w:left w:val="none" w:sz="0" w:space="0" w:color="auto"/>
        <w:bottom w:val="none" w:sz="0" w:space="0" w:color="auto"/>
        <w:right w:val="none" w:sz="0" w:space="0" w:color="auto"/>
      </w:divBdr>
    </w:div>
    <w:div w:id="1645357735">
      <w:bodyDiv w:val="1"/>
      <w:marLeft w:val="0"/>
      <w:marRight w:val="0"/>
      <w:marTop w:val="0"/>
      <w:marBottom w:val="0"/>
      <w:divBdr>
        <w:top w:val="none" w:sz="0" w:space="0" w:color="auto"/>
        <w:left w:val="none" w:sz="0" w:space="0" w:color="auto"/>
        <w:bottom w:val="none" w:sz="0" w:space="0" w:color="auto"/>
        <w:right w:val="none" w:sz="0" w:space="0" w:color="auto"/>
      </w:divBdr>
    </w:div>
    <w:div w:id="1804694659">
      <w:bodyDiv w:val="1"/>
      <w:marLeft w:val="0"/>
      <w:marRight w:val="0"/>
      <w:marTop w:val="0"/>
      <w:marBottom w:val="0"/>
      <w:divBdr>
        <w:top w:val="none" w:sz="0" w:space="0" w:color="auto"/>
        <w:left w:val="none" w:sz="0" w:space="0" w:color="auto"/>
        <w:bottom w:val="none" w:sz="0" w:space="0" w:color="auto"/>
        <w:right w:val="none" w:sz="0" w:space="0" w:color="auto"/>
      </w:divBdr>
    </w:div>
    <w:div w:id="2022049398">
      <w:bodyDiv w:val="1"/>
      <w:marLeft w:val="0"/>
      <w:marRight w:val="0"/>
      <w:marTop w:val="0"/>
      <w:marBottom w:val="0"/>
      <w:divBdr>
        <w:top w:val="none" w:sz="0" w:space="0" w:color="auto"/>
        <w:left w:val="none" w:sz="0" w:space="0" w:color="auto"/>
        <w:bottom w:val="none" w:sz="0" w:space="0" w:color="auto"/>
        <w:right w:val="none" w:sz="0" w:space="0" w:color="auto"/>
      </w:divBdr>
    </w:div>
    <w:div w:id="2028093852">
      <w:bodyDiv w:val="1"/>
      <w:marLeft w:val="0"/>
      <w:marRight w:val="0"/>
      <w:marTop w:val="0"/>
      <w:marBottom w:val="0"/>
      <w:divBdr>
        <w:top w:val="none" w:sz="0" w:space="0" w:color="auto"/>
        <w:left w:val="none" w:sz="0" w:space="0" w:color="auto"/>
        <w:bottom w:val="none" w:sz="0" w:space="0" w:color="auto"/>
        <w:right w:val="none" w:sz="0" w:space="0" w:color="auto"/>
      </w:divBdr>
      <w:divsChild>
        <w:div w:id="813835523">
          <w:marLeft w:val="0"/>
          <w:marRight w:val="0"/>
          <w:marTop w:val="0"/>
          <w:marBottom w:val="0"/>
          <w:divBdr>
            <w:top w:val="none" w:sz="0" w:space="0" w:color="auto"/>
            <w:left w:val="none" w:sz="0" w:space="0" w:color="auto"/>
            <w:bottom w:val="none" w:sz="0" w:space="0" w:color="auto"/>
            <w:right w:val="none" w:sz="0" w:space="0" w:color="auto"/>
          </w:divBdr>
        </w:div>
      </w:divsChild>
    </w:div>
    <w:div w:id="2064255275">
      <w:bodyDiv w:val="1"/>
      <w:marLeft w:val="0"/>
      <w:marRight w:val="0"/>
      <w:marTop w:val="0"/>
      <w:marBottom w:val="0"/>
      <w:divBdr>
        <w:top w:val="none" w:sz="0" w:space="0" w:color="auto"/>
        <w:left w:val="none" w:sz="0" w:space="0" w:color="auto"/>
        <w:bottom w:val="none" w:sz="0" w:space="0" w:color="auto"/>
        <w:right w:val="none" w:sz="0" w:space="0" w:color="auto"/>
      </w:divBdr>
    </w:div>
    <w:div w:id="2095004268">
      <w:bodyDiv w:val="1"/>
      <w:marLeft w:val="0"/>
      <w:marRight w:val="0"/>
      <w:marTop w:val="0"/>
      <w:marBottom w:val="0"/>
      <w:divBdr>
        <w:top w:val="none" w:sz="0" w:space="0" w:color="auto"/>
        <w:left w:val="none" w:sz="0" w:space="0" w:color="auto"/>
        <w:bottom w:val="none" w:sz="0" w:space="0" w:color="auto"/>
        <w:right w:val="none" w:sz="0" w:space="0" w:color="auto"/>
      </w:divBdr>
    </w:div>
    <w:div w:id="2112242675">
      <w:bodyDiv w:val="1"/>
      <w:marLeft w:val="0"/>
      <w:marRight w:val="0"/>
      <w:marTop w:val="0"/>
      <w:marBottom w:val="0"/>
      <w:divBdr>
        <w:top w:val="none" w:sz="0" w:space="0" w:color="auto"/>
        <w:left w:val="none" w:sz="0" w:space="0" w:color="auto"/>
        <w:bottom w:val="none" w:sz="0" w:space="0" w:color="auto"/>
        <w:right w:val="none" w:sz="0" w:space="0" w:color="auto"/>
      </w:divBdr>
      <w:divsChild>
        <w:div w:id="1898123982">
          <w:marLeft w:val="0"/>
          <w:marRight w:val="0"/>
          <w:marTop w:val="0"/>
          <w:marBottom w:val="0"/>
          <w:divBdr>
            <w:top w:val="none" w:sz="0" w:space="0" w:color="auto"/>
            <w:left w:val="none" w:sz="0" w:space="0" w:color="auto"/>
            <w:bottom w:val="none" w:sz="0" w:space="0" w:color="auto"/>
            <w:right w:val="none" w:sz="0" w:space="0" w:color="auto"/>
          </w:divBdr>
        </w:div>
      </w:divsChild>
    </w:div>
    <w:div w:id="21255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2CC7BD-BC88-45E7-B4CA-BBE56D9D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N41</dc:creator>
  <cp:keywords/>
  <dc:description/>
  <cp:lastModifiedBy>Editor GP 005</cp:lastModifiedBy>
  <cp:revision>4</cp:revision>
  <dcterms:created xsi:type="dcterms:W3CDTF">2025-05-03T15:43:00Z</dcterms:created>
  <dcterms:modified xsi:type="dcterms:W3CDTF">2025-05-08T05:46:00Z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b88d4b7bc7270f12de8ca73cd4117de0a5a1e45d153041f81beb21eecf63d4b6</vt:lpwstr>
  </property>
</Properties>
</file>