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10B51" w14:textId="77777777" w:rsidR="009526A2" w:rsidRDefault="009526A2" w:rsidP="00441B6F">
      <w:pPr>
        <w:pStyle w:val="Author"/>
        <w:spacing w:line="240" w:lineRule="auto"/>
        <w:rPr>
          <w:rFonts w:ascii="Arial" w:hAnsi="Arial" w:cs="Arial"/>
          <w:bCs/>
          <w:iCs/>
          <w:kern w:val="28"/>
          <w:sz w:val="36"/>
        </w:rPr>
      </w:pPr>
      <w:bookmarkStart w:id="0" w:name="_Hlk196752682"/>
    </w:p>
    <w:p w14:paraId="46087C20" w14:textId="7E62B167" w:rsidR="00163BC4" w:rsidRPr="00163BC4" w:rsidRDefault="00615742" w:rsidP="00441B6F">
      <w:pPr>
        <w:pStyle w:val="Author"/>
        <w:spacing w:line="240" w:lineRule="auto"/>
        <w:rPr>
          <w:rFonts w:ascii="Arial" w:hAnsi="Arial" w:cs="Arial"/>
          <w:bCs/>
          <w:iCs/>
          <w:kern w:val="28"/>
          <w:sz w:val="36"/>
        </w:rPr>
      </w:pPr>
      <w:bookmarkStart w:id="1" w:name="_Hlk196753079"/>
      <w:r>
        <w:rPr>
          <w:rFonts w:ascii="Arial" w:hAnsi="Arial" w:cs="Arial"/>
          <w:bCs/>
          <w:iCs/>
          <w:kern w:val="28"/>
          <w:sz w:val="36"/>
        </w:rPr>
        <w:t>Retrospective Trend Analysis of</w:t>
      </w:r>
      <w:r w:rsidR="00562C59" w:rsidRPr="00562C59">
        <w:rPr>
          <w:rFonts w:ascii="Arial" w:hAnsi="Arial" w:cs="Arial"/>
          <w:bCs/>
          <w:iCs/>
          <w:kern w:val="28"/>
          <w:sz w:val="36"/>
        </w:rPr>
        <w:t xml:space="preserve"> Seas</w:t>
      </w:r>
      <w:r>
        <w:rPr>
          <w:rFonts w:ascii="Arial" w:hAnsi="Arial" w:cs="Arial"/>
          <w:bCs/>
          <w:iCs/>
          <w:kern w:val="28"/>
          <w:sz w:val="36"/>
        </w:rPr>
        <w:t>onal and Annual Rainfall Data in the Middle Gujarat Agro-C</w:t>
      </w:r>
      <w:r w:rsidR="00562C59" w:rsidRPr="00562C59">
        <w:rPr>
          <w:rFonts w:ascii="Arial" w:hAnsi="Arial" w:cs="Arial"/>
          <w:bCs/>
          <w:iCs/>
          <w:kern w:val="28"/>
          <w:sz w:val="36"/>
        </w:rPr>
        <w:t>limatic Zone, India</w:t>
      </w:r>
      <w:r w:rsidR="00231920">
        <w:rPr>
          <w:rFonts w:ascii="Arial" w:hAnsi="Arial" w:cs="Arial"/>
          <w:bCs/>
          <w:iCs/>
          <w:kern w:val="28"/>
          <w:sz w:val="36"/>
        </w:rPr>
        <w:t xml:space="preserve"> </w:t>
      </w:r>
      <w:bookmarkEnd w:id="1"/>
    </w:p>
    <w:bookmarkEnd w:id="0"/>
    <w:p w14:paraId="4E8EA493" w14:textId="77777777" w:rsidR="00A258C3" w:rsidRPr="00790ADA" w:rsidRDefault="00A258C3" w:rsidP="00441B6F">
      <w:pPr>
        <w:pStyle w:val="Author"/>
        <w:spacing w:line="240" w:lineRule="auto"/>
        <w:jc w:val="both"/>
        <w:rPr>
          <w:rFonts w:ascii="Arial" w:hAnsi="Arial" w:cs="Arial"/>
          <w:sz w:val="36"/>
        </w:rPr>
      </w:pPr>
    </w:p>
    <w:p w14:paraId="056374B4" w14:textId="5210F01C" w:rsidR="009526A2" w:rsidRPr="009526A2" w:rsidRDefault="009526A2" w:rsidP="009526A2">
      <w:pPr>
        <w:pStyle w:val="Affiliation"/>
        <w:rPr>
          <w:rFonts w:ascii="Arial" w:hAnsi="Arial" w:cs="Arial"/>
          <w:i/>
        </w:rPr>
      </w:pPr>
    </w:p>
    <w:p w14:paraId="5380C8C6" w14:textId="77777777" w:rsidR="009526A2" w:rsidRPr="009526A2" w:rsidRDefault="009526A2" w:rsidP="009526A2">
      <w:pPr>
        <w:pStyle w:val="Affiliation"/>
        <w:rPr>
          <w:rFonts w:ascii="Arial" w:hAnsi="Arial" w:cs="Arial"/>
          <w:i/>
        </w:rPr>
      </w:pPr>
    </w:p>
    <w:p w14:paraId="1EFFB958" w14:textId="77777777" w:rsidR="002C57D2" w:rsidRPr="00FB3A86" w:rsidRDefault="002C57D2" w:rsidP="00441B6F">
      <w:pPr>
        <w:pStyle w:val="Affiliation"/>
        <w:spacing w:after="0" w:line="240" w:lineRule="auto"/>
        <w:jc w:val="both"/>
        <w:rPr>
          <w:rFonts w:ascii="Arial" w:hAnsi="Arial" w:cs="Arial"/>
        </w:rPr>
      </w:pPr>
    </w:p>
    <w:p w14:paraId="53761B4A" w14:textId="77777777" w:rsidR="00B01FCD" w:rsidRPr="00FB3A86" w:rsidRDefault="006914FD" w:rsidP="00441B6F">
      <w:pPr>
        <w:pStyle w:val="Copyright"/>
        <w:spacing w:after="0" w:line="240" w:lineRule="auto"/>
        <w:jc w:val="both"/>
        <w:rPr>
          <w:rFonts w:ascii="Arial" w:hAnsi="Arial" w:cs="Arial"/>
        </w:rPr>
        <w:sectPr w:rsidR="00B01FCD" w:rsidRPr="00FB3A86" w:rsidSect="00D277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E243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01DA2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31BA03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670E90" w14:textId="77777777" w:rsidTr="001E44FE">
        <w:tc>
          <w:tcPr>
            <w:tcW w:w="9576" w:type="dxa"/>
            <w:shd w:val="clear" w:color="auto" w:fill="F2F2F2"/>
          </w:tcPr>
          <w:p w14:paraId="35DEAD9C"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Aims:</w:t>
            </w:r>
            <w:r w:rsidRPr="008C2833">
              <w:rPr>
                <w:rFonts w:ascii="Arial" w:eastAsia="Calibri" w:hAnsi="Arial" w:cs="Arial"/>
                <w:bCs/>
              </w:rPr>
              <w:t xml:space="preserve"> To analyze the trends in seasonal and annual rainfall data series in the Middle Gujarat Agro-climatic zone, India, over a 30-year period (1991–2020) to inform water resource planning and management in a rainfed agricultural region.</w:t>
            </w:r>
          </w:p>
          <w:p w14:paraId="3AB6F9A9"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Study Design:</w:t>
            </w:r>
            <w:r w:rsidRPr="008C2833">
              <w:rPr>
                <w:rFonts w:ascii="Arial" w:eastAsia="Calibri" w:hAnsi="Arial" w:cs="Arial"/>
                <w:bCs/>
              </w:rPr>
              <w:t xml:space="preserve"> A retrospective trend analysis using the Mann-Kendall test and Sen’s slope estimator technique.</w:t>
            </w:r>
          </w:p>
          <w:p w14:paraId="1894A6E2"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Place and Duration of Study:</w:t>
            </w:r>
            <w:r w:rsidRPr="008C2833">
              <w:rPr>
                <w:rFonts w:ascii="Arial" w:eastAsia="Calibri" w:hAnsi="Arial" w:cs="Arial"/>
                <w:bCs/>
              </w:rPr>
              <w:t xml:space="preserve"> Middle Gujarat Agro-climatic zone, Gujarat, India, with data analyzed for the period from 1991 to 2020.</w:t>
            </w:r>
          </w:p>
          <w:p w14:paraId="19D2E174"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Methodology:</w:t>
            </w:r>
            <w:r w:rsidRPr="008C2833">
              <w:rPr>
                <w:rFonts w:ascii="Arial" w:eastAsia="Calibri" w:hAnsi="Arial" w:cs="Arial"/>
                <w:bCs/>
              </w:rPr>
              <w:t xml:space="preserve"> Seasonal and annual rainfall data for the Middle Gujarat Agro-climatic zone were analyzed over a 30-year period (1991–2020). The Mann-Kendall test was used to detect trends, and Sen’s slope estimator was applied to quantify the magnitude of trends. The analysis focused on monsoon, post-monsoon, pre-monsoon, and winter seasons, with statistical significance tested at a 95% confidence level.</w:t>
            </w:r>
          </w:p>
          <w:p w14:paraId="4A1FDF34" w14:textId="77777777" w:rsidR="00FF3E2B" w:rsidRPr="008C2833" w:rsidRDefault="00FF3E2B" w:rsidP="00D4268A">
            <w:pPr>
              <w:pStyle w:val="Body"/>
              <w:spacing w:after="0"/>
              <w:rPr>
                <w:rFonts w:ascii="Arial" w:eastAsia="Calibri" w:hAnsi="Arial" w:cs="Arial"/>
                <w:bCs/>
              </w:rPr>
            </w:pPr>
            <w:r w:rsidRPr="008C2833">
              <w:rPr>
                <w:rFonts w:ascii="Arial" w:eastAsia="Calibri" w:hAnsi="Arial" w:cs="Arial"/>
                <w:b/>
              </w:rPr>
              <w:t>Results:</w:t>
            </w:r>
            <w:r w:rsidRPr="008C2833">
              <w:rPr>
                <w:rFonts w:ascii="Arial" w:eastAsia="Calibri" w:hAnsi="Arial" w:cs="Arial"/>
                <w:bCs/>
              </w:rPr>
              <w:t xml:space="preserve"> No significant trends were detected for seasonal or annual rainfall data series at the 95% confidence level. Non-significant rising trends were observed, with increases of 33 mm per year for the monsoon season, 1 mm per year for the post-monsoon season, and 33 mm per year for annual rainfall. Pre-monsoon and winter seasons showed no rainfall contribution. These trends suggest a tendency toward wetter conditions over time.</w:t>
            </w:r>
          </w:p>
          <w:p w14:paraId="43C2B358" w14:textId="77777777" w:rsidR="00505F06" w:rsidRPr="00BA1B01" w:rsidRDefault="00FF3E2B" w:rsidP="00D4268A">
            <w:pPr>
              <w:pStyle w:val="Body"/>
              <w:spacing w:after="0"/>
              <w:rPr>
                <w:rFonts w:ascii="Arial" w:eastAsia="Calibri" w:hAnsi="Arial" w:cs="Arial"/>
                <w:szCs w:val="22"/>
              </w:rPr>
            </w:pPr>
            <w:r w:rsidRPr="008C2833">
              <w:rPr>
                <w:rFonts w:ascii="Arial" w:eastAsia="Calibri" w:hAnsi="Arial" w:cs="Arial"/>
                <w:b/>
              </w:rPr>
              <w:t>Conclusion:</w:t>
            </w:r>
            <w:r w:rsidRPr="008C2833">
              <w:rPr>
                <w:rFonts w:ascii="Arial" w:eastAsia="Calibri" w:hAnsi="Arial" w:cs="Arial"/>
                <w:bCs/>
              </w:rPr>
              <w:t xml:space="preserve"> The absence of significant trends in rainfall data indicates no clear evidence of climate change-induced variations in rainfall patterns in the Middle Gujarat Agro-climatic zone. Communities are recommended to adopt sustainable water management practices to ensure continuous water access in this rainfed region.</w:t>
            </w:r>
          </w:p>
        </w:tc>
      </w:tr>
    </w:tbl>
    <w:p w14:paraId="4FA66AC0" w14:textId="77777777" w:rsidR="00636EB2" w:rsidRDefault="00636EB2" w:rsidP="00441B6F">
      <w:pPr>
        <w:pStyle w:val="Body"/>
        <w:spacing w:after="0"/>
        <w:rPr>
          <w:rFonts w:ascii="Arial" w:hAnsi="Arial" w:cs="Arial"/>
          <w:i/>
        </w:rPr>
      </w:pPr>
    </w:p>
    <w:p w14:paraId="3E5A29AF" w14:textId="77777777" w:rsidR="00A24E7E" w:rsidRDefault="00A24E7E" w:rsidP="00441B6F">
      <w:pPr>
        <w:pStyle w:val="Body"/>
        <w:spacing w:after="0"/>
        <w:rPr>
          <w:rFonts w:ascii="Arial" w:hAnsi="Arial" w:cs="Arial"/>
          <w:i/>
        </w:rPr>
      </w:pPr>
      <w:r>
        <w:rPr>
          <w:rFonts w:ascii="Arial" w:hAnsi="Arial" w:cs="Arial"/>
          <w:i/>
        </w:rPr>
        <w:t xml:space="preserve">Keywords: </w:t>
      </w:r>
      <w:r w:rsidR="00FF3E2B">
        <w:rPr>
          <w:rFonts w:ascii="Arial" w:hAnsi="Arial" w:cs="Arial"/>
          <w:i/>
        </w:rPr>
        <w:t>Rainfall, T</w:t>
      </w:r>
      <w:r w:rsidR="00FF3E2B" w:rsidRPr="00FF3E2B">
        <w:rPr>
          <w:rFonts w:ascii="Arial" w:hAnsi="Arial" w:cs="Arial"/>
          <w:i/>
        </w:rPr>
        <w:t>rend analysis, Mann-Kendall test, Sen’s sl</w:t>
      </w:r>
      <w:r w:rsidR="00FF3E2B">
        <w:rPr>
          <w:rFonts w:ascii="Arial" w:hAnsi="Arial" w:cs="Arial"/>
          <w:i/>
        </w:rPr>
        <w:t>ope estimator, Middle Gujarat, C</w:t>
      </w:r>
      <w:r w:rsidR="00FF3E2B" w:rsidRPr="00FF3E2B">
        <w:rPr>
          <w:rFonts w:ascii="Arial" w:hAnsi="Arial" w:cs="Arial"/>
          <w:i/>
        </w:rPr>
        <w:t>limate change</w:t>
      </w:r>
      <w:r w:rsidR="0066510A">
        <w:rPr>
          <w:rFonts w:ascii="Arial" w:hAnsi="Arial" w:cs="Arial"/>
          <w:i/>
        </w:rPr>
        <w:t xml:space="preserve"> </w:t>
      </w:r>
    </w:p>
    <w:p w14:paraId="23FDE190" w14:textId="77777777" w:rsidR="00790ADA" w:rsidRDefault="00790ADA" w:rsidP="00441B6F">
      <w:pPr>
        <w:pStyle w:val="Body"/>
        <w:spacing w:after="0"/>
        <w:rPr>
          <w:rFonts w:ascii="Arial" w:hAnsi="Arial" w:cs="Arial"/>
          <w:i/>
        </w:rPr>
      </w:pPr>
    </w:p>
    <w:p w14:paraId="5DC3139F" w14:textId="77777777" w:rsidR="0024282C" w:rsidRDefault="0024282C" w:rsidP="00441B6F">
      <w:pPr>
        <w:pStyle w:val="Body"/>
        <w:spacing w:after="0"/>
        <w:rPr>
          <w:rFonts w:ascii="Arial" w:hAnsi="Arial" w:cs="Arial"/>
          <w:i/>
          <w:sz w:val="18"/>
        </w:rPr>
      </w:pPr>
    </w:p>
    <w:p w14:paraId="1FD4B173" w14:textId="77777777" w:rsidR="00505F06" w:rsidRPr="00A24E7E" w:rsidRDefault="00505F06" w:rsidP="00441B6F">
      <w:pPr>
        <w:pStyle w:val="Body"/>
        <w:spacing w:after="0"/>
        <w:rPr>
          <w:rFonts w:ascii="Arial" w:hAnsi="Arial" w:cs="Arial"/>
          <w:i/>
        </w:rPr>
      </w:pPr>
    </w:p>
    <w:p w14:paraId="3DA857D4" w14:textId="77777777" w:rsidR="00342A42" w:rsidRDefault="00342A42">
      <w:pPr>
        <w:rPr>
          <w:rFonts w:ascii="Arial" w:hAnsi="Arial" w:cs="Arial"/>
          <w:b/>
          <w:caps/>
          <w:sz w:val="22"/>
        </w:rPr>
      </w:pPr>
      <w:r>
        <w:rPr>
          <w:rFonts w:ascii="Arial" w:hAnsi="Arial" w:cs="Arial"/>
        </w:rPr>
        <w:br w:type="page"/>
      </w:r>
    </w:p>
    <w:p w14:paraId="7E3E2BB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21F10AD" w14:textId="77777777" w:rsidR="00790ADA" w:rsidRPr="00FB3A86" w:rsidRDefault="00790ADA" w:rsidP="00441B6F">
      <w:pPr>
        <w:pStyle w:val="AbstHead"/>
        <w:spacing w:after="0"/>
        <w:jc w:val="both"/>
        <w:rPr>
          <w:rFonts w:ascii="Arial" w:hAnsi="Arial" w:cs="Arial"/>
        </w:rPr>
      </w:pPr>
    </w:p>
    <w:p w14:paraId="6CCF7B8F" w14:textId="77777777" w:rsidR="000237E2" w:rsidRDefault="00852C48" w:rsidP="000237E2">
      <w:pPr>
        <w:pStyle w:val="Body"/>
        <w:spacing w:after="0"/>
        <w:rPr>
          <w:rFonts w:ascii="Arial" w:hAnsi="Arial" w:cs="Arial"/>
        </w:rPr>
      </w:pPr>
      <w:r w:rsidRPr="00852C48">
        <w:rPr>
          <w:rFonts w:ascii="Arial" w:hAnsi="Arial" w:cs="Arial"/>
        </w:rPr>
        <w:t>Rainfall, a critical component of the hydrologic cycle, exhibits significant temporal and spatial variability, directly impacting crop growth and yield (</w:t>
      </w:r>
      <w:proofErr w:type="spellStart"/>
      <w:r w:rsidRPr="00852C48">
        <w:rPr>
          <w:rFonts w:ascii="Arial" w:hAnsi="Arial" w:cs="Arial"/>
        </w:rPr>
        <w:t>Waghaye</w:t>
      </w:r>
      <w:proofErr w:type="spellEnd"/>
      <w:r w:rsidRPr="00852C48">
        <w:rPr>
          <w:rFonts w:ascii="Arial" w:hAnsi="Arial" w:cs="Arial"/>
        </w:rPr>
        <w:t xml:space="preserve"> </w:t>
      </w:r>
      <w:r w:rsidRPr="00852C48">
        <w:rPr>
          <w:rFonts w:ascii="Arial" w:hAnsi="Arial" w:cs="Arial"/>
          <w:i/>
          <w:iCs/>
        </w:rPr>
        <w:t>et al.</w:t>
      </w:r>
      <w:r w:rsidRPr="00852C48">
        <w:rPr>
          <w:rFonts w:ascii="Arial" w:hAnsi="Arial" w:cs="Arial"/>
        </w:rPr>
        <w:t xml:space="preserve">, 2018). Changes in rainfall patterns influence water resource availability, thereby affecting food security (Aggarwal, 2007; Jain </w:t>
      </w:r>
      <w:r w:rsidRPr="00852C48">
        <w:rPr>
          <w:rFonts w:ascii="Arial" w:hAnsi="Arial" w:cs="Arial"/>
          <w:i/>
          <w:iCs/>
        </w:rPr>
        <w:t>et al.</w:t>
      </w:r>
      <w:r w:rsidRPr="00852C48">
        <w:rPr>
          <w:rFonts w:ascii="Arial" w:hAnsi="Arial" w:cs="Arial"/>
        </w:rPr>
        <w:t xml:space="preserve">, 2013a). Climate change, driven by rising greenhouse gas emissions, has increased global temperatures, leading to notable variations in rainfall patterns (Murray &amp; Ebi, 2012; Nicholson </w:t>
      </w:r>
      <w:r w:rsidRPr="00852C48">
        <w:rPr>
          <w:rFonts w:ascii="Arial" w:hAnsi="Arial" w:cs="Arial"/>
          <w:i/>
          <w:iCs/>
        </w:rPr>
        <w:t>et al.</w:t>
      </w:r>
      <w:r w:rsidRPr="00852C48">
        <w:rPr>
          <w:rFonts w:ascii="Arial" w:hAnsi="Arial" w:cs="Arial"/>
        </w:rPr>
        <w:t xml:space="preserve">, 2013; Trenberth, 2011). Analyzing and monitoring rainfall trends is essential for developing strategies to manage current and future water resources (Madhusudhan </w:t>
      </w:r>
      <w:r w:rsidRPr="00852C48">
        <w:rPr>
          <w:rFonts w:ascii="Arial" w:hAnsi="Arial" w:cs="Arial"/>
          <w:i/>
          <w:iCs/>
        </w:rPr>
        <w:t>et al.</w:t>
      </w:r>
      <w:r w:rsidRPr="00852C48">
        <w:rPr>
          <w:rFonts w:ascii="Arial" w:hAnsi="Arial" w:cs="Arial"/>
        </w:rPr>
        <w:t>, 2021).</w:t>
      </w:r>
    </w:p>
    <w:p w14:paraId="6EC41E6C" w14:textId="77777777" w:rsidR="000237E2" w:rsidRDefault="000237E2" w:rsidP="000237E2">
      <w:pPr>
        <w:pStyle w:val="Body"/>
        <w:spacing w:after="0"/>
        <w:rPr>
          <w:rFonts w:ascii="Arial" w:hAnsi="Arial" w:cs="Arial"/>
        </w:rPr>
      </w:pPr>
    </w:p>
    <w:p w14:paraId="74D010A3" w14:textId="77777777" w:rsidR="00852C48" w:rsidRPr="00852C48" w:rsidRDefault="00852C48" w:rsidP="000237E2">
      <w:pPr>
        <w:pStyle w:val="Body"/>
        <w:spacing w:after="0"/>
        <w:rPr>
          <w:rFonts w:ascii="Arial" w:hAnsi="Arial" w:cs="Arial"/>
        </w:rPr>
      </w:pPr>
      <w:r w:rsidRPr="00852C48">
        <w:rPr>
          <w:rFonts w:ascii="Arial" w:hAnsi="Arial" w:cs="Arial"/>
        </w:rPr>
        <w:t>The Middle Gujarat Agro-climatic zone, located in western India, relies heavily on the south-west monsoon for its water supply. With two-thirds of its area under cultivation and one-third of the cultivated land being rainfed, this region’s agricultural economy is vulnerable to rainfall variability. Despite ongoing debates about whether natural or anthropogenic factors drive climate change, assessing rainfall trends at regional and subdivisional levels across India is crucial for sustainable planning. However, no specific studies have analyzed rainfall trends in the Middle Gujarat Agro-climatic zone, highlighting a critical research gap.</w:t>
      </w:r>
    </w:p>
    <w:p w14:paraId="6D1B43B5" w14:textId="77777777" w:rsidR="000237E2" w:rsidRDefault="000237E2" w:rsidP="000237E2">
      <w:pPr>
        <w:pStyle w:val="Body"/>
        <w:spacing w:after="0"/>
        <w:rPr>
          <w:rFonts w:ascii="Arial" w:hAnsi="Arial" w:cs="Arial"/>
        </w:rPr>
      </w:pPr>
    </w:p>
    <w:p w14:paraId="358263A6" w14:textId="0EC11B14" w:rsidR="000237E2" w:rsidRDefault="00852C48" w:rsidP="000237E2">
      <w:pPr>
        <w:pStyle w:val="Body"/>
        <w:spacing w:after="0"/>
        <w:rPr>
          <w:rFonts w:ascii="Arial" w:hAnsi="Arial" w:cs="Arial"/>
        </w:rPr>
      </w:pPr>
      <w:r w:rsidRPr="00852C48">
        <w:rPr>
          <w:rFonts w:ascii="Arial" w:hAnsi="Arial" w:cs="Arial"/>
        </w:rPr>
        <w:t xml:space="preserve">Previous studies have employed the Mann-Kendall test and Sen’s slope estimator to assess trends in hydrologic data, including rainfall (Mohd Wani </w:t>
      </w:r>
      <w:r w:rsidRPr="00852C48">
        <w:rPr>
          <w:rFonts w:ascii="Arial" w:hAnsi="Arial" w:cs="Arial"/>
          <w:i/>
          <w:iCs/>
        </w:rPr>
        <w:t>et al.</w:t>
      </w:r>
      <w:r w:rsidRPr="00852C48">
        <w:rPr>
          <w:rFonts w:ascii="Arial" w:hAnsi="Arial" w:cs="Arial"/>
        </w:rPr>
        <w:t xml:space="preserve">, 2017; Mondal </w:t>
      </w:r>
      <w:r w:rsidRPr="00852C48">
        <w:rPr>
          <w:rFonts w:ascii="Arial" w:hAnsi="Arial" w:cs="Arial"/>
          <w:i/>
          <w:iCs/>
        </w:rPr>
        <w:t>et al.</w:t>
      </w:r>
      <w:r w:rsidRPr="00852C48">
        <w:rPr>
          <w:rFonts w:ascii="Arial" w:hAnsi="Arial" w:cs="Arial"/>
        </w:rPr>
        <w:t xml:space="preserve">, 2015; </w:t>
      </w:r>
      <w:proofErr w:type="spellStart"/>
      <w:r w:rsidRPr="00852C48">
        <w:rPr>
          <w:rFonts w:ascii="Arial" w:hAnsi="Arial" w:cs="Arial"/>
        </w:rPr>
        <w:t>Kingra</w:t>
      </w:r>
      <w:proofErr w:type="spellEnd"/>
      <w:r w:rsidRPr="00852C48">
        <w:rPr>
          <w:rFonts w:ascii="Arial" w:hAnsi="Arial" w:cs="Arial"/>
        </w:rPr>
        <w:t xml:space="preserve"> </w:t>
      </w:r>
      <w:r w:rsidRPr="00852C48">
        <w:rPr>
          <w:rFonts w:ascii="Arial" w:hAnsi="Arial" w:cs="Arial"/>
          <w:i/>
          <w:iCs/>
        </w:rPr>
        <w:t>et al.</w:t>
      </w:r>
      <w:r w:rsidRPr="00852C48">
        <w:rPr>
          <w:rFonts w:ascii="Arial" w:hAnsi="Arial" w:cs="Arial"/>
        </w:rPr>
        <w:t xml:space="preserve">, 2017; Yadav </w:t>
      </w:r>
      <w:r w:rsidRPr="00852C48">
        <w:rPr>
          <w:rFonts w:ascii="Arial" w:hAnsi="Arial" w:cs="Arial"/>
          <w:i/>
          <w:iCs/>
        </w:rPr>
        <w:t>et al.</w:t>
      </w:r>
      <w:r w:rsidRPr="00852C48">
        <w:rPr>
          <w:rFonts w:ascii="Arial" w:hAnsi="Arial" w:cs="Arial"/>
        </w:rPr>
        <w:t xml:space="preserve">, 2014), temperature (Gavrilov </w:t>
      </w:r>
      <w:r w:rsidRPr="00852C48">
        <w:rPr>
          <w:rFonts w:ascii="Arial" w:hAnsi="Arial" w:cs="Arial"/>
          <w:i/>
          <w:iCs/>
        </w:rPr>
        <w:t>et al.</w:t>
      </w:r>
      <w:r w:rsidRPr="00852C48">
        <w:rPr>
          <w:rFonts w:ascii="Arial" w:hAnsi="Arial" w:cs="Arial"/>
        </w:rPr>
        <w:t xml:space="preserve">, 2018), runoff (Nyikadzino </w:t>
      </w:r>
      <w:r w:rsidRPr="00852C48">
        <w:rPr>
          <w:rFonts w:ascii="Arial" w:hAnsi="Arial" w:cs="Arial"/>
          <w:i/>
          <w:iCs/>
        </w:rPr>
        <w:t>et al.</w:t>
      </w:r>
      <w:r w:rsidRPr="00852C48">
        <w:rPr>
          <w:rFonts w:ascii="Arial" w:hAnsi="Arial" w:cs="Arial"/>
        </w:rPr>
        <w:t>, 2020), and relative humidity (</w:t>
      </w:r>
      <w:proofErr w:type="spellStart"/>
      <w:r w:rsidRPr="00852C48">
        <w:rPr>
          <w:rFonts w:ascii="Arial" w:hAnsi="Arial" w:cs="Arial"/>
        </w:rPr>
        <w:t>Gocic</w:t>
      </w:r>
      <w:proofErr w:type="spellEnd"/>
      <w:r w:rsidRPr="00852C48">
        <w:rPr>
          <w:rFonts w:ascii="Arial" w:hAnsi="Arial" w:cs="Arial"/>
        </w:rPr>
        <w:t xml:space="preserve"> &amp; </w:t>
      </w:r>
      <w:proofErr w:type="spellStart"/>
      <w:r w:rsidRPr="00852C48">
        <w:rPr>
          <w:rFonts w:ascii="Arial" w:hAnsi="Arial" w:cs="Arial"/>
        </w:rPr>
        <w:t>Trajkovic</w:t>
      </w:r>
      <w:proofErr w:type="spellEnd"/>
      <w:r w:rsidRPr="00852C48">
        <w:rPr>
          <w:rFonts w:ascii="Arial" w:hAnsi="Arial" w:cs="Arial"/>
        </w:rPr>
        <w:t xml:space="preserve">, 2013). </w:t>
      </w:r>
      <w:r w:rsidR="002D7A70">
        <w:rPr>
          <w:rFonts w:ascii="Arial" w:hAnsi="Arial" w:cs="Arial"/>
        </w:rPr>
        <w:t>Notably, Joshi &amp;</w:t>
      </w:r>
      <w:r w:rsidR="002D7A70" w:rsidRPr="002D7A70">
        <w:rPr>
          <w:rFonts w:ascii="Arial" w:hAnsi="Arial" w:cs="Arial"/>
        </w:rPr>
        <w:t xml:space="preserve"> Bhatt (2024) conducted a Mann-Kendall trend analysis of rainfall and temperature in Vadodara, a district within the Middle Gujarat Agro-climatic zone, underscoring the relevance of such methods for local climate studies. However, a comprehensive analysis of rainfall trends across the broader Middle Gujarat Agro-climatic zone remains unexplored.  </w:t>
      </w:r>
    </w:p>
    <w:p w14:paraId="37156713" w14:textId="77777777" w:rsidR="002D7A70" w:rsidRPr="00852C48" w:rsidRDefault="002D7A70" w:rsidP="000237E2">
      <w:pPr>
        <w:pStyle w:val="Body"/>
        <w:spacing w:after="0"/>
        <w:rPr>
          <w:rFonts w:ascii="Arial" w:hAnsi="Arial" w:cs="Arial"/>
        </w:rPr>
      </w:pPr>
    </w:p>
    <w:p w14:paraId="6635A17B" w14:textId="77777777" w:rsidR="00790ADA" w:rsidRDefault="00852C48" w:rsidP="000237E2">
      <w:pPr>
        <w:pStyle w:val="Body"/>
        <w:spacing w:after="0"/>
        <w:rPr>
          <w:rFonts w:ascii="Arial" w:hAnsi="Arial" w:cs="Arial"/>
        </w:rPr>
      </w:pPr>
      <w:r w:rsidRPr="00852C48">
        <w:rPr>
          <w:rFonts w:ascii="Arial" w:hAnsi="Arial" w:cs="Arial"/>
        </w:rPr>
        <w:t>This study aims to address this gap by analyzing rainfall trends in the Middle Gujarat Agro-climatic zone using the Mann-Kendall test and Sen’s slope estimator. The scope includes examining annual, seasonal (pre-monsoon, monsoon, post-monsoon, and winter), and monthly rainfall data across five districts from 1991 to 2020. The findings will inform water resource management and agricultural planning, justifying the need for region-specific trend analysis to support sustainable development in this rainfed agricultural zone.</w:t>
      </w:r>
    </w:p>
    <w:p w14:paraId="3280E525" w14:textId="77777777" w:rsidR="000237E2" w:rsidRPr="00FB3A86" w:rsidRDefault="000237E2" w:rsidP="000237E2">
      <w:pPr>
        <w:pStyle w:val="Body"/>
        <w:spacing w:after="0"/>
        <w:rPr>
          <w:rFonts w:ascii="Arial" w:hAnsi="Arial" w:cs="Arial"/>
        </w:rPr>
      </w:pPr>
    </w:p>
    <w:p w14:paraId="15E380C7" w14:textId="405C333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53D01EF2" w14:textId="77777777" w:rsidR="00790ADA" w:rsidRPr="00FB3A86" w:rsidRDefault="00790ADA" w:rsidP="00441B6F">
      <w:pPr>
        <w:pStyle w:val="AbstHead"/>
        <w:spacing w:after="0"/>
        <w:jc w:val="both"/>
        <w:rPr>
          <w:rFonts w:ascii="Arial" w:hAnsi="Arial" w:cs="Arial"/>
        </w:rPr>
      </w:pPr>
    </w:p>
    <w:p w14:paraId="4D7C4ED2" w14:textId="731B10DA" w:rsidR="002F0B93" w:rsidRPr="002F0B93" w:rsidRDefault="002F0B93" w:rsidP="00124504">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Study Area</w:t>
      </w:r>
    </w:p>
    <w:p w14:paraId="5B2AFB4F" w14:textId="77777777" w:rsidR="002F0B93" w:rsidRDefault="002F0B93" w:rsidP="00124504">
      <w:pPr>
        <w:pStyle w:val="Body"/>
        <w:spacing w:after="0"/>
        <w:rPr>
          <w:rFonts w:ascii="Arial" w:hAnsi="Arial" w:cs="Arial"/>
        </w:rPr>
      </w:pPr>
    </w:p>
    <w:p w14:paraId="4F4784A7" w14:textId="2FE0FA22" w:rsidR="00790ADA" w:rsidRDefault="00124504" w:rsidP="002F0B93">
      <w:pPr>
        <w:pStyle w:val="Body"/>
        <w:spacing w:after="0"/>
        <w:rPr>
          <w:rFonts w:ascii="Arial" w:hAnsi="Arial" w:cs="Arial"/>
        </w:rPr>
      </w:pPr>
      <w:r w:rsidRPr="00124504">
        <w:rPr>
          <w:rFonts w:ascii="Arial" w:hAnsi="Arial" w:cs="Arial"/>
        </w:rPr>
        <w:t xml:space="preserve">The study was conducted in the Middle Gujarat </w:t>
      </w:r>
      <w:proofErr w:type="spellStart"/>
      <w:r w:rsidRPr="00124504">
        <w:rPr>
          <w:rFonts w:ascii="Arial" w:hAnsi="Arial" w:cs="Arial"/>
        </w:rPr>
        <w:t>Agro</w:t>
      </w:r>
      <w:proofErr w:type="spellEnd"/>
      <w:r w:rsidRPr="00124504">
        <w:rPr>
          <w:rFonts w:ascii="Arial" w:hAnsi="Arial" w:cs="Arial"/>
        </w:rPr>
        <w:t xml:space="preserve">-climatic zone, encompassing Anand, Vadodara, </w:t>
      </w:r>
      <w:proofErr w:type="spellStart"/>
      <w:r w:rsidRPr="00124504">
        <w:rPr>
          <w:rFonts w:ascii="Arial" w:hAnsi="Arial" w:cs="Arial"/>
        </w:rPr>
        <w:t>Dahod</w:t>
      </w:r>
      <w:proofErr w:type="spellEnd"/>
      <w:r w:rsidRPr="00124504">
        <w:rPr>
          <w:rFonts w:ascii="Arial" w:hAnsi="Arial" w:cs="Arial"/>
        </w:rPr>
        <w:t xml:space="preserve">, Kheda, and </w:t>
      </w:r>
      <w:proofErr w:type="spellStart"/>
      <w:r w:rsidRPr="00124504">
        <w:rPr>
          <w:rFonts w:ascii="Arial" w:hAnsi="Arial" w:cs="Arial"/>
        </w:rPr>
        <w:t>Panchmahals</w:t>
      </w:r>
      <w:proofErr w:type="spellEnd"/>
      <w:r w:rsidRPr="00124504">
        <w:rPr>
          <w:rFonts w:ascii="Arial" w:hAnsi="Arial" w:cs="Arial"/>
        </w:rPr>
        <w:t xml:space="preserve"> districts of Gujarat, India (Figure 1). This region experiences a subtropical, semi-arid climate characterized by hot, dry summers. The south-west monsoon, typically spanning from the third week of June to mid-September, delivers the majority of rainfall, with July and August recording the heaviest precipitation. The north-east monsoon contributes to an average annual rainfall of 843 mm, ranging from 287 mm to 1624 mm (Vaidya </w:t>
      </w:r>
      <w:r w:rsidRPr="00124504">
        <w:rPr>
          <w:rFonts w:ascii="Arial" w:hAnsi="Arial" w:cs="Arial"/>
          <w:i/>
          <w:iCs/>
        </w:rPr>
        <w:t>et al.</w:t>
      </w:r>
      <w:r w:rsidRPr="00124504">
        <w:rPr>
          <w:rFonts w:ascii="Arial" w:hAnsi="Arial" w:cs="Arial"/>
        </w:rPr>
        <w:t>, 2008).</w:t>
      </w:r>
      <w:r w:rsidR="002F0B93">
        <w:rPr>
          <w:rFonts w:ascii="Arial" w:hAnsi="Arial" w:cs="Arial"/>
        </w:rPr>
        <w:t xml:space="preserve"> </w:t>
      </w:r>
      <w:r w:rsidRPr="00124504">
        <w:rPr>
          <w:rFonts w:ascii="Arial" w:hAnsi="Arial" w:cs="Arial"/>
        </w:rPr>
        <w:t xml:space="preserve">Approximately two-thirds of the region is under cultivation, with one-third of the cultivated area relying on irrigation. Major crops include cotton, wheat, sorghum, maize, and tobacco, supported by alluvial soils of the </w:t>
      </w:r>
      <w:proofErr w:type="spellStart"/>
      <w:r w:rsidRPr="00124504">
        <w:rPr>
          <w:rFonts w:ascii="Arial" w:hAnsi="Arial" w:cs="Arial"/>
        </w:rPr>
        <w:t>Alfisol</w:t>
      </w:r>
      <w:proofErr w:type="spellEnd"/>
      <w:r w:rsidRPr="00124504">
        <w:rPr>
          <w:rFonts w:ascii="Arial" w:hAnsi="Arial" w:cs="Arial"/>
        </w:rPr>
        <w:t xml:space="preserve"> order (Pathak, 2006). </w:t>
      </w:r>
    </w:p>
    <w:p w14:paraId="05B8D363" w14:textId="77777777" w:rsidR="00124504" w:rsidRDefault="00124504" w:rsidP="00124504">
      <w:pPr>
        <w:pStyle w:val="Body"/>
        <w:jc w:val="center"/>
        <w:rPr>
          <w:rFonts w:ascii="Arial" w:hAnsi="Arial" w:cs="Arial"/>
        </w:rPr>
      </w:pPr>
      <w:r>
        <w:rPr>
          <w:rFonts w:ascii="Times New Roman" w:hAnsi="Times New Roman"/>
          <w:b/>
          <w:bCs/>
          <w:noProof/>
          <w:sz w:val="24"/>
          <w:szCs w:val="24"/>
          <w:lang w:val="en-IN" w:eastAsia="en-IN" w:bidi="gu-IN"/>
        </w:rPr>
        <w:lastRenderedPageBreak/>
        <w:drawing>
          <wp:inline distT="0" distB="0" distL="0" distR="0" wp14:anchorId="674AF659" wp14:editId="41D99E81">
            <wp:extent cx="522152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l="2825" r="1949" b="1595"/>
                    <a:stretch/>
                  </pic:blipFill>
                  <pic:spPr bwMode="auto">
                    <a:xfrm>
                      <a:off x="0" y="0"/>
                      <a:ext cx="5237500" cy="5732490"/>
                    </a:xfrm>
                    <a:prstGeom prst="rect">
                      <a:avLst/>
                    </a:prstGeom>
                    <a:ln>
                      <a:noFill/>
                    </a:ln>
                    <a:extLst>
                      <a:ext uri="{53640926-AAD7-44D8-BBD7-CCE9431645EC}">
                        <a14:shadowObscured xmlns:a14="http://schemas.microsoft.com/office/drawing/2010/main"/>
                      </a:ext>
                    </a:extLst>
                  </pic:spPr>
                </pic:pic>
              </a:graphicData>
            </a:graphic>
          </wp:inline>
        </w:drawing>
      </w:r>
    </w:p>
    <w:p w14:paraId="1E9232D7" w14:textId="77777777" w:rsidR="00124504" w:rsidRDefault="00124504" w:rsidP="00124504">
      <w:pPr>
        <w:pStyle w:val="Body"/>
        <w:spacing w:after="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7F16CF">
        <w:rPr>
          <w:rFonts w:ascii="Arial" w:hAnsi="Arial" w:cs="Arial"/>
          <w:b/>
          <w:bCs/>
          <w:szCs w:val="22"/>
        </w:rPr>
        <w:t>Study A</w:t>
      </w:r>
      <w:r w:rsidRPr="00124504">
        <w:rPr>
          <w:rFonts w:ascii="Arial" w:hAnsi="Arial" w:cs="Arial"/>
          <w:b/>
          <w:bCs/>
          <w:szCs w:val="22"/>
        </w:rPr>
        <w:t>rea: Middle Gujarat Agro-Climatic Zone</w:t>
      </w:r>
    </w:p>
    <w:p w14:paraId="69B52C95" w14:textId="77777777" w:rsidR="00790ADA" w:rsidRPr="00FB3A86" w:rsidRDefault="00790ADA" w:rsidP="00441B6F">
      <w:pPr>
        <w:pStyle w:val="Body"/>
        <w:spacing w:after="0"/>
        <w:rPr>
          <w:rFonts w:ascii="Arial" w:hAnsi="Arial" w:cs="Arial"/>
        </w:rPr>
      </w:pPr>
    </w:p>
    <w:p w14:paraId="667C3F18" w14:textId="50252D7B" w:rsidR="008E78DE" w:rsidRDefault="002F0B93" w:rsidP="00441B6F">
      <w:pPr>
        <w:pStyle w:val="Body"/>
        <w:spacing w:after="0"/>
        <w:rPr>
          <w:rFonts w:ascii="Arial" w:hAnsi="Arial" w:cs="Arial"/>
          <w:b/>
          <w:sz w:val="22"/>
        </w:rPr>
      </w:pPr>
      <w:r>
        <w:rPr>
          <w:rFonts w:ascii="Arial" w:hAnsi="Arial" w:cs="Arial"/>
          <w:b/>
          <w:caps/>
          <w:sz w:val="22"/>
        </w:rPr>
        <w:t>2.2</w:t>
      </w:r>
      <w:r w:rsidR="00AA74E0" w:rsidRPr="00C30A0F">
        <w:rPr>
          <w:rFonts w:ascii="Arial" w:hAnsi="Arial" w:cs="Arial"/>
          <w:b/>
          <w:caps/>
          <w:sz w:val="22"/>
        </w:rPr>
        <w:t xml:space="preserve"> </w:t>
      </w:r>
      <w:r>
        <w:rPr>
          <w:rFonts w:ascii="Arial" w:hAnsi="Arial" w:cs="Arial"/>
          <w:b/>
          <w:sz w:val="22"/>
        </w:rPr>
        <w:t>Data Collection and Preparation</w:t>
      </w:r>
    </w:p>
    <w:p w14:paraId="478D7C4C" w14:textId="77777777" w:rsidR="008E78DE" w:rsidRDefault="008E78DE" w:rsidP="00441B6F">
      <w:pPr>
        <w:pStyle w:val="Body"/>
        <w:spacing w:after="0"/>
        <w:rPr>
          <w:rFonts w:ascii="Arial" w:hAnsi="Arial" w:cs="Arial"/>
        </w:rPr>
      </w:pPr>
      <w:r>
        <w:rPr>
          <w:rFonts w:ascii="Arial" w:hAnsi="Arial" w:cs="Arial"/>
          <w:b/>
          <w:sz w:val="22"/>
        </w:rPr>
        <w:t xml:space="preserve"> </w:t>
      </w:r>
    </w:p>
    <w:p w14:paraId="19E63DC3" w14:textId="0A61A785" w:rsidR="00AA74E0" w:rsidRDefault="002F0B93" w:rsidP="00441B6F">
      <w:pPr>
        <w:pStyle w:val="Body"/>
        <w:spacing w:after="0"/>
        <w:rPr>
          <w:rFonts w:ascii="Arial" w:hAnsi="Arial" w:cs="Arial"/>
        </w:rPr>
      </w:pPr>
      <w:r w:rsidRPr="002F0B93">
        <w:rPr>
          <w:rFonts w:ascii="Arial" w:hAnsi="Arial" w:cs="Arial"/>
        </w:rPr>
        <w:t>Daily rainfall data from 15 rain gauge stations located in the Middle Gujarat Agro-climatic zone were obtained from the State Water Data Center, Gujarat, India. Details of the rain gauge stations are provided in Table 1. The d</w:t>
      </w:r>
      <w:r>
        <w:rPr>
          <w:rFonts w:ascii="Arial" w:hAnsi="Arial" w:cs="Arial"/>
        </w:rPr>
        <w:t>ataset spanned 30 years (1991-</w:t>
      </w:r>
      <w:r w:rsidRPr="002F0B93">
        <w:rPr>
          <w:rFonts w:ascii="Arial" w:hAnsi="Arial" w:cs="Arial"/>
        </w:rPr>
        <w:t>2020) and was verified for completeness, with no missing values detected across all stations. Data consistency and reliability were ensured by checking for outliers using standard deviation thresholds and verifying station calibration records. Homogenei</w:t>
      </w:r>
      <w:r>
        <w:rPr>
          <w:rFonts w:ascii="Arial" w:hAnsi="Arial" w:cs="Arial"/>
        </w:rPr>
        <w:t>ty was assessed using Pettitt’</w:t>
      </w:r>
      <w:r w:rsidRPr="002F0B93">
        <w:rPr>
          <w:rFonts w:ascii="Arial" w:hAnsi="Arial" w:cs="Arial"/>
        </w:rPr>
        <w:t xml:space="preserve">s test, confirming no significant breaks in the time series. To create a single regional dataset, daily rainfall data from the 15 stations were averaged to represent the Middle Gujarat Agro-climatic zone, following standard spatial aggregation methods (Jain </w:t>
      </w:r>
      <w:r w:rsidRPr="00C042AC">
        <w:rPr>
          <w:rFonts w:ascii="Arial" w:hAnsi="Arial" w:cs="Arial"/>
          <w:i/>
          <w:iCs/>
        </w:rPr>
        <w:t>et al.</w:t>
      </w:r>
      <w:r w:rsidRPr="002F0B93">
        <w:rPr>
          <w:rFonts w:ascii="Arial" w:hAnsi="Arial" w:cs="Arial"/>
        </w:rPr>
        <w:t xml:space="preserve">, </w:t>
      </w:r>
      <w:r w:rsidRPr="002F0B93">
        <w:rPr>
          <w:rFonts w:ascii="Arial" w:hAnsi="Arial" w:cs="Arial"/>
        </w:rPr>
        <w:lastRenderedPageBreak/>
        <w:t>2013b). The data were then aggre</w:t>
      </w:r>
      <w:r>
        <w:rPr>
          <w:rFonts w:ascii="Arial" w:hAnsi="Arial" w:cs="Arial"/>
        </w:rPr>
        <w:t>gated into pre-monsoon (March-May), monsoon (June-</w:t>
      </w:r>
      <w:r w:rsidRPr="002F0B93">
        <w:rPr>
          <w:rFonts w:ascii="Arial" w:hAnsi="Arial" w:cs="Arial"/>
        </w:rPr>
        <w:t>Sept</w:t>
      </w:r>
      <w:r>
        <w:rPr>
          <w:rFonts w:ascii="Arial" w:hAnsi="Arial" w:cs="Arial"/>
        </w:rPr>
        <w:t>ember), post-monsoon (October-November), winter (December-</w:t>
      </w:r>
      <w:r w:rsidRPr="002F0B93">
        <w:rPr>
          <w:rFonts w:ascii="Arial" w:hAnsi="Arial" w:cs="Arial"/>
        </w:rPr>
        <w:t xml:space="preserve">February), and annual time series for analysis.  </w:t>
      </w:r>
      <w:r w:rsidR="00AA74E0" w:rsidRPr="00FB3A86">
        <w:rPr>
          <w:rFonts w:ascii="Arial" w:hAnsi="Arial" w:cs="Arial"/>
        </w:rPr>
        <w:t xml:space="preserve">  </w:t>
      </w:r>
    </w:p>
    <w:p w14:paraId="30DC26A0" w14:textId="77777777" w:rsidR="00505F06" w:rsidRDefault="00505F06" w:rsidP="00441B6F">
      <w:pPr>
        <w:pStyle w:val="Body"/>
        <w:spacing w:after="0"/>
        <w:rPr>
          <w:rFonts w:ascii="Arial" w:hAnsi="Arial" w:cs="Arial"/>
        </w:rPr>
      </w:pPr>
    </w:p>
    <w:p w14:paraId="08C2983A" w14:textId="77777777" w:rsidR="008E78DE" w:rsidRDefault="00E06928" w:rsidP="008E78DE">
      <w:pPr>
        <w:tabs>
          <w:tab w:val="left" w:pos="1080"/>
        </w:tabs>
        <w:jc w:val="center"/>
        <w:rPr>
          <w:rFonts w:ascii="Arial" w:hAnsi="Arial"/>
          <w:b/>
        </w:rPr>
      </w:pPr>
      <w:r>
        <w:rPr>
          <w:rFonts w:ascii="Arial" w:hAnsi="Arial"/>
          <w:b/>
        </w:rPr>
        <w:t>Table 1. Rainfall stations of study a</w:t>
      </w:r>
      <w:r w:rsidR="008E78DE">
        <w:rPr>
          <w:rFonts w:ascii="Arial" w:hAnsi="Arial"/>
          <w:b/>
        </w:rPr>
        <w:t>rea</w:t>
      </w:r>
    </w:p>
    <w:p w14:paraId="2C56A337" w14:textId="77777777" w:rsidR="008E78DE" w:rsidRDefault="008E78DE" w:rsidP="008E78DE">
      <w:pPr>
        <w:tabs>
          <w:tab w:val="left" w:pos="1080"/>
        </w:tabs>
        <w:jc w:val="both"/>
        <w:rPr>
          <w:rFonts w:ascii="Arial" w:hAnsi="Arial"/>
          <w:b/>
        </w:rPr>
      </w:pPr>
    </w:p>
    <w:tbl>
      <w:tblPr>
        <w:tblStyle w:val="PlainTable2"/>
        <w:tblW w:w="5000" w:type="pct"/>
        <w:tblLook w:val="04A0" w:firstRow="1" w:lastRow="0" w:firstColumn="1" w:lastColumn="0" w:noHBand="0" w:noVBand="1"/>
      </w:tblPr>
      <w:tblGrid>
        <w:gridCol w:w="2881"/>
        <w:gridCol w:w="1535"/>
        <w:gridCol w:w="1380"/>
        <w:gridCol w:w="2628"/>
      </w:tblGrid>
      <w:tr w:rsidR="008E78DE" w:rsidRPr="008E78DE" w14:paraId="2339D529" w14:textId="77777777" w:rsidTr="008E78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auto"/>
              <w:bottom w:val="single" w:sz="4" w:space="0" w:color="auto"/>
            </w:tcBorders>
            <w:vAlign w:val="center"/>
          </w:tcPr>
          <w:p w14:paraId="12C04D06" w14:textId="77777777" w:rsidR="008E78DE" w:rsidRPr="008E78DE" w:rsidRDefault="008E78DE" w:rsidP="008E78DE">
            <w:pPr>
              <w:jc w:val="center"/>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Station Name</w:t>
            </w:r>
          </w:p>
        </w:tc>
        <w:tc>
          <w:tcPr>
            <w:tcW w:w="1027" w:type="pct"/>
            <w:tcBorders>
              <w:top w:val="single" w:sz="4" w:space="0" w:color="auto"/>
              <w:bottom w:val="single" w:sz="4" w:space="0" w:color="auto"/>
            </w:tcBorders>
            <w:noWrap/>
            <w:vAlign w:val="center"/>
            <w:hideMark/>
          </w:tcPr>
          <w:p w14:paraId="7657A310"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Latitude</w:t>
            </w:r>
          </w:p>
        </w:tc>
        <w:tc>
          <w:tcPr>
            <w:tcW w:w="934" w:type="pct"/>
            <w:tcBorders>
              <w:top w:val="single" w:sz="4" w:space="0" w:color="auto"/>
              <w:bottom w:val="single" w:sz="4" w:space="0" w:color="auto"/>
            </w:tcBorders>
            <w:noWrap/>
            <w:vAlign w:val="center"/>
            <w:hideMark/>
          </w:tcPr>
          <w:p w14:paraId="1B178C62"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Longitude</w:t>
            </w:r>
          </w:p>
        </w:tc>
        <w:tc>
          <w:tcPr>
            <w:tcW w:w="1212" w:type="pct"/>
            <w:tcBorders>
              <w:top w:val="single" w:sz="4" w:space="0" w:color="auto"/>
              <w:bottom w:val="single" w:sz="4" w:space="0" w:color="auto"/>
            </w:tcBorders>
            <w:noWrap/>
            <w:vAlign w:val="center"/>
            <w:hideMark/>
          </w:tcPr>
          <w:p w14:paraId="717150E8" w14:textId="77777777" w:rsidR="008E78DE" w:rsidRPr="008E78DE" w:rsidRDefault="008E78DE" w:rsidP="00E315D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lang w:eastAsia="en-IN"/>
              </w:rPr>
            </w:pPr>
            <w:r w:rsidRPr="008E78DE">
              <w:rPr>
                <w:rFonts w:ascii="Arial" w:eastAsia="Times New Roman" w:hAnsi="Arial" w:cs="Arial"/>
                <w:color w:val="000000" w:themeColor="text1"/>
                <w:sz w:val="20"/>
                <w:szCs w:val="20"/>
                <w:lang w:eastAsia="en-IN"/>
              </w:rPr>
              <w:t>Reference Toposheet No.</w:t>
            </w:r>
          </w:p>
        </w:tc>
      </w:tr>
      <w:tr w:rsidR="008E78DE" w:rsidRPr="008E78DE" w14:paraId="425DE9BE"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single" w:sz="4" w:space="0" w:color="auto"/>
              <w:bottom w:val="nil"/>
            </w:tcBorders>
            <w:vAlign w:val="center"/>
          </w:tcPr>
          <w:p w14:paraId="7CB3498D"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Bhilpur</w:t>
            </w:r>
            <w:proofErr w:type="spellEnd"/>
          </w:p>
        </w:tc>
        <w:tc>
          <w:tcPr>
            <w:tcW w:w="1027" w:type="pct"/>
            <w:tcBorders>
              <w:top w:val="single" w:sz="4" w:space="0" w:color="auto"/>
              <w:bottom w:val="nil"/>
            </w:tcBorders>
            <w:noWrap/>
            <w:vAlign w:val="center"/>
            <w:hideMark/>
          </w:tcPr>
          <w:p w14:paraId="0519A741"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22.2414</w:t>
            </w:r>
          </w:p>
        </w:tc>
        <w:tc>
          <w:tcPr>
            <w:tcW w:w="934" w:type="pct"/>
            <w:tcBorders>
              <w:top w:val="single" w:sz="4" w:space="0" w:color="auto"/>
              <w:bottom w:val="nil"/>
            </w:tcBorders>
            <w:noWrap/>
            <w:vAlign w:val="center"/>
            <w:hideMark/>
          </w:tcPr>
          <w:p w14:paraId="443213FF"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73.5702</w:t>
            </w:r>
          </w:p>
        </w:tc>
        <w:tc>
          <w:tcPr>
            <w:tcW w:w="1212" w:type="pct"/>
            <w:tcBorders>
              <w:top w:val="single" w:sz="4" w:space="0" w:color="auto"/>
              <w:bottom w:val="nil"/>
            </w:tcBorders>
            <w:noWrap/>
            <w:vAlign w:val="center"/>
            <w:hideMark/>
          </w:tcPr>
          <w:p w14:paraId="5035FDFE"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46F15</w:t>
            </w:r>
          </w:p>
        </w:tc>
      </w:tr>
      <w:tr w:rsidR="008E78DE" w:rsidRPr="008E78DE" w14:paraId="789AA098"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27DCEA27"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Devhat</w:t>
            </w:r>
            <w:proofErr w:type="spellEnd"/>
          </w:p>
        </w:tc>
        <w:tc>
          <w:tcPr>
            <w:tcW w:w="1027" w:type="pct"/>
            <w:tcBorders>
              <w:top w:val="nil"/>
              <w:bottom w:val="nil"/>
            </w:tcBorders>
            <w:noWrap/>
            <w:vAlign w:val="center"/>
            <w:hideMark/>
          </w:tcPr>
          <w:p w14:paraId="610FA29F"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22.2341</w:t>
            </w:r>
          </w:p>
        </w:tc>
        <w:tc>
          <w:tcPr>
            <w:tcW w:w="934" w:type="pct"/>
            <w:tcBorders>
              <w:top w:val="nil"/>
              <w:bottom w:val="nil"/>
            </w:tcBorders>
            <w:noWrap/>
            <w:vAlign w:val="center"/>
            <w:hideMark/>
          </w:tcPr>
          <w:p w14:paraId="2FDEA067"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74.0540</w:t>
            </w:r>
          </w:p>
        </w:tc>
        <w:tc>
          <w:tcPr>
            <w:tcW w:w="1212" w:type="pct"/>
            <w:tcBorders>
              <w:top w:val="nil"/>
              <w:bottom w:val="nil"/>
            </w:tcBorders>
            <w:noWrap/>
            <w:vAlign w:val="center"/>
            <w:hideMark/>
          </w:tcPr>
          <w:p w14:paraId="0ABC65D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46J03</w:t>
            </w:r>
          </w:p>
        </w:tc>
      </w:tr>
      <w:tr w:rsidR="008E78DE" w:rsidRPr="008E78DE" w14:paraId="7AA0789A"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F0FE4B9"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Jetpur</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Pavi</w:t>
            </w:r>
            <w:proofErr w:type="spellEnd"/>
          </w:p>
        </w:tc>
        <w:tc>
          <w:tcPr>
            <w:tcW w:w="1027" w:type="pct"/>
            <w:tcBorders>
              <w:top w:val="nil"/>
              <w:bottom w:val="nil"/>
            </w:tcBorders>
            <w:noWrap/>
            <w:vAlign w:val="center"/>
            <w:hideMark/>
          </w:tcPr>
          <w:p w14:paraId="7FC670A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22.2032</w:t>
            </w:r>
          </w:p>
        </w:tc>
        <w:tc>
          <w:tcPr>
            <w:tcW w:w="934" w:type="pct"/>
            <w:tcBorders>
              <w:top w:val="nil"/>
              <w:bottom w:val="nil"/>
            </w:tcBorders>
            <w:noWrap/>
            <w:vAlign w:val="center"/>
            <w:hideMark/>
          </w:tcPr>
          <w:p w14:paraId="7ADBF87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73.5017</w:t>
            </w:r>
          </w:p>
        </w:tc>
        <w:tc>
          <w:tcPr>
            <w:tcW w:w="1212" w:type="pct"/>
            <w:tcBorders>
              <w:top w:val="nil"/>
              <w:bottom w:val="nil"/>
            </w:tcBorders>
            <w:noWrap/>
            <w:vAlign w:val="center"/>
            <w:hideMark/>
          </w:tcPr>
          <w:p w14:paraId="63D84373"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46F15</w:t>
            </w:r>
          </w:p>
        </w:tc>
      </w:tr>
      <w:tr w:rsidR="008E78DE" w:rsidRPr="008E78DE" w14:paraId="59D1669B"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93FA660"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Kalarani</w:t>
            </w:r>
          </w:p>
        </w:tc>
        <w:tc>
          <w:tcPr>
            <w:tcW w:w="1027" w:type="pct"/>
            <w:tcBorders>
              <w:top w:val="nil"/>
              <w:bottom w:val="nil"/>
            </w:tcBorders>
            <w:noWrap/>
            <w:vAlign w:val="center"/>
            <w:hideMark/>
          </w:tcPr>
          <w:p w14:paraId="19DEA996"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22.1330</w:t>
            </w:r>
          </w:p>
        </w:tc>
        <w:tc>
          <w:tcPr>
            <w:tcW w:w="934" w:type="pct"/>
            <w:tcBorders>
              <w:top w:val="nil"/>
              <w:bottom w:val="nil"/>
            </w:tcBorders>
            <w:noWrap/>
            <w:vAlign w:val="center"/>
            <w:hideMark/>
          </w:tcPr>
          <w:p w14:paraId="0E1CAAF3"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73.5244</w:t>
            </w:r>
          </w:p>
        </w:tc>
        <w:tc>
          <w:tcPr>
            <w:tcW w:w="1212" w:type="pct"/>
            <w:tcBorders>
              <w:top w:val="nil"/>
              <w:bottom w:val="nil"/>
            </w:tcBorders>
            <w:noWrap/>
            <w:vAlign w:val="center"/>
            <w:hideMark/>
          </w:tcPr>
          <w:p w14:paraId="7CD6DC61"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46F16</w:t>
            </w:r>
          </w:p>
        </w:tc>
      </w:tr>
      <w:tr w:rsidR="008E78DE" w:rsidRPr="008E78DE" w14:paraId="61DBC283"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15A1B67"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Kevadi</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Gudia</w:t>
            </w:r>
            <w:proofErr w:type="spellEnd"/>
            <w:r w:rsidRPr="008E78DE">
              <w:rPr>
                <w:rFonts w:ascii="Arial" w:hAnsi="Arial" w:cs="Arial"/>
                <w:b w:val="0"/>
                <w:bCs w:val="0"/>
                <w:color w:val="000000"/>
                <w:sz w:val="20"/>
                <w:szCs w:val="20"/>
              </w:rPr>
              <w:t xml:space="preserve"> </w:t>
            </w:r>
            <w:proofErr w:type="spellStart"/>
            <w:r w:rsidRPr="008E78DE">
              <w:rPr>
                <w:rFonts w:ascii="Arial" w:hAnsi="Arial" w:cs="Arial"/>
                <w:b w:val="0"/>
                <w:bCs w:val="0"/>
                <w:color w:val="000000"/>
                <w:sz w:val="20"/>
                <w:szCs w:val="20"/>
              </w:rPr>
              <w:t>Mahuda</w:t>
            </w:r>
            <w:proofErr w:type="spellEnd"/>
            <w:r w:rsidRPr="008E78DE">
              <w:rPr>
                <w:rFonts w:ascii="Arial" w:hAnsi="Arial" w:cs="Arial"/>
                <w:b w:val="0"/>
                <w:bCs w:val="0"/>
                <w:color w:val="000000"/>
                <w:sz w:val="20"/>
                <w:szCs w:val="20"/>
              </w:rPr>
              <w:t>)</w:t>
            </w:r>
          </w:p>
        </w:tc>
        <w:tc>
          <w:tcPr>
            <w:tcW w:w="1027" w:type="pct"/>
            <w:tcBorders>
              <w:top w:val="nil"/>
              <w:bottom w:val="nil"/>
            </w:tcBorders>
            <w:noWrap/>
            <w:vAlign w:val="center"/>
            <w:hideMark/>
          </w:tcPr>
          <w:p w14:paraId="08DA291F"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21.3241</w:t>
            </w:r>
          </w:p>
        </w:tc>
        <w:tc>
          <w:tcPr>
            <w:tcW w:w="934" w:type="pct"/>
            <w:tcBorders>
              <w:top w:val="nil"/>
              <w:bottom w:val="nil"/>
            </w:tcBorders>
            <w:noWrap/>
            <w:vAlign w:val="center"/>
            <w:hideMark/>
          </w:tcPr>
          <w:p w14:paraId="3468308D"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73.1843</w:t>
            </w:r>
          </w:p>
        </w:tc>
        <w:tc>
          <w:tcPr>
            <w:tcW w:w="1212" w:type="pct"/>
            <w:tcBorders>
              <w:top w:val="nil"/>
              <w:bottom w:val="nil"/>
            </w:tcBorders>
            <w:noWrap/>
            <w:vAlign w:val="center"/>
            <w:hideMark/>
          </w:tcPr>
          <w:p w14:paraId="1C1B641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46F14</w:t>
            </w:r>
          </w:p>
        </w:tc>
      </w:tr>
      <w:tr w:rsidR="008E78DE" w:rsidRPr="008E78DE" w14:paraId="5A43AE71"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46C1F49B"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Rampura</w:t>
            </w:r>
          </w:p>
        </w:tc>
        <w:tc>
          <w:tcPr>
            <w:tcW w:w="1027" w:type="pct"/>
            <w:tcBorders>
              <w:top w:val="nil"/>
              <w:bottom w:val="nil"/>
            </w:tcBorders>
            <w:noWrap/>
            <w:vAlign w:val="center"/>
            <w:hideMark/>
          </w:tcPr>
          <w:p w14:paraId="19D1B00F"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22.0609</w:t>
            </w:r>
          </w:p>
        </w:tc>
        <w:tc>
          <w:tcPr>
            <w:tcW w:w="934" w:type="pct"/>
            <w:tcBorders>
              <w:top w:val="nil"/>
              <w:bottom w:val="nil"/>
            </w:tcBorders>
            <w:noWrap/>
            <w:vAlign w:val="center"/>
            <w:hideMark/>
          </w:tcPr>
          <w:p w14:paraId="1C5BE972"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73.3228</w:t>
            </w:r>
          </w:p>
        </w:tc>
        <w:tc>
          <w:tcPr>
            <w:tcW w:w="1212" w:type="pct"/>
            <w:tcBorders>
              <w:top w:val="nil"/>
              <w:bottom w:val="nil"/>
            </w:tcBorders>
            <w:noWrap/>
            <w:vAlign w:val="center"/>
            <w:hideMark/>
          </w:tcPr>
          <w:p w14:paraId="0D178486"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46F12</w:t>
            </w:r>
          </w:p>
        </w:tc>
      </w:tr>
      <w:tr w:rsidR="008E78DE" w:rsidRPr="008E78DE" w14:paraId="52E185F0"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18813DE"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Rangpur</w:t>
            </w:r>
          </w:p>
        </w:tc>
        <w:tc>
          <w:tcPr>
            <w:tcW w:w="1027" w:type="pct"/>
            <w:tcBorders>
              <w:top w:val="nil"/>
              <w:bottom w:val="nil"/>
            </w:tcBorders>
            <w:noWrap/>
            <w:vAlign w:val="center"/>
            <w:hideMark/>
          </w:tcPr>
          <w:p w14:paraId="0C6F1E4B"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22.2237</w:t>
            </w:r>
          </w:p>
        </w:tc>
        <w:tc>
          <w:tcPr>
            <w:tcW w:w="934" w:type="pct"/>
            <w:tcBorders>
              <w:top w:val="nil"/>
              <w:bottom w:val="nil"/>
            </w:tcBorders>
            <w:noWrap/>
            <w:vAlign w:val="center"/>
            <w:hideMark/>
          </w:tcPr>
          <w:p w14:paraId="1DE9D36D"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74.1042</w:t>
            </w:r>
          </w:p>
        </w:tc>
        <w:tc>
          <w:tcPr>
            <w:tcW w:w="1212" w:type="pct"/>
            <w:tcBorders>
              <w:top w:val="nil"/>
              <w:bottom w:val="nil"/>
            </w:tcBorders>
            <w:noWrap/>
            <w:vAlign w:val="center"/>
            <w:hideMark/>
          </w:tcPr>
          <w:p w14:paraId="2E60CE9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46J03</w:t>
            </w:r>
          </w:p>
        </w:tc>
      </w:tr>
      <w:tr w:rsidR="008E78DE" w:rsidRPr="008E78DE" w14:paraId="0E3028F8"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30DC2C4B"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Sanjuli</w:t>
            </w:r>
            <w:proofErr w:type="spellEnd"/>
          </w:p>
        </w:tc>
        <w:tc>
          <w:tcPr>
            <w:tcW w:w="1027" w:type="pct"/>
            <w:tcBorders>
              <w:top w:val="nil"/>
              <w:bottom w:val="nil"/>
            </w:tcBorders>
            <w:noWrap/>
            <w:vAlign w:val="center"/>
            <w:hideMark/>
          </w:tcPr>
          <w:p w14:paraId="099C068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22.1344</w:t>
            </w:r>
          </w:p>
        </w:tc>
        <w:tc>
          <w:tcPr>
            <w:tcW w:w="934" w:type="pct"/>
            <w:tcBorders>
              <w:top w:val="nil"/>
              <w:bottom w:val="nil"/>
            </w:tcBorders>
            <w:noWrap/>
            <w:vAlign w:val="center"/>
            <w:hideMark/>
          </w:tcPr>
          <w:p w14:paraId="41B21A6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73.5736</w:t>
            </w:r>
          </w:p>
        </w:tc>
        <w:tc>
          <w:tcPr>
            <w:tcW w:w="1212" w:type="pct"/>
            <w:tcBorders>
              <w:top w:val="nil"/>
              <w:bottom w:val="nil"/>
            </w:tcBorders>
            <w:noWrap/>
            <w:vAlign w:val="center"/>
            <w:hideMark/>
          </w:tcPr>
          <w:p w14:paraId="68AB498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46F16</w:t>
            </w:r>
          </w:p>
        </w:tc>
      </w:tr>
      <w:tr w:rsidR="008E78DE" w:rsidRPr="008E78DE" w14:paraId="78FF6718"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68A067AA"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Sankheda</w:t>
            </w:r>
            <w:proofErr w:type="spellEnd"/>
          </w:p>
        </w:tc>
        <w:tc>
          <w:tcPr>
            <w:tcW w:w="1027" w:type="pct"/>
            <w:tcBorders>
              <w:top w:val="nil"/>
              <w:bottom w:val="nil"/>
            </w:tcBorders>
            <w:noWrap/>
            <w:vAlign w:val="center"/>
            <w:hideMark/>
          </w:tcPr>
          <w:p w14:paraId="6CB5E016"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22.1020</w:t>
            </w:r>
          </w:p>
        </w:tc>
        <w:tc>
          <w:tcPr>
            <w:tcW w:w="934" w:type="pct"/>
            <w:tcBorders>
              <w:top w:val="nil"/>
              <w:bottom w:val="nil"/>
            </w:tcBorders>
            <w:noWrap/>
            <w:vAlign w:val="center"/>
            <w:hideMark/>
          </w:tcPr>
          <w:p w14:paraId="1862AB73"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73.3459</w:t>
            </w:r>
          </w:p>
        </w:tc>
        <w:tc>
          <w:tcPr>
            <w:tcW w:w="1212" w:type="pct"/>
            <w:tcBorders>
              <w:top w:val="nil"/>
              <w:bottom w:val="nil"/>
            </w:tcBorders>
            <w:noWrap/>
            <w:vAlign w:val="center"/>
            <w:hideMark/>
          </w:tcPr>
          <w:p w14:paraId="1C580D35"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46F12</w:t>
            </w:r>
          </w:p>
        </w:tc>
      </w:tr>
      <w:tr w:rsidR="008E78DE" w:rsidRPr="008E78DE" w14:paraId="66367486"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7922F070"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Gultora</w:t>
            </w:r>
            <w:proofErr w:type="spellEnd"/>
          </w:p>
        </w:tc>
        <w:tc>
          <w:tcPr>
            <w:tcW w:w="1027" w:type="pct"/>
            <w:tcBorders>
              <w:top w:val="nil"/>
              <w:bottom w:val="nil"/>
            </w:tcBorders>
            <w:noWrap/>
            <w:vAlign w:val="center"/>
            <w:hideMark/>
          </w:tcPr>
          <w:p w14:paraId="4C6EE81B"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22.5901</w:t>
            </w:r>
          </w:p>
        </w:tc>
        <w:tc>
          <w:tcPr>
            <w:tcW w:w="934" w:type="pct"/>
            <w:tcBorders>
              <w:top w:val="nil"/>
              <w:bottom w:val="nil"/>
            </w:tcBorders>
            <w:noWrap/>
            <w:vAlign w:val="center"/>
            <w:hideMark/>
          </w:tcPr>
          <w:p w14:paraId="55CB318B"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74.1704</w:t>
            </w:r>
          </w:p>
        </w:tc>
        <w:tc>
          <w:tcPr>
            <w:tcW w:w="1212" w:type="pct"/>
            <w:tcBorders>
              <w:top w:val="nil"/>
              <w:bottom w:val="nil"/>
            </w:tcBorders>
            <w:noWrap/>
            <w:vAlign w:val="center"/>
            <w:hideMark/>
          </w:tcPr>
          <w:p w14:paraId="6F388440"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46J05</w:t>
            </w:r>
          </w:p>
        </w:tc>
      </w:tr>
      <w:tr w:rsidR="008E78DE" w:rsidRPr="008E78DE" w14:paraId="45811D65"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52211A76"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Kakanpur</w:t>
            </w:r>
            <w:proofErr w:type="spellEnd"/>
          </w:p>
        </w:tc>
        <w:tc>
          <w:tcPr>
            <w:tcW w:w="1027" w:type="pct"/>
            <w:tcBorders>
              <w:top w:val="nil"/>
              <w:bottom w:val="nil"/>
            </w:tcBorders>
            <w:noWrap/>
            <w:vAlign w:val="center"/>
            <w:hideMark/>
          </w:tcPr>
          <w:p w14:paraId="5B00FC47"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22.4956</w:t>
            </w:r>
          </w:p>
        </w:tc>
        <w:tc>
          <w:tcPr>
            <w:tcW w:w="934" w:type="pct"/>
            <w:tcBorders>
              <w:top w:val="nil"/>
              <w:bottom w:val="nil"/>
            </w:tcBorders>
            <w:noWrap/>
            <w:vAlign w:val="center"/>
            <w:hideMark/>
          </w:tcPr>
          <w:p w14:paraId="4FDB20B6"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73.2918</w:t>
            </w:r>
          </w:p>
        </w:tc>
        <w:tc>
          <w:tcPr>
            <w:tcW w:w="1212" w:type="pct"/>
            <w:tcBorders>
              <w:top w:val="nil"/>
              <w:bottom w:val="nil"/>
            </w:tcBorders>
            <w:noWrap/>
            <w:vAlign w:val="center"/>
            <w:hideMark/>
          </w:tcPr>
          <w:p w14:paraId="2482B5B1"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46F05</w:t>
            </w:r>
          </w:p>
        </w:tc>
      </w:tr>
      <w:tr w:rsidR="008E78DE" w:rsidRPr="008E78DE" w14:paraId="10BD0217"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05517A38" w14:textId="77777777" w:rsidR="008E78DE" w:rsidRPr="008E78DE" w:rsidRDefault="008E78DE" w:rsidP="008E78DE">
            <w:pPr>
              <w:jc w:val="center"/>
              <w:rPr>
                <w:rFonts w:ascii="Arial" w:hAnsi="Arial" w:cs="Arial"/>
                <w:b w:val="0"/>
                <w:bCs w:val="0"/>
                <w:color w:val="000000"/>
                <w:sz w:val="20"/>
                <w:szCs w:val="20"/>
              </w:rPr>
            </w:pPr>
            <w:r w:rsidRPr="008E78DE">
              <w:rPr>
                <w:rFonts w:ascii="Arial" w:hAnsi="Arial" w:cs="Arial"/>
                <w:b w:val="0"/>
                <w:bCs w:val="0"/>
                <w:color w:val="000000"/>
                <w:sz w:val="20"/>
                <w:szCs w:val="20"/>
              </w:rPr>
              <w:t>Karvan</w:t>
            </w:r>
          </w:p>
        </w:tc>
        <w:tc>
          <w:tcPr>
            <w:tcW w:w="1027" w:type="pct"/>
            <w:tcBorders>
              <w:top w:val="nil"/>
              <w:bottom w:val="nil"/>
            </w:tcBorders>
            <w:noWrap/>
            <w:vAlign w:val="center"/>
            <w:hideMark/>
          </w:tcPr>
          <w:p w14:paraId="21CA779C"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22.0444</w:t>
            </w:r>
          </w:p>
        </w:tc>
        <w:tc>
          <w:tcPr>
            <w:tcW w:w="934" w:type="pct"/>
            <w:tcBorders>
              <w:top w:val="nil"/>
              <w:bottom w:val="nil"/>
            </w:tcBorders>
            <w:noWrap/>
            <w:vAlign w:val="center"/>
            <w:hideMark/>
          </w:tcPr>
          <w:p w14:paraId="6F5B572A"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73.1454</w:t>
            </w:r>
          </w:p>
        </w:tc>
        <w:tc>
          <w:tcPr>
            <w:tcW w:w="1212" w:type="pct"/>
            <w:tcBorders>
              <w:top w:val="nil"/>
              <w:bottom w:val="nil"/>
            </w:tcBorders>
            <w:noWrap/>
            <w:vAlign w:val="center"/>
            <w:hideMark/>
          </w:tcPr>
          <w:p w14:paraId="1E2BC8A4"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46F04</w:t>
            </w:r>
          </w:p>
        </w:tc>
      </w:tr>
      <w:tr w:rsidR="008E78DE" w:rsidRPr="008E78DE" w14:paraId="7ACE0634"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3E05DCE9"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Kawant</w:t>
            </w:r>
            <w:proofErr w:type="spellEnd"/>
          </w:p>
        </w:tc>
        <w:tc>
          <w:tcPr>
            <w:tcW w:w="1027" w:type="pct"/>
            <w:tcBorders>
              <w:top w:val="nil"/>
              <w:bottom w:val="nil"/>
            </w:tcBorders>
            <w:noWrap/>
            <w:vAlign w:val="center"/>
            <w:hideMark/>
          </w:tcPr>
          <w:p w14:paraId="01F8A519"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22.0529</w:t>
            </w:r>
          </w:p>
        </w:tc>
        <w:tc>
          <w:tcPr>
            <w:tcW w:w="934" w:type="pct"/>
            <w:tcBorders>
              <w:top w:val="nil"/>
              <w:bottom w:val="nil"/>
            </w:tcBorders>
            <w:noWrap/>
            <w:vAlign w:val="center"/>
            <w:hideMark/>
          </w:tcPr>
          <w:p w14:paraId="3AE26A60"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74.0321</w:t>
            </w:r>
          </w:p>
        </w:tc>
        <w:tc>
          <w:tcPr>
            <w:tcW w:w="1212" w:type="pct"/>
            <w:tcBorders>
              <w:top w:val="nil"/>
              <w:bottom w:val="nil"/>
            </w:tcBorders>
            <w:noWrap/>
            <w:vAlign w:val="center"/>
            <w:hideMark/>
          </w:tcPr>
          <w:p w14:paraId="1B17CADB"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46J04</w:t>
            </w:r>
          </w:p>
        </w:tc>
      </w:tr>
      <w:tr w:rsidR="008E78DE" w:rsidRPr="008E78DE" w14:paraId="4188CDD2" w14:textId="77777777" w:rsidTr="008E78DE">
        <w:trPr>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nil"/>
            </w:tcBorders>
            <w:vAlign w:val="center"/>
          </w:tcPr>
          <w:p w14:paraId="4CD0E024"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Pilol</w:t>
            </w:r>
            <w:proofErr w:type="spellEnd"/>
          </w:p>
        </w:tc>
        <w:tc>
          <w:tcPr>
            <w:tcW w:w="1027" w:type="pct"/>
            <w:tcBorders>
              <w:top w:val="nil"/>
              <w:bottom w:val="nil"/>
            </w:tcBorders>
            <w:noWrap/>
            <w:vAlign w:val="center"/>
            <w:hideMark/>
          </w:tcPr>
          <w:p w14:paraId="0433AA9C"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22.2451</w:t>
            </w:r>
          </w:p>
        </w:tc>
        <w:tc>
          <w:tcPr>
            <w:tcW w:w="934" w:type="pct"/>
            <w:tcBorders>
              <w:top w:val="nil"/>
              <w:bottom w:val="nil"/>
            </w:tcBorders>
            <w:noWrap/>
            <w:vAlign w:val="center"/>
            <w:hideMark/>
          </w:tcPr>
          <w:p w14:paraId="4D24DADE"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73.1331</w:t>
            </w:r>
          </w:p>
        </w:tc>
        <w:tc>
          <w:tcPr>
            <w:tcW w:w="1212" w:type="pct"/>
            <w:tcBorders>
              <w:top w:val="nil"/>
              <w:bottom w:val="nil"/>
            </w:tcBorders>
            <w:noWrap/>
            <w:vAlign w:val="center"/>
            <w:hideMark/>
          </w:tcPr>
          <w:p w14:paraId="19ED5955" w14:textId="77777777" w:rsidR="008E78DE" w:rsidRPr="008E78DE" w:rsidRDefault="008E78DE" w:rsidP="00E315D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46F03</w:t>
            </w:r>
          </w:p>
        </w:tc>
      </w:tr>
      <w:tr w:rsidR="008E78DE" w:rsidRPr="008E78DE" w14:paraId="2DE9E68D" w14:textId="77777777" w:rsidTr="008E78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6" w:type="pct"/>
            <w:tcBorders>
              <w:top w:val="nil"/>
              <w:bottom w:val="single" w:sz="4" w:space="0" w:color="auto"/>
            </w:tcBorders>
            <w:vAlign w:val="center"/>
          </w:tcPr>
          <w:p w14:paraId="384CD71E" w14:textId="77777777" w:rsidR="008E78DE" w:rsidRPr="008E78DE" w:rsidRDefault="008E78DE" w:rsidP="008E78DE">
            <w:pPr>
              <w:jc w:val="center"/>
              <w:rPr>
                <w:rFonts w:ascii="Arial" w:hAnsi="Arial" w:cs="Arial"/>
                <w:b w:val="0"/>
                <w:bCs w:val="0"/>
                <w:color w:val="000000"/>
                <w:sz w:val="20"/>
                <w:szCs w:val="20"/>
              </w:rPr>
            </w:pPr>
            <w:proofErr w:type="spellStart"/>
            <w:r w:rsidRPr="008E78DE">
              <w:rPr>
                <w:rFonts w:ascii="Arial" w:hAnsi="Arial" w:cs="Arial"/>
                <w:b w:val="0"/>
                <w:bCs w:val="0"/>
                <w:color w:val="000000"/>
                <w:sz w:val="20"/>
                <w:szCs w:val="20"/>
              </w:rPr>
              <w:t>Sripor</w:t>
            </w:r>
            <w:proofErr w:type="spellEnd"/>
            <w:r w:rsidRPr="008E78DE">
              <w:rPr>
                <w:rFonts w:ascii="Arial" w:hAnsi="Arial" w:cs="Arial"/>
                <w:b w:val="0"/>
                <w:bCs w:val="0"/>
                <w:color w:val="000000"/>
                <w:sz w:val="20"/>
                <w:szCs w:val="20"/>
              </w:rPr>
              <w:t xml:space="preserve"> Tank</w:t>
            </w:r>
          </w:p>
        </w:tc>
        <w:tc>
          <w:tcPr>
            <w:tcW w:w="1027" w:type="pct"/>
            <w:tcBorders>
              <w:top w:val="nil"/>
              <w:bottom w:val="single" w:sz="4" w:space="0" w:color="auto"/>
            </w:tcBorders>
            <w:noWrap/>
            <w:vAlign w:val="center"/>
            <w:hideMark/>
          </w:tcPr>
          <w:p w14:paraId="76E56DF7"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21.5400</w:t>
            </w:r>
          </w:p>
        </w:tc>
        <w:tc>
          <w:tcPr>
            <w:tcW w:w="934" w:type="pct"/>
            <w:tcBorders>
              <w:top w:val="nil"/>
              <w:bottom w:val="single" w:sz="4" w:space="0" w:color="auto"/>
            </w:tcBorders>
            <w:noWrap/>
            <w:vAlign w:val="center"/>
            <w:hideMark/>
          </w:tcPr>
          <w:p w14:paraId="5AB8954A"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73.2100</w:t>
            </w:r>
          </w:p>
        </w:tc>
        <w:tc>
          <w:tcPr>
            <w:tcW w:w="1212" w:type="pct"/>
            <w:tcBorders>
              <w:top w:val="nil"/>
              <w:bottom w:val="single" w:sz="4" w:space="0" w:color="auto"/>
            </w:tcBorders>
            <w:noWrap/>
            <w:vAlign w:val="center"/>
            <w:hideMark/>
          </w:tcPr>
          <w:p w14:paraId="76441BC2" w14:textId="77777777" w:rsidR="008E78DE" w:rsidRPr="008E78DE" w:rsidRDefault="008E78DE" w:rsidP="00E315D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8E78DE">
              <w:rPr>
                <w:rFonts w:ascii="Arial" w:hAnsi="Arial" w:cs="Arial"/>
                <w:color w:val="000000"/>
                <w:sz w:val="20"/>
                <w:szCs w:val="20"/>
              </w:rPr>
              <w:t>46G05</w:t>
            </w:r>
          </w:p>
        </w:tc>
      </w:tr>
    </w:tbl>
    <w:p w14:paraId="013E797B" w14:textId="77777777" w:rsidR="008E78DE" w:rsidRDefault="008E78DE" w:rsidP="00441B6F">
      <w:pPr>
        <w:pStyle w:val="Body"/>
        <w:spacing w:after="0"/>
        <w:rPr>
          <w:rFonts w:ascii="Arial" w:hAnsi="Arial" w:cs="Arial"/>
          <w:b/>
          <w:u w:val="single"/>
        </w:rPr>
      </w:pPr>
    </w:p>
    <w:p w14:paraId="3C96B97A" w14:textId="7D346D8A" w:rsidR="002F0B93" w:rsidRPr="0085738E" w:rsidRDefault="00C042AC" w:rsidP="002F0B93">
      <w:pPr>
        <w:pStyle w:val="Body"/>
        <w:spacing w:after="0"/>
        <w:rPr>
          <w:rFonts w:ascii="Arial" w:hAnsi="Arial" w:cs="Arial"/>
          <w:b/>
          <w:sz w:val="22"/>
        </w:rPr>
      </w:pPr>
      <w:r>
        <w:rPr>
          <w:rFonts w:ascii="Arial" w:hAnsi="Arial" w:cs="Arial"/>
          <w:b/>
          <w:caps/>
          <w:sz w:val="22"/>
        </w:rPr>
        <w:t>2.3</w:t>
      </w:r>
      <w:r w:rsidR="002F0B93" w:rsidRPr="00C30A0F">
        <w:rPr>
          <w:rFonts w:ascii="Arial" w:hAnsi="Arial" w:cs="Arial"/>
          <w:b/>
          <w:caps/>
          <w:sz w:val="22"/>
        </w:rPr>
        <w:t xml:space="preserve"> </w:t>
      </w:r>
      <w:r w:rsidR="002F0B93">
        <w:rPr>
          <w:rFonts w:ascii="Arial" w:hAnsi="Arial" w:cs="Arial"/>
          <w:b/>
          <w:sz w:val="22"/>
        </w:rPr>
        <w:t>Data Analysis</w:t>
      </w:r>
    </w:p>
    <w:p w14:paraId="53F342FA" w14:textId="64E8B2A8" w:rsidR="002F0B93" w:rsidRDefault="002F0B93" w:rsidP="008E78DE">
      <w:pPr>
        <w:pStyle w:val="Body"/>
        <w:spacing w:after="0"/>
        <w:rPr>
          <w:rFonts w:ascii="Arial" w:hAnsi="Arial" w:cs="Arial"/>
          <w:b/>
          <w:caps/>
          <w:sz w:val="22"/>
        </w:rPr>
      </w:pPr>
    </w:p>
    <w:p w14:paraId="4E1ABBBC" w14:textId="153342A7" w:rsidR="002F0B93" w:rsidRDefault="00C042AC" w:rsidP="008E78DE">
      <w:pPr>
        <w:pStyle w:val="Body"/>
        <w:spacing w:after="0"/>
        <w:rPr>
          <w:rFonts w:ascii="Arial" w:hAnsi="Arial" w:cs="Arial"/>
          <w:b/>
          <w:caps/>
          <w:sz w:val="22"/>
        </w:rPr>
      </w:pPr>
      <w:r w:rsidRPr="00C042AC">
        <w:rPr>
          <w:rFonts w:ascii="Arial" w:hAnsi="Arial" w:cs="Arial"/>
        </w:rPr>
        <w:t>Rainfall trends were analyzed using the Mann-Kendall test to de</w:t>
      </w:r>
      <w:r>
        <w:rPr>
          <w:rFonts w:ascii="Arial" w:hAnsi="Arial" w:cs="Arial"/>
        </w:rPr>
        <w:t>tect monotonic trends and Sen’</w:t>
      </w:r>
      <w:r w:rsidRPr="00C042AC">
        <w:rPr>
          <w:rFonts w:ascii="Arial" w:hAnsi="Arial" w:cs="Arial"/>
        </w:rPr>
        <w:t>s slope estimator to quantify trend magnitudes, with statistical significance assessed at a 95% confidence level. The Mann-Kendall test evaluates the presence of a trend based on the rank correlation of data points, using the test</w:t>
      </w:r>
      <w:r w:rsidR="00313DA7">
        <w:rPr>
          <w:rFonts w:ascii="Arial" w:hAnsi="Arial" w:cs="Arial"/>
        </w:rPr>
        <w:t xml:space="preserve"> statistic S</w:t>
      </w:r>
      <w:r>
        <w:rPr>
          <w:rFonts w:ascii="Arial" w:hAnsi="Arial" w:cs="Arial"/>
        </w:rPr>
        <w:t>. Sen’</w:t>
      </w:r>
      <w:r w:rsidRPr="00C042AC">
        <w:rPr>
          <w:rFonts w:ascii="Arial" w:hAnsi="Arial" w:cs="Arial"/>
        </w:rPr>
        <w:t>s slope estimator calculates the median slope of all paired data points to esti</w:t>
      </w:r>
      <w:r w:rsidR="00313DA7">
        <w:rPr>
          <w:rFonts w:ascii="Arial" w:hAnsi="Arial" w:cs="Arial"/>
        </w:rPr>
        <w:t>mate trend magnitude</w:t>
      </w:r>
      <w:r w:rsidRPr="00C042AC">
        <w:rPr>
          <w:rFonts w:ascii="Arial" w:hAnsi="Arial" w:cs="Arial"/>
        </w:rPr>
        <w:t xml:space="preserve">. Analyses were performed using the R software </w:t>
      </w:r>
      <w:r>
        <w:rPr>
          <w:rFonts w:ascii="Arial" w:hAnsi="Arial" w:cs="Arial"/>
        </w:rPr>
        <w:t>(version 4.2.0) with the ‘trend’</w:t>
      </w:r>
      <w:r w:rsidRPr="00C042AC">
        <w:rPr>
          <w:rFonts w:ascii="Arial" w:hAnsi="Arial" w:cs="Arial"/>
        </w:rPr>
        <w:t xml:space="preserve"> package, which implements these methods efficiently. All calculations were cross-verified for accuracy using manual computations of key equations where applicable.</w:t>
      </w:r>
    </w:p>
    <w:p w14:paraId="24A1091D" w14:textId="77777777" w:rsidR="002F0B93" w:rsidRDefault="002F0B93" w:rsidP="008E78DE">
      <w:pPr>
        <w:pStyle w:val="Body"/>
        <w:spacing w:after="0"/>
        <w:rPr>
          <w:rFonts w:ascii="Arial" w:hAnsi="Arial" w:cs="Arial"/>
          <w:b/>
          <w:caps/>
          <w:sz w:val="22"/>
        </w:rPr>
      </w:pPr>
    </w:p>
    <w:p w14:paraId="54C71762" w14:textId="02754F9E" w:rsidR="008E78DE" w:rsidRPr="00C042AC" w:rsidRDefault="00C042AC" w:rsidP="008E78DE">
      <w:pPr>
        <w:pStyle w:val="Body"/>
        <w:spacing w:after="0"/>
        <w:rPr>
          <w:rFonts w:ascii="Arial" w:hAnsi="Arial" w:cs="Arial"/>
          <w:b/>
          <w:u w:val="single"/>
        </w:rPr>
      </w:pPr>
      <w:r w:rsidRPr="00C042AC">
        <w:rPr>
          <w:rFonts w:ascii="Arial" w:hAnsi="Arial" w:cs="Arial"/>
          <w:b/>
          <w:caps/>
          <w:u w:val="single"/>
        </w:rPr>
        <w:t>2.3.1</w:t>
      </w:r>
      <w:r w:rsidR="008E78DE" w:rsidRPr="00C042AC">
        <w:rPr>
          <w:rFonts w:ascii="Arial" w:hAnsi="Arial" w:cs="Arial"/>
          <w:b/>
          <w:caps/>
          <w:u w:val="single"/>
        </w:rPr>
        <w:t xml:space="preserve"> </w:t>
      </w:r>
      <w:r w:rsidR="008E78DE" w:rsidRPr="00C042AC">
        <w:rPr>
          <w:rFonts w:ascii="Arial" w:hAnsi="Arial" w:cs="Arial"/>
          <w:b/>
          <w:u w:val="single"/>
        </w:rPr>
        <w:t>Significance of Trend</w:t>
      </w:r>
    </w:p>
    <w:p w14:paraId="74D8F12D" w14:textId="77777777" w:rsidR="0085738E" w:rsidRDefault="0085738E" w:rsidP="0085738E">
      <w:pPr>
        <w:autoSpaceDE w:val="0"/>
        <w:autoSpaceDN w:val="0"/>
        <w:adjustRightInd w:val="0"/>
        <w:jc w:val="both"/>
        <w:rPr>
          <w:rFonts w:ascii="Arial" w:hAnsi="Arial" w:cs="Arial"/>
        </w:rPr>
      </w:pPr>
    </w:p>
    <w:p w14:paraId="41A94A34" w14:textId="1969EC05" w:rsidR="0085738E" w:rsidRPr="0085738E" w:rsidRDefault="0085738E" w:rsidP="0085738E">
      <w:pPr>
        <w:autoSpaceDE w:val="0"/>
        <w:autoSpaceDN w:val="0"/>
        <w:adjustRightInd w:val="0"/>
        <w:spacing w:after="120"/>
        <w:jc w:val="both"/>
        <w:rPr>
          <w:rFonts w:ascii="Arial" w:hAnsi="Arial" w:cs="Arial"/>
        </w:rPr>
      </w:pPr>
      <w:r w:rsidRPr="0085738E">
        <w:rPr>
          <w:rFonts w:ascii="Arial" w:hAnsi="Arial" w:cs="Arial"/>
        </w:rPr>
        <w:t>In the present study, the Mann-Kendall test, a rank based nonparametric is used to check the significance of the rising or falling trend in rainfall data. The Mann</w:t>
      </w:r>
      <w:r w:rsidR="00700F66">
        <w:rPr>
          <w:rFonts w:ascii="Arial" w:hAnsi="Arial" w:cs="Arial"/>
        </w:rPr>
        <w:t>–Kendall statistic S is given by:</w:t>
      </w:r>
    </w:p>
    <w:p w14:paraId="1690744D" w14:textId="11C6BC95" w:rsidR="0085738E" w:rsidRPr="0085738E" w:rsidRDefault="0085738E" w:rsidP="0085738E">
      <w:pPr>
        <w:autoSpaceDE w:val="0"/>
        <w:autoSpaceDN w:val="0"/>
        <w:adjustRightInd w:val="0"/>
        <w:spacing w:before="120" w:after="120" w:line="360" w:lineRule="auto"/>
        <w:jc w:val="both"/>
        <w:rPr>
          <w:rFonts w:eastAsiaTheme="minorEastAsia"/>
        </w:rPr>
      </w:pPr>
      <m:oMathPara>
        <m:oMathParaPr>
          <m:jc m:val="center"/>
        </m:oMathParaPr>
        <m:oMath>
          <m:r>
            <m:rPr>
              <m:sty m:val="p"/>
            </m:rPr>
            <w:rPr>
              <w:rFonts w:ascii="Cambria Math" w:hAnsi="Cambria Math"/>
            </w:rPr>
            <m:t>s</m:t>
          </m:r>
          <m:r>
            <m:rPr>
              <m:sty m:val="p"/>
            </m:rPr>
            <w:rPr>
              <w:rFonts w:ascii="Cambria Math" w:eastAsia="Cambria Math" w:hAnsi="Cambria Math" w:cs="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r>
                <m:rPr>
                  <m:sty m:val="p"/>
                </m:rPr>
                <w:rPr>
                  <w:rFonts w:ascii="Cambria Math" w:hAnsi="Cambria Math"/>
                </w:rPr>
                <m:t>-1</m:t>
              </m:r>
            </m:sup>
            <m:e>
              <m:nary>
                <m:naryPr>
                  <m:chr m:val="∑"/>
                  <m:grow m:val="1"/>
                  <m:ctrlPr>
                    <w:rPr>
                      <w:rFonts w:ascii="Cambria Math" w:hAnsi="Cambria Math"/>
                    </w:rPr>
                  </m:ctrlPr>
                </m:naryPr>
                <m:sub>
                  <m:r>
                    <w:rPr>
                      <w:rFonts w:ascii="Cambria Math" w:eastAsia="Cambria Math" w:hAnsi="Cambria Math" w:cs="Cambria Math"/>
                    </w:rPr>
                    <m:t>j</m:t>
                  </m:r>
                  <m:r>
                    <m:rPr>
                      <m:sty m:val="p"/>
                    </m:rPr>
                    <w:rPr>
                      <w:rFonts w:ascii="Cambria Math" w:eastAsia="Cambria Math" w:hAnsi="Cambria Math" w:cs="Cambria Math"/>
                    </w:rPr>
                    <m:t>=</m:t>
                  </m:r>
                  <m:r>
                    <w:rPr>
                      <w:rFonts w:ascii="Cambria Math" w:eastAsia="Cambria Math" w:hAnsi="Cambria Math" w:cs="Cambria Math"/>
                    </w:rPr>
                    <m:t>k</m:t>
                  </m:r>
                  <m:r>
                    <m:rPr>
                      <m:sty m:val="p"/>
                    </m:rP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sgn</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e>
                  </m:d>
                </m:e>
              </m:nary>
            </m:e>
          </m:nary>
        </m:oMath>
      </m:oMathPara>
    </w:p>
    <w:p w14:paraId="3ECA656C" w14:textId="0255CFDD" w:rsidR="0085738E" w:rsidRPr="0085738E" w:rsidRDefault="00700F66" w:rsidP="0085738E">
      <w:pPr>
        <w:autoSpaceDE w:val="0"/>
        <w:autoSpaceDN w:val="0"/>
        <w:adjustRightInd w:val="0"/>
        <w:spacing w:before="120" w:after="120"/>
        <w:jc w:val="both"/>
        <w:rPr>
          <w:rFonts w:ascii="Arial" w:hAnsi="Arial" w:cs="Arial"/>
        </w:rPr>
      </w:pPr>
      <w:r>
        <w:rPr>
          <w:rFonts w:ascii="Arial" w:hAnsi="Arial" w:cs="Arial"/>
        </w:rPr>
        <w:t>Where</w:t>
      </w:r>
      <w:r w:rsidR="0085738E" w:rsidRPr="0085738E">
        <w:rPr>
          <w:rFonts w:ascii="Arial" w:hAnsi="Arial" w:cs="Arial"/>
        </w:rPr>
        <w:t xml:space="preserve"> </w:t>
      </w:r>
      <w:proofErr w:type="spellStart"/>
      <w:r>
        <w:rPr>
          <w:rFonts w:ascii="Arial" w:hAnsi="Arial" w:cs="Arial"/>
        </w:rPr>
        <w:t>x</w:t>
      </w:r>
      <w:r w:rsidR="00233E57">
        <w:rPr>
          <w:rFonts w:ascii="Arial" w:hAnsi="Arial" w:cs="Arial"/>
          <w:vertAlign w:val="subscript"/>
        </w:rPr>
        <w:t>j</w:t>
      </w:r>
      <w:proofErr w:type="spellEnd"/>
      <w:r>
        <w:rPr>
          <w:rFonts w:ascii="Arial" w:hAnsi="Arial" w:cs="Arial"/>
        </w:rPr>
        <w:t xml:space="preserve"> </w:t>
      </w:r>
      <w:r w:rsidRPr="00700F66">
        <w:rPr>
          <w:rFonts w:ascii="Arial" w:hAnsi="Arial" w:cs="Arial"/>
        </w:rPr>
        <w:t xml:space="preserve">and </w:t>
      </w:r>
      <w:proofErr w:type="spellStart"/>
      <w:r w:rsidRPr="00700F66">
        <w:rPr>
          <w:rFonts w:ascii="Arial" w:hAnsi="Arial" w:cs="Arial"/>
        </w:rPr>
        <w:t>x</w:t>
      </w:r>
      <w:r w:rsidRPr="00700F66">
        <w:rPr>
          <w:rFonts w:ascii="Arial" w:hAnsi="Arial" w:cs="Arial"/>
          <w:vertAlign w:val="subscript"/>
        </w:rPr>
        <w:t>k</w:t>
      </w:r>
      <w:proofErr w:type="spellEnd"/>
      <w:r>
        <w:rPr>
          <w:rFonts w:ascii="Arial" w:hAnsi="Arial" w:cs="Arial"/>
        </w:rPr>
        <w:t xml:space="preserve"> </w:t>
      </w:r>
      <w:r w:rsidRPr="00700F66">
        <w:rPr>
          <w:rFonts w:ascii="Arial" w:hAnsi="Arial" w:cs="Arial"/>
        </w:rPr>
        <w:t xml:space="preserve">are the data values in years </w:t>
      </w:r>
      <w:r>
        <w:rPr>
          <w:rFonts w:ascii="Arial" w:hAnsi="Arial" w:cs="Arial"/>
        </w:rPr>
        <w:t>j</w:t>
      </w:r>
      <w:r w:rsidRPr="00700F66">
        <w:rPr>
          <w:rFonts w:ascii="Arial" w:hAnsi="Arial" w:cs="Arial"/>
        </w:rPr>
        <w:t xml:space="preserve"> and </w:t>
      </w:r>
      <w:r>
        <w:rPr>
          <w:rFonts w:ascii="Arial" w:hAnsi="Arial" w:cs="Arial"/>
        </w:rPr>
        <w:t>k</w:t>
      </w:r>
      <w:r w:rsidRPr="00700F66">
        <w:rPr>
          <w:rFonts w:ascii="Arial" w:hAnsi="Arial" w:cs="Arial"/>
        </w:rPr>
        <w:t xml:space="preserve"> respectively, and </w:t>
      </w:r>
      <w:proofErr w:type="spellStart"/>
      <w:r>
        <w:rPr>
          <w:rFonts w:ascii="Arial" w:hAnsi="Arial" w:cs="Arial"/>
        </w:rPr>
        <w:t>sgn</w:t>
      </w:r>
      <w:proofErr w:type="spellEnd"/>
      <w:r w:rsidRPr="00700F66">
        <w:rPr>
          <w:rFonts w:ascii="Arial" w:hAnsi="Arial" w:cs="Arial"/>
        </w:rPr>
        <w:t xml:space="preserve"> is the sign function:</w:t>
      </w:r>
    </w:p>
    <w:p w14:paraId="75A1A398" w14:textId="26D44F20" w:rsidR="0085738E" w:rsidRPr="006F7131" w:rsidRDefault="006F7131" w:rsidP="0085738E">
      <w:pPr>
        <w:autoSpaceDE w:val="0"/>
        <w:autoSpaceDN w:val="0"/>
        <w:adjustRightInd w:val="0"/>
        <w:spacing w:before="120" w:after="120" w:line="360" w:lineRule="auto"/>
        <w:jc w:val="center"/>
        <w:rPr>
          <w:rFonts w:ascii="Cambria Math" w:hAnsi="Cambria Math"/>
          <w:i/>
        </w:rPr>
      </w:pPr>
      <m:oMathPara>
        <m:oMath>
          <m:r>
            <w:rPr>
              <w:rFonts w:ascii="Cambria Math" w:hAnsi="Cambria Math"/>
            </w:rPr>
            <w:lastRenderedPageBreak/>
            <m:t>sgn</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+1,if </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&gt;0</m:t>
                  </m:r>
                </m:e>
                <m:e>
                  <m:r>
                    <w:rPr>
                      <w:rFonts w:ascii="Cambria Math" w:hAnsi="Cambria Math"/>
                    </w:rPr>
                    <m:t xml:space="preserve">  0 ,if </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=0</m:t>
                  </m:r>
                  <m:ctrlPr>
                    <w:rPr>
                      <w:rFonts w:ascii="Cambria Math" w:eastAsia="Cambria Math" w:hAnsi="Cambria Math"/>
                      <w:i/>
                    </w:rPr>
                  </m:ctrlPr>
                </m:e>
                <m:e>
                  <m:r>
                    <w:rPr>
                      <w:rFonts w:ascii="Cambria Math" w:eastAsia="Cambria Math" w:hAnsi="Cambria Math"/>
                    </w:rPr>
                    <m:t xml:space="preserve"> -1</m:t>
                  </m:r>
                  <m:r>
                    <w:rPr>
                      <w:rFonts w:ascii="Cambria Math" w:hAnsi="Cambria Math"/>
                    </w:rPr>
                    <m:t xml:space="preserve">, if </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&gt;0</m:t>
                  </m:r>
                </m:e>
              </m:eqArr>
            </m:e>
          </m:d>
        </m:oMath>
      </m:oMathPara>
    </w:p>
    <w:p w14:paraId="550DE35F" w14:textId="428DDEE0" w:rsidR="0085738E" w:rsidRPr="0085738E" w:rsidRDefault="003E661C" w:rsidP="0085738E">
      <w:pPr>
        <w:autoSpaceDE w:val="0"/>
        <w:autoSpaceDN w:val="0"/>
        <w:adjustRightInd w:val="0"/>
        <w:spacing w:before="120" w:after="120"/>
        <w:jc w:val="both"/>
        <w:rPr>
          <w:rFonts w:ascii="Arial" w:hAnsi="Arial" w:cs="Arial"/>
        </w:rPr>
      </w:pPr>
      <w:r>
        <w:rPr>
          <w:rFonts w:ascii="Arial" w:hAnsi="Arial" w:cs="Arial"/>
        </w:rPr>
        <w:t>The variance of S denoted by</w:t>
      </w:r>
      <w:r w:rsidR="0085738E" w:rsidRPr="0085738E">
        <w:rPr>
          <w:rFonts w:ascii="Arial" w:hAnsi="Arial" w:cs="Arial"/>
        </w:rPr>
        <w:t xml:space="preserve"> </w:t>
      </w:r>
      <m:oMath>
        <m:sSubSup>
          <m:sSubSupPr>
            <m:ctrlPr>
              <w:rPr>
                <w:rFonts w:ascii="Cambria Math" w:hAnsi="Cambria Math" w:cs="Arial"/>
              </w:rPr>
            </m:ctrlPr>
          </m:sSubSupPr>
          <m:e>
            <m:r>
              <w:rPr>
                <w:rFonts w:ascii="Cambria Math" w:hAnsi="Cambria Math" w:cs="Arial"/>
              </w:rPr>
              <m:t>σ</m:t>
            </m:r>
          </m:e>
          <m:sub>
            <m:r>
              <w:rPr>
                <w:rFonts w:ascii="Cambria Math" w:hAnsi="Cambria Math" w:cs="Arial"/>
              </w:rPr>
              <m:t>s</m:t>
            </m:r>
          </m:sub>
          <m:sup>
            <m:r>
              <m:rPr>
                <m:sty m:val="p"/>
              </m:rPr>
              <w:rPr>
                <w:rFonts w:ascii="Cambria Math" w:hAnsi="Cambria Math" w:cs="Arial"/>
              </w:rPr>
              <m:t>2</m:t>
            </m:r>
          </m:sup>
        </m:sSubSup>
      </m:oMath>
      <w:r>
        <w:rPr>
          <w:rFonts w:ascii="Arial" w:hAnsi="Arial" w:cs="Arial"/>
        </w:rPr>
        <w:t xml:space="preserve"> </w:t>
      </w:r>
      <w:r w:rsidR="0085738E">
        <w:rPr>
          <w:rFonts w:ascii="Arial" w:hAnsi="Arial" w:cs="Arial"/>
        </w:rPr>
        <w:t>is computed as</w:t>
      </w:r>
      <w:r w:rsidR="0085738E" w:rsidRPr="0085738E">
        <w:rPr>
          <w:rFonts w:ascii="Arial" w:hAnsi="Arial" w:cs="Arial"/>
        </w:rPr>
        <w:t>:</w:t>
      </w:r>
    </w:p>
    <w:p w14:paraId="10D895BF" w14:textId="766CA57B" w:rsidR="0085738E" w:rsidRPr="0085738E" w:rsidRDefault="006914FD" w:rsidP="0085738E">
      <w:pPr>
        <w:spacing w:line="360" w:lineRule="auto"/>
        <w:rPr>
          <w:rFonts w:eastAsiaTheme="minorEastAsia"/>
        </w:rPr>
      </w:pPr>
      <m:oMathPara>
        <m:oMathParaPr>
          <m:jc m:val="center"/>
        </m:oMathParaPr>
        <m:oMath>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cs="Cambria Math"/>
                </w:rPr>
                <m:t xml:space="preserve">n </m:t>
              </m:r>
              <m:d>
                <m:dPr>
                  <m:ctrlPr>
                    <w:rPr>
                      <w:rFonts w:ascii="Cambria Math" w:eastAsiaTheme="minorEastAsia" w:hAnsi="Cambria Math" w:cs="Cambria Math"/>
                    </w:rPr>
                  </m:ctrlPr>
                </m:dPr>
                <m:e>
                  <m:r>
                    <m:rPr>
                      <m:sty m:val="p"/>
                    </m:rPr>
                    <w:rPr>
                      <w:rFonts w:ascii="Cambria Math" w:eastAsiaTheme="minorEastAsia" w:hAnsi="Cambria Math" w:cs="Cambria Math"/>
                    </w:rPr>
                    <m:t>n-1</m:t>
                  </m:r>
                </m:e>
              </m:d>
              <m:d>
                <m:dPr>
                  <m:ctrlPr>
                    <w:rPr>
                      <w:rFonts w:ascii="Cambria Math" w:eastAsiaTheme="minorEastAsia" w:hAnsi="Cambria Math" w:cs="Cambria Math"/>
                    </w:rPr>
                  </m:ctrlPr>
                </m:dPr>
                <m:e>
                  <m:r>
                    <m:rPr>
                      <m:sty m:val="p"/>
                    </m:rPr>
                    <w:rPr>
                      <w:rFonts w:ascii="Cambria Math" w:eastAsiaTheme="minorEastAsia" w:hAnsi="Cambria Math" w:cs="Cambria Math"/>
                    </w:rPr>
                    <m:t>2n+5</m:t>
                  </m:r>
                </m:e>
              </m:d>
              <m:r>
                <m:rPr>
                  <m:sty m:val="p"/>
                </m:rPr>
                <w:rPr>
                  <w:rFonts w:ascii="Cambria Math" w:eastAsiaTheme="minorEastAsia" w:hAnsi="Cambria Math" w:cs="Cambria Math"/>
                </w:rPr>
                <m:t xml:space="preserve">- </m:t>
              </m:r>
              <m:nary>
                <m:naryPr>
                  <m:chr m:val="∑"/>
                  <m:grow m:val="1"/>
                  <m:ctrlPr>
                    <w:rPr>
                      <w:rFonts w:ascii="Cambria Math" w:hAnsi="Cambria Math"/>
                    </w:rPr>
                  </m:ctrlPr>
                </m:naryPr>
                <m:sub>
                  <m:r>
                    <w:rPr>
                      <w:rFonts w:ascii="Cambria Math" w:eastAsia="Cambria Math" w:hAnsi="Cambria Math" w:cs="Cambria Math"/>
                    </w:rPr>
                    <m:t>j=1</m:t>
                  </m:r>
                </m:sub>
                <m:sup>
                  <m:r>
                    <w:rPr>
                      <w:rFonts w:ascii="Cambria Math" w:eastAsia="Cambria Math" w:hAnsi="Cambria Math" w:cs="Cambria Math"/>
                    </w:rPr>
                    <m:t>q</m:t>
                  </m:r>
                </m:sup>
                <m:e>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j</m:t>
                      </m:r>
                    </m:sub>
                  </m:sSub>
                  <m:d>
                    <m:dPr>
                      <m:ctrlPr>
                        <w:rPr>
                          <w:rFonts w:ascii="Cambria Math" w:hAnsi="Cambria Math"/>
                        </w:rPr>
                      </m:ctrlPr>
                    </m:dPr>
                    <m:e>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j</m:t>
                          </m:r>
                        </m:sub>
                      </m:sSub>
                      <m:r>
                        <w:rPr>
                          <w:rFonts w:ascii="Cambria Math" w:hAnsi="Cambria Math"/>
                        </w:rPr>
                        <m:t>-</m:t>
                      </m:r>
                      <m:r>
                        <m:rPr>
                          <m:sty m:val="p"/>
                        </m:rPr>
                        <w:rPr>
                          <w:rFonts w:ascii="Cambria Math" w:eastAsiaTheme="minorEastAsia" w:hAnsi="Cambria Math"/>
                        </w:rPr>
                        <m:t>1</m:t>
                      </m:r>
                    </m:e>
                  </m:d>
                </m:e>
              </m:nary>
              <m:r>
                <m:rPr>
                  <m:sty m:val="p"/>
                </m:rPr>
                <w:rPr>
                  <w:rFonts w:ascii="Cambria Math" w:eastAsiaTheme="minorEastAsia" w:hAnsi="Cambria Math" w:cs="Cambria Math"/>
                </w:rPr>
                <m:t>(2</m:t>
              </m:r>
              <m:sSub>
                <m:sSubPr>
                  <m:ctrlPr>
                    <w:rPr>
                      <w:rFonts w:ascii="Cambria Math" w:eastAsiaTheme="minorEastAsia" w:hAnsi="Cambria Math"/>
                    </w:rPr>
                  </m:ctrlPr>
                </m:sSubPr>
                <m:e>
                  <m:r>
                    <w:rPr>
                      <w:rFonts w:ascii="Cambria Math" w:eastAsiaTheme="minorEastAsia" w:hAnsi="Cambria Math"/>
                    </w:rPr>
                    <m:t>t</m:t>
                  </m:r>
                </m:e>
                <m:sub>
                  <m:r>
                    <w:rPr>
                      <w:rFonts w:ascii="Cambria Math" w:eastAsiaTheme="minorEastAsia" w:hAnsi="Cambria Math"/>
                    </w:rPr>
                    <m:t>j</m:t>
                  </m:r>
                </m:sub>
              </m:sSub>
              <m:r>
                <w:rPr>
                  <w:rFonts w:ascii="Cambria Math" w:eastAsiaTheme="minorEastAsia" w:hAnsi="Cambria Math"/>
                </w:rPr>
                <m:t>+5)</m:t>
              </m:r>
            </m:num>
            <m:den>
              <m:r>
                <m:rPr>
                  <m:sty m:val="p"/>
                </m:rPr>
                <w:rPr>
                  <w:rFonts w:ascii="Cambria Math" w:eastAsiaTheme="minorEastAsia" w:hAnsi="Cambria Math" w:cs="Cambria Math"/>
                </w:rPr>
                <m:t>18</m:t>
              </m:r>
            </m:den>
          </m:f>
        </m:oMath>
      </m:oMathPara>
    </w:p>
    <w:p w14:paraId="5FF578E2" w14:textId="6DC18C9F" w:rsidR="0085738E" w:rsidRPr="0085738E" w:rsidRDefault="0085738E" w:rsidP="0085738E">
      <w:pPr>
        <w:autoSpaceDE w:val="0"/>
        <w:autoSpaceDN w:val="0"/>
        <w:adjustRightInd w:val="0"/>
        <w:spacing w:before="120" w:after="120"/>
        <w:jc w:val="both"/>
        <w:rPr>
          <w:rFonts w:ascii="Arial" w:hAnsi="Arial" w:cs="Arial"/>
        </w:rPr>
      </w:pPr>
      <w:r w:rsidRPr="0085738E">
        <w:rPr>
          <w:rFonts w:ascii="Arial" w:hAnsi="Arial" w:cs="Arial"/>
        </w:rPr>
        <w:t xml:space="preserve">Where; n is the number of data points, q is the number of </w:t>
      </w:r>
      <w:r w:rsidR="00EC0BCD">
        <w:rPr>
          <w:rFonts w:ascii="Arial" w:hAnsi="Arial" w:cs="Arial"/>
        </w:rPr>
        <w:t>tied groups in the data</w:t>
      </w:r>
      <w:r w:rsidRPr="0085738E">
        <w:rPr>
          <w:rFonts w:ascii="Arial" w:hAnsi="Arial" w:cs="Arial"/>
        </w:rPr>
        <w:t xml:space="preserve">set and </w:t>
      </w:r>
      <w:proofErr w:type="spellStart"/>
      <w:r w:rsidRPr="0085738E">
        <w:rPr>
          <w:rFonts w:ascii="Arial" w:hAnsi="Arial" w:cs="Arial"/>
        </w:rPr>
        <w:t>t</w:t>
      </w:r>
      <w:r w:rsidR="00EC0BCD">
        <w:rPr>
          <w:rFonts w:ascii="Arial" w:hAnsi="Arial" w:cs="Arial"/>
          <w:vertAlign w:val="subscript"/>
        </w:rPr>
        <w:t>j</w:t>
      </w:r>
      <w:proofErr w:type="spellEnd"/>
      <w:r w:rsidRPr="0085738E">
        <w:rPr>
          <w:rFonts w:ascii="Arial" w:hAnsi="Arial" w:cs="Arial"/>
        </w:rPr>
        <w:t xml:space="preserve"> is the number of data points in the </w:t>
      </w:r>
      <w:proofErr w:type="spellStart"/>
      <w:r w:rsidR="00DA5787">
        <w:rPr>
          <w:rFonts w:ascii="Arial" w:hAnsi="Arial" w:cs="Arial"/>
        </w:rPr>
        <w:t>j</w:t>
      </w:r>
      <w:r w:rsidRPr="0085738E">
        <w:rPr>
          <w:rFonts w:ascii="Arial" w:hAnsi="Arial" w:cs="Arial"/>
          <w:vertAlign w:val="superscript"/>
        </w:rPr>
        <w:t>th</w:t>
      </w:r>
      <w:proofErr w:type="spellEnd"/>
      <w:r>
        <w:rPr>
          <w:rFonts w:ascii="Arial" w:hAnsi="Arial" w:cs="Arial"/>
        </w:rPr>
        <w:t xml:space="preserve"> </w:t>
      </w:r>
      <w:r w:rsidRPr="0085738E">
        <w:rPr>
          <w:rFonts w:ascii="Arial" w:hAnsi="Arial" w:cs="Arial"/>
        </w:rPr>
        <w:t>group. The standard test statistic Z</w:t>
      </w:r>
      <w:r w:rsidRPr="0085738E">
        <w:rPr>
          <w:rFonts w:ascii="Arial" w:hAnsi="Arial" w:cs="Arial"/>
          <w:vertAlign w:val="subscript"/>
        </w:rPr>
        <w:t>s</w:t>
      </w:r>
      <w:r w:rsidRPr="0085738E">
        <w:rPr>
          <w:rFonts w:ascii="Arial" w:hAnsi="Arial" w:cs="Arial"/>
        </w:rPr>
        <w:t xml:space="preserve"> which is measure of significance in trends is calculated as follows:</w:t>
      </w:r>
    </w:p>
    <w:p w14:paraId="672B4E4A" w14:textId="77777777" w:rsidR="0085738E" w:rsidRPr="00AC14C6" w:rsidRDefault="0085738E" w:rsidP="0085738E">
      <w:pPr>
        <w:autoSpaceDE w:val="0"/>
        <w:autoSpaceDN w:val="0"/>
        <w:adjustRightInd w:val="0"/>
        <w:spacing w:before="120" w:after="120" w:line="360" w:lineRule="auto"/>
        <w:jc w:val="center"/>
        <w:rPr>
          <w:rFonts w:ascii="Times New Roman" w:hAnsi="Times New Roman"/>
          <w:color w:val="000000"/>
          <w:sz w:val="24"/>
          <w:szCs w:val="24"/>
          <w:highlight w:val="cyan"/>
        </w:rPr>
      </w:pPr>
      <w:r>
        <w:rPr>
          <w:rFonts w:ascii="Times New Roman" w:eastAsiaTheme="minorEastAsia" w:hAnsi="Times New Roman"/>
          <w:color w:val="000000" w:themeColor="text1"/>
          <w:sz w:val="24"/>
          <w:szCs w:val="24"/>
        </w:rPr>
        <w:t>Z</w:t>
      </w:r>
      <w:r w:rsidRPr="00BD6C2D">
        <w:rPr>
          <w:rFonts w:ascii="Times New Roman" w:eastAsiaTheme="minorEastAsia" w:hAnsi="Times New Roman"/>
          <w:color w:val="000000" w:themeColor="text1"/>
          <w:sz w:val="24"/>
          <w:szCs w:val="24"/>
          <w:vertAlign w:val="subscript"/>
        </w:rPr>
        <w:t>S</w:t>
      </w:r>
      <m:oMath>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eqArr>
              <m:eqArrPr>
                <m:ctrlPr>
                  <w:rPr>
                    <w:rFonts w:ascii="Cambria Math" w:hAnsi="Cambria Math"/>
                    <w:i/>
                    <w:color w:val="000000" w:themeColor="text1"/>
                    <w:sz w:val="24"/>
                    <w:szCs w:val="24"/>
                  </w:rPr>
                </m:ctrlPr>
              </m:eqArrPr>
              <m:e>
                <m:f>
                  <m:fPr>
                    <m:ctrlPr>
                      <w:rPr>
                        <w:rFonts w:ascii="Cambria Math" w:hAnsi="Cambria Math"/>
                        <w:i/>
                        <w:color w:val="000000" w:themeColor="text1"/>
                        <w:sz w:val="24"/>
                        <w:szCs w:val="24"/>
                      </w:rPr>
                    </m:ctrlPr>
                  </m:fPr>
                  <m:num>
                    <m:r>
                      <w:rPr>
                        <w:rFonts w:ascii="Cambria Math" w:hAnsi="Cambria Math"/>
                        <w:color w:val="000000" w:themeColor="text1"/>
                        <w:sz w:val="24"/>
                        <w:szCs w:val="24"/>
                      </w:rPr>
                      <m:t>S-1</m:t>
                    </m:r>
                  </m:num>
                  <m:den>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den>
                </m:f>
                <m:r>
                  <w:rPr>
                    <w:rFonts w:ascii="Cambria Math" w:hAnsi="Cambria Math"/>
                    <w:color w:val="000000" w:themeColor="text1"/>
                    <w:sz w:val="24"/>
                    <w:szCs w:val="24"/>
                  </w:rPr>
                  <m:t>, if S&gt;0</m:t>
                </m:r>
              </m:e>
              <m:e>
                <m:r>
                  <w:rPr>
                    <w:rFonts w:ascii="Cambria Math" w:hAnsi="Cambria Math"/>
                    <w:color w:val="000000" w:themeColor="text1"/>
                    <w:sz w:val="24"/>
                    <w:szCs w:val="24"/>
                  </w:rPr>
                  <m:t xml:space="preserve">   0, if S=0</m:t>
                </m:r>
                <m:ctrlPr>
                  <w:rPr>
                    <w:rFonts w:ascii="Cambria Math" w:eastAsia="Cambria Math" w:hAnsi="Cambria Math"/>
                    <w:i/>
                    <w:color w:val="000000" w:themeColor="text1"/>
                    <w:sz w:val="24"/>
                    <w:szCs w:val="24"/>
                  </w:rPr>
                </m:ctrlPr>
              </m:e>
              <m:e>
                <m:r>
                  <w:rPr>
                    <w:rFonts w:ascii="Cambria Math" w:eastAsia="Cambria Math" w:hAnsi="Cambria Math"/>
                    <w:color w:val="000000" w:themeColor="text1"/>
                    <w:sz w:val="24"/>
                    <w:szCs w:val="24"/>
                  </w:rPr>
                  <m:t xml:space="preserve">   </m:t>
                </m:r>
                <m:f>
                  <m:fPr>
                    <m:ctrlPr>
                      <w:rPr>
                        <w:rFonts w:ascii="Cambria Math" w:hAnsi="Cambria Math"/>
                        <w:i/>
                        <w:color w:val="000000" w:themeColor="text1"/>
                        <w:sz w:val="24"/>
                        <w:szCs w:val="24"/>
                      </w:rPr>
                    </m:ctrlPr>
                  </m:fPr>
                  <m:num>
                    <m:r>
                      <w:rPr>
                        <w:rFonts w:ascii="Cambria Math" w:hAnsi="Cambria Math"/>
                        <w:color w:val="000000" w:themeColor="text1"/>
                        <w:sz w:val="24"/>
                        <w:szCs w:val="24"/>
                      </w:rPr>
                      <m:t>S+1</m:t>
                    </m:r>
                  </m:num>
                  <m:den>
                    <m:sSubSup>
                      <m:sSubSupPr>
                        <m:ctrlPr>
                          <w:rPr>
                            <w:rFonts w:ascii="Cambria Math" w:eastAsiaTheme="minorEastAsia" w:hAnsi="Cambria Math"/>
                            <w:i/>
                          </w:rPr>
                        </m:ctrlPr>
                      </m:sSubSupPr>
                      <m:e>
                        <m:r>
                          <w:rPr>
                            <w:rFonts w:ascii="Cambria Math" w:eastAsiaTheme="minorEastAsia" w:hAnsi="Cambria Math"/>
                          </w:rPr>
                          <m:t>σ</m:t>
                        </m:r>
                      </m:e>
                      <m:sub>
                        <m:r>
                          <w:rPr>
                            <w:rFonts w:ascii="Cambria Math" w:eastAsiaTheme="minorEastAsia" w:hAnsi="Cambria Math"/>
                          </w:rPr>
                          <m:t>s</m:t>
                        </m:r>
                      </m:sub>
                      <m:sup>
                        <m:r>
                          <w:rPr>
                            <w:rFonts w:ascii="Cambria Math" w:eastAsiaTheme="minorEastAsia" w:hAnsi="Cambria Math"/>
                          </w:rPr>
                          <m:t>2</m:t>
                        </m:r>
                      </m:sup>
                    </m:sSubSup>
                  </m:den>
                </m:f>
                <m:r>
                  <w:rPr>
                    <w:rFonts w:ascii="Cambria Math" w:hAnsi="Cambria Math"/>
                    <w:color w:val="000000" w:themeColor="text1"/>
                    <w:sz w:val="24"/>
                    <w:szCs w:val="24"/>
                  </w:rPr>
                  <m:t>, if  S&lt;0</m:t>
                </m:r>
              </m:e>
            </m:eqArr>
          </m:e>
        </m:d>
      </m:oMath>
    </w:p>
    <w:p w14:paraId="03676512" w14:textId="77777777" w:rsidR="00F3208C" w:rsidRDefault="0085738E" w:rsidP="00F3208C">
      <w:pPr>
        <w:autoSpaceDE w:val="0"/>
        <w:autoSpaceDN w:val="0"/>
        <w:adjustRightInd w:val="0"/>
        <w:spacing w:before="120"/>
        <w:jc w:val="both"/>
        <w:rPr>
          <w:rFonts w:ascii="Arial" w:hAnsi="Arial" w:cs="Arial"/>
        </w:rPr>
      </w:pPr>
      <w:r w:rsidRPr="0085738E">
        <w:rPr>
          <w:rFonts w:ascii="Arial" w:hAnsi="Arial" w:cs="Arial"/>
        </w:rPr>
        <w:t>Z</w:t>
      </w:r>
      <w:r w:rsidRPr="0085738E">
        <w:rPr>
          <w:rFonts w:ascii="Arial" w:hAnsi="Arial" w:cs="Arial"/>
          <w:vertAlign w:val="subscript"/>
        </w:rPr>
        <w:t>s</w:t>
      </w:r>
      <w:r w:rsidRPr="0085738E">
        <w:rPr>
          <w:rFonts w:ascii="Arial" w:hAnsi="Arial" w:cs="Arial"/>
        </w:rPr>
        <w:t xml:space="preserve"> follows the standard normal distribution. Positive value of Z</w:t>
      </w:r>
      <w:r w:rsidRPr="0085738E">
        <w:rPr>
          <w:rFonts w:ascii="Arial" w:hAnsi="Arial" w:cs="Arial"/>
          <w:vertAlign w:val="subscript"/>
        </w:rPr>
        <w:t>s</w:t>
      </w:r>
      <w:r w:rsidRPr="0085738E">
        <w:rPr>
          <w:rFonts w:ascii="Arial" w:hAnsi="Arial" w:cs="Arial"/>
        </w:rPr>
        <w:t xml:space="preserve"> indicates a rising trend in the data series and vice versa. A significance level α is used to test a rising or falling trend. If Z</w:t>
      </w:r>
      <w:r w:rsidRPr="0085738E">
        <w:rPr>
          <w:rFonts w:ascii="Arial" w:hAnsi="Arial" w:cs="Arial"/>
          <w:vertAlign w:val="subscript"/>
        </w:rPr>
        <w:t>s</w:t>
      </w:r>
      <w:r>
        <w:rPr>
          <w:rFonts w:ascii="Arial" w:hAnsi="Arial" w:cs="Arial"/>
        </w:rPr>
        <w:t xml:space="preserve"> &gt; Z </w:t>
      </w:r>
      <w:r w:rsidRPr="0085738E">
        <w:rPr>
          <w:rFonts w:ascii="Arial" w:hAnsi="Arial" w:cs="Arial"/>
        </w:rPr>
        <w:t>α/2, then the trend is considered significant and vice versa. In this study 5% significant level is used.</w:t>
      </w:r>
    </w:p>
    <w:p w14:paraId="309D2481" w14:textId="77777777" w:rsidR="00F3208C" w:rsidRDefault="00F3208C" w:rsidP="00F3208C">
      <w:pPr>
        <w:autoSpaceDE w:val="0"/>
        <w:autoSpaceDN w:val="0"/>
        <w:adjustRightInd w:val="0"/>
        <w:jc w:val="both"/>
        <w:rPr>
          <w:rFonts w:ascii="Arial" w:hAnsi="Arial" w:cs="Arial"/>
          <w:b/>
          <w:caps/>
          <w:sz w:val="22"/>
        </w:rPr>
      </w:pPr>
    </w:p>
    <w:p w14:paraId="178E2ED9" w14:textId="585846F2" w:rsidR="00F3208C" w:rsidRPr="00C042AC" w:rsidRDefault="00F3208C" w:rsidP="00F3208C">
      <w:pPr>
        <w:autoSpaceDE w:val="0"/>
        <w:autoSpaceDN w:val="0"/>
        <w:adjustRightInd w:val="0"/>
        <w:jc w:val="both"/>
        <w:rPr>
          <w:rFonts w:ascii="Arial" w:hAnsi="Arial" w:cs="Arial"/>
          <w:u w:val="single"/>
        </w:rPr>
      </w:pPr>
      <w:r w:rsidRPr="00C042AC">
        <w:rPr>
          <w:rFonts w:ascii="Arial" w:hAnsi="Arial" w:cs="Arial"/>
          <w:b/>
          <w:caps/>
          <w:u w:val="single"/>
        </w:rPr>
        <w:t>2.3</w:t>
      </w:r>
      <w:r w:rsidR="00C042AC" w:rsidRPr="00C042AC">
        <w:rPr>
          <w:rFonts w:ascii="Arial" w:hAnsi="Arial" w:cs="Arial"/>
          <w:b/>
          <w:caps/>
          <w:u w:val="single"/>
        </w:rPr>
        <w:t>.2</w:t>
      </w:r>
      <w:r w:rsidRPr="00C042AC">
        <w:rPr>
          <w:rFonts w:ascii="Arial" w:hAnsi="Arial" w:cs="Arial"/>
          <w:b/>
          <w:caps/>
          <w:u w:val="single"/>
        </w:rPr>
        <w:t xml:space="preserve"> </w:t>
      </w:r>
      <w:r w:rsidRPr="00C042AC">
        <w:rPr>
          <w:rFonts w:ascii="Arial" w:hAnsi="Arial" w:cs="Arial"/>
          <w:b/>
          <w:u w:val="single"/>
        </w:rPr>
        <w:t>Magnitude of Trend</w:t>
      </w:r>
    </w:p>
    <w:p w14:paraId="44A80755" w14:textId="77777777" w:rsidR="00F3208C" w:rsidRDefault="00F3208C" w:rsidP="00F3208C">
      <w:pPr>
        <w:autoSpaceDE w:val="0"/>
        <w:autoSpaceDN w:val="0"/>
        <w:adjustRightInd w:val="0"/>
        <w:jc w:val="both"/>
        <w:rPr>
          <w:rFonts w:ascii="Arial" w:hAnsi="Arial" w:cs="Arial"/>
        </w:rPr>
      </w:pPr>
    </w:p>
    <w:p w14:paraId="7D2E332C" w14:textId="77777777" w:rsidR="00E71C65" w:rsidRPr="00E71C65" w:rsidRDefault="00E71C65" w:rsidP="00732FE4">
      <w:pPr>
        <w:autoSpaceDE w:val="0"/>
        <w:autoSpaceDN w:val="0"/>
        <w:spacing w:after="120"/>
        <w:jc w:val="both"/>
        <w:rPr>
          <w:rFonts w:ascii="Arial" w:hAnsi="Arial" w:cs="Arial"/>
        </w:rPr>
      </w:pPr>
      <w:r w:rsidRPr="00E71C65">
        <w:rPr>
          <w:rFonts w:ascii="Arial" w:hAnsi="Arial" w:cs="Arial"/>
        </w:rPr>
        <w:t xml:space="preserve">After detecting significance in trend, Sen’s slope method is used to compute magnitude of the trend. Slope is given as </w:t>
      </w:r>
    </w:p>
    <w:p w14:paraId="706E2361" w14:textId="77777777" w:rsidR="00E71C65" w:rsidRPr="00732FE4" w:rsidRDefault="00E71C65" w:rsidP="00E71C65">
      <w:pPr>
        <w:autoSpaceDE w:val="0"/>
        <w:autoSpaceDN w:val="0"/>
        <w:spacing w:before="120" w:after="120" w:line="360" w:lineRule="auto"/>
        <w:jc w:val="both"/>
        <w:rPr>
          <w:rFonts w:ascii="Times New Roman" w:eastAsiaTheme="minorEastAsia" w:hAnsi="Times New Roman"/>
        </w:rPr>
      </w:pPr>
      <m:oMathPara>
        <m:oMathParaPr>
          <m:jc m:val="center"/>
        </m:oMathParaPr>
        <m:oMath>
          <m:r>
            <m:rPr>
              <m:sty m:val="p"/>
            </m:rPr>
            <w:rPr>
              <w:rFonts w:ascii="Cambria Math" w:eastAsiaTheme="minorEastAsia" w:hAnsi="Cambria Math"/>
            </w:rPr>
            <m:t>Ti</m:t>
          </m:r>
          <m:r>
            <w:rPr>
              <w:rFonts w:ascii="Cambria Math" w:eastAsiaTheme="minorEastAsia" w:hAnsi="Cambria Math"/>
            </w:rPr>
            <m:t xml:space="preserve">= </m:t>
          </m:r>
          <m:f>
            <m:fPr>
              <m:ctrlPr>
                <w:rPr>
                  <w:rFonts w:ascii="Cambria Math" w:eastAsiaTheme="minorEastAsia" w:hAnsi="Cambria Math"/>
                </w:rPr>
              </m:ctrlPr>
            </m:fPr>
            <m:num>
              <m:r>
                <m:rPr>
                  <m:sty m:val="p"/>
                </m:rPr>
                <w:rPr>
                  <w:rFonts w:ascii="Cambria Math" w:eastAsiaTheme="minorEastAsia" w:hAnsi="Cambria Math" w:cs="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k</m:t>
                  </m:r>
                </m:sub>
              </m:sSub>
              <m:r>
                <w:rPr>
                  <w:rFonts w:ascii="Cambria Math" w:eastAsiaTheme="minorEastAsia" w:hAnsi="Cambria Math"/>
                </w:rPr>
                <m:t>)</m:t>
              </m:r>
            </m:num>
            <m:den>
              <m:r>
                <m:rPr>
                  <m:sty m:val="p"/>
                </m:rPr>
                <w:rPr>
                  <w:rFonts w:ascii="Cambria Math" w:eastAsiaTheme="minorEastAsia" w:hAnsi="Cambria Math" w:cs="Cambria Math"/>
                </w:rPr>
                <m:t>j-k</m:t>
              </m:r>
            </m:den>
          </m:f>
        </m:oMath>
      </m:oMathPara>
    </w:p>
    <w:p w14:paraId="4C503EF1" w14:textId="77777777" w:rsidR="00E71C65" w:rsidRPr="00E71C65" w:rsidRDefault="00E71C65" w:rsidP="00E71C65">
      <w:pPr>
        <w:autoSpaceDE w:val="0"/>
        <w:autoSpaceDN w:val="0"/>
        <w:spacing w:before="120" w:after="120"/>
        <w:jc w:val="both"/>
        <w:rPr>
          <w:rFonts w:ascii="Arial" w:hAnsi="Arial" w:cs="Arial"/>
        </w:rPr>
      </w:pPr>
      <w:r w:rsidRPr="00E71C65">
        <w:rPr>
          <w:rFonts w:ascii="Arial" w:hAnsi="Arial" w:cs="Arial"/>
        </w:rPr>
        <w:t>Where; T</w:t>
      </w:r>
      <w:r w:rsidRPr="00E71C65">
        <w:rPr>
          <w:rFonts w:ascii="Arial" w:hAnsi="Arial" w:cs="Arial"/>
          <w:vertAlign w:val="subscript"/>
        </w:rPr>
        <w:t>i</w:t>
      </w:r>
      <w:r w:rsidRPr="00E71C65">
        <w:rPr>
          <w:rFonts w:ascii="Arial" w:hAnsi="Arial" w:cs="Arial"/>
        </w:rPr>
        <w:t xml:space="preserve"> is the slope, </w:t>
      </w:r>
      <w:proofErr w:type="spellStart"/>
      <w:r w:rsidRPr="00E71C65">
        <w:rPr>
          <w:rFonts w:ascii="Arial" w:hAnsi="Arial" w:cs="Arial"/>
        </w:rPr>
        <w:t>x</w:t>
      </w:r>
      <w:r w:rsidRPr="00E71C65">
        <w:rPr>
          <w:rFonts w:ascii="Arial" w:hAnsi="Arial" w:cs="Arial"/>
          <w:vertAlign w:val="subscript"/>
        </w:rPr>
        <w:t>j</w:t>
      </w:r>
      <w:proofErr w:type="spellEnd"/>
      <w:r w:rsidRPr="00E71C65">
        <w:rPr>
          <w:rFonts w:ascii="Arial" w:hAnsi="Arial" w:cs="Arial"/>
        </w:rPr>
        <w:t xml:space="preserve"> and </w:t>
      </w:r>
      <w:proofErr w:type="spellStart"/>
      <w:r w:rsidRPr="00E71C65">
        <w:rPr>
          <w:rFonts w:ascii="Arial" w:hAnsi="Arial" w:cs="Arial"/>
        </w:rPr>
        <w:t>x</w:t>
      </w:r>
      <w:r w:rsidRPr="00E71C65">
        <w:rPr>
          <w:rFonts w:ascii="Arial" w:hAnsi="Arial" w:cs="Arial"/>
          <w:vertAlign w:val="subscript"/>
        </w:rPr>
        <w:t>k</w:t>
      </w:r>
      <w:proofErr w:type="spellEnd"/>
      <w:r w:rsidRPr="00E71C65">
        <w:rPr>
          <w:rFonts w:ascii="Arial" w:hAnsi="Arial" w:cs="Arial"/>
        </w:rPr>
        <w:t xml:space="preserve"> are the data values at time j and k, respectively. Sen’s slope estimator </w:t>
      </w:r>
      <m:oMath>
        <m:sSub>
          <m:sSubPr>
            <m:ctrlPr>
              <w:rPr>
                <w:rFonts w:ascii="Cambria Math" w:eastAsiaTheme="minorEastAsia" w:hAnsi="Cambria Math" w:cs="Arial"/>
              </w:rPr>
            </m:ctrlPr>
          </m:sSubPr>
          <m:e>
            <m:r>
              <w:rPr>
                <w:rFonts w:ascii="Cambria Math" w:eastAsiaTheme="minorEastAsia" w:hAnsi="Cambria Math" w:cs="Arial"/>
              </w:rPr>
              <m:t>Q</m:t>
            </m:r>
          </m:e>
          <m:sub>
            <m:r>
              <w:rPr>
                <w:rFonts w:ascii="Cambria Math" w:eastAsiaTheme="minorEastAsia" w:hAnsi="Cambria Math" w:cs="Arial"/>
              </w:rPr>
              <m:t>i</m:t>
            </m:r>
          </m:sub>
        </m:sSub>
      </m:oMath>
      <w:r w:rsidRPr="00E71C65">
        <w:rPr>
          <w:rFonts w:ascii="Arial" w:eastAsiaTheme="minorEastAsia" w:hAnsi="Arial" w:cs="Arial"/>
        </w:rPr>
        <w:t xml:space="preserve"> which is the median of the values of </w:t>
      </w:r>
      <w:r w:rsidRPr="00E71C65">
        <w:rPr>
          <w:rFonts w:ascii="Arial" w:hAnsi="Arial" w:cs="Arial"/>
        </w:rPr>
        <w:t>T</w:t>
      </w:r>
      <w:r w:rsidRPr="00E71C65">
        <w:rPr>
          <w:rFonts w:ascii="Arial" w:hAnsi="Arial" w:cs="Arial"/>
          <w:vertAlign w:val="subscript"/>
        </w:rPr>
        <w:t>i</w:t>
      </w:r>
      <w:r w:rsidRPr="00E71C65">
        <w:rPr>
          <w:rFonts w:ascii="Arial" w:hAnsi="Arial" w:cs="Arial"/>
        </w:rPr>
        <w:t xml:space="preserve"> is given as</w:t>
      </w:r>
    </w:p>
    <w:p w14:paraId="3D8B8362" w14:textId="77777777" w:rsidR="00E71C65" w:rsidRPr="00732FE4" w:rsidRDefault="006914FD" w:rsidP="00E71C65">
      <w:pPr>
        <w:autoSpaceDE w:val="0"/>
        <w:autoSpaceDN w:val="0"/>
        <w:spacing w:before="120" w:after="120" w:line="360" w:lineRule="auto"/>
        <w:jc w:val="both"/>
        <w:rPr>
          <w:rFonts w:ascii="Times New Roman" w:hAnsi="Times New Roman"/>
          <w:sz w:val="24"/>
          <w:szCs w:val="24"/>
        </w:rPr>
      </w:pPr>
      <m:oMathPara>
        <m:oMathParaPr>
          <m:jc m:val="center"/>
        </m:oMathParaPr>
        <m:oMath>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i</m:t>
              </m:r>
            </m:sub>
          </m:sSub>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eastAsiaTheme="minorEastAsia" w:hAnsi="Cambria Math"/>
                        </w:rPr>
                      </m:ctrlPr>
                    </m:sSubPr>
                    <m:e>
                      <m:r>
                        <w:rPr>
                          <w:rFonts w:ascii="Cambria Math" w:eastAsiaTheme="minorEastAsia" w:hAnsi="Cambria Math"/>
                        </w:rPr>
                        <m:t>Q</m:t>
                      </m:r>
                    </m:e>
                    <m:sub>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2</m:t>
                          </m:r>
                        </m:den>
                      </m:f>
                    </m:sub>
                  </m:sSub>
                  <m:r>
                    <w:rPr>
                      <w:rFonts w:ascii="Cambria Math" w:hAnsi="Cambria Math"/>
                    </w:rPr>
                    <m:t>,    if n is odd</m:t>
                  </m:r>
                </m:e>
                <m:e>
                  <m:sSub>
                    <m:sSubPr>
                      <m:ctrlPr>
                        <w:rPr>
                          <w:rFonts w:ascii="Cambria Math" w:eastAsiaTheme="minorEastAsia" w:hAnsi="Cambria Math"/>
                        </w:rPr>
                      </m:ctrlPr>
                    </m:sSubPr>
                    <m:e>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r>
                                <w:rPr>
                                  <w:rFonts w:ascii="Cambria Math" w:eastAsiaTheme="minorEastAsia" w:hAnsi="Cambria Math"/>
                                </w:rPr>
                                <m:t>)</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Q</m:t>
                              </m:r>
                            </m:e>
                            <m:sub>
                              <m:r>
                                <w:rPr>
                                  <w:rFonts w:ascii="Cambria Math" w:eastAsiaTheme="minorEastAsia" w:hAnsi="Cambria Math"/>
                                </w:rPr>
                                <m:t>(n+1)/2</m:t>
                              </m:r>
                            </m:sub>
                          </m:sSub>
                        </m:num>
                        <m:den>
                          <m:r>
                            <m:rPr>
                              <m:sty m:val="p"/>
                            </m:rPr>
                            <w:rPr>
                              <w:rFonts w:ascii="Cambria Math" w:eastAsiaTheme="minorEastAsia" w:hAnsi="Cambria Math" w:cs="Cambria Math"/>
                            </w:rPr>
                            <m:t>2</m:t>
                          </m:r>
                        </m:den>
                      </m:f>
                    </m:e>
                    <m:sub/>
                  </m:sSub>
                  <m:r>
                    <w:rPr>
                      <w:rFonts w:ascii="Cambria Math" w:hAnsi="Cambria Math"/>
                    </w:rPr>
                    <m:t>,   if n is even</m:t>
                  </m:r>
                  <m:ctrlPr>
                    <w:rPr>
                      <w:rFonts w:ascii="Cambria Math" w:eastAsia="Cambria Math" w:hAnsi="Cambria Math" w:cs="Cambria Math"/>
                      <w:i/>
                    </w:rPr>
                  </m:ctrlPr>
                </m:e>
                <m:e>
                  <m:r>
                    <w:rPr>
                      <w:rFonts w:ascii="Cambria Math" w:hAnsi="Cambria Math"/>
                    </w:rPr>
                    <m:t xml:space="preserve">  &amp;</m:t>
                  </m:r>
                </m:e>
              </m:eqArr>
            </m:e>
          </m:d>
        </m:oMath>
      </m:oMathPara>
    </w:p>
    <w:p w14:paraId="2C3C2CA8" w14:textId="77777777" w:rsidR="00E71C65" w:rsidRPr="00E71C65" w:rsidRDefault="00E71C65" w:rsidP="00E71C65">
      <w:pPr>
        <w:jc w:val="both"/>
        <w:rPr>
          <w:rFonts w:ascii="Arial" w:hAnsi="Arial" w:cs="Arial"/>
        </w:rPr>
      </w:pPr>
      <w:r w:rsidRPr="00E71C65">
        <w:rPr>
          <w:rFonts w:ascii="Arial" w:hAnsi="Arial" w:cs="Arial"/>
        </w:rPr>
        <w:t xml:space="preserve">Positive value of Sen’s slope estimator </w:t>
      </w:r>
      <m:oMath>
        <m:sSub>
          <m:sSubPr>
            <m:ctrlPr>
              <w:rPr>
                <w:rFonts w:ascii="Cambria Math" w:hAnsi="Cambria Math" w:cs="Arial"/>
              </w:rPr>
            </m:ctrlPr>
          </m:sSubPr>
          <m:e>
            <m:r>
              <w:rPr>
                <w:rFonts w:ascii="Cambria Math" w:hAnsi="Cambria Math" w:cs="Arial"/>
              </w:rPr>
              <m:t>Q</m:t>
            </m:r>
          </m:e>
          <m:sub>
            <m:r>
              <w:rPr>
                <w:rFonts w:ascii="Cambria Math" w:hAnsi="Cambria Math" w:cs="Arial"/>
              </w:rPr>
              <m:t>i</m:t>
            </m:r>
          </m:sub>
        </m:sSub>
      </m:oMath>
      <w:r w:rsidRPr="00E71C65">
        <w:rPr>
          <w:rFonts w:ascii="Arial" w:hAnsi="Arial" w:cs="Arial"/>
        </w:rPr>
        <w:t xml:space="preserve"> directs rising trend in the data series and vice versa.</w:t>
      </w:r>
    </w:p>
    <w:p w14:paraId="1B89EBA5" w14:textId="77777777" w:rsidR="00790ADA" w:rsidRPr="00FB3A86" w:rsidRDefault="00790ADA" w:rsidP="00441B6F">
      <w:pPr>
        <w:pStyle w:val="Body"/>
        <w:spacing w:after="0"/>
        <w:rPr>
          <w:rFonts w:ascii="Arial" w:hAnsi="Arial" w:cs="Arial"/>
        </w:rPr>
      </w:pPr>
    </w:p>
    <w:p w14:paraId="1521DEC7" w14:textId="72B1EAC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87B7EB" w14:textId="27A78911" w:rsidR="00562C59" w:rsidRDefault="00562C59" w:rsidP="00441B6F">
      <w:pPr>
        <w:pStyle w:val="Head1"/>
        <w:spacing w:after="0"/>
        <w:jc w:val="both"/>
        <w:rPr>
          <w:rFonts w:ascii="Arial" w:hAnsi="Arial" w:cs="Arial"/>
        </w:rPr>
      </w:pPr>
    </w:p>
    <w:p w14:paraId="61420AB8" w14:textId="6B368C01" w:rsidR="00562C59" w:rsidRPr="00562C59" w:rsidRDefault="00562C59" w:rsidP="00562C59">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Pr>
          <w:rFonts w:ascii="Arial" w:hAnsi="Arial" w:cs="Arial"/>
          <w:b/>
          <w:sz w:val="22"/>
        </w:rPr>
        <w:t>Results</w:t>
      </w:r>
    </w:p>
    <w:p w14:paraId="4F6C36DC" w14:textId="77777777" w:rsidR="00790ADA" w:rsidRPr="00FB3A86" w:rsidRDefault="00790ADA" w:rsidP="00441B6F">
      <w:pPr>
        <w:pStyle w:val="Head1"/>
        <w:spacing w:after="0"/>
        <w:jc w:val="both"/>
        <w:rPr>
          <w:rFonts w:ascii="Arial" w:hAnsi="Arial" w:cs="Arial"/>
        </w:rPr>
      </w:pPr>
    </w:p>
    <w:p w14:paraId="0581631A" w14:textId="77777777" w:rsidR="00D93DBF" w:rsidRDefault="00D93DBF" w:rsidP="00441B6F">
      <w:pPr>
        <w:pStyle w:val="Body"/>
        <w:spacing w:after="0"/>
        <w:rPr>
          <w:rFonts w:ascii="Arial" w:hAnsi="Arial" w:cs="Arial"/>
        </w:rPr>
      </w:pPr>
      <w:r w:rsidRPr="00D93DBF">
        <w:rPr>
          <w:rFonts w:ascii="Arial" w:hAnsi="Arial" w:cs="Arial"/>
        </w:rPr>
        <w:t>Rainfall data for the 30-year period (1991–2020) are presented in Table 2, along with their statistical properties. The highest average annual rainfall was recorded in July (291.49 mm), followed by August (259.51 mm), September (141.36 mm), June (108.76 mm), and October (14.98 mm). Nine out of twelve months recorded no rainfall.</w:t>
      </w:r>
    </w:p>
    <w:p w14:paraId="4FC3935E" w14:textId="77777777" w:rsidR="00D93DBF" w:rsidRDefault="00D93DBF" w:rsidP="00441B6F">
      <w:pPr>
        <w:pStyle w:val="Body"/>
        <w:spacing w:after="0"/>
        <w:rPr>
          <w:rFonts w:ascii="Arial" w:hAnsi="Arial" w:cs="Arial"/>
        </w:rPr>
      </w:pPr>
    </w:p>
    <w:p w14:paraId="1CF95C76" w14:textId="49CA1CDE" w:rsidR="00D93DBF" w:rsidRPr="00A52558" w:rsidRDefault="006E07E0" w:rsidP="00A52558">
      <w:pPr>
        <w:rPr>
          <w:rFonts w:ascii="Arial" w:hAnsi="Arial" w:cs="Arial"/>
          <w:b/>
          <w:caps/>
          <w:sz w:val="22"/>
          <w:u w:val="single"/>
        </w:rPr>
      </w:pPr>
      <w:r>
        <w:rPr>
          <w:rFonts w:ascii="Arial" w:hAnsi="Arial" w:cs="Arial"/>
          <w:b/>
          <w:caps/>
          <w:sz w:val="22"/>
        </w:rPr>
        <w:br w:type="page"/>
      </w:r>
      <w:r w:rsidR="00D93DBF" w:rsidRPr="00A52558">
        <w:rPr>
          <w:rFonts w:ascii="Arial" w:hAnsi="Arial" w:cs="Arial"/>
          <w:b/>
          <w:caps/>
          <w:u w:val="single"/>
        </w:rPr>
        <w:lastRenderedPageBreak/>
        <w:t>3.1</w:t>
      </w:r>
      <w:r w:rsidR="00A52558" w:rsidRPr="00A52558">
        <w:rPr>
          <w:rFonts w:ascii="Arial" w:hAnsi="Arial" w:cs="Arial"/>
          <w:b/>
          <w:caps/>
          <w:u w:val="single"/>
        </w:rPr>
        <w:t>.1</w:t>
      </w:r>
      <w:r w:rsidR="00D93DBF" w:rsidRPr="00A52558">
        <w:rPr>
          <w:rFonts w:ascii="Arial" w:hAnsi="Arial" w:cs="Arial"/>
          <w:b/>
          <w:caps/>
          <w:u w:val="single"/>
        </w:rPr>
        <w:t xml:space="preserve"> </w:t>
      </w:r>
      <w:r w:rsidR="00D93DBF" w:rsidRPr="00A52558">
        <w:rPr>
          <w:rFonts w:ascii="Arial" w:hAnsi="Arial" w:cs="Arial"/>
          <w:b/>
          <w:u w:val="single"/>
        </w:rPr>
        <w:t xml:space="preserve">Monthly Rainfall </w:t>
      </w:r>
      <w:r w:rsidR="007724C9" w:rsidRPr="00A52558">
        <w:rPr>
          <w:rFonts w:ascii="Arial" w:hAnsi="Arial" w:cs="Arial"/>
          <w:b/>
          <w:u w:val="single"/>
        </w:rPr>
        <w:t>Trends</w:t>
      </w:r>
    </w:p>
    <w:p w14:paraId="255CD025" w14:textId="77777777" w:rsidR="00D93DBF" w:rsidRDefault="00D93DBF" w:rsidP="00441B6F">
      <w:pPr>
        <w:pStyle w:val="Body"/>
        <w:spacing w:after="0"/>
        <w:rPr>
          <w:rFonts w:ascii="Arial" w:hAnsi="Arial" w:cs="Arial"/>
        </w:rPr>
      </w:pPr>
    </w:p>
    <w:p w14:paraId="74A9D489" w14:textId="77777777" w:rsidR="00E315D8" w:rsidRDefault="00E315D8" w:rsidP="00441B6F">
      <w:pPr>
        <w:pStyle w:val="Body"/>
        <w:spacing w:after="0"/>
        <w:rPr>
          <w:rFonts w:ascii="Arial" w:hAnsi="Arial" w:cs="Arial"/>
        </w:rPr>
      </w:pPr>
      <w:r w:rsidRPr="00E315D8">
        <w:rPr>
          <w:rFonts w:ascii="Arial" w:hAnsi="Arial" w:cs="Arial"/>
        </w:rPr>
        <w:t>Over the 30-year period (1991–2020), July contributed the highest proportion of annual rainfall at 35.72% (291.48 mm), followed by August at 31.80% (259.51 mm), September at 17.32% (141.36 mm), and June at 13.33% (108.76 mm). The remaining seven months recorded no rainfall. The Mann-Kendall test yielded p-values above the significance level (α = 0.05), indicating no significant trends in monthly rainfall at a 95% confidence level across all 12 months, as shown in Table 3. Sen’s slope estimates revealed no changes for seven months, a drying trend for June (-17 mm/year), July (-17 mm/year), and October (-1 mm/year), and a wetting trend for August (87 mm/year) and September (71 mm/year).</w:t>
      </w:r>
    </w:p>
    <w:p w14:paraId="33A6BA02" w14:textId="77777777" w:rsidR="00092E87" w:rsidRDefault="00092E87" w:rsidP="00092E87">
      <w:pPr>
        <w:rPr>
          <w:rFonts w:ascii="Arial" w:hAnsi="Arial"/>
          <w:b/>
        </w:rPr>
      </w:pPr>
    </w:p>
    <w:p w14:paraId="13E18843" w14:textId="0CBC6CCD" w:rsidR="00AA274F" w:rsidRDefault="00C55C2B" w:rsidP="00092E87">
      <w:pPr>
        <w:jc w:val="center"/>
        <w:rPr>
          <w:rFonts w:ascii="Arial" w:hAnsi="Arial"/>
          <w:b/>
        </w:rPr>
      </w:pPr>
      <w:r>
        <w:rPr>
          <w:rFonts w:ascii="Arial" w:hAnsi="Arial"/>
          <w:b/>
        </w:rPr>
        <w:t>Table 2</w:t>
      </w:r>
      <w:r w:rsidR="00AA274F">
        <w:rPr>
          <w:rFonts w:ascii="Arial" w:hAnsi="Arial"/>
          <w:b/>
        </w:rPr>
        <w:t xml:space="preserve">. </w:t>
      </w:r>
      <w:r w:rsidRPr="00C55C2B">
        <w:rPr>
          <w:rFonts w:ascii="Arial" w:hAnsi="Arial"/>
          <w:b/>
        </w:rPr>
        <w:t>Basic statistical properties of the Middle Gujarat A</w:t>
      </w:r>
      <w:r>
        <w:rPr>
          <w:rFonts w:ascii="Arial" w:hAnsi="Arial"/>
          <w:b/>
        </w:rPr>
        <w:t>gro-climatic zone rainfall data</w:t>
      </w:r>
    </w:p>
    <w:p w14:paraId="4E353D45" w14:textId="77777777" w:rsidR="00C55C2B" w:rsidRDefault="00C55C2B" w:rsidP="00C55C2B">
      <w:pPr>
        <w:tabs>
          <w:tab w:val="left" w:pos="1080"/>
        </w:tabs>
        <w:jc w:val="center"/>
        <w:rPr>
          <w:rFonts w:ascii="Arial" w:hAnsi="Arial" w:cs="Arial"/>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903"/>
        <w:gridCol w:w="1311"/>
        <w:gridCol w:w="1353"/>
        <w:gridCol w:w="1051"/>
        <w:gridCol w:w="1227"/>
        <w:gridCol w:w="1579"/>
      </w:tblGrid>
      <w:tr w:rsidR="00AA274F" w:rsidRPr="00AA274F" w14:paraId="446A6166" w14:textId="77777777" w:rsidTr="00AA274F">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single" w:sz="4" w:space="0" w:color="auto"/>
            </w:tcBorders>
            <w:vAlign w:val="center"/>
            <w:hideMark/>
          </w:tcPr>
          <w:p w14:paraId="6B7C4C1E"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Variable</w:t>
            </w:r>
          </w:p>
        </w:tc>
        <w:tc>
          <w:tcPr>
            <w:tcW w:w="778" w:type="pct"/>
            <w:tcBorders>
              <w:top w:val="single" w:sz="4" w:space="0" w:color="auto"/>
              <w:bottom w:val="single" w:sz="4" w:space="0" w:color="auto"/>
            </w:tcBorders>
            <w:vAlign w:val="center"/>
            <w:hideMark/>
          </w:tcPr>
          <w:p w14:paraId="1A8102C0"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Minimum</w:t>
            </w:r>
          </w:p>
        </w:tc>
        <w:tc>
          <w:tcPr>
            <w:tcW w:w="803" w:type="pct"/>
            <w:tcBorders>
              <w:top w:val="single" w:sz="4" w:space="0" w:color="auto"/>
              <w:bottom w:val="single" w:sz="4" w:space="0" w:color="auto"/>
            </w:tcBorders>
            <w:vAlign w:val="center"/>
            <w:hideMark/>
          </w:tcPr>
          <w:p w14:paraId="6253504C"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Maximum</w:t>
            </w:r>
          </w:p>
        </w:tc>
        <w:tc>
          <w:tcPr>
            <w:tcW w:w="624" w:type="pct"/>
            <w:tcBorders>
              <w:top w:val="single" w:sz="4" w:space="0" w:color="auto"/>
              <w:bottom w:val="single" w:sz="4" w:space="0" w:color="auto"/>
            </w:tcBorders>
            <w:vAlign w:val="center"/>
            <w:hideMark/>
          </w:tcPr>
          <w:p w14:paraId="313C5791"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Mean</w:t>
            </w:r>
          </w:p>
        </w:tc>
        <w:tc>
          <w:tcPr>
            <w:tcW w:w="728" w:type="pct"/>
            <w:tcBorders>
              <w:top w:val="single" w:sz="4" w:space="0" w:color="auto"/>
              <w:bottom w:val="single" w:sz="4" w:space="0" w:color="auto"/>
            </w:tcBorders>
            <w:vAlign w:val="center"/>
            <w:hideMark/>
          </w:tcPr>
          <w:p w14:paraId="72F814FD"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Std. deviation</w:t>
            </w:r>
          </w:p>
        </w:tc>
        <w:tc>
          <w:tcPr>
            <w:tcW w:w="937" w:type="pct"/>
            <w:tcBorders>
              <w:top w:val="single" w:sz="4" w:space="0" w:color="auto"/>
              <w:bottom w:val="single" w:sz="4" w:space="0" w:color="auto"/>
            </w:tcBorders>
            <w:vAlign w:val="center"/>
          </w:tcPr>
          <w:p w14:paraId="324A1A68"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Percent contribution</w:t>
            </w:r>
          </w:p>
          <w:p w14:paraId="5FE3E238" w14:textId="77777777" w:rsidR="00AA274F" w:rsidRPr="00AA274F" w:rsidRDefault="00AA274F" w:rsidP="00BD127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w:t>
            </w:r>
          </w:p>
        </w:tc>
      </w:tr>
      <w:tr w:rsidR="00AA274F" w:rsidRPr="00AA274F" w14:paraId="76EADFB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none" w:sz="0" w:space="0" w:color="auto"/>
            </w:tcBorders>
            <w:noWrap/>
            <w:hideMark/>
          </w:tcPr>
          <w:p w14:paraId="402764D7"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January</w:t>
            </w:r>
          </w:p>
        </w:tc>
        <w:tc>
          <w:tcPr>
            <w:tcW w:w="778" w:type="pct"/>
            <w:tcBorders>
              <w:top w:val="single" w:sz="4" w:space="0" w:color="auto"/>
              <w:bottom w:val="none" w:sz="0" w:space="0" w:color="auto"/>
            </w:tcBorders>
            <w:noWrap/>
            <w:hideMark/>
          </w:tcPr>
          <w:p w14:paraId="42545D5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bottom w:val="none" w:sz="0" w:space="0" w:color="auto"/>
            </w:tcBorders>
            <w:noWrap/>
            <w:hideMark/>
          </w:tcPr>
          <w:p w14:paraId="398D357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bottom w:val="none" w:sz="0" w:space="0" w:color="auto"/>
            </w:tcBorders>
            <w:noWrap/>
            <w:hideMark/>
          </w:tcPr>
          <w:p w14:paraId="7948B07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bottom w:val="none" w:sz="0" w:space="0" w:color="auto"/>
            </w:tcBorders>
            <w:noWrap/>
            <w:hideMark/>
          </w:tcPr>
          <w:p w14:paraId="74A6420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bottom w:val="none" w:sz="0" w:space="0" w:color="auto"/>
            </w:tcBorders>
          </w:tcPr>
          <w:p w14:paraId="293F27E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22413CBA"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2B9694E1"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February</w:t>
            </w:r>
          </w:p>
        </w:tc>
        <w:tc>
          <w:tcPr>
            <w:tcW w:w="778" w:type="pct"/>
            <w:noWrap/>
            <w:hideMark/>
          </w:tcPr>
          <w:p w14:paraId="4ADA443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3276FE7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noWrap/>
            <w:hideMark/>
          </w:tcPr>
          <w:p w14:paraId="1A0C0B7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noWrap/>
            <w:hideMark/>
          </w:tcPr>
          <w:p w14:paraId="5B1FD87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Pr>
          <w:p w14:paraId="6FBF8AE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3C075487"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3BC38004"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March</w:t>
            </w:r>
          </w:p>
        </w:tc>
        <w:tc>
          <w:tcPr>
            <w:tcW w:w="778" w:type="pct"/>
            <w:tcBorders>
              <w:top w:val="none" w:sz="0" w:space="0" w:color="auto"/>
              <w:bottom w:val="none" w:sz="0" w:space="0" w:color="auto"/>
            </w:tcBorders>
            <w:noWrap/>
            <w:hideMark/>
          </w:tcPr>
          <w:p w14:paraId="5612E82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2E60093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354D50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7204E5DA"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40F2C1F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00A3B6B6"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0042A34D"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April</w:t>
            </w:r>
          </w:p>
        </w:tc>
        <w:tc>
          <w:tcPr>
            <w:tcW w:w="778" w:type="pct"/>
            <w:noWrap/>
            <w:hideMark/>
          </w:tcPr>
          <w:p w14:paraId="177F75CD"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0FD6EF2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noWrap/>
            <w:hideMark/>
          </w:tcPr>
          <w:p w14:paraId="43A062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noWrap/>
            <w:hideMark/>
          </w:tcPr>
          <w:p w14:paraId="7AF22CB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Pr>
          <w:p w14:paraId="37A99AC8"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44D28B0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23A5259B"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May</w:t>
            </w:r>
          </w:p>
        </w:tc>
        <w:tc>
          <w:tcPr>
            <w:tcW w:w="778" w:type="pct"/>
            <w:tcBorders>
              <w:top w:val="none" w:sz="0" w:space="0" w:color="auto"/>
              <w:bottom w:val="none" w:sz="0" w:space="0" w:color="auto"/>
            </w:tcBorders>
            <w:noWrap/>
            <w:hideMark/>
          </w:tcPr>
          <w:p w14:paraId="11A07BB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54B6B04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7F9543A2"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1C508A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58CCD34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6C2F8E93"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5C2D9BBC" w14:textId="77777777" w:rsidR="00AA274F" w:rsidRPr="00AA274F" w:rsidRDefault="00AA274F" w:rsidP="00BD1274">
            <w:pPr>
              <w:jc w:val="center"/>
              <w:rPr>
                <w:rFonts w:ascii="Arial" w:eastAsia="Times New Roman" w:hAnsi="Arial" w:cs="Arial"/>
                <w:color w:val="000000"/>
                <w:sz w:val="20"/>
                <w:szCs w:val="20"/>
                <w:lang w:eastAsia="en-IN"/>
              </w:rPr>
            </w:pPr>
            <w:bookmarkStart w:id="2" w:name="_Hlk129350300"/>
            <w:r w:rsidRPr="00AA274F">
              <w:rPr>
                <w:rFonts w:ascii="Arial" w:eastAsia="Times New Roman" w:hAnsi="Arial" w:cs="Arial"/>
                <w:color w:val="000000"/>
                <w:sz w:val="20"/>
                <w:szCs w:val="20"/>
                <w:lang w:eastAsia="en-IN"/>
              </w:rPr>
              <w:t>June</w:t>
            </w:r>
          </w:p>
        </w:tc>
        <w:tc>
          <w:tcPr>
            <w:tcW w:w="778" w:type="pct"/>
            <w:noWrap/>
            <w:hideMark/>
          </w:tcPr>
          <w:p w14:paraId="5CBC5A9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40ECC7F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383.400</w:t>
            </w:r>
          </w:p>
        </w:tc>
        <w:tc>
          <w:tcPr>
            <w:tcW w:w="624" w:type="pct"/>
            <w:noWrap/>
            <w:hideMark/>
          </w:tcPr>
          <w:p w14:paraId="56BF6E5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3" w:name="_Hlk129875315"/>
            <w:r w:rsidRPr="00AA274F">
              <w:rPr>
                <w:rFonts w:ascii="Arial" w:eastAsia="Times New Roman" w:hAnsi="Arial" w:cs="Arial"/>
                <w:color w:val="000000"/>
                <w:sz w:val="20"/>
                <w:szCs w:val="20"/>
                <w:lang w:eastAsia="en-IN"/>
              </w:rPr>
              <w:t>108.76</w:t>
            </w:r>
            <w:bookmarkEnd w:id="3"/>
            <w:r w:rsidRPr="00AA274F">
              <w:rPr>
                <w:rFonts w:ascii="Arial" w:eastAsia="Times New Roman" w:hAnsi="Arial" w:cs="Arial"/>
                <w:color w:val="000000"/>
                <w:sz w:val="20"/>
                <w:szCs w:val="20"/>
                <w:lang w:eastAsia="en-IN"/>
              </w:rPr>
              <w:t>0</w:t>
            </w:r>
          </w:p>
        </w:tc>
        <w:tc>
          <w:tcPr>
            <w:tcW w:w="728" w:type="pct"/>
            <w:noWrap/>
            <w:hideMark/>
          </w:tcPr>
          <w:p w14:paraId="08FA1C17"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100.003</w:t>
            </w:r>
          </w:p>
        </w:tc>
        <w:tc>
          <w:tcPr>
            <w:tcW w:w="937" w:type="pct"/>
          </w:tcPr>
          <w:p w14:paraId="7E144F35"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13.33</w:t>
            </w:r>
          </w:p>
        </w:tc>
      </w:tr>
      <w:tr w:rsidR="00AA274F" w:rsidRPr="00AA274F" w14:paraId="115362E4"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777D9403" w14:textId="77777777" w:rsidR="00AA274F" w:rsidRPr="00AA274F" w:rsidRDefault="00AA274F" w:rsidP="00BD1274">
            <w:pPr>
              <w:jc w:val="center"/>
              <w:rPr>
                <w:rFonts w:ascii="Arial" w:eastAsia="Times New Roman" w:hAnsi="Arial" w:cs="Arial"/>
                <w:color w:val="000000"/>
                <w:sz w:val="20"/>
                <w:szCs w:val="20"/>
                <w:lang w:eastAsia="en-IN"/>
              </w:rPr>
            </w:pPr>
            <w:bookmarkStart w:id="4" w:name="_Hlk129350147"/>
            <w:bookmarkEnd w:id="2"/>
            <w:r w:rsidRPr="00AA274F">
              <w:rPr>
                <w:rFonts w:ascii="Arial" w:eastAsia="Times New Roman" w:hAnsi="Arial" w:cs="Arial"/>
                <w:color w:val="000000"/>
                <w:sz w:val="20"/>
                <w:szCs w:val="20"/>
                <w:lang w:eastAsia="en-IN"/>
              </w:rPr>
              <w:t>July</w:t>
            </w:r>
          </w:p>
        </w:tc>
        <w:tc>
          <w:tcPr>
            <w:tcW w:w="778" w:type="pct"/>
            <w:tcBorders>
              <w:top w:val="none" w:sz="0" w:space="0" w:color="auto"/>
              <w:bottom w:val="none" w:sz="0" w:space="0" w:color="auto"/>
            </w:tcBorders>
            <w:noWrap/>
            <w:hideMark/>
          </w:tcPr>
          <w:p w14:paraId="27A4259C"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29.100</w:t>
            </w:r>
          </w:p>
        </w:tc>
        <w:tc>
          <w:tcPr>
            <w:tcW w:w="803" w:type="pct"/>
            <w:tcBorders>
              <w:top w:val="none" w:sz="0" w:space="0" w:color="auto"/>
              <w:bottom w:val="none" w:sz="0" w:space="0" w:color="auto"/>
            </w:tcBorders>
            <w:noWrap/>
            <w:hideMark/>
          </w:tcPr>
          <w:p w14:paraId="5F43A88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582.700</w:t>
            </w:r>
          </w:p>
        </w:tc>
        <w:tc>
          <w:tcPr>
            <w:tcW w:w="624" w:type="pct"/>
            <w:tcBorders>
              <w:top w:val="none" w:sz="0" w:space="0" w:color="auto"/>
              <w:bottom w:val="none" w:sz="0" w:space="0" w:color="auto"/>
            </w:tcBorders>
            <w:noWrap/>
            <w:hideMark/>
          </w:tcPr>
          <w:p w14:paraId="41A4976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bookmarkStart w:id="5" w:name="_Hlk129875263"/>
            <w:r w:rsidRPr="00AA274F">
              <w:rPr>
                <w:rFonts w:ascii="Arial" w:eastAsia="Times New Roman" w:hAnsi="Arial" w:cs="Arial"/>
                <w:color w:val="000000"/>
                <w:sz w:val="20"/>
                <w:szCs w:val="20"/>
                <w:lang w:eastAsia="en-IN"/>
              </w:rPr>
              <w:t>291.48</w:t>
            </w:r>
            <w:bookmarkEnd w:id="5"/>
            <w:r w:rsidRPr="00AA274F">
              <w:rPr>
                <w:rFonts w:ascii="Arial" w:eastAsia="Times New Roman" w:hAnsi="Arial" w:cs="Arial"/>
                <w:color w:val="000000"/>
                <w:sz w:val="20"/>
                <w:szCs w:val="20"/>
                <w:lang w:eastAsia="en-IN"/>
              </w:rPr>
              <w:t>6</w:t>
            </w:r>
          </w:p>
        </w:tc>
        <w:tc>
          <w:tcPr>
            <w:tcW w:w="728" w:type="pct"/>
            <w:tcBorders>
              <w:top w:val="none" w:sz="0" w:space="0" w:color="auto"/>
              <w:bottom w:val="none" w:sz="0" w:space="0" w:color="auto"/>
            </w:tcBorders>
            <w:noWrap/>
            <w:hideMark/>
          </w:tcPr>
          <w:p w14:paraId="6252621A"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129.052</w:t>
            </w:r>
          </w:p>
        </w:tc>
        <w:tc>
          <w:tcPr>
            <w:tcW w:w="937" w:type="pct"/>
            <w:tcBorders>
              <w:top w:val="none" w:sz="0" w:space="0" w:color="auto"/>
              <w:bottom w:val="none" w:sz="0" w:space="0" w:color="auto"/>
            </w:tcBorders>
          </w:tcPr>
          <w:p w14:paraId="0D8A650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35.72</w:t>
            </w:r>
          </w:p>
        </w:tc>
      </w:tr>
      <w:tr w:rsidR="00AA274F" w:rsidRPr="00AA274F" w14:paraId="7FBC71AA"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47057D06" w14:textId="77777777" w:rsidR="00AA274F" w:rsidRPr="00AA274F" w:rsidRDefault="00AA274F" w:rsidP="00BD1274">
            <w:pPr>
              <w:jc w:val="center"/>
              <w:rPr>
                <w:rFonts w:ascii="Arial" w:eastAsia="Times New Roman" w:hAnsi="Arial" w:cs="Arial"/>
                <w:color w:val="000000"/>
                <w:sz w:val="20"/>
                <w:szCs w:val="20"/>
                <w:lang w:eastAsia="en-IN"/>
              </w:rPr>
            </w:pPr>
            <w:bookmarkStart w:id="6" w:name="_Hlk129350167"/>
            <w:bookmarkEnd w:id="4"/>
            <w:r w:rsidRPr="00AA274F">
              <w:rPr>
                <w:rFonts w:ascii="Arial" w:eastAsia="Times New Roman" w:hAnsi="Arial" w:cs="Arial"/>
                <w:color w:val="000000"/>
                <w:sz w:val="20"/>
                <w:szCs w:val="20"/>
                <w:lang w:eastAsia="en-IN"/>
              </w:rPr>
              <w:t>August</w:t>
            </w:r>
          </w:p>
        </w:tc>
        <w:tc>
          <w:tcPr>
            <w:tcW w:w="778" w:type="pct"/>
            <w:noWrap/>
            <w:hideMark/>
          </w:tcPr>
          <w:p w14:paraId="389A31DC"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23.150</w:t>
            </w:r>
          </w:p>
        </w:tc>
        <w:tc>
          <w:tcPr>
            <w:tcW w:w="803" w:type="pct"/>
            <w:noWrap/>
            <w:hideMark/>
          </w:tcPr>
          <w:p w14:paraId="0E77A73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697.400</w:t>
            </w:r>
          </w:p>
        </w:tc>
        <w:tc>
          <w:tcPr>
            <w:tcW w:w="624" w:type="pct"/>
            <w:noWrap/>
            <w:hideMark/>
          </w:tcPr>
          <w:p w14:paraId="1F5741E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7" w:name="_Hlk129875286"/>
            <w:r w:rsidRPr="00AA274F">
              <w:rPr>
                <w:rFonts w:ascii="Arial" w:eastAsia="Times New Roman" w:hAnsi="Arial" w:cs="Arial"/>
                <w:color w:val="000000"/>
                <w:sz w:val="20"/>
                <w:szCs w:val="20"/>
                <w:lang w:eastAsia="en-IN"/>
              </w:rPr>
              <w:t>259.51</w:t>
            </w:r>
            <w:bookmarkEnd w:id="7"/>
            <w:r w:rsidRPr="00AA274F">
              <w:rPr>
                <w:rFonts w:ascii="Arial" w:eastAsia="Times New Roman" w:hAnsi="Arial" w:cs="Arial"/>
                <w:color w:val="000000"/>
                <w:sz w:val="20"/>
                <w:szCs w:val="20"/>
                <w:lang w:eastAsia="en-IN"/>
              </w:rPr>
              <w:t>2</w:t>
            </w:r>
          </w:p>
        </w:tc>
        <w:tc>
          <w:tcPr>
            <w:tcW w:w="728" w:type="pct"/>
            <w:noWrap/>
            <w:hideMark/>
          </w:tcPr>
          <w:p w14:paraId="7187E89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185.189</w:t>
            </w:r>
          </w:p>
        </w:tc>
        <w:tc>
          <w:tcPr>
            <w:tcW w:w="937" w:type="pct"/>
          </w:tcPr>
          <w:p w14:paraId="05F4145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31.80</w:t>
            </w:r>
          </w:p>
        </w:tc>
      </w:tr>
      <w:tr w:rsidR="00AA274F" w:rsidRPr="00AA274F" w14:paraId="62B4B7AD"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7B618BD4" w14:textId="77777777" w:rsidR="00AA274F" w:rsidRPr="00AA274F" w:rsidRDefault="00AA274F" w:rsidP="00BD1274">
            <w:pPr>
              <w:jc w:val="center"/>
              <w:rPr>
                <w:rFonts w:ascii="Arial" w:eastAsia="Times New Roman" w:hAnsi="Arial" w:cs="Arial"/>
                <w:color w:val="000000"/>
                <w:sz w:val="20"/>
                <w:szCs w:val="20"/>
                <w:lang w:eastAsia="en-IN"/>
              </w:rPr>
            </w:pPr>
            <w:bookmarkStart w:id="8" w:name="_Hlk129350266"/>
            <w:bookmarkStart w:id="9" w:name="_Hlk129350237"/>
            <w:bookmarkEnd w:id="6"/>
            <w:r w:rsidRPr="00AA274F">
              <w:rPr>
                <w:rFonts w:ascii="Arial" w:eastAsia="Times New Roman" w:hAnsi="Arial" w:cs="Arial"/>
                <w:color w:val="000000"/>
                <w:sz w:val="20"/>
                <w:szCs w:val="20"/>
                <w:lang w:eastAsia="en-IN"/>
              </w:rPr>
              <w:t>September</w:t>
            </w:r>
            <w:bookmarkEnd w:id="8"/>
          </w:p>
        </w:tc>
        <w:tc>
          <w:tcPr>
            <w:tcW w:w="778" w:type="pct"/>
            <w:tcBorders>
              <w:top w:val="none" w:sz="0" w:space="0" w:color="auto"/>
              <w:bottom w:val="none" w:sz="0" w:space="0" w:color="auto"/>
            </w:tcBorders>
            <w:noWrap/>
            <w:hideMark/>
          </w:tcPr>
          <w:p w14:paraId="683E34A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7.000</w:t>
            </w:r>
          </w:p>
        </w:tc>
        <w:tc>
          <w:tcPr>
            <w:tcW w:w="803" w:type="pct"/>
            <w:tcBorders>
              <w:top w:val="none" w:sz="0" w:space="0" w:color="auto"/>
              <w:bottom w:val="none" w:sz="0" w:space="0" w:color="auto"/>
            </w:tcBorders>
            <w:noWrap/>
            <w:hideMark/>
          </w:tcPr>
          <w:p w14:paraId="357604F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490.560</w:t>
            </w:r>
          </w:p>
        </w:tc>
        <w:tc>
          <w:tcPr>
            <w:tcW w:w="624" w:type="pct"/>
            <w:tcBorders>
              <w:top w:val="none" w:sz="0" w:space="0" w:color="auto"/>
              <w:bottom w:val="none" w:sz="0" w:space="0" w:color="auto"/>
            </w:tcBorders>
            <w:noWrap/>
            <w:hideMark/>
          </w:tcPr>
          <w:p w14:paraId="0BAA4B75"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bookmarkStart w:id="10" w:name="_Hlk129875302"/>
            <w:r w:rsidRPr="00AA274F">
              <w:rPr>
                <w:rFonts w:ascii="Arial" w:eastAsia="Times New Roman" w:hAnsi="Arial" w:cs="Arial"/>
                <w:color w:val="000000"/>
                <w:sz w:val="20"/>
                <w:szCs w:val="20"/>
                <w:lang w:eastAsia="en-IN"/>
              </w:rPr>
              <w:t>141.36</w:t>
            </w:r>
            <w:bookmarkEnd w:id="10"/>
            <w:r w:rsidRPr="00AA274F">
              <w:rPr>
                <w:rFonts w:ascii="Arial" w:eastAsia="Times New Roman" w:hAnsi="Arial" w:cs="Arial"/>
                <w:color w:val="000000"/>
                <w:sz w:val="20"/>
                <w:szCs w:val="20"/>
                <w:lang w:eastAsia="en-IN"/>
              </w:rPr>
              <w:t>0</w:t>
            </w:r>
          </w:p>
        </w:tc>
        <w:tc>
          <w:tcPr>
            <w:tcW w:w="728" w:type="pct"/>
            <w:tcBorders>
              <w:top w:val="none" w:sz="0" w:space="0" w:color="auto"/>
              <w:bottom w:val="none" w:sz="0" w:space="0" w:color="auto"/>
            </w:tcBorders>
            <w:noWrap/>
            <w:hideMark/>
          </w:tcPr>
          <w:p w14:paraId="1F1D9069"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116.825</w:t>
            </w:r>
          </w:p>
        </w:tc>
        <w:tc>
          <w:tcPr>
            <w:tcW w:w="937" w:type="pct"/>
            <w:tcBorders>
              <w:top w:val="none" w:sz="0" w:space="0" w:color="auto"/>
              <w:bottom w:val="none" w:sz="0" w:space="0" w:color="auto"/>
            </w:tcBorders>
          </w:tcPr>
          <w:p w14:paraId="4C39DBD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17.32</w:t>
            </w:r>
          </w:p>
        </w:tc>
      </w:tr>
      <w:tr w:rsidR="00AA274F" w:rsidRPr="00AA274F" w14:paraId="581FD933"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49F7547E" w14:textId="77777777" w:rsidR="00AA274F" w:rsidRPr="00AA274F" w:rsidRDefault="00AA274F" w:rsidP="00BD1274">
            <w:pPr>
              <w:jc w:val="center"/>
              <w:rPr>
                <w:rFonts w:ascii="Arial" w:eastAsia="Times New Roman" w:hAnsi="Arial" w:cs="Arial"/>
                <w:color w:val="000000"/>
                <w:sz w:val="20"/>
                <w:szCs w:val="20"/>
                <w:lang w:eastAsia="en-IN"/>
              </w:rPr>
            </w:pPr>
            <w:bookmarkStart w:id="11" w:name="_Hlk129875376"/>
            <w:bookmarkEnd w:id="9"/>
            <w:r w:rsidRPr="00AA274F">
              <w:rPr>
                <w:rFonts w:ascii="Arial" w:eastAsia="Times New Roman" w:hAnsi="Arial" w:cs="Arial"/>
                <w:color w:val="000000"/>
                <w:sz w:val="20"/>
                <w:szCs w:val="20"/>
                <w:lang w:eastAsia="en-IN"/>
              </w:rPr>
              <w:t>October</w:t>
            </w:r>
            <w:bookmarkEnd w:id="11"/>
          </w:p>
        </w:tc>
        <w:tc>
          <w:tcPr>
            <w:tcW w:w="778" w:type="pct"/>
            <w:noWrap/>
            <w:hideMark/>
          </w:tcPr>
          <w:p w14:paraId="30714E2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noWrap/>
            <w:hideMark/>
          </w:tcPr>
          <w:p w14:paraId="05CFE29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78.100</w:t>
            </w:r>
          </w:p>
        </w:tc>
        <w:tc>
          <w:tcPr>
            <w:tcW w:w="624" w:type="pct"/>
            <w:noWrap/>
            <w:hideMark/>
          </w:tcPr>
          <w:p w14:paraId="1335A6EF"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2" w:name="_Hlk129875326"/>
            <w:r w:rsidRPr="00AA274F">
              <w:rPr>
                <w:rFonts w:ascii="Arial" w:eastAsia="Times New Roman" w:hAnsi="Arial" w:cs="Arial"/>
                <w:color w:val="000000"/>
                <w:sz w:val="20"/>
                <w:szCs w:val="20"/>
                <w:lang w:eastAsia="en-IN"/>
              </w:rPr>
              <w:t>14.98</w:t>
            </w:r>
            <w:bookmarkEnd w:id="12"/>
            <w:r w:rsidRPr="00AA274F">
              <w:rPr>
                <w:rFonts w:ascii="Arial" w:eastAsia="Times New Roman" w:hAnsi="Arial" w:cs="Arial"/>
                <w:color w:val="000000"/>
                <w:sz w:val="20"/>
                <w:szCs w:val="20"/>
                <w:lang w:eastAsia="en-IN"/>
              </w:rPr>
              <w:t>4</w:t>
            </w:r>
          </w:p>
        </w:tc>
        <w:tc>
          <w:tcPr>
            <w:tcW w:w="728" w:type="pct"/>
            <w:noWrap/>
            <w:hideMark/>
          </w:tcPr>
          <w:p w14:paraId="0C51E902"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3" w:name="_Hlk129358086"/>
            <w:r w:rsidRPr="00AA274F">
              <w:rPr>
                <w:rFonts w:ascii="Arial" w:eastAsia="Times New Roman" w:hAnsi="Arial" w:cs="Arial"/>
                <w:color w:val="000000"/>
                <w:sz w:val="20"/>
                <w:szCs w:val="20"/>
                <w:lang w:eastAsia="en-IN"/>
              </w:rPr>
              <w:t>22.048</w:t>
            </w:r>
            <w:bookmarkEnd w:id="13"/>
          </w:p>
        </w:tc>
        <w:tc>
          <w:tcPr>
            <w:tcW w:w="937" w:type="pct"/>
          </w:tcPr>
          <w:p w14:paraId="3D649E76"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4" w:name="_Hlk129874846"/>
            <w:r w:rsidRPr="00AA274F">
              <w:rPr>
                <w:rFonts w:ascii="Arial" w:hAnsi="Arial" w:cs="Arial"/>
                <w:color w:val="000000"/>
                <w:sz w:val="20"/>
                <w:szCs w:val="20"/>
              </w:rPr>
              <w:t>1.84</w:t>
            </w:r>
            <w:bookmarkEnd w:id="14"/>
          </w:p>
        </w:tc>
      </w:tr>
      <w:tr w:rsidR="00AA274F" w:rsidRPr="00AA274F" w14:paraId="2025C07A"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none" w:sz="0" w:space="0" w:color="auto"/>
            </w:tcBorders>
            <w:noWrap/>
            <w:hideMark/>
          </w:tcPr>
          <w:p w14:paraId="58DC6C8B" w14:textId="77777777" w:rsidR="00AA274F" w:rsidRPr="00AA274F" w:rsidRDefault="00AA274F" w:rsidP="00BD1274">
            <w:pPr>
              <w:jc w:val="center"/>
              <w:rPr>
                <w:rFonts w:ascii="Arial" w:eastAsia="Times New Roman" w:hAnsi="Arial" w:cs="Arial"/>
                <w:color w:val="000000"/>
                <w:sz w:val="20"/>
                <w:szCs w:val="20"/>
                <w:lang w:eastAsia="en-IN"/>
              </w:rPr>
            </w:pPr>
            <w:bookmarkStart w:id="15" w:name="_Hlk129358128"/>
            <w:r w:rsidRPr="00AA274F">
              <w:rPr>
                <w:rFonts w:ascii="Arial" w:eastAsia="Times New Roman" w:hAnsi="Arial" w:cs="Arial"/>
                <w:color w:val="000000"/>
                <w:sz w:val="20"/>
                <w:szCs w:val="20"/>
                <w:lang w:eastAsia="en-IN"/>
              </w:rPr>
              <w:t>November</w:t>
            </w:r>
            <w:bookmarkEnd w:id="15"/>
          </w:p>
        </w:tc>
        <w:tc>
          <w:tcPr>
            <w:tcW w:w="778" w:type="pct"/>
            <w:tcBorders>
              <w:top w:val="none" w:sz="0" w:space="0" w:color="auto"/>
              <w:bottom w:val="none" w:sz="0" w:space="0" w:color="auto"/>
            </w:tcBorders>
            <w:noWrap/>
            <w:hideMark/>
          </w:tcPr>
          <w:p w14:paraId="1B3CE35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none" w:sz="0" w:space="0" w:color="auto"/>
            </w:tcBorders>
            <w:noWrap/>
            <w:hideMark/>
          </w:tcPr>
          <w:p w14:paraId="09EB62F2"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none" w:sz="0" w:space="0" w:color="auto"/>
              <w:bottom w:val="none" w:sz="0" w:space="0" w:color="auto"/>
            </w:tcBorders>
            <w:noWrap/>
            <w:hideMark/>
          </w:tcPr>
          <w:p w14:paraId="263F909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none" w:sz="0" w:space="0" w:color="auto"/>
              <w:bottom w:val="none" w:sz="0" w:space="0" w:color="auto"/>
            </w:tcBorders>
            <w:noWrap/>
            <w:hideMark/>
          </w:tcPr>
          <w:p w14:paraId="6F99DC6C"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none" w:sz="0" w:space="0" w:color="auto"/>
              <w:bottom w:val="none" w:sz="0" w:space="0" w:color="auto"/>
            </w:tcBorders>
          </w:tcPr>
          <w:p w14:paraId="7CA9FB9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06A9D9E2"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tcBorders>
              <w:bottom w:val="single" w:sz="4" w:space="0" w:color="auto"/>
            </w:tcBorders>
            <w:noWrap/>
            <w:hideMark/>
          </w:tcPr>
          <w:p w14:paraId="6355BC18"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December</w:t>
            </w:r>
          </w:p>
        </w:tc>
        <w:tc>
          <w:tcPr>
            <w:tcW w:w="778" w:type="pct"/>
            <w:tcBorders>
              <w:bottom w:val="single" w:sz="4" w:space="0" w:color="auto"/>
            </w:tcBorders>
            <w:noWrap/>
            <w:hideMark/>
          </w:tcPr>
          <w:p w14:paraId="6B1DD243"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bottom w:val="single" w:sz="4" w:space="0" w:color="auto"/>
            </w:tcBorders>
            <w:noWrap/>
            <w:hideMark/>
          </w:tcPr>
          <w:p w14:paraId="7218439B"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bottom w:val="single" w:sz="4" w:space="0" w:color="auto"/>
            </w:tcBorders>
            <w:noWrap/>
            <w:hideMark/>
          </w:tcPr>
          <w:p w14:paraId="27E68779"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bottom w:val="single" w:sz="4" w:space="0" w:color="auto"/>
            </w:tcBorders>
            <w:noWrap/>
            <w:hideMark/>
          </w:tcPr>
          <w:p w14:paraId="51E7F1AA"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bottom w:val="single" w:sz="4" w:space="0" w:color="auto"/>
            </w:tcBorders>
          </w:tcPr>
          <w:p w14:paraId="4A2EF64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40178838"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bottom w:val="none" w:sz="0" w:space="0" w:color="auto"/>
            </w:tcBorders>
            <w:noWrap/>
            <w:hideMark/>
          </w:tcPr>
          <w:p w14:paraId="3D186468"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Pre-Monsoon</w:t>
            </w:r>
          </w:p>
        </w:tc>
        <w:tc>
          <w:tcPr>
            <w:tcW w:w="778" w:type="pct"/>
            <w:tcBorders>
              <w:top w:val="single" w:sz="4" w:space="0" w:color="auto"/>
              <w:bottom w:val="none" w:sz="0" w:space="0" w:color="auto"/>
            </w:tcBorders>
            <w:noWrap/>
            <w:hideMark/>
          </w:tcPr>
          <w:p w14:paraId="6BD0B130"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bottom w:val="none" w:sz="0" w:space="0" w:color="auto"/>
            </w:tcBorders>
            <w:noWrap/>
            <w:hideMark/>
          </w:tcPr>
          <w:p w14:paraId="402A5C3F"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bottom w:val="none" w:sz="0" w:space="0" w:color="auto"/>
            </w:tcBorders>
            <w:noWrap/>
            <w:hideMark/>
          </w:tcPr>
          <w:p w14:paraId="3421C69D"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bottom w:val="none" w:sz="0" w:space="0" w:color="auto"/>
            </w:tcBorders>
            <w:noWrap/>
            <w:hideMark/>
          </w:tcPr>
          <w:p w14:paraId="0ECD33D4"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bottom w:val="none" w:sz="0" w:space="0" w:color="auto"/>
            </w:tcBorders>
          </w:tcPr>
          <w:p w14:paraId="714A07BB"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0.00</w:t>
            </w:r>
          </w:p>
        </w:tc>
      </w:tr>
      <w:tr w:rsidR="00AA274F" w:rsidRPr="00AA274F" w14:paraId="29DF806E"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noWrap/>
            <w:hideMark/>
          </w:tcPr>
          <w:p w14:paraId="61D1ACC6"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Monsoon</w:t>
            </w:r>
          </w:p>
        </w:tc>
        <w:tc>
          <w:tcPr>
            <w:tcW w:w="778" w:type="pct"/>
            <w:noWrap/>
            <w:hideMark/>
          </w:tcPr>
          <w:p w14:paraId="43DE1F5E"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275.000</w:t>
            </w:r>
          </w:p>
        </w:tc>
        <w:tc>
          <w:tcPr>
            <w:tcW w:w="803" w:type="pct"/>
            <w:noWrap/>
            <w:hideMark/>
          </w:tcPr>
          <w:p w14:paraId="3B662128"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1547.100</w:t>
            </w:r>
          </w:p>
        </w:tc>
        <w:tc>
          <w:tcPr>
            <w:tcW w:w="624" w:type="pct"/>
            <w:noWrap/>
            <w:hideMark/>
          </w:tcPr>
          <w:p w14:paraId="5812C45C"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bookmarkStart w:id="16" w:name="_Hlk129350065"/>
            <w:r w:rsidRPr="00AA274F">
              <w:rPr>
                <w:rFonts w:ascii="Arial" w:eastAsia="Times New Roman" w:hAnsi="Arial" w:cs="Arial"/>
                <w:color w:val="000000"/>
                <w:sz w:val="20"/>
                <w:szCs w:val="20"/>
                <w:lang w:eastAsia="en-IN"/>
              </w:rPr>
              <w:t>801.119</w:t>
            </w:r>
            <w:bookmarkEnd w:id="16"/>
          </w:p>
        </w:tc>
        <w:tc>
          <w:tcPr>
            <w:tcW w:w="728" w:type="pct"/>
            <w:noWrap/>
            <w:hideMark/>
          </w:tcPr>
          <w:p w14:paraId="6303EC8A"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293.808</w:t>
            </w:r>
          </w:p>
        </w:tc>
        <w:tc>
          <w:tcPr>
            <w:tcW w:w="937" w:type="pct"/>
          </w:tcPr>
          <w:p w14:paraId="28965249"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98.16</w:t>
            </w:r>
          </w:p>
        </w:tc>
      </w:tr>
      <w:tr w:rsidR="00AA274F" w:rsidRPr="00AA274F" w14:paraId="16F3BA8F" w14:textId="77777777" w:rsidTr="00AA27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single" w:sz="4" w:space="0" w:color="auto"/>
            </w:tcBorders>
            <w:noWrap/>
            <w:hideMark/>
          </w:tcPr>
          <w:p w14:paraId="7E4EC17E"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Post-Monsoon</w:t>
            </w:r>
          </w:p>
        </w:tc>
        <w:tc>
          <w:tcPr>
            <w:tcW w:w="778" w:type="pct"/>
            <w:tcBorders>
              <w:top w:val="none" w:sz="0" w:space="0" w:color="auto"/>
              <w:bottom w:val="single" w:sz="4" w:space="0" w:color="auto"/>
            </w:tcBorders>
            <w:noWrap/>
            <w:hideMark/>
          </w:tcPr>
          <w:p w14:paraId="2E61EE31"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none" w:sz="0" w:space="0" w:color="auto"/>
              <w:bottom w:val="single" w:sz="4" w:space="0" w:color="auto"/>
            </w:tcBorders>
            <w:noWrap/>
            <w:hideMark/>
          </w:tcPr>
          <w:p w14:paraId="7DFBAB88"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78.100</w:t>
            </w:r>
          </w:p>
        </w:tc>
        <w:tc>
          <w:tcPr>
            <w:tcW w:w="624" w:type="pct"/>
            <w:tcBorders>
              <w:top w:val="none" w:sz="0" w:space="0" w:color="auto"/>
              <w:bottom w:val="single" w:sz="4" w:space="0" w:color="auto"/>
            </w:tcBorders>
            <w:noWrap/>
            <w:hideMark/>
          </w:tcPr>
          <w:p w14:paraId="3AF0898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14.984</w:t>
            </w:r>
          </w:p>
        </w:tc>
        <w:tc>
          <w:tcPr>
            <w:tcW w:w="728" w:type="pct"/>
            <w:tcBorders>
              <w:top w:val="none" w:sz="0" w:space="0" w:color="auto"/>
              <w:bottom w:val="single" w:sz="4" w:space="0" w:color="auto"/>
            </w:tcBorders>
            <w:noWrap/>
            <w:hideMark/>
          </w:tcPr>
          <w:p w14:paraId="38D8C31B"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22.048</w:t>
            </w:r>
          </w:p>
        </w:tc>
        <w:tc>
          <w:tcPr>
            <w:tcW w:w="937" w:type="pct"/>
            <w:tcBorders>
              <w:top w:val="none" w:sz="0" w:space="0" w:color="auto"/>
              <w:bottom w:val="single" w:sz="4" w:space="0" w:color="auto"/>
            </w:tcBorders>
          </w:tcPr>
          <w:p w14:paraId="6EC1AC16"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1.84</w:t>
            </w:r>
          </w:p>
        </w:tc>
      </w:tr>
      <w:tr w:rsidR="00AA274F" w:rsidRPr="00AA274F" w14:paraId="2FA6D7A9" w14:textId="77777777" w:rsidTr="00AA274F">
        <w:trPr>
          <w:trHeight w:val="300"/>
        </w:trPr>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tcBorders>
            <w:noWrap/>
            <w:hideMark/>
          </w:tcPr>
          <w:p w14:paraId="1F48CF73"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Winter</w:t>
            </w:r>
          </w:p>
        </w:tc>
        <w:tc>
          <w:tcPr>
            <w:tcW w:w="778" w:type="pct"/>
            <w:tcBorders>
              <w:top w:val="single" w:sz="4" w:space="0" w:color="auto"/>
            </w:tcBorders>
            <w:noWrap/>
            <w:hideMark/>
          </w:tcPr>
          <w:p w14:paraId="474B3DE7"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803" w:type="pct"/>
            <w:tcBorders>
              <w:top w:val="single" w:sz="4" w:space="0" w:color="auto"/>
            </w:tcBorders>
            <w:noWrap/>
            <w:hideMark/>
          </w:tcPr>
          <w:p w14:paraId="2C9299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624" w:type="pct"/>
            <w:tcBorders>
              <w:top w:val="single" w:sz="4" w:space="0" w:color="auto"/>
            </w:tcBorders>
            <w:noWrap/>
            <w:hideMark/>
          </w:tcPr>
          <w:p w14:paraId="0F1A1091"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728" w:type="pct"/>
            <w:tcBorders>
              <w:top w:val="single" w:sz="4" w:space="0" w:color="auto"/>
            </w:tcBorders>
            <w:noWrap/>
            <w:hideMark/>
          </w:tcPr>
          <w:p w14:paraId="75FA49B0"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0.000</w:t>
            </w:r>
          </w:p>
        </w:tc>
        <w:tc>
          <w:tcPr>
            <w:tcW w:w="937" w:type="pct"/>
            <w:tcBorders>
              <w:top w:val="single" w:sz="4" w:space="0" w:color="auto"/>
            </w:tcBorders>
          </w:tcPr>
          <w:p w14:paraId="1DE9DBED" w14:textId="77777777" w:rsidR="00AA274F" w:rsidRPr="00AA274F" w:rsidRDefault="00AA274F" w:rsidP="00BD12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0</w:t>
            </w:r>
          </w:p>
        </w:tc>
      </w:tr>
      <w:tr w:rsidR="00AA274F" w:rsidRPr="00AA274F" w14:paraId="686196AC" w14:textId="77777777" w:rsidTr="00AA274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29" w:type="pct"/>
            <w:tcBorders>
              <w:top w:val="none" w:sz="0" w:space="0" w:color="auto"/>
              <w:bottom w:val="single" w:sz="4" w:space="0" w:color="auto"/>
            </w:tcBorders>
            <w:noWrap/>
            <w:hideMark/>
          </w:tcPr>
          <w:p w14:paraId="2EAC2997" w14:textId="77777777" w:rsidR="00AA274F" w:rsidRPr="00AA274F" w:rsidRDefault="00AA274F" w:rsidP="00BD1274">
            <w:pPr>
              <w:jc w:val="center"/>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Annual</w:t>
            </w:r>
          </w:p>
        </w:tc>
        <w:tc>
          <w:tcPr>
            <w:tcW w:w="778" w:type="pct"/>
            <w:tcBorders>
              <w:top w:val="none" w:sz="0" w:space="0" w:color="auto"/>
              <w:bottom w:val="single" w:sz="4" w:space="0" w:color="auto"/>
            </w:tcBorders>
            <w:noWrap/>
            <w:hideMark/>
          </w:tcPr>
          <w:p w14:paraId="1DC44C5E"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275.000</w:t>
            </w:r>
          </w:p>
        </w:tc>
        <w:tc>
          <w:tcPr>
            <w:tcW w:w="803" w:type="pct"/>
            <w:tcBorders>
              <w:top w:val="none" w:sz="0" w:space="0" w:color="auto"/>
              <w:bottom w:val="single" w:sz="4" w:space="0" w:color="auto"/>
            </w:tcBorders>
            <w:noWrap/>
            <w:hideMark/>
          </w:tcPr>
          <w:p w14:paraId="0EB262B5"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1548.900</w:t>
            </w:r>
          </w:p>
        </w:tc>
        <w:tc>
          <w:tcPr>
            <w:tcW w:w="624" w:type="pct"/>
            <w:tcBorders>
              <w:top w:val="none" w:sz="0" w:space="0" w:color="auto"/>
              <w:bottom w:val="single" w:sz="4" w:space="0" w:color="auto"/>
            </w:tcBorders>
            <w:noWrap/>
            <w:hideMark/>
          </w:tcPr>
          <w:p w14:paraId="6C8161D7"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816.103</w:t>
            </w:r>
          </w:p>
        </w:tc>
        <w:tc>
          <w:tcPr>
            <w:tcW w:w="728" w:type="pct"/>
            <w:tcBorders>
              <w:top w:val="none" w:sz="0" w:space="0" w:color="auto"/>
              <w:bottom w:val="single" w:sz="4" w:space="0" w:color="auto"/>
            </w:tcBorders>
            <w:noWrap/>
            <w:hideMark/>
          </w:tcPr>
          <w:p w14:paraId="3A9355C3"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eastAsia="Times New Roman" w:hAnsi="Arial" w:cs="Arial"/>
                <w:color w:val="000000"/>
                <w:sz w:val="20"/>
                <w:szCs w:val="20"/>
                <w:lang w:eastAsia="en-IN"/>
              </w:rPr>
              <w:t>295.279</w:t>
            </w:r>
          </w:p>
        </w:tc>
        <w:tc>
          <w:tcPr>
            <w:tcW w:w="937" w:type="pct"/>
            <w:tcBorders>
              <w:top w:val="none" w:sz="0" w:space="0" w:color="auto"/>
              <w:bottom w:val="single" w:sz="4" w:space="0" w:color="auto"/>
            </w:tcBorders>
          </w:tcPr>
          <w:p w14:paraId="414DFFF8" w14:textId="77777777" w:rsidR="00AA274F" w:rsidRPr="00AA274F" w:rsidRDefault="00AA274F" w:rsidP="00BD12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N"/>
              </w:rPr>
            </w:pPr>
            <w:r w:rsidRPr="00AA274F">
              <w:rPr>
                <w:rFonts w:ascii="Arial" w:hAnsi="Arial" w:cs="Arial"/>
                <w:color w:val="000000"/>
                <w:sz w:val="20"/>
                <w:szCs w:val="20"/>
              </w:rPr>
              <w:t>100</w:t>
            </w:r>
          </w:p>
        </w:tc>
      </w:tr>
    </w:tbl>
    <w:p w14:paraId="02DE2C90" w14:textId="77777777" w:rsidR="00AA274F" w:rsidRDefault="00AA274F" w:rsidP="00441B6F">
      <w:pPr>
        <w:pStyle w:val="Body"/>
        <w:spacing w:after="0"/>
        <w:rPr>
          <w:rFonts w:ascii="Arial" w:hAnsi="Arial" w:cs="Arial"/>
        </w:rPr>
      </w:pPr>
    </w:p>
    <w:p w14:paraId="20604F41" w14:textId="60794F02" w:rsidR="0030376D" w:rsidRPr="00A52558" w:rsidRDefault="0030376D" w:rsidP="0030376D">
      <w:pPr>
        <w:autoSpaceDE w:val="0"/>
        <w:autoSpaceDN w:val="0"/>
        <w:adjustRightInd w:val="0"/>
        <w:jc w:val="both"/>
        <w:rPr>
          <w:rFonts w:ascii="Arial" w:hAnsi="Arial" w:cs="Arial"/>
          <w:u w:val="single"/>
        </w:rPr>
      </w:pPr>
      <w:r w:rsidRPr="00A52558">
        <w:rPr>
          <w:rFonts w:ascii="Arial" w:hAnsi="Arial" w:cs="Arial"/>
          <w:b/>
          <w:caps/>
          <w:u w:val="single"/>
        </w:rPr>
        <w:t>3.</w:t>
      </w:r>
      <w:r w:rsidR="00A52558">
        <w:rPr>
          <w:rFonts w:ascii="Arial" w:hAnsi="Arial" w:cs="Arial"/>
          <w:b/>
          <w:caps/>
          <w:u w:val="single"/>
        </w:rPr>
        <w:t>1.</w:t>
      </w:r>
      <w:r w:rsidRPr="00A52558">
        <w:rPr>
          <w:rFonts w:ascii="Arial" w:hAnsi="Arial" w:cs="Arial"/>
          <w:b/>
          <w:caps/>
          <w:u w:val="single"/>
        </w:rPr>
        <w:t xml:space="preserve">2 </w:t>
      </w:r>
      <w:r w:rsidRPr="00A52558">
        <w:rPr>
          <w:rFonts w:ascii="Arial" w:hAnsi="Arial" w:cs="Arial"/>
          <w:b/>
          <w:u w:val="single"/>
        </w:rPr>
        <w:t>Annual Rainfall</w:t>
      </w:r>
      <w:r w:rsidR="007724C9" w:rsidRPr="00A52558">
        <w:rPr>
          <w:rFonts w:ascii="Arial" w:hAnsi="Arial" w:cs="Arial"/>
          <w:b/>
          <w:u w:val="single"/>
        </w:rPr>
        <w:t xml:space="preserve"> Trends</w:t>
      </w:r>
    </w:p>
    <w:p w14:paraId="29CD3A46" w14:textId="77777777" w:rsidR="0030376D" w:rsidRDefault="0030376D" w:rsidP="0030376D">
      <w:pPr>
        <w:pStyle w:val="Body"/>
        <w:spacing w:after="0"/>
        <w:rPr>
          <w:rFonts w:ascii="Arial" w:hAnsi="Arial" w:cs="Arial"/>
        </w:rPr>
      </w:pPr>
    </w:p>
    <w:p w14:paraId="414148C0" w14:textId="77777777" w:rsidR="00AA274F" w:rsidRDefault="0030376D" w:rsidP="00441B6F">
      <w:pPr>
        <w:pStyle w:val="Body"/>
        <w:spacing w:after="0"/>
        <w:rPr>
          <w:rFonts w:ascii="Arial" w:hAnsi="Arial" w:cs="Arial"/>
        </w:rPr>
      </w:pPr>
      <w:r w:rsidRPr="0030376D">
        <w:rPr>
          <w:rFonts w:ascii="Arial" w:hAnsi="Arial" w:cs="Arial"/>
        </w:rPr>
        <w:t>Annual rainfall in the Middle Gujarat Agro-climatic zone varied from 275.00 mm in 2002 to 1548.90 mm in 2006, with an average of 816.10 mm per year. The Mann-Kendall test yielded a p-value above the significance level (α = 0.05), indicating no significant trend over the 30-year period (1991–2020) at a 95% confidence level. Sen’s slope analysis revealed a non-significant rising trend of 33 mm per year, suggesting a tendency toward wetter conditions over time.</w:t>
      </w:r>
    </w:p>
    <w:p w14:paraId="0090C5DF" w14:textId="77777777" w:rsidR="00E7683E" w:rsidRDefault="00E7683E">
      <w:pPr>
        <w:rPr>
          <w:rFonts w:ascii="Arial" w:hAnsi="Arial"/>
          <w:b/>
        </w:rPr>
      </w:pPr>
      <w:r>
        <w:rPr>
          <w:rFonts w:ascii="Arial" w:hAnsi="Arial"/>
          <w:b/>
        </w:rPr>
        <w:br w:type="page"/>
      </w:r>
    </w:p>
    <w:p w14:paraId="4D03A080" w14:textId="77777777" w:rsidR="00C55C2B" w:rsidRDefault="00C55C2B" w:rsidP="00C55C2B">
      <w:pPr>
        <w:tabs>
          <w:tab w:val="left" w:pos="1080"/>
        </w:tabs>
        <w:jc w:val="center"/>
        <w:rPr>
          <w:rFonts w:ascii="Arial" w:hAnsi="Arial"/>
          <w:b/>
        </w:rPr>
      </w:pPr>
      <w:r>
        <w:rPr>
          <w:rFonts w:ascii="Arial" w:hAnsi="Arial"/>
          <w:b/>
        </w:rPr>
        <w:lastRenderedPageBreak/>
        <w:t xml:space="preserve">Table 3. </w:t>
      </w:r>
      <w:r w:rsidRPr="00C55C2B">
        <w:rPr>
          <w:rFonts w:ascii="Arial" w:hAnsi="Arial"/>
          <w:b/>
        </w:rPr>
        <w:t>Results of Mann-Kendall and Sen’s Slope test for the Middle Gujarat Agro-climatic zone</w:t>
      </w:r>
    </w:p>
    <w:tbl>
      <w:tblPr>
        <w:tblStyle w:val="TableGridLight"/>
        <w:tblpPr w:leftFromText="180" w:rightFromText="180" w:vertAnchor="page" w:horzAnchor="margin" w:tblpY="27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12"/>
        <w:gridCol w:w="903"/>
        <w:gridCol w:w="1009"/>
        <w:gridCol w:w="724"/>
        <w:gridCol w:w="745"/>
        <w:gridCol w:w="745"/>
        <w:gridCol w:w="861"/>
        <w:gridCol w:w="1441"/>
      </w:tblGrid>
      <w:tr w:rsidR="00AE2216" w:rsidRPr="00AE2216" w14:paraId="6F59B9F1" w14:textId="77777777" w:rsidTr="007A7B4A">
        <w:trPr>
          <w:trHeight w:val="485"/>
        </w:trPr>
        <w:tc>
          <w:tcPr>
            <w:tcW w:w="821" w:type="pct"/>
            <w:tcBorders>
              <w:top w:val="single" w:sz="4" w:space="0" w:color="auto"/>
              <w:bottom w:val="single" w:sz="4" w:space="0" w:color="auto"/>
            </w:tcBorders>
            <w:vAlign w:val="center"/>
          </w:tcPr>
          <w:p w14:paraId="1F3139F3"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Variable (Month)</w:t>
            </w:r>
          </w:p>
        </w:tc>
        <w:tc>
          <w:tcPr>
            <w:tcW w:w="363" w:type="pct"/>
            <w:tcBorders>
              <w:top w:val="single" w:sz="4" w:space="0" w:color="auto"/>
              <w:bottom w:val="single" w:sz="4" w:space="0" w:color="auto"/>
            </w:tcBorders>
            <w:vAlign w:val="center"/>
          </w:tcPr>
          <w:p w14:paraId="3E88F05A"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Sens Slope (S)</w:t>
            </w:r>
          </w:p>
        </w:tc>
        <w:tc>
          <w:tcPr>
            <w:tcW w:w="536" w:type="pct"/>
            <w:tcBorders>
              <w:top w:val="single" w:sz="4" w:space="0" w:color="auto"/>
              <w:bottom w:val="single" w:sz="4" w:space="0" w:color="auto"/>
            </w:tcBorders>
            <w:vAlign w:val="center"/>
          </w:tcPr>
          <w:p w14:paraId="267974B4"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Kendall tau (t)</w:t>
            </w:r>
          </w:p>
        </w:tc>
        <w:tc>
          <w:tcPr>
            <w:tcW w:w="599" w:type="pct"/>
            <w:tcBorders>
              <w:top w:val="single" w:sz="4" w:space="0" w:color="auto"/>
              <w:bottom w:val="single" w:sz="4" w:space="0" w:color="auto"/>
            </w:tcBorders>
            <w:vAlign w:val="center"/>
          </w:tcPr>
          <w:p w14:paraId="1C7EE639"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Variance</w:t>
            </w:r>
          </w:p>
        </w:tc>
        <w:tc>
          <w:tcPr>
            <w:tcW w:w="430" w:type="pct"/>
            <w:tcBorders>
              <w:top w:val="single" w:sz="4" w:space="0" w:color="auto"/>
              <w:bottom w:val="single" w:sz="4" w:space="0" w:color="auto"/>
            </w:tcBorders>
            <w:vAlign w:val="center"/>
          </w:tcPr>
          <w:p w14:paraId="4B52E176"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P-Value</w:t>
            </w:r>
          </w:p>
        </w:tc>
        <w:tc>
          <w:tcPr>
            <w:tcW w:w="442" w:type="pct"/>
            <w:tcBorders>
              <w:top w:val="single" w:sz="4" w:space="0" w:color="auto"/>
              <w:bottom w:val="single" w:sz="4" w:space="0" w:color="auto"/>
            </w:tcBorders>
            <w:vAlign w:val="center"/>
          </w:tcPr>
          <w:p w14:paraId="45A05404"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 xml:space="preserve">Alpha </w:t>
            </w:r>
            <w:r w:rsidRPr="007A7B4A">
              <w:rPr>
                <w:rFonts w:ascii="Arial" w:hAnsi="Arial" w:cs="Arial"/>
                <w:b/>
                <w:bCs/>
                <w:color w:val="202124"/>
                <w:sz w:val="20"/>
                <w:szCs w:val="20"/>
                <w:shd w:val="clear" w:color="auto" w:fill="FFFFFF"/>
              </w:rPr>
              <w:t xml:space="preserve"> </w:t>
            </w:r>
            <w:bookmarkStart w:id="17" w:name="_Hlk129876765"/>
            <w:r w:rsidRPr="007A7B4A">
              <w:rPr>
                <w:rFonts w:ascii="Arial" w:hAnsi="Arial" w:cs="Arial"/>
                <w:b/>
                <w:bCs/>
                <w:color w:val="202124"/>
                <w:sz w:val="20"/>
                <w:szCs w:val="20"/>
                <w:shd w:val="clear" w:color="auto" w:fill="FFFFFF"/>
              </w:rPr>
              <w:t>α</w:t>
            </w:r>
            <w:bookmarkEnd w:id="17"/>
          </w:p>
        </w:tc>
        <w:tc>
          <w:tcPr>
            <w:tcW w:w="442" w:type="pct"/>
            <w:tcBorders>
              <w:top w:val="single" w:sz="4" w:space="0" w:color="auto"/>
              <w:bottom w:val="single" w:sz="4" w:space="0" w:color="auto"/>
            </w:tcBorders>
            <w:vAlign w:val="center"/>
          </w:tcPr>
          <w:p w14:paraId="32C409BA"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Trend (Rise or Fall)</w:t>
            </w:r>
          </w:p>
        </w:tc>
        <w:tc>
          <w:tcPr>
            <w:tcW w:w="511" w:type="pct"/>
            <w:tcBorders>
              <w:top w:val="single" w:sz="4" w:space="0" w:color="auto"/>
              <w:bottom w:val="single" w:sz="4" w:space="0" w:color="auto"/>
            </w:tcBorders>
            <w:vAlign w:val="center"/>
          </w:tcPr>
          <w:p w14:paraId="25B5EA1B"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Yes/No Trend</w:t>
            </w:r>
          </w:p>
        </w:tc>
        <w:tc>
          <w:tcPr>
            <w:tcW w:w="855" w:type="pct"/>
            <w:tcBorders>
              <w:top w:val="single" w:sz="4" w:space="0" w:color="auto"/>
              <w:bottom w:val="single" w:sz="4" w:space="0" w:color="auto"/>
            </w:tcBorders>
            <w:vAlign w:val="center"/>
          </w:tcPr>
          <w:p w14:paraId="4EE2D6DD" w14:textId="77777777" w:rsidR="00AE2216" w:rsidRPr="007A7B4A" w:rsidRDefault="00AE2216" w:rsidP="00AE2216">
            <w:pPr>
              <w:jc w:val="center"/>
              <w:rPr>
                <w:rFonts w:ascii="Arial" w:hAnsi="Arial" w:cs="Arial"/>
                <w:b/>
                <w:bCs/>
                <w:color w:val="000000" w:themeColor="text1"/>
                <w:sz w:val="20"/>
                <w:szCs w:val="20"/>
              </w:rPr>
            </w:pPr>
            <w:r w:rsidRPr="007A7B4A">
              <w:rPr>
                <w:rFonts w:ascii="Arial" w:hAnsi="Arial" w:cs="Arial"/>
                <w:b/>
                <w:bCs/>
                <w:color w:val="000000" w:themeColor="text1"/>
                <w:sz w:val="20"/>
                <w:szCs w:val="20"/>
              </w:rPr>
              <w:t>Interpretation</w:t>
            </w:r>
          </w:p>
        </w:tc>
      </w:tr>
      <w:tr w:rsidR="00AE2216" w:rsidRPr="00AE2216" w14:paraId="1AE6FF13" w14:textId="77777777" w:rsidTr="007A7B4A">
        <w:trPr>
          <w:trHeight w:val="485"/>
        </w:trPr>
        <w:tc>
          <w:tcPr>
            <w:tcW w:w="821" w:type="pct"/>
            <w:tcBorders>
              <w:top w:val="single" w:sz="4" w:space="0" w:color="auto"/>
            </w:tcBorders>
            <w:vAlign w:val="center"/>
          </w:tcPr>
          <w:p w14:paraId="603F54B3"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January</w:t>
            </w:r>
          </w:p>
        </w:tc>
        <w:tc>
          <w:tcPr>
            <w:tcW w:w="363" w:type="pct"/>
            <w:tcBorders>
              <w:top w:val="single" w:sz="4" w:space="0" w:color="auto"/>
            </w:tcBorders>
            <w:vAlign w:val="center"/>
          </w:tcPr>
          <w:p w14:paraId="78A1447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5DCDA46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352A308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2E94B51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19F2F0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1805B40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top w:val="single" w:sz="4" w:space="0" w:color="auto"/>
            </w:tcBorders>
            <w:vAlign w:val="center"/>
          </w:tcPr>
          <w:p w14:paraId="2DD7D66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4C48AB7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58C9281B" w14:textId="77777777" w:rsidTr="007A7B4A">
        <w:trPr>
          <w:trHeight w:val="485"/>
        </w:trPr>
        <w:tc>
          <w:tcPr>
            <w:tcW w:w="821" w:type="pct"/>
            <w:vAlign w:val="center"/>
          </w:tcPr>
          <w:p w14:paraId="2AD445A2"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February</w:t>
            </w:r>
          </w:p>
        </w:tc>
        <w:tc>
          <w:tcPr>
            <w:tcW w:w="363" w:type="pct"/>
            <w:vAlign w:val="center"/>
          </w:tcPr>
          <w:p w14:paraId="2C80278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4B78369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5DD1FCB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5BD8E07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2A28AD0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582669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26A69D8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60F6027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73C508E4" w14:textId="77777777" w:rsidTr="007A7B4A">
        <w:trPr>
          <w:trHeight w:val="485"/>
        </w:trPr>
        <w:tc>
          <w:tcPr>
            <w:tcW w:w="821" w:type="pct"/>
            <w:vAlign w:val="center"/>
          </w:tcPr>
          <w:p w14:paraId="38147956"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March</w:t>
            </w:r>
          </w:p>
        </w:tc>
        <w:tc>
          <w:tcPr>
            <w:tcW w:w="363" w:type="pct"/>
            <w:vAlign w:val="center"/>
          </w:tcPr>
          <w:p w14:paraId="047FB6C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294B92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0E8FEF7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42E2DA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13F0251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ECBB58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6800C60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00B9D24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7487BD13" w14:textId="77777777" w:rsidTr="007A7B4A">
        <w:trPr>
          <w:trHeight w:val="485"/>
        </w:trPr>
        <w:tc>
          <w:tcPr>
            <w:tcW w:w="821" w:type="pct"/>
            <w:vAlign w:val="center"/>
          </w:tcPr>
          <w:p w14:paraId="68F312E1"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April</w:t>
            </w:r>
          </w:p>
        </w:tc>
        <w:tc>
          <w:tcPr>
            <w:tcW w:w="363" w:type="pct"/>
            <w:vAlign w:val="center"/>
          </w:tcPr>
          <w:p w14:paraId="50283773"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1E41E5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176C576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3261F0E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726453C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0DEF663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3431334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5E8A23A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6DD8B88" w14:textId="77777777" w:rsidTr="007A7B4A">
        <w:trPr>
          <w:trHeight w:val="485"/>
        </w:trPr>
        <w:tc>
          <w:tcPr>
            <w:tcW w:w="821" w:type="pct"/>
            <w:vAlign w:val="center"/>
          </w:tcPr>
          <w:p w14:paraId="166D6D34"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May</w:t>
            </w:r>
          </w:p>
        </w:tc>
        <w:tc>
          <w:tcPr>
            <w:tcW w:w="363" w:type="pct"/>
            <w:vAlign w:val="center"/>
          </w:tcPr>
          <w:p w14:paraId="7F031B8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5453B9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3C0B75B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1EAF6B8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4ABD24E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553CE23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1BBE67D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72A173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63D27C5A" w14:textId="77777777" w:rsidTr="007A7B4A">
        <w:trPr>
          <w:trHeight w:val="485"/>
        </w:trPr>
        <w:tc>
          <w:tcPr>
            <w:tcW w:w="821" w:type="pct"/>
            <w:vAlign w:val="center"/>
          </w:tcPr>
          <w:p w14:paraId="6C3EA21E"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June</w:t>
            </w:r>
          </w:p>
        </w:tc>
        <w:tc>
          <w:tcPr>
            <w:tcW w:w="363" w:type="pct"/>
            <w:vAlign w:val="center"/>
          </w:tcPr>
          <w:p w14:paraId="39DE3E3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-17</w:t>
            </w:r>
          </w:p>
        </w:tc>
        <w:tc>
          <w:tcPr>
            <w:tcW w:w="536" w:type="pct"/>
            <w:vAlign w:val="center"/>
          </w:tcPr>
          <w:p w14:paraId="1E051A8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-0.039</w:t>
            </w:r>
          </w:p>
        </w:tc>
        <w:tc>
          <w:tcPr>
            <w:tcW w:w="599" w:type="pct"/>
            <w:vAlign w:val="center"/>
          </w:tcPr>
          <w:p w14:paraId="44D8358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358AD05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0.775</w:t>
            </w:r>
          </w:p>
        </w:tc>
        <w:tc>
          <w:tcPr>
            <w:tcW w:w="442" w:type="pct"/>
            <w:vAlign w:val="center"/>
          </w:tcPr>
          <w:p w14:paraId="29667D7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5BE7B6A9"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63576455"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2AB1032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3E3F561" w14:textId="77777777" w:rsidTr="007A7B4A">
        <w:trPr>
          <w:trHeight w:val="485"/>
        </w:trPr>
        <w:tc>
          <w:tcPr>
            <w:tcW w:w="821" w:type="pct"/>
            <w:vAlign w:val="center"/>
          </w:tcPr>
          <w:p w14:paraId="1CF987B4"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July</w:t>
            </w:r>
          </w:p>
        </w:tc>
        <w:tc>
          <w:tcPr>
            <w:tcW w:w="363" w:type="pct"/>
            <w:vAlign w:val="center"/>
          </w:tcPr>
          <w:p w14:paraId="2BD7B34C"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-15</w:t>
            </w:r>
          </w:p>
        </w:tc>
        <w:tc>
          <w:tcPr>
            <w:tcW w:w="536" w:type="pct"/>
            <w:vAlign w:val="center"/>
          </w:tcPr>
          <w:p w14:paraId="0D06393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-0.034</w:t>
            </w:r>
          </w:p>
        </w:tc>
        <w:tc>
          <w:tcPr>
            <w:tcW w:w="599" w:type="pct"/>
            <w:vAlign w:val="center"/>
          </w:tcPr>
          <w:p w14:paraId="42CD94D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63D4269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0.803</w:t>
            </w:r>
          </w:p>
        </w:tc>
        <w:tc>
          <w:tcPr>
            <w:tcW w:w="442" w:type="pct"/>
            <w:vAlign w:val="center"/>
          </w:tcPr>
          <w:p w14:paraId="5CD86B6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759E443B"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53AC9381"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1EA3904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F588AE5" w14:textId="77777777" w:rsidTr="007A7B4A">
        <w:trPr>
          <w:trHeight w:val="485"/>
        </w:trPr>
        <w:tc>
          <w:tcPr>
            <w:tcW w:w="821" w:type="pct"/>
            <w:vAlign w:val="center"/>
          </w:tcPr>
          <w:p w14:paraId="5B493313"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August</w:t>
            </w:r>
          </w:p>
        </w:tc>
        <w:tc>
          <w:tcPr>
            <w:tcW w:w="363" w:type="pct"/>
            <w:vAlign w:val="center"/>
          </w:tcPr>
          <w:p w14:paraId="2239398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87</w:t>
            </w:r>
          </w:p>
        </w:tc>
        <w:tc>
          <w:tcPr>
            <w:tcW w:w="536" w:type="pct"/>
            <w:vAlign w:val="center"/>
          </w:tcPr>
          <w:p w14:paraId="0860601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0.200</w:t>
            </w:r>
          </w:p>
        </w:tc>
        <w:tc>
          <w:tcPr>
            <w:tcW w:w="599" w:type="pct"/>
            <w:vAlign w:val="center"/>
          </w:tcPr>
          <w:p w14:paraId="7452EB6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2C1CDBB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0.125</w:t>
            </w:r>
          </w:p>
        </w:tc>
        <w:tc>
          <w:tcPr>
            <w:tcW w:w="442" w:type="pct"/>
            <w:vAlign w:val="center"/>
          </w:tcPr>
          <w:p w14:paraId="6A255EC8"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36B2090E"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6712353A"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4090D56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36B91E52" w14:textId="77777777" w:rsidTr="007A7B4A">
        <w:trPr>
          <w:trHeight w:val="485"/>
        </w:trPr>
        <w:tc>
          <w:tcPr>
            <w:tcW w:w="821" w:type="pct"/>
            <w:vAlign w:val="center"/>
          </w:tcPr>
          <w:p w14:paraId="52D533EE" w14:textId="77777777" w:rsidR="00AE2216" w:rsidRPr="007A7B4A" w:rsidRDefault="00AE2216" w:rsidP="00AE2216">
            <w:pPr>
              <w:rPr>
                <w:rFonts w:ascii="Arial" w:hAnsi="Arial" w:cs="Arial"/>
                <w:color w:val="000000" w:themeColor="text1"/>
                <w:sz w:val="20"/>
                <w:szCs w:val="20"/>
              </w:rPr>
            </w:pPr>
            <w:r w:rsidRPr="007A7B4A">
              <w:rPr>
                <w:rFonts w:ascii="Arial" w:hAnsi="Arial" w:cs="Arial"/>
                <w:color w:val="000000" w:themeColor="text1"/>
                <w:sz w:val="20"/>
                <w:szCs w:val="20"/>
              </w:rPr>
              <w:t>September</w:t>
            </w:r>
          </w:p>
        </w:tc>
        <w:tc>
          <w:tcPr>
            <w:tcW w:w="363" w:type="pct"/>
            <w:vAlign w:val="center"/>
          </w:tcPr>
          <w:p w14:paraId="583608E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71</w:t>
            </w:r>
          </w:p>
        </w:tc>
        <w:tc>
          <w:tcPr>
            <w:tcW w:w="536" w:type="pct"/>
            <w:vAlign w:val="center"/>
          </w:tcPr>
          <w:p w14:paraId="2C005E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0.163</w:t>
            </w:r>
          </w:p>
        </w:tc>
        <w:tc>
          <w:tcPr>
            <w:tcW w:w="599" w:type="pct"/>
            <w:vAlign w:val="center"/>
          </w:tcPr>
          <w:p w14:paraId="254108D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3141.6</w:t>
            </w:r>
          </w:p>
        </w:tc>
        <w:tc>
          <w:tcPr>
            <w:tcW w:w="430" w:type="pct"/>
            <w:vAlign w:val="center"/>
          </w:tcPr>
          <w:p w14:paraId="4AFC959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0.212</w:t>
            </w:r>
          </w:p>
        </w:tc>
        <w:tc>
          <w:tcPr>
            <w:tcW w:w="442" w:type="pct"/>
            <w:vAlign w:val="center"/>
          </w:tcPr>
          <w:p w14:paraId="570497C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663E9A48"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0AB1ADD3"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D66402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0EF6A133" w14:textId="77777777" w:rsidTr="007A7B4A">
        <w:trPr>
          <w:trHeight w:val="485"/>
        </w:trPr>
        <w:tc>
          <w:tcPr>
            <w:tcW w:w="821" w:type="pct"/>
            <w:vAlign w:val="center"/>
          </w:tcPr>
          <w:p w14:paraId="76CD020F"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October</w:t>
            </w:r>
          </w:p>
        </w:tc>
        <w:tc>
          <w:tcPr>
            <w:tcW w:w="363" w:type="pct"/>
            <w:vAlign w:val="center"/>
          </w:tcPr>
          <w:p w14:paraId="31D4E43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w:t>
            </w:r>
          </w:p>
        </w:tc>
        <w:tc>
          <w:tcPr>
            <w:tcW w:w="536" w:type="pct"/>
            <w:vAlign w:val="center"/>
          </w:tcPr>
          <w:p w14:paraId="4F44326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-0.002</w:t>
            </w:r>
          </w:p>
        </w:tc>
        <w:tc>
          <w:tcPr>
            <w:tcW w:w="599" w:type="pct"/>
            <w:vAlign w:val="center"/>
          </w:tcPr>
          <w:p w14:paraId="064E6F2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3047.6</w:t>
            </w:r>
          </w:p>
        </w:tc>
        <w:tc>
          <w:tcPr>
            <w:tcW w:w="430" w:type="pct"/>
            <w:vAlign w:val="center"/>
          </w:tcPr>
          <w:p w14:paraId="0A0A63C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1.000</w:t>
            </w:r>
          </w:p>
        </w:tc>
        <w:tc>
          <w:tcPr>
            <w:tcW w:w="442" w:type="pct"/>
            <w:vAlign w:val="center"/>
          </w:tcPr>
          <w:p w14:paraId="4BA205B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0.05</w:t>
            </w:r>
          </w:p>
        </w:tc>
        <w:tc>
          <w:tcPr>
            <w:tcW w:w="442" w:type="pct"/>
            <w:vAlign w:val="center"/>
          </w:tcPr>
          <w:p w14:paraId="21C1D0BD"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vAlign w:val="center"/>
          </w:tcPr>
          <w:p w14:paraId="2371B04A"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B84C14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63710FD6" w14:textId="77777777" w:rsidTr="007A7B4A">
        <w:trPr>
          <w:trHeight w:val="485"/>
        </w:trPr>
        <w:tc>
          <w:tcPr>
            <w:tcW w:w="821" w:type="pct"/>
            <w:vAlign w:val="center"/>
          </w:tcPr>
          <w:p w14:paraId="2692D90D"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November</w:t>
            </w:r>
          </w:p>
        </w:tc>
        <w:tc>
          <w:tcPr>
            <w:tcW w:w="363" w:type="pct"/>
            <w:vAlign w:val="center"/>
          </w:tcPr>
          <w:p w14:paraId="6A9D920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vAlign w:val="center"/>
          </w:tcPr>
          <w:p w14:paraId="39F8DDC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vAlign w:val="center"/>
          </w:tcPr>
          <w:p w14:paraId="1B60179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vAlign w:val="center"/>
          </w:tcPr>
          <w:p w14:paraId="5075097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34F7FFE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vAlign w:val="center"/>
          </w:tcPr>
          <w:p w14:paraId="29202DB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vAlign w:val="center"/>
          </w:tcPr>
          <w:p w14:paraId="52856F56"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vAlign w:val="center"/>
          </w:tcPr>
          <w:p w14:paraId="640D0B22"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808EE86" w14:textId="77777777" w:rsidTr="001D738A">
        <w:trPr>
          <w:trHeight w:val="485"/>
        </w:trPr>
        <w:tc>
          <w:tcPr>
            <w:tcW w:w="821" w:type="pct"/>
            <w:tcBorders>
              <w:bottom w:val="single" w:sz="4" w:space="0" w:color="auto"/>
            </w:tcBorders>
            <w:vAlign w:val="center"/>
          </w:tcPr>
          <w:p w14:paraId="03796195" w14:textId="77777777" w:rsidR="00AE2216" w:rsidRPr="00AE2216" w:rsidRDefault="00AE2216" w:rsidP="00AE2216">
            <w:pPr>
              <w:rPr>
                <w:rFonts w:ascii="Arial" w:hAnsi="Arial" w:cs="Arial"/>
                <w:color w:val="000000" w:themeColor="text1"/>
                <w:sz w:val="20"/>
                <w:szCs w:val="20"/>
              </w:rPr>
            </w:pPr>
            <w:r w:rsidRPr="00AE2216">
              <w:rPr>
                <w:rFonts w:ascii="Arial" w:hAnsi="Arial" w:cs="Arial"/>
                <w:color w:val="000000" w:themeColor="text1"/>
                <w:sz w:val="20"/>
                <w:szCs w:val="20"/>
              </w:rPr>
              <w:t>December</w:t>
            </w:r>
          </w:p>
        </w:tc>
        <w:tc>
          <w:tcPr>
            <w:tcW w:w="363" w:type="pct"/>
            <w:tcBorders>
              <w:bottom w:val="single" w:sz="4" w:space="0" w:color="auto"/>
            </w:tcBorders>
            <w:vAlign w:val="center"/>
          </w:tcPr>
          <w:p w14:paraId="62A146A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bottom w:val="single" w:sz="4" w:space="0" w:color="auto"/>
            </w:tcBorders>
            <w:vAlign w:val="center"/>
          </w:tcPr>
          <w:p w14:paraId="601F5C7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bottom w:val="single" w:sz="4" w:space="0" w:color="auto"/>
            </w:tcBorders>
            <w:vAlign w:val="center"/>
          </w:tcPr>
          <w:p w14:paraId="2E2C049F"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bottom w:val="single" w:sz="4" w:space="0" w:color="auto"/>
            </w:tcBorders>
            <w:vAlign w:val="center"/>
          </w:tcPr>
          <w:p w14:paraId="69BA201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bottom w:val="single" w:sz="4" w:space="0" w:color="auto"/>
            </w:tcBorders>
            <w:vAlign w:val="center"/>
          </w:tcPr>
          <w:p w14:paraId="246E653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bottom w:val="single" w:sz="4" w:space="0" w:color="auto"/>
            </w:tcBorders>
            <w:vAlign w:val="center"/>
          </w:tcPr>
          <w:p w14:paraId="3A2D5AF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bottom w:val="single" w:sz="4" w:space="0" w:color="auto"/>
            </w:tcBorders>
            <w:vAlign w:val="center"/>
          </w:tcPr>
          <w:p w14:paraId="7907EF8D"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bottom w:val="single" w:sz="4" w:space="0" w:color="auto"/>
            </w:tcBorders>
            <w:vAlign w:val="center"/>
          </w:tcPr>
          <w:p w14:paraId="407DE00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36610F8D" w14:textId="77777777" w:rsidTr="001D738A">
        <w:trPr>
          <w:trHeight w:val="485"/>
        </w:trPr>
        <w:tc>
          <w:tcPr>
            <w:tcW w:w="821" w:type="pct"/>
            <w:tcBorders>
              <w:top w:val="single" w:sz="4" w:space="0" w:color="auto"/>
            </w:tcBorders>
            <w:vAlign w:val="center"/>
          </w:tcPr>
          <w:p w14:paraId="49B34D11" w14:textId="77777777" w:rsidR="00AE2216" w:rsidRPr="007A7B4A" w:rsidRDefault="00AE2216" w:rsidP="00AE2216">
            <w:pPr>
              <w:ind w:right="-42"/>
              <w:rPr>
                <w:rFonts w:ascii="Arial" w:hAnsi="Arial" w:cs="Arial"/>
                <w:color w:val="000000" w:themeColor="text1"/>
                <w:sz w:val="20"/>
                <w:szCs w:val="20"/>
                <w:lang w:val="en-IN"/>
              </w:rPr>
            </w:pPr>
            <w:r w:rsidRPr="007A7B4A">
              <w:rPr>
                <w:rFonts w:ascii="Arial" w:hAnsi="Arial" w:cs="Arial"/>
                <w:color w:val="000000" w:themeColor="text1"/>
                <w:sz w:val="20"/>
                <w:szCs w:val="20"/>
                <w:lang w:val="en-IN"/>
              </w:rPr>
              <w:t>Pre-Monsoon (March-May)</w:t>
            </w:r>
          </w:p>
        </w:tc>
        <w:tc>
          <w:tcPr>
            <w:tcW w:w="363" w:type="pct"/>
            <w:tcBorders>
              <w:top w:val="single" w:sz="4" w:space="0" w:color="auto"/>
            </w:tcBorders>
            <w:vAlign w:val="center"/>
          </w:tcPr>
          <w:p w14:paraId="7EA05C7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69083285"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7A870AB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29B38FC9"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689FE29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58C3B8A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11" w:type="pct"/>
            <w:tcBorders>
              <w:top w:val="single" w:sz="4" w:space="0" w:color="auto"/>
            </w:tcBorders>
            <w:vAlign w:val="center"/>
          </w:tcPr>
          <w:p w14:paraId="678EDE2A"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6EEDDDC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AE2216" w:rsidRPr="00AE2216" w14:paraId="2960BD09" w14:textId="77777777" w:rsidTr="007A7B4A">
        <w:trPr>
          <w:trHeight w:val="485"/>
        </w:trPr>
        <w:tc>
          <w:tcPr>
            <w:tcW w:w="821" w:type="pct"/>
            <w:vAlign w:val="center"/>
          </w:tcPr>
          <w:p w14:paraId="449E775A"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Monsoon (June-September)</w:t>
            </w:r>
          </w:p>
        </w:tc>
        <w:tc>
          <w:tcPr>
            <w:tcW w:w="363" w:type="pct"/>
            <w:vAlign w:val="bottom"/>
          </w:tcPr>
          <w:p w14:paraId="0E559D74"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33</w:t>
            </w:r>
          </w:p>
          <w:p w14:paraId="058611E2" w14:textId="77777777" w:rsidR="00AE2216" w:rsidRPr="00AE2216" w:rsidRDefault="00AE2216" w:rsidP="00AE2216">
            <w:pPr>
              <w:rPr>
                <w:rFonts w:ascii="Arial" w:hAnsi="Arial" w:cs="Arial"/>
                <w:color w:val="000000" w:themeColor="text1"/>
                <w:sz w:val="20"/>
                <w:szCs w:val="20"/>
              </w:rPr>
            </w:pPr>
          </w:p>
        </w:tc>
        <w:tc>
          <w:tcPr>
            <w:tcW w:w="536" w:type="pct"/>
            <w:vAlign w:val="bottom"/>
          </w:tcPr>
          <w:p w14:paraId="0368BB0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0.076</w:t>
            </w:r>
          </w:p>
          <w:p w14:paraId="63DCEB84" w14:textId="77777777" w:rsidR="00AE2216" w:rsidRPr="00AE2216" w:rsidRDefault="00AE2216" w:rsidP="00AE2216">
            <w:pPr>
              <w:jc w:val="center"/>
              <w:rPr>
                <w:rFonts w:ascii="Arial" w:hAnsi="Arial" w:cs="Arial"/>
                <w:color w:val="000000" w:themeColor="text1"/>
                <w:sz w:val="20"/>
                <w:szCs w:val="20"/>
              </w:rPr>
            </w:pPr>
          </w:p>
        </w:tc>
        <w:tc>
          <w:tcPr>
            <w:tcW w:w="599" w:type="pct"/>
            <w:vAlign w:val="bottom"/>
          </w:tcPr>
          <w:p w14:paraId="2D440238"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3141.6</w:t>
            </w:r>
          </w:p>
          <w:p w14:paraId="2515DAF6" w14:textId="77777777" w:rsidR="00AE2216" w:rsidRPr="00AE2216" w:rsidRDefault="00AE2216" w:rsidP="00AE2216">
            <w:pPr>
              <w:jc w:val="center"/>
              <w:rPr>
                <w:rFonts w:ascii="Arial" w:hAnsi="Arial" w:cs="Arial"/>
                <w:color w:val="000000" w:themeColor="text1"/>
                <w:sz w:val="20"/>
                <w:szCs w:val="20"/>
              </w:rPr>
            </w:pPr>
          </w:p>
        </w:tc>
        <w:tc>
          <w:tcPr>
            <w:tcW w:w="430" w:type="pct"/>
            <w:vAlign w:val="bottom"/>
          </w:tcPr>
          <w:p w14:paraId="527DE72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0.568</w:t>
            </w:r>
          </w:p>
          <w:p w14:paraId="431ACB6B" w14:textId="77777777" w:rsidR="00AE2216" w:rsidRPr="00AE2216" w:rsidRDefault="00AE2216" w:rsidP="00AE2216">
            <w:pPr>
              <w:jc w:val="center"/>
              <w:rPr>
                <w:rFonts w:ascii="Arial" w:hAnsi="Arial" w:cs="Arial"/>
                <w:color w:val="000000" w:themeColor="text1"/>
                <w:sz w:val="20"/>
                <w:szCs w:val="20"/>
              </w:rPr>
            </w:pPr>
          </w:p>
        </w:tc>
        <w:tc>
          <w:tcPr>
            <w:tcW w:w="442" w:type="pct"/>
            <w:vAlign w:val="bottom"/>
          </w:tcPr>
          <w:p w14:paraId="75FA9D70"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0.05</w:t>
            </w:r>
          </w:p>
          <w:p w14:paraId="2A76BC2A" w14:textId="77777777" w:rsidR="00AE2216" w:rsidRPr="00AE2216" w:rsidRDefault="00AE2216" w:rsidP="00AE2216">
            <w:pPr>
              <w:jc w:val="center"/>
              <w:rPr>
                <w:rFonts w:ascii="Arial" w:hAnsi="Arial" w:cs="Arial"/>
                <w:color w:val="000000" w:themeColor="text1"/>
                <w:sz w:val="20"/>
                <w:szCs w:val="20"/>
              </w:rPr>
            </w:pPr>
          </w:p>
        </w:tc>
        <w:tc>
          <w:tcPr>
            <w:tcW w:w="442" w:type="pct"/>
            <w:vAlign w:val="center"/>
          </w:tcPr>
          <w:p w14:paraId="281D4F15" w14:textId="77777777" w:rsidR="00AE2216" w:rsidRPr="00AE2216" w:rsidRDefault="005B74FB"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vAlign w:val="center"/>
          </w:tcPr>
          <w:p w14:paraId="076F9879"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vAlign w:val="center"/>
          </w:tcPr>
          <w:p w14:paraId="5F39042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6E6E4C8E" w14:textId="77777777" w:rsidTr="001D738A">
        <w:trPr>
          <w:trHeight w:val="485"/>
        </w:trPr>
        <w:tc>
          <w:tcPr>
            <w:tcW w:w="821" w:type="pct"/>
            <w:tcBorders>
              <w:bottom w:val="single" w:sz="4" w:space="0" w:color="auto"/>
            </w:tcBorders>
            <w:vAlign w:val="center"/>
          </w:tcPr>
          <w:p w14:paraId="7F40C195"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Post - Monsoon (October-November)</w:t>
            </w:r>
          </w:p>
        </w:tc>
        <w:tc>
          <w:tcPr>
            <w:tcW w:w="363" w:type="pct"/>
            <w:tcBorders>
              <w:bottom w:val="single" w:sz="4" w:space="0" w:color="auto"/>
            </w:tcBorders>
            <w:vAlign w:val="bottom"/>
          </w:tcPr>
          <w:p w14:paraId="724F5D9F"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-1</w:t>
            </w:r>
          </w:p>
          <w:p w14:paraId="69C79D90" w14:textId="77777777" w:rsidR="00AE2216" w:rsidRDefault="00AE2216" w:rsidP="00AE2216">
            <w:pPr>
              <w:jc w:val="center"/>
              <w:rPr>
                <w:rFonts w:ascii="Arial" w:hAnsi="Arial" w:cs="Arial"/>
                <w:color w:val="000000"/>
                <w:sz w:val="20"/>
                <w:szCs w:val="20"/>
              </w:rPr>
            </w:pPr>
          </w:p>
          <w:p w14:paraId="29F48072" w14:textId="77777777" w:rsidR="00AE2216" w:rsidRPr="00AE2216" w:rsidRDefault="00AE2216" w:rsidP="00AE2216">
            <w:pPr>
              <w:jc w:val="center"/>
              <w:rPr>
                <w:rFonts w:ascii="Arial" w:hAnsi="Arial" w:cs="Arial"/>
                <w:color w:val="000000" w:themeColor="text1"/>
                <w:sz w:val="20"/>
                <w:szCs w:val="20"/>
              </w:rPr>
            </w:pPr>
          </w:p>
        </w:tc>
        <w:tc>
          <w:tcPr>
            <w:tcW w:w="536" w:type="pct"/>
            <w:tcBorders>
              <w:bottom w:val="single" w:sz="4" w:space="0" w:color="auto"/>
            </w:tcBorders>
            <w:vAlign w:val="bottom"/>
          </w:tcPr>
          <w:p w14:paraId="23F054CE"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-0.002</w:t>
            </w:r>
          </w:p>
          <w:p w14:paraId="55F22FF0" w14:textId="77777777" w:rsidR="00AE2216" w:rsidRDefault="00AE2216" w:rsidP="00AE2216">
            <w:pPr>
              <w:jc w:val="center"/>
              <w:rPr>
                <w:rFonts w:ascii="Arial" w:hAnsi="Arial" w:cs="Arial"/>
                <w:color w:val="000000"/>
                <w:sz w:val="20"/>
                <w:szCs w:val="20"/>
              </w:rPr>
            </w:pPr>
          </w:p>
          <w:p w14:paraId="4725E081" w14:textId="77777777" w:rsidR="00AE2216" w:rsidRPr="00AE2216" w:rsidRDefault="00AE2216" w:rsidP="00AE2216">
            <w:pPr>
              <w:jc w:val="center"/>
              <w:rPr>
                <w:rFonts w:ascii="Arial" w:hAnsi="Arial" w:cs="Arial"/>
                <w:color w:val="000000" w:themeColor="text1"/>
                <w:sz w:val="20"/>
                <w:szCs w:val="20"/>
              </w:rPr>
            </w:pPr>
          </w:p>
        </w:tc>
        <w:tc>
          <w:tcPr>
            <w:tcW w:w="599" w:type="pct"/>
            <w:tcBorders>
              <w:bottom w:val="single" w:sz="4" w:space="0" w:color="auto"/>
            </w:tcBorders>
            <w:vAlign w:val="bottom"/>
          </w:tcPr>
          <w:p w14:paraId="1322984C"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3047.6</w:t>
            </w:r>
          </w:p>
          <w:p w14:paraId="31395083" w14:textId="77777777" w:rsidR="00AE2216" w:rsidRDefault="00AE2216" w:rsidP="00AE2216">
            <w:pPr>
              <w:jc w:val="center"/>
              <w:rPr>
                <w:rFonts w:ascii="Arial" w:hAnsi="Arial" w:cs="Arial"/>
                <w:color w:val="000000" w:themeColor="text1"/>
                <w:sz w:val="20"/>
                <w:szCs w:val="20"/>
              </w:rPr>
            </w:pPr>
          </w:p>
          <w:p w14:paraId="7ED26E34" w14:textId="77777777" w:rsidR="00AE2216" w:rsidRPr="00AE2216" w:rsidRDefault="00AE2216" w:rsidP="00AE2216">
            <w:pPr>
              <w:jc w:val="center"/>
              <w:rPr>
                <w:rFonts w:ascii="Arial" w:hAnsi="Arial" w:cs="Arial"/>
                <w:color w:val="000000" w:themeColor="text1"/>
                <w:sz w:val="20"/>
                <w:szCs w:val="20"/>
              </w:rPr>
            </w:pPr>
          </w:p>
        </w:tc>
        <w:tc>
          <w:tcPr>
            <w:tcW w:w="430" w:type="pct"/>
            <w:tcBorders>
              <w:bottom w:val="single" w:sz="4" w:space="0" w:color="auto"/>
            </w:tcBorders>
            <w:vAlign w:val="bottom"/>
          </w:tcPr>
          <w:p w14:paraId="69DABF11"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1.000</w:t>
            </w:r>
          </w:p>
          <w:p w14:paraId="07E0EAE3" w14:textId="77777777" w:rsidR="00AE2216" w:rsidRDefault="00AE2216" w:rsidP="00AE2216">
            <w:pPr>
              <w:jc w:val="center"/>
              <w:rPr>
                <w:rFonts w:ascii="Arial" w:hAnsi="Arial" w:cs="Arial"/>
                <w:color w:val="000000"/>
                <w:sz w:val="20"/>
                <w:szCs w:val="20"/>
              </w:rPr>
            </w:pPr>
          </w:p>
          <w:p w14:paraId="5A9FB5AB" w14:textId="77777777" w:rsidR="00AE2216" w:rsidRPr="00AE2216" w:rsidRDefault="00AE2216" w:rsidP="00AE2216">
            <w:pPr>
              <w:jc w:val="center"/>
              <w:rPr>
                <w:rFonts w:ascii="Arial" w:hAnsi="Arial" w:cs="Arial"/>
                <w:color w:val="000000" w:themeColor="text1"/>
                <w:sz w:val="20"/>
                <w:szCs w:val="20"/>
              </w:rPr>
            </w:pPr>
          </w:p>
        </w:tc>
        <w:tc>
          <w:tcPr>
            <w:tcW w:w="442" w:type="pct"/>
            <w:tcBorders>
              <w:bottom w:val="single" w:sz="4" w:space="0" w:color="auto"/>
            </w:tcBorders>
            <w:vAlign w:val="bottom"/>
          </w:tcPr>
          <w:p w14:paraId="3C094B98" w14:textId="77777777" w:rsidR="00AE2216" w:rsidRDefault="00AE2216" w:rsidP="00AE2216">
            <w:pPr>
              <w:jc w:val="center"/>
              <w:rPr>
                <w:rFonts w:ascii="Arial" w:hAnsi="Arial" w:cs="Arial"/>
                <w:color w:val="000000"/>
                <w:sz w:val="20"/>
                <w:szCs w:val="20"/>
              </w:rPr>
            </w:pPr>
            <w:r w:rsidRPr="00AE2216">
              <w:rPr>
                <w:rFonts w:ascii="Arial" w:hAnsi="Arial" w:cs="Arial"/>
                <w:color w:val="000000"/>
                <w:sz w:val="20"/>
                <w:szCs w:val="20"/>
              </w:rPr>
              <w:t>0.05</w:t>
            </w:r>
          </w:p>
          <w:p w14:paraId="4BA5E454" w14:textId="77777777" w:rsidR="00AE2216" w:rsidRDefault="00AE2216" w:rsidP="00AE2216">
            <w:pPr>
              <w:jc w:val="center"/>
              <w:rPr>
                <w:rFonts w:ascii="Arial" w:hAnsi="Arial" w:cs="Arial"/>
                <w:color w:val="000000"/>
                <w:sz w:val="20"/>
                <w:szCs w:val="20"/>
              </w:rPr>
            </w:pPr>
          </w:p>
          <w:p w14:paraId="363549C0" w14:textId="77777777" w:rsidR="00AE2216" w:rsidRPr="00AE2216" w:rsidRDefault="00AE2216" w:rsidP="00AE2216">
            <w:pPr>
              <w:jc w:val="center"/>
              <w:rPr>
                <w:rFonts w:ascii="Arial" w:hAnsi="Arial" w:cs="Arial"/>
                <w:color w:val="000000" w:themeColor="text1"/>
                <w:sz w:val="20"/>
                <w:szCs w:val="20"/>
              </w:rPr>
            </w:pPr>
          </w:p>
        </w:tc>
        <w:tc>
          <w:tcPr>
            <w:tcW w:w="442" w:type="pct"/>
            <w:tcBorders>
              <w:bottom w:val="single" w:sz="4" w:space="0" w:color="auto"/>
            </w:tcBorders>
            <w:vAlign w:val="center"/>
          </w:tcPr>
          <w:p w14:paraId="355B1F6C"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Fall</w:t>
            </w:r>
          </w:p>
        </w:tc>
        <w:tc>
          <w:tcPr>
            <w:tcW w:w="511" w:type="pct"/>
            <w:tcBorders>
              <w:bottom w:val="single" w:sz="4" w:space="0" w:color="auto"/>
            </w:tcBorders>
            <w:vAlign w:val="center"/>
          </w:tcPr>
          <w:p w14:paraId="03D12F74" w14:textId="77777777" w:rsidR="00AE2216" w:rsidRPr="00AE2216" w:rsidRDefault="00AE2216"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tcBorders>
              <w:bottom w:val="single" w:sz="4" w:space="0" w:color="auto"/>
            </w:tcBorders>
            <w:vAlign w:val="center"/>
          </w:tcPr>
          <w:p w14:paraId="0B1637FB"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Accept H0</w:t>
            </w:r>
          </w:p>
        </w:tc>
      </w:tr>
      <w:tr w:rsidR="00AE2216" w:rsidRPr="00AE2216" w14:paraId="1C2E95B2" w14:textId="77777777" w:rsidTr="001D738A">
        <w:trPr>
          <w:trHeight w:val="485"/>
        </w:trPr>
        <w:tc>
          <w:tcPr>
            <w:tcW w:w="821" w:type="pct"/>
            <w:tcBorders>
              <w:top w:val="single" w:sz="4" w:space="0" w:color="auto"/>
            </w:tcBorders>
            <w:vAlign w:val="center"/>
          </w:tcPr>
          <w:p w14:paraId="187BE284" w14:textId="77777777" w:rsidR="00AE2216" w:rsidRPr="007A7B4A" w:rsidRDefault="00AE2216"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Winter (December-February)</w:t>
            </w:r>
          </w:p>
        </w:tc>
        <w:tc>
          <w:tcPr>
            <w:tcW w:w="363" w:type="pct"/>
            <w:tcBorders>
              <w:top w:val="single" w:sz="4" w:space="0" w:color="auto"/>
            </w:tcBorders>
            <w:vAlign w:val="center"/>
          </w:tcPr>
          <w:p w14:paraId="63ADB06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36" w:type="pct"/>
            <w:tcBorders>
              <w:top w:val="single" w:sz="4" w:space="0" w:color="auto"/>
            </w:tcBorders>
            <w:vAlign w:val="center"/>
          </w:tcPr>
          <w:p w14:paraId="19554014"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599" w:type="pct"/>
            <w:tcBorders>
              <w:top w:val="single" w:sz="4" w:space="0" w:color="auto"/>
            </w:tcBorders>
            <w:vAlign w:val="center"/>
          </w:tcPr>
          <w:p w14:paraId="7687FEE0"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30" w:type="pct"/>
            <w:tcBorders>
              <w:top w:val="single" w:sz="4" w:space="0" w:color="auto"/>
            </w:tcBorders>
            <w:vAlign w:val="center"/>
          </w:tcPr>
          <w:p w14:paraId="5A49DFBE"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5F196C5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442" w:type="pct"/>
            <w:tcBorders>
              <w:top w:val="single" w:sz="4" w:space="0" w:color="auto"/>
            </w:tcBorders>
            <w:vAlign w:val="center"/>
          </w:tcPr>
          <w:p w14:paraId="6D5E2A28" w14:textId="77777777" w:rsidR="00AE2216" w:rsidRPr="00AE2216" w:rsidRDefault="004A772A" w:rsidP="00AE2216">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511" w:type="pct"/>
            <w:tcBorders>
              <w:top w:val="single" w:sz="4" w:space="0" w:color="auto"/>
            </w:tcBorders>
            <w:vAlign w:val="center"/>
          </w:tcPr>
          <w:p w14:paraId="50843797"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c>
          <w:tcPr>
            <w:tcW w:w="855" w:type="pct"/>
            <w:tcBorders>
              <w:top w:val="single" w:sz="4" w:space="0" w:color="auto"/>
            </w:tcBorders>
            <w:vAlign w:val="center"/>
          </w:tcPr>
          <w:p w14:paraId="7B558DD1" w14:textId="77777777" w:rsidR="00AE2216" w:rsidRPr="00AE2216" w:rsidRDefault="00AE2216" w:rsidP="00AE2216">
            <w:pPr>
              <w:jc w:val="center"/>
              <w:rPr>
                <w:rFonts w:ascii="Arial" w:hAnsi="Arial" w:cs="Arial"/>
                <w:color w:val="000000" w:themeColor="text1"/>
                <w:sz w:val="20"/>
                <w:szCs w:val="20"/>
              </w:rPr>
            </w:pPr>
            <w:r w:rsidRPr="00AE2216">
              <w:rPr>
                <w:rFonts w:ascii="Arial" w:hAnsi="Arial" w:cs="Arial"/>
                <w:color w:val="000000" w:themeColor="text1"/>
                <w:sz w:val="20"/>
                <w:szCs w:val="20"/>
              </w:rPr>
              <w:t>-</w:t>
            </w:r>
          </w:p>
        </w:tc>
      </w:tr>
      <w:tr w:rsidR="007A7B4A" w:rsidRPr="00AE2216" w14:paraId="399940B8" w14:textId="77777777" w:rsidTr="007A7B4A">
        <w:trPr>
          <w:trHeight w:val="485"/>
        </w:trPr>
        <w:tc>
          <w:tcPr>
            <w:tcW w:w="821" w:type="pct"/>
            <w:tcBorders>
              <w:bottom w:val="single" w:sz="4" w:space="0" w:color="auto"/>
            </w:tcBorders>
            <w:vAlign w:val="center"/>
          </w:tcPr>
          <w:p w14:paraId="4231906D" w14:textId="77777777" w:rsidR="007A7B4A" w:rsidRPr="007A7B4A" w:rsidRDefault="007A7B4A" w:rsidP="00AE2216">
            <w:pPr>
              <w:rPr>
                <w:rFonts w:ascii="Arial" w:hAnsi="Arial" w:cs="Arial"/>
                <w:color w:val="000000" w:themeColor="text1"/>
                <w:sz w:val="20"/>
                <w:szCs w:val="20"/>
                <w:lang w:val="en-IN"/>
              </w:rPr>
            </w:pPr>
            <w:r w:rsidRPr="007A7B4A">
              <w:rPr>
                <w:rFonts w:ascii="Arial" w:hAnsi="Arial" w:cs="Arial"/>
                <w:color w:val="000000" w:themeColor="text1"/>
                <w:sz w:val="20"/>
                <w:szCs w:val="20"/>
                <w:lang w:val="en-IN"/>
              </w:rPr>
              <w:t>Annual</w:t>
            </w:r>
          </w:p>
        </w:tc>
        <w:tc>
          <w:tcPr>
            <w:tcW w:w="363" w:type="pct"/>
            <w:tcBorders>
              <w:bottom w:val="single" w:sz="4" w:space="0" w:color="auto"/>
            </w:tcBorders>
            <w:vAlign w:val="center"/>
          </w:tcPr>
          <w:p w14:paraId="027E795F"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33</w:t>
            </w:r>
          </w:p>
        </w:tc>
        <w:tc>
          <w:tcPr>
            <w:tcW w:w="536" w:type="pct"/>
            <w:tcBorders>
              <w:bottom w:val="single" w:sz="4" w:space="0" w:color="auto"/>
            </w:tcBorders>
            <w:vAlign w:val="center"/>
          </w:tcPr>
          <w:p w14:paraId="4902E7D6"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0.076</w:t>
            </w:r>
          </w:p>
        </w:tc>
        <w:tc>
          <w:tcPr>
            <w:tcW w:w="599" w:type="pct"/>
            <w:tcBorders>
              <w:bottom w:val="single" w:sz="4" w:space="0" w:color="auto"/>
            </w:tcBorders>
            <w:vAlign w:val="center"/>
          </w:tcPr>
          <w:p w14:paraId="0F84CAAC"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3141.6</w:t>
            </w:r>
          </w:p>
        </w:tc>
        <w:tc>
          <w:tcPr>
            <w:tcW w:w="430" w:type="pct"/>
            <w:tcBorders>
              <w:bottom w:val="single" w:sz="4" w:space="0" w:color="auto"/>
            </w:tcBorders>
            <w:vAlign w:val="center"/>
          </w:tcPr>
          <w:p w14:paraId="745FEF5D"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0.568</w:t>
            </w:r>
          </w:p>
        </w:tc>
        <w:tc>
          <w:tcPr>
            <w:tcW w:w="442" w:type="pct"/>
            <w:tcBorders>
              <w:bottom w:val="single" w:sz="4" w:space="0" w:color="auto"/>
            </w:tcBorders>
            <w:vAlign w:val="center"/>
          </w:tcPr>
          <w:p w14:paraId="1F6EBC8C"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0.05</w:t>
            </w:r>
          </w:p>
        </w:tc>
        <w:tc>
          <w:tcPr>
            <w:tcW w:w="442" w:type="pct"/>
            <w:tcBorders>
              <w:bottom w:val="single" w:sz="4" w:space="0" w:color="auto"/>
            </w:tcBorders>
            <w:vAlign w:val="center"/>
          </w:tcPr>
          <w:p w14:paraId="764400C7"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Rise</w:t>
            </w:r>
          </w:p>
        </w:tc>
        <w:tc>
          <w:tcPr>
            <w:tcW w:w="511" w:type="pct"/>
            <w:tcBorders>
              <w:bottom w:val="single" w:sz="4" w:space="0" w:color="auto"/>
            </w:tcBorders>
            <w:vAlign w:val="center"/>
          </w:tcPr>
          <w:p w14:paraId="29DEBBCB"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No</w:t>
            </w:r>
          </w:p>
        </w:tc>
        <w:tc>
          <w:tcPr>
            <w:tcW w:w="855" w:type="pct"/>
            <w:tcBorders>
              <w:bottom w:val="single" w:sz="4" w:space="0" w:color="auto"/>
            </w:tcBorders>
            <w:vAlign w:val="center"/>
          </w:tcPr>
          <w:p w14:paraId="60D72AFE" w14:textId="77777777" w:rsidR="007A7B4A" w:rsidRPr="007A7B4A" w:rsidRDefault="007A7B4A" w:rsidP="00AE2216">
            <w:pPr>
              <w:jc w:val="center"/>
              <w:rPr>
                <w:rFonts w:ascii="Arial" w:hAnsi="Arial" w:cs="Arial"/>
                <w:color w:val="000000" w:themeColor="text1"/>
                <w:sz w:val="20"/>
                <w:szCs w:val="20"/>
              </w:rPr>
            </w:pPr>
            <w:r>
              <w:rPr>
                <w:rFonts w:ascii="Arial" w:hAnsi="Arial" w:cs="Arial"/>
                <w:color w:val="000000" w:themeColor="text1"/>
                <w:sz w:val="20"/>
                <w:szCs w:val="20"/>
              </w:rPr>
              <w:t>Accept H0</w:t>
            </w:r>
          </w:p>
        </w:tc>
      </w:tr>
    </w:tbl>
    <w:p w14:paraId="4754A2A4" w14:textId="77777777" w:rsidR="00FD1486" w:rsidRDefault="00FD1486" w:rsidP="00DE1A3C">
      <w:pPr>
        <w:autoSpaceDE w:val="0"/>
        <w:autoSpaceDN w:val="0"/>
        <w:adjustRightInd w:val="0"/>
        <w:jc w:val="both"/>
        <w:rPr>
          <w:rFonts w:ascii="Arial" w:hAnsi="Arial" w:cs="Arial"/>
          <w:b/>
          <w:caps/>
          <w:sz w:val="22"/>
        </w:rPr>
      </w:pPr>
    </w:p>
    <w:p w14:paraId="14F05894" w14:textId="77777777" w:rsidR="00FD1486" w:rsidRDefault="00FD1486" w:rsidP="00DE1A3C">
      <w:pPr>
        <w:autoSpaceDE w:val="0"/>
        <w:autoSpaceDN w:val="0"/>
        <w:adjustRightInd w:val="0"/>
        <w:jc w:val="both"/>
        <w:rPr>
          <w:rFonts w:ascii="Arial" w:hAnsi="Arial" w:cs="Arial"/>
          <w:b/>
          <w:caps/>
          <w:sz w:val="22"/>
        </w:rPr>
      </w:pPr>
    </w:p>
    <w:p w14:paraId="6382E7ED" w14:textId="77777777" w:rsidR="00E7683E" w:rsidRDefault="00E7683E">
      <w:pPr>
        <w:rPr>
          <w:rFonts w:ascii="Arial" w:hAnsi="Arial" w:cs="Arial"/>
          <w:b/>
          <w:caps/>
          <w:sz w:val="22"/>
        </w:rPr>
      </w:pPr>
      <w:r>
        <w:rPr>
          <w:rFonts w:ascii="Arial" w:hAnsi="Arial" w:cs="Arial"/>
          <w:b/>
          <w:caps/>
          <w:sz w:val="22"/>
        </w:rPr>
        <w:br w:type="page"/>
      </w:r>
    </w:p>
    <w:p w14:paraId="300857D9" w14:textId="241F0A54" w:rsidR="00DE1A3C" w:rsidRPr="00A52558" w:rsidRDefault="00DE1A3C" w:rsidP="00FD1486">
      <w:pPr>
        <w:autoSpaceDE w:val="0"/>
        <w:autoSpaceDN w:val="0"/>
        <w:adjustRightInd w:val="0"/>
        <w:jc w:val="both"/>
        <w:rPr>
          <w:rFonts w:ascii="Arial" w:hAnsi="Arial" w:cs="Arial"/>
          <w:b/>
          <w:bCs/>
          <w:u w:val="single"/>
        </w:rPr>
      </w:pPr>
      <w:r w:rsidRPr="00A52558">
        <w:rPr>
          <w:rFonts w:ascii="Arial" w:hAnsi="Arial" w:cs="Arial"/>
          <w:b/>
          <w:caps/>
          <w:u w:val="single"/>
        </w:rPr>
        <w:lastRenderedPageBreak/>
        <w:t>3.</w:t>
      </w:r>
      <w:r w:rsidR="00A52558" w:rsidRPr="00A52558">
        <w:rPr>
          <w:rFonts w:ascii="Arial" w:hAnsi="Arial" w:cs="Arial"/>
          <w:b/>
          <w:caps/>
          <w:u w:val="single"/>
        </w:rPr>
        <w:t>1.</w:t>
      </w:r>
      <w:r w:rsidRPr="00A52558">
        <w:rPr>
          <w:rFonts w:ascii="Arial" w:hAnsi="Arial" w:cs="Arial"/>
          <w:b/>
          <w:caps/>
          <w:u w:val="single"/>
        </w:rPr>
        <w:t xml:space="preserve">3 </w:t>
      </w:r>
      <w:r w:rsidRPr="00A52558">
        <w:rPr>
          <w:rFonts w:ascii="Arial" w:hAnsi="Arial" w:cs="Arial"/>
          <w:b/>
          <w:bCs/>
          <w:u w:val="single"/>
        </w:rPr>
        <w:t>Monsoon Season Trends (June–September</w:t>
      </w:r>
      <w:r w:rsidR="00FD1486" w:rsidRPr="00A52558">
        <w:rPr>
          <w:rFonts w:ascii="Arial" w:hAnsi="Arial" w:cs="Arial"/>
          <w:b/>
          <w:bCs/>
          <w:u w:val="single"/>
        </w:rPr>
        <w:t>)</w:t>
      </w:r>
    </w:p>
    <w:p w14:paraId="4B1EF720" w14:textId="77777777" w:rsidR="00FD1486" w:rsidRPr="00DE1A3C" w:rsidRDefault="00FD1486" w:rsidP="00FD1486">
      <w:pPr>
        <w:autoSpaceDE w:val="0"/>
        <w:autoSpaceDN w:val="0"/>
        <w:adjustRightInd w:val="0"/>
        <w:jc w:val="both"/>
        <w:rPr>
          <w:rFonts w:ascii="Arial" w:hAnsi="Arial" w:cs="Arial"/>
        </w:rPr>
      </w:pPr>
    </w:p>
    <w:p w14:paraId="7DFB518D" w14:textId="77777777" w:rsidR="00DE1A3C" w:rsidRDefault="00DE1A3C" w:rsidP="00DE1A3C">
      <w:pPr>
        <w:pStyle w:val="Body"/>
        <w:spacing w:after="0"/>
        <w:rPr>
          <w:rFonts w:ascii="Arial" w:hAnsi="Arial" w:cs="Arial"/>
        </w:rPr>
      </w:pPr>
      <w:r w:rsidRPr="00DE1A3C">
        <w:rPr>
          <w:rFonts w:ascii="Arial" w:hAnsi="Arial" w:cs="Arial"/>
        </w:rPr>
        <w:t>The monsoon season, spanning June to September, accounted for 98.16% of annual rainfall, with an average of 801.11 mm. July was the primary contributor at 35.72% (291.48 mm), followed by August at 31.80% (259.51 mm), September at 17.32% (141.36 mm), and June at 13.33% (108.76 mm). The Mann-Kendall test showed no significant trend for the monsoon season (p &gt; 0.05) at a 95% confidence level. Sen’s slope analysis indicated a non-significant rising trend of 33 mm per year, suggesting wetter monsoon conditions over time.</w:t>
      </w:r>
    </w:p>
    <w:p w14:paraId="2D7480A4" w14:textId="77777777" w:rsidR="00DE1A3C" w:rsidRPr="00DE1A3C" w:rsidRDefault="00DE1A3C" w:rsidP="00DE1A3C">
      <w:pPr>
        <w:pStyle w:val="Body"/>
        <w:spacing w:after="0"/>
        <w:rPr>
          <w:rFonts w:ascii="Arial" w:hAnsi="Arial" w:cs="Arial"/>
        </w:rPr>
      </w:pPr>
    </w:p>
    <w:p w14:paraId="6977D523" w14:textId="75F58786" w:rsidR="00DE1A3C" w:rsidRPr="00A52558" w:rsidRDefault="00DE1A3C" w:rsidP="00DE1A3C">
      <w:pPr>
        <w:pStyle w:val="Body"/>
        <w:spacing w:after="0"/>
        <w:rPr>
          <w:rFonts w:ascii="Arial" w:hAnsi="Arial" w:cs="Arial"/>
          <w:u w:val="single"/>
        </w:rPr>
      </w:pPr>
      <w:r w:rsidRPr="00A52558">
        <w:rPr>
          <w:rFonts w:ascii="Arial" w:hAnsi="Arial" w:cs="Arial"/>
          <w:b/>
          <w:caps/>
          <w:u w:val="single"/>
        </w:rPr>
        <w:t>3.</w:t>
      </w:r>
      <w:r w:rsidR="00A52558">
        <w:rPr>
          <w:rFonts w:ascii="Arial" w:hAnsi="Arial" w:cs="Arial"/>
          <w:b/>
          <w:caps/>
          <w:u w:val="single"/>
        </w:rPr>
        <w:t>1.</w:t>
      </w:r>
      <w:r w:rsidRPr="00A52558">
        <w:rPr>
          <w:rFonts w:ascii="Arial" w:hAnsi="Arial" w:cs="Arial"/>
          <w:b/>
          <w:caps/>
          <w:u w:val="single"/>
        </w:rPr>
        <w:t xml:space="preserve">4 </w:t>
      </w:r>
      <w:r w:rsidR="00FD1486" w:rsidRPr="00A52558">
        <w:rPr>
          <w:rFonts w:ascii="Arial" w:hAnsi="Arial" w:cs="Arial"/>
          <w:b/>
          <w:u w:val="single"/>
        </w:rPr>
        <w:t>Post-Monsoon Season Trends (October–November)</w:t>
      </w:r>
    </w:p>
    <w:p w14:paraId="35389D72" w14:textId="77777777" w:rsidR="00DE1A3C" w:rsidRPr="00DE1A3C" w:rsidRDefault="00DE1A3C" w:rsidP="00DE1A3C">
      <w:pPr>
        <w:pStyle w:val="Body"/>
        <w:spacing w:after="0"/>
        <w:rPr>
          <w:rFonts w:ascii="Arial" w:hAnsi="Arial" w:cs="Arial"/>
        </w:rPr>
      </w:pPr>
    </w:p>
    <w:p w14:paraId="57FCF04F" w14:textId="77777777" w:rsidR="00DE1A3C" w:rsidRPr="00DE1A3C" w:rsidRDefault="00DE1A3C" w:rsidP="00DE1A3C">
      <w:pPr>
        <w:pStyle w:val="Body"/>
        <w:spacing w:after="0"/>
        <w:rPr>
          <w:rFonts w:ascii="Arial" w:hAnsi="Arial" w:cs="Arial"/>
        </w:rPr>
      </w:pPr>
      <w:r w:rsidRPr="00DE1A3C">
        <w:rPr>
          <w:rFonts w:ascii="Arial" w:hAnsi="Arial" w:cs="Arial"/>
        </w:rPr>
        <w:t>The post-monsoon season, covering October and November, contributed 1.84% of annual rainfall, with an average of 14.98 mm. October accounted for all rainfall (14.98 mm), while November recorded none. The Mann-Kendall test indicated no significant trend (p &gt; 0.05) at a 95% confidence level. Sen’s slope analysis showed a slight drying trend of -1 mm per year, indicating a tendency toward drier post-monsoon conditions.</w:t>
      </w:r>
    </w:p>
    <w:p w14:paraId="1D9BF4FF" w14:textId="77777777" w:rsidR="00DE1A3C" w:rsidRDefault="00DE1A3C" w:rsidP="00DE1A3C">
      <w:pPr>
        <w:pStyle w:val="Body"/>
        <w:spacing w:after="0"/>
        <w:rPr>
          <w:rFonts w:ascii="Arial" w:hAnsi="Arial" w:cs="Arial"/>
          <w:b/>
          <w:caps/>
          <w:sz w:val="22"/>
        </w:rPr>
      </w:pPr>
    </w:p>
    <w:p w14:paraId="03129C81" w14:textId="768C61A9" w:rsidR="00DE1A3C" w:rsidRPr="00A52558" w:rsidRDefault="00DE1A3C" w:rsidP="00DE1A3C">
      <w:pPr>
        <w:pStyle w:val="Body"/>
        <w:spacing w:after="0"/>
        <w:rPr>
          <w:rFonts w:ascii="Arial" w:hAnsi="Arial" w:cs="Arial"/>
          <w:b/>
          <w:caps/>
          <w:u w:val="single"/>
        </w:rPr>
      </w:pPr>
      <w:r w:rsidRPr="00A52558">
        <w:rPr>
          <w:rFonts w:ascii="Arial" w:hAnsi="Arial" w:cs="Arial"/>
          <w:b/>
          <w:caps/>
          <w:u w:val="single"/>
        </w:rPr>
        <w:t>3.</w:t>
      </w:r>
      <w:r w:rsidR="00A52558" w:rsidRPr="00A52558">
        <w:rPr>
          <w:rFonts w:ascii="Arial" w:hAnsi="Arial" w:cs="Arial"/>
          <w:b/>
          <w:caps/>
          <w:u w:val="single"/>
        </w:rPr>
        <w:t>1.</w:t>
      </w:r>
      <w:r w:rsidRPr="00A52558">
        <w:rPr>
          <w:rFonts w:ascii="Arial" w:hAnsi="Arial" w:cs="Arial"/>
          <w:b/>
          <w:caps/>
          <w:u w:val="single"/>
        </w:rPr>
        <w:t xml:space="preserve">5 </w:t>
      </w:r>
      <w:r w:rsidR="00FD1486" w:rsidRPr="00A52558">
        <w:rPr>
          <w:rFonts w:ascii="Arial" w:hAnsi="Arial" w:cs="Arial"/>
          <w:b/>
          <w:u w:val="single"/>
        </w:rPr>
        <w:t>Pre-Monsoon and Winter Season Trends (March–May, December–February)</w:t>
      </w:r>
    </w:p>
    <w:p w14:paraId="7C0AA760" w14:textId="77777777" w:rsidR="00DE1A3C" w:rsidRPr="00DE1A3C" w:rsidRDefault="00DE1A3C" w:rsidP="00DE1A3C">
      <w:pPr>
        <w:pStyle w:val="Body"/>
        <w:spacing w:after="0"/>
        <w:rPr>
          <w:rFonts w:ascii="Arial" w:hAnsi="Arial" w:cs="Arial"/>
          <w:b/>
          <w:caps/>
          <w:sz w:val="22"/>
        </w:rPr>
      </w:pPr>
    </w:p>
    <w:p w14:paraId="3FC3F5A7" w14:textId="77777777" w:rsidR="00DE1A3C" w:rsidRDefault="00DE1A3C" w:rsidP="00DE1A3C">
      <w:pPr>
        <w:pStyle w:val="Body"/>
        <w:spacing w:after="0"/>
        <w:rPr>
          <w:rFonts w:ascii="Arial" w:hAnsi="Arial" w:cs="Arial"/>
        </w:rPr>
      </w:pPr>
      <w:r w:rsidRPr="00DE1A3C">
        <w:rPr>
          <w:rFonts w:ascii="Arial" w:hAnsi="Arial" w:cs="Arial"/>
        </w:rPr>
        <w:t>The pre-monsoon (March–May) and winter (December–February) seasons recorded no rainfall over the 30-year period (1991–2020), precluding trend analysis for these seasons.</w:t>
      </w:r>
      <w:r>
        <w:rPr>
          <w:rFonts w:ascii="Arial" w:hAnsi="Arial" w:cs="Arial"/>
        </w:rPr>
        <w:t xml:space="preserve"> </w:t>
      </w:r>
      <w:r w:rsidRPr="0030376D">
        <w:rPr>
          <w:rFonts w:ascii="Arial" w:hAnsi="Arial" w:cs="Arial"/>
        </w:rPr>
        <w:t>Annual rainfall in the Middle Gujarat Agro-climatic zone varied from 275.00 mm in 2002 to 1548.90 mm in 2006, with an average of 816.10 mm per year. The Mann-Kendall test yielded a p-value above the significance level (α = 0.05), indicating no significant trend over the 30-year period (1991–2020) at a 95% confidence level. Sen’s slope analysis revealed a non-significant rising trend of 33 mm per year, suggesting a tendency toward wetter conditions over time.</w:t>
      </w:r>
    </w:p>
    <w:p w14:paraId="5BB3E819" w14:textId="3B59F1AE" w:rsidR="00DE1A3C" w:rsidRDefault="00DE1A3C" w:rsidP="00441B6F">
      <w:pPr>
        <w:pStyle w:val="ConcHead"/>
        <w:spacing w:after="0"/>
        <w:jc w:val="both"/>
        <w:rPr>
          <w:rFonts w:ascii="Arial" w:hAnsi="Arial" w:cs="Arial"/>
        </w:rPr>
      </w:pPr>
    </w:p>
    <w:p w14:paraId="2923B0BB" w14:textId="7AF34636" w:rsidR="008409E6" w:rsidRPr="00562C59" w:rsidRDefault="008409E6" w:rsidP="008409E6">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0499666C" w14:textId="0BFAF848" w:rsidR="008409E6" w:rsidRDefault="008409E6" w:rsidP="00441B6F">
      <w:pPr>
        <w:pStyle w:val="ConcHead"/>
        <w:spacing w:after="0"/>
        <w:jc w:val="both"/>
        <w:rPr>
          <w:rFonts w:ascii="Arial" w:hAnsi="Arial" w:cs="Arial"/>
        </w:rPr>
      </w:pPr>
    </w:p>
    <w:p w14:paraId="764B2BA5" w14:textId="05BA9D20" w:rsidR="00782797" w:rsidRPr="00782797" w:rsidRDefault="00782797" w:rsidP="00782797">
      <w:pPr>
        <w:pStyle w:val="Body"/>
        <w:spacing w:after="0"/>
        <w:rPr>
          <w:rFonts w:ascii="Arial" w:hAnsi="Arial" w:cs="Arial"/>
        </w:rPr>
      </w:pPr>
      <w:r w:rsidRPr="00782797">
        <w:rPr>
          <w:rFonts w:ascii="Arial" w:hAnsi="Arial" w:cs="Arial"/>
        </w:rPr>
        <w:t xml:space="preserve">The findings of this study indicate no significant trends in monthly, seasonal, or annual rainfall in the Middle Gujarat Agro-climatic zone </w:t>
      </w:r>
      <w:r>
        <w:rPr>
          <w:rFonts w:ascii="Arial" w:hAnsi="Arial" w:cs="Arial"/>
        </w:rPr>
        <w:t>over the 30-year period (1991-</w:t>
      </w:r>
      <w:r w:rsidRPr="00782797">
        <w:rPr>
          <w:rFonts w:ascii="Arial" w:hAnsi="Arial" w:cs="Arial"/>
        </w:rPr>
        <w:t>2020), suggesting a lack of clear evidence for climate change-induced rainfall variations in the region. The dominance of the monsoon season, contributing 98.16% of annual rai</w:t>
      </w:r>
      <w:r>
        <w:rPr>
          <w:rFonts w:ascii="Arial" w:hAnsi="Arial" w:cs="Arial"/>
        </w:rPr>
        <w:t>nfall, underscores the region’</w:t>
      </w:r>
      <w:r w:rsidRPr="00782797">
        <w:rPr>
          <w:rFonts w:ascii="Arial" w:hAnsi="Arial" w:cs="Arial"/>
        </w:rPr>
        <w:t>s heavy reliance on June to September precipitation, with July and August being the primary contributors (35.72% and 31.80%, respectively). The non-significant rising trends in annual (33 mm/year) and monsoon (33 mm/year) rainfall, alongside wetting trends in August (87 mm/year) and September (71 mm/year), point to a potential increase in rainfall, though not statistically significant at the 95% confidence level. Conversely, drying trends in June (-17 mm/year), July (-17 mm/year), and October (-1 mm/year) suggest variability within the monsoon and post-monsoon seasons, which may affect agricultural planning.</w:t>
      </w:r>
    </w:p>
    <w:p w14:paraId="3CD647C3" w14:textId="77777777" w:rsidR="00782797" w:rsidRPr="00782797" w:rsidRDefault="00782797" w:rsidP="00782797">
      <w:pPr>
        <w:pStyle w:val="Body"/>
        <w:spacing w:after="0"/>
        <w:rPr>
          <w:rFonts w:ascii="Arial" w:hAnsi="Arial" w:cs="Arial"/>
        </w:rPr>
      </w:pPr>
    </w:p>
    <w:p w14:paraId="038BD032" w14:textId="64889277" w:rsidR="00782797" w:rsidRPr="00782797" w:rsidRDefault="00782797" w:rsidP="00782797">
      <w:pPr>
        <w:pStyle w:val="Body"/>
        <w:spacing w:after="0"/>
        <w:rPr>
          <w:rFonts w:ascii="Arial" w:hAnsi="Arial" w:cs="Arial"/>
        </w:rPr>
      </w:pPr>
      <w:r w:rsidRPr="00782797">
        <w:rPr>
          <w:rFonts w:ascii="Arial" w:hAnsi="Arial" w:cs="Arial"/>
        </w:rPr>
        <w:t xml:space="preserve">These results align partially </w:t>
      </w:r>
      <w:r w:rsidR="0029735F">
        <w:rPr>
          <w:rFonts w:ascii="Arial" w:hAnsi="Arial" w:cs="Arial"/>
        </w:rPr>
        <w:t>with regional studies. Joshi &amp;</w:t>
      </w:r>
      <w:r w:rsidRPr="00782797">
        <w:rPr>
          <w:rFonts w:ascii="Arial" w:hAnsi="Arial" w:cs="Arial"/>
        </w:rPr>
        <w:t xml:space="preserve"> Bhatt (2024) reported non-significant rainfall trends in Vadodara, a district within the Middle Gujarat Agro-climatic zone, using the Mann-Kendall method, reinforcing the consistency of stable rainfall patterns in the region. However, other studies in India have detected significant rainfall trends in different agro-climatic zones. For instance, Mondal </w:t>
      </w:r>
      <w:r w:rsidRPr="0029735F">
        <w:rPr>
          <w:rFonts w:ascii="Arial" w:hAnsi="Arial" w:cs="Arial"/>
          <w:i/>
          <w:iCs/>
        </w:rPr>
        <w:t>et al.</w:t>
      </w:r>
      <w:r w:rsidRPr="00782797">
        <w:rPr>
          <w:rFonts w:ascii="Arial" w:hAnsi="Arial" w:cs="Arial"/>
        </w:rPr>
        <w:t xml:space="preserve"> (2015) identified significant decreasing trends in monsoon rainfall in parts of eastern India, contrasting with the wetting tendencies observed here. This variability highlights the importance of region-specific analyses, as rainfall patterns are influenced by local topography, monsoon dynamics, and climate drivers (Waghaye </w:t>
      </w:r>
      <w:r w:rsidRPr="0029735F">
        <w:rPr>
          <w:rFonts w:ascii="Arial" w:hAnsi="Arial" w:cs="Arial"/>
          <w:i/>
          <w:iCs/>
        </w:rPr>
        <w:t>et al.</w:t>
      </w:r>
      <w:r w:rsidRPr="00782797">
        <w:rPr>
          <w:rFonts w:ascii="Arial" w:hAnsi="Arial" w:cs="Arial"/>
        </w:rPr>
        <w:t>, 2018).</w:t>
      </w:r>
    </w:p>
    <w:p w14:paraId="25BEC52A" w14:textId="77777777" w:rsidR="00782797" w:rsidRPr="00782797" w:rsidRDefault="00782797" w:rsidP="00782797">
      <w:pPr>
        <w:pStyle w:val="Body"/>
        <w:spacing w:after="0"/>
        <w:rPr>
          <w:rFonts w:ascii="Arial" w:hAnsi="Arial" w:cs="Arial"/>
        </w:rPr>
      </w:pPr>
    </w:p>
    <w:p w14:paraId="229E9C2C" w14:textId="77777777" w:rsidR="00782797" w:rsidRPr="00782797" w:rsidRDefault="00782797" w:rsidP="00782797">
      <w:pPr>
        <w:pStyle w:val="Body"/>
        <w:spacing w:after="0"/>
        <w:rPr>
          <w:rFonts w:ascii="Arial" w:hAnsi="Arial" w:cs="Arial"/>
        </w:rPr>
      </w:pPr>
      <w:r w:rsidRPr="00782797">
        <w:rPr>
          <w:rFonts w:ascii="Arial" w:hAnsi="Arial" w:cs="Arial"/>
        </w:rPr>
        <w:lastRenderedPageBreak/>
        <w:t xml:space="preserve">The absence of significant trends has important implications for water resource management in the Middle Gujarat Agro-climatic zone, where one-third of cultivated land is rainfed. The non-significant wetting trends suggest a stable water supply for agriculture, but the lack of rainfall in pre-monsoon and winter seasons emphasizes the need for efficient water storage and conservation. Strategies such as rainwater harvesting, drip irrigation, and watershed management, as recommended in the conclusion, are critical for enhancing resilience in this semi-arid region (Jain </w:t>
      </w:r>
      <w:r w:rsidRPr="0029735F">
        <w:rPr>
          <w:rFonts w:ascii="Arial" w:hAnsi="Arial" w:cs="Arial"/>
          <w:i/>
          <w:iCs/>
        </w:rPr>
        <w:t>et al.</w:t>
      </w:r>
      <w:r w:rsidRPr="00782797">
        <w:rPr>
          <w:rFonts w:ascii="Arial" w:hAnsi="Arial" w:cs="Arial"/>
        </w:rPr>
        <w:t>, 2013a). These measures can mitigate the risks of intra-seasonal variability, particularly the drying trends in June and July, which are critical for crop establishment.</w:t>
      </w:r>
    </w:p>
    <w:p w14:paraId="39DA1B80" w14:textId="77777777" w:rsidR="00782797" w:rsidRPr="00782797" w:rsidRDefault="00782797" w:rsidP="00782797">
      <w:pPr>
        <w:pStyle w:val="Body"/>
        <w:spacing w:after="0"/>
        <w:rPr>
          <w:rFonts w:ascii="Arial" w:hAnsi="Arial" w:cs="Arial"/>
        </w:rPr>
      </w:pPr>
    </w:p>
    <w:p w14:paraId="7F5DDD54" w14:textId="4BDC2A15" w:rsidR="00782797" w:rsidRPr="00782797" w:rsidRDefault="00782797" w:rsidP="00782797">
      <w:pPr>
        <w:pStyle w:val="Body"/>
        <w:spacing w:after="0"/>
        <w:rPr>
          <w:rFonts w:ascii="Arial" w:hAnsi="Arial" w:cs="Arial"/>
        </w:rPr>
      </w:pPr>
      <w:r w:rsidRPr="00782797">
        <w:rPr>
          <w:rFonts w:ascii="Arial" w:hAnsi="Arial" w:cs="Arial"/>
        </w:rPr>
        <w:t>Limitations of this stud</w:t>
      </w:r>
      <w:r w:rsidR="0029735F">
        <w:rPr>
          <w:rFonts w:ascii="Arial" w:hAnsi="Arial" w:cs="Arial"/>
        </w:rPr>
        <w:t>y include the 30-year dataset’</w:t>
      </w:r>
      <w:r w:rsidRPr="00782797">
        <w:rPr>
          <w:rFonts w:ascii="Arial" w:hAnsi="Arial" w:cs="Arial"/>
        </w:rPr>
        <w:t>s duration, which may not capture longer-term climate signals, and the reliance on 15 rain gauge stations, which may not fully represent spatial variability across the five districts. The averaging of station data, while standard, could mask localized trends. Additionally, the analysis focused solely on rainfall, excluding other climatic variables like temperature or evapotranspiration, which influence water availability (Joshi &amp; Bhatt, 2024). Future research should extend the temporal scope beyond 2020, incorporate additional variables, and explore station-specific trends to enhance understanding of local climate dynamics.</w:t>
      </w:r>
    </w:p>
    <w:p w14:paraId="4F00EBEE" w14:textId="77777777" w:rsidR="00782797" w:rsidRPr="00782797" w:rsidRDefault="00782797" w:rsidP="00782797">
      <w:pPr>
        <w:pStyle w:val="Body"/>
        <w:spacing w:after="0"/>
        <w:rPr>
          <w:rFonts w:ascii="Arial" w:hAnsi="Arial" w:cs="Arial"/>
        </w:rPr>
      </w:pPr>
    </w:p>
    <w:p w14:paraId="36139ABA" w14:textId="7167F295" w:rsidR="008409E6" w:rsidRDefault="00782797" w:rsidP="00782797">
      <w:pPr>
        <w:pStyle w:val="Body"/>
        <w:spacing w:after="0"/>
        <w:rPr>
          <w:rFonts w:ascii="Arial" w:hAnsi="Arial" w:cs="Arial"/>
        </w:rPr>
      </w:pPr>
      <w:r w:rsidRPr="00782797">
        <w:rPr>
          <w:rFonts w:ascii="Arial" w:hAnsi="Arial" w:cs="Arial"/>
        </w:rPr>
        <w:t>In conclusion, the stable rainfall patterns observed in this study provide a baseline for water resource planning in the Middle Gujarat Agro-climatic zone. While the absence of significant trends suggests resilience to climate change impacts over the studied period, proactive adoption of sustainable water management practices is essential to address seasonal variability and ensure agricultural sustainability.</w:t>
      </w:r>
    </w:p>
    <w:p w14:paraId="6D4F24BB" w14:textId="77777777" w:rsidR="008409E6" w:rsidRDefault="008409E6" w:rsidP="00441B6F">
      <w:pPr>
        <w:pStyle w:val="ConcHead"/>
        <w:spacing w:after="0"/>
        <w:jc w:val="both"/>
        <w:rPr>
          <w:rFonts w:ascii="Arial" w:hAnsi="Arial" w:cs="Arial"/>
        </w:rPr>
      </w:pPr>
    </w:p>
    <w:p w14:paraId="1FDBFE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BFFC52" w14:textId="77777777" w:rsidR="00790ADA" w:rsidRPr="00FB3A86" w:rsidRDefault="00790ADA" w:rsidP="00441B6F">
      <w:pPr>
        <w:pStyle w:val="ConcHead"/>
        <w:spacing w:after="0"/>
        <w:jc w:val="both"/>
        <w:rPr>
          <w:rFonts w:ascii="Arial" w:hAnsi="Arial" w:cs="Arial"/>
        </w:rPr>
      </w:pPr>
    </w:p>
    <w:p w14:paraId="4674C04D" w14:textId="447EE914" w:rsidR="00315186" w:rsidRPr="00315186" w:rsidRDefault="00F568B0" w:rsidP="003854C8">
      <w:pPr>
        <w:pStyle w:val="Body"/>
        <w:spacing w:after="0"/>
      </w:pPr>
      <w:r w:rsidRPr="00F568B0">
        <w:rPr>
          <w:rFonts w:ascii="Arial" w:hAnsi="Arial" w:cs="Arial"/>
        </w:rPr>
        <w:t xml:space="preserve">This study analyzed rainfall trends in the Middle Gujarat Agro-climatic zone, India, across five districts over a 30-year period (1991–2020) using the Mann-Kendall test and Sen’s slope estimator. The monsoon season contributed 98.16% of annual rainfall, followed by the post-monsoon season at 1.84%, while the pre-monsoon and winter seasons recorded no rainfall. No significant trends were detected in monthly, seasonal, or annual rainfall data at a 95% confidence level. Non-significant rising trends were observed annually (33 mm/year) and during the monsoon season (33 mm/year), with a slight rising trend in the post-monsoon season (1 mm/year). Monthly analysis revealed non-significant wetting trends in August (87 mm/year) and September (71 mm/year) and drying trends in June (-17 mm/year), July (-17 mm/year), and October (-1 mm/year). </w:t>
      </w:r>
      <w:r w:rsidR="003854C8" w:rsidRPr="003854C8">
        <w:rPr>
          <w:rFonts w:ascii="Arial" w:hAnsi="Arial" w:cs="Arial"/>
        </w:rPr>
        <w:t xml:space="preserve">The absence of significant trends suggests no clear evidence of climate change-induced rainfall variations in the region over the studied period. To ensure reliable water access in this rainfed agricultural zone, communities should adopt sustainable water management strategies, such as rainwater harvesting, drip irrigation, and watershed management, to enhance water conservation and resilience. Further long-term studies with extended datasets and additional climatic variables are recommended to deepen understanding of rainfall patterns and inform future water resource planning.  </w:t>
      </w:r>
    </w:p>
    <w:p w14:paraId="6965633C" w14:textId="7788E01A" w:rsidR="00E14D92" w:rsidRDefault="00E14D92" w:rsidP="00441B6F">
      <w:pPr>
        <w:pStyle w:val="ReferHead"/>
        <w:spacing w:after="0"/>
        <w:jc w:val="both"/>
        <w:rPr>
          <w:rFonts w:ascii="Arial" w:hAnsi="Arial" w:cs="Arial"/>
        </w:rPr>
      </w:pPr>
    </w:p>
    <w:p w14:paraId="40A96FFE" w14:textId="77777777" w:rsidR="00E14D92" w:rsidRPr="00E13227" w:rsidRDefault="00E14D92" w:rsidP="00441B6F">
      <w:pPr>
        <w:pStyle w:val="ReferHead"/>
        <w:spacing w:after="0"/>
        <w:jc w:val="both"/>
        <w:rPr>
          <w:rFonts w:ascii="Arial" w:hAnsi="Arial" w:cs="Arial"/>
        </w:rPr>
      </w:pPr>
      <w:bookmarkStart w:id="18" w:name="_GoBack"/>
    </w:p>
    <w:p w14:paraId="0282483C" w14:textId="77777777" w:rsidR="00E14D92" w:rsidRPr="00E13227" w:rsidRDefault="00E14D92" w:rsidP="00E14D92">
      <w:pPr>
        <w:spacing w:after="200" w:line="276" w:lineRule="auto"/>
        <w:rPr>
          <w:rFonts w:ascii="Calibri" w:eastAsia="Calibri" w:hAnsi="Calibri"/>
          <w:b/>
          <w:kern w:val="2"/>
          <w:sz w:val="22"/>
          <w:szCs w:val="22"/>
          <w:highlight w:val="yellow"/>
        </w:rPr>
      </w:pPr>
      <w:bookmarkStart w:id="19" w:name="_Hlk180402183"/>
      <w:bookmarkStart w:id="20" w:name="_Hlk183680988"/>
      <w:r w:rsidRPr="00E13227">
        <w:rPr>
          <w:rFonts w:ascii="Calibri" w:eastAsia="Calibri" w:hAnsi="Calibri"/>
          <w:b/>
          <w:kern w:val="2"/>
          <w:sz w:val="22"/>
          <w:szCs w:val="22"/>
          <w:highlight w:val="yellow"/>
        </w:rPr>
        <w:t>Disclaimer (Artificial intelligence)</w:t>
      </w:r>
    </w:p>
    <w:bookmarkEnd w:id="18"/>
    <w:p w14:paraId="0B1E33AF" w14:textId="77777777" w:rsidR="00E14D92" w:rsidRPr="00E14D92" w:rsidRDefault="00E14D92" w:rsidP="00FD4B81">
      <w:pPr>
        <w:spacing w:after="200" w:line="276" w:lineRule="auto"/>
        <w:jc w:val="both"/>
        <w:rPr>
          <w:rFonts w:ascii="Calibri" w:eastAsia="Calibri" w:hAnsi="Calibri"/>
          <w:kern w:val="2"/>
          <w:sz w:val="22"/>
          <w:szCs w:val="22"/>
          <w:highlight w:val="yellow"/>
        </w:rPr>
      </w:pPr>
      <w:r w:rsidRPr="00E14D92">
        <w:rPr>
          <w:rFonts w:ascii="Calibri" w:eastAsia="Calibri" w:hAnsi="Calibri"/>
          <w:kern w:val="2"/>
          <w:sz w:val="22"/>
          <w:szCs w:val="22"/>
          <w:highlight w:val="yellow"/>
        </w:rPr>
        <w:t>Author(s) hereby declare that NO generative AI technologies such as Large Language Models (</w:t>
      </w:r>
      <w:proofErr w:type="spellStart"/>
      <w:r w:rsidRPr="00E14D92">
        <w:rPr>
          <w:rFonts w:ascii="Calibri" w:eastAsia="Calibri" w:hAnsi="Calibri"/>
          <w:kern w:val="2"/>
          <w:sz w:val="22"/>
          <w:szCs w:val="22"/>
          <w:highlight w:val="yellow"/>
        </w:rPr>
        <w:t>ChatGPT</w:t>
      </w:r>
      <w:proofErr w:type="spellEnd"/>
      <w:r w:rsidRPr="00E14D92">
        <w:rPr>
          <w:rFonts w:ascii="Calibri" w:eastAsia="Calibri" w:hAnsi="Calibri"/>
          <w:kern w:val="2"/>
          <w:sz w:val="22"/>
          <w:szCs w:val="22"/>
          <w:highlight w:val="yellow"/>
        </w:rPr>
        <w:t xml:space="preserve">, COPILOT, etc.) and text-to-image generators have been used during the writing or editing of this manuscript. </w:t>
      </w:r>
    </w:p>
    <w:bookmarkEnd w:id="19"/>
    <w:bookmarkEnd w:id="20"/>
    <w:p w14:paraId="6A99187A" w14:textId="77777777" w:rsidR="00FF5AD8" w:rsidRDefault="00FF5AD8" w:rsidP="00441B6F">
      <w:pPr>
        <w:pStyle w:val="ReferHead"/>
        <w:spacing w:after="0"/>
        <w:jc w:val="both"/>
        <w:rPr>
          <w:rFonts w:ascii="Arial" w:hAnsi="Arial" w:cs="Arial"/>
        </w:rPr>
      </w:pPr>
    </w:p>
    <w:p w14:paraId="163A3DA0" w14:textId="137E2D35" w:rsidR="00B01FCD" w:rsidRDefault="00B01FCD" w:rsidP="00441B6F">
      <w:pPr>
        <w:pStyle w:val="ReferHead"/>
        <w:spacing w:after="0"/>
        <w:jc w:val="both"/>
        <w:rPr>
          <w:rFonts w:ascii="Arial" w:hAnsi="Arial" w:cs="Arial"/>
        </w:rPr>
      </w:pPr>
      <w:r w:rsidRPr="00FB3A86">
        <w:rPr>
          <w:rFonts w:ascii="Arial" w:hAnsi="Arial" w:cs="Arial"/>
        </w:rPr>
        <w:t>References</w:t>
      </w:r>
    </w:p>
    <w:p w14:paraId="535AE00A" w14:textId="77777777" w:rsidR="00790ADA" w:rsidRPr="000F6B30" w:rsidRDefault="00790ADA" w:rsidP="000F6B30">
      <w:pPr>
        <w:pStyle w:val="ReferHead"/>
        <w:spacing w:after="0"/>
        <w:jc w:val="both"/>
        <w:rPr>
          <w:rFonts w:ascii="Arial" w:hAnsi="Arial" w:cs="Arial"/>
          <w:b w:val="0"/>
          <w:bCs/>
        </w:rPr>
      </w:pPr>
    </w:p>
    <w:p w14:paraId="6051D352" w14:textId="77777777" w:rsidR="00BD1274" w:rsidRDefault="00BD1274" w:rsidP="00441B6F">
      <w:pPr>
        <w:pStyle w:val="Body"/>
        <w:spacing w:after="0"/>
      </w:pPr>
      <w:proofErr w:type="spellStart"/>
      <w:r w:rsidRPr="00BD1274">
        <w:rPr>
          <w:rFonts w:ascii="Arial" w:hAnsi="Arial" w:cs="Arial"/>
        </w:rPr>
        <w:t>Waghaye</w:t>
      </w:r>
      <w:proofErr w:type="spellEnd"/>
      <w:r w:rsidRPr="00BD1274">
        <w:rPr>
          <w:rFonts w:ascii="Arial" w:hAnsi="Arial" w:cs="Arial"/>
        </w:rPr>
        <w:t xml:space="preserve">, A. M., Rajwade, Y. A., </w:t>
      </w:r>
      <w:proofErr w:type="spellStart"/>
      <w:r w:rsidRPr="00BD1274">
        <w:rPr>
          <w:rFonts w:ascii="Arial" w:hAnsi="Arial" w:cs="Arial"/>
        </w:rPr>
        <w:t>Randhe</w:t>
      </w:r>
      <w:proofErr w:type="spellEnd"/>
      <w:r w:rsidRPr="00BD1274">
        <w:rPr>
          <w:rFonts w:ascii="Arial" w:hAnsi="Arial" w:cs="Arial"/>
        </w:rPr>
        <w:t xml:space="preserve">, R. D., &amp; Kumari, N. (2018). Trend analysis and change point detection of rainfall of Andhra Pradesh and Telangana, India. </w:t>
      </w:r>
      <w:r w:rsidRPr="001F1433">
        <w:rPr>
          <w:rFonts w:ascii="Arial" w:hAnsi="Arial" w:cs="Arial"/>
          <w:i/>
          <w:iCs/>
        </w:rPr>
        <w:t>Journal of Agrometeorology</w:t>
      </w:r>
      <w:r w:rsidRPr="00BD1274">
        <w:rPr>
          <w:rFonts w:ascii="Arial" w:hAnsi="Arial" w:cs="Arial"/>
        </w:rPr>
        <w:t>, 20(2), 160-163.</w:t>
      </w:r>
      <w:r w:rsidR="002A109A">
        <w:rPr>
          <w:rFonts w:ascii="Arial" w:hAnsi="Arial" w:cs="Arial"/>
        </w:rPr>
        <w:t xml:space="preserve"> </w:t>
      </w:r>
      <w:r w:rsidR="002A109A" w:rsidRPr="00284C4C">
        <w:t>DOI</w:t>
      </w:r>
      <w:r w:rsidR="002A109A">
        <w:t>:</w:t>
      </w:r>
      <w:r w:rsidR="002A109A" w:rsidRPr="002A109A">
        <w:t xml:space="preserve"> </w:t>
      </w:r>
      <w:hyperlink r:id="rId15" w:history="1">
        <w:r w:rsidR="002A109A" w:rsidRPr="00A21B4C">
          <w:rPr>
            <w:rStyle w:val="Hyperlink"/>
          </w:rPr>
          <w:t>https://doi.org/10.54386/jam.v20i2.532</w:t>
        </w:r>
      </w:hyperlink>
    </w:p>
    <w:p w14:paraId="3E24DC03" w14:textId="77777777" w:rsidR="002A109A" w:rsidRDefault="002A109A" w:rsidP="00441B6F">
      <w:pPr>
        <w:pStyle w:val="Body"/>
        <w:spacing w:after="0"/>
      </w:pPr>
    </w:p>
    <w:p w14:paraId="27193629" w14:textId="77777777" w:rsidR="002A109A" w:rsidRDefault="002A109A" w:rsidP="00441B6F">
      <w:pPr>
        <w:pStyle w:val="Body"/>
        <w:spacing w:after="0"/>
        <w:rPr>
          <w:rFonts w:ascii="Arial" w:hAnsi="Arial" w:cs="Arial"/>
        </w:rPr>
      </w:pPr>
      <w:r w:rsidRPr="002A109A">
        <w:rPr>
          <w:rFonts w:ascii="Arial" w:hAnsi="Arial" w:cs="Arial"/>
        </w:rPr>
        <w:t xml:space="preserve">Aggarwal, P. K. (2007). Climate change: implications for Indian agriculture. </w:t>
      </w:r>
      <w:proofErr w:type="spellStart"/>
      <w:r w:rsidRPr="001F1433">
        <w:rPr>
          <w:rFonts w:ascii="Arial" w:hAnsi="Arial" w:cs="Arial"/>
          <w:i/>
          <w:iCs/>
        </w:rPr>
        <w:t>Jalvigyan</w:t>
      </w:r>
      <w:proofErr w:type="spellEnd"/>
      <w:r w:rsidRPr="001F1433">
        <w:rPr>
          <w:rFonts w:ascii="Arial" w:hAnsi="Arial" w:cs="Arial"/>
          <w:i/>
          <w:iCs/>
        </w:rPr>
        <w:t xml:space="preserve"> </w:t>
      </w:r>
      <w:proofErr w:type="spellStart"/>
      <w:r w:rsidRPr="001F1433">
        <w:rPr>
          <w:rFonts w:ascii="Arial" w:hAnsi="Arial" w:cs="Arial"/>
          <w:i/>
          <w:iCs/>
        </w:rPr>
        <w:t>Sameeksha</w:t>
      </w:r>
      <w:proofErr w:type="spellEnd"/>
      <w:r w:rsidRPr="002A109A">
        <w:rPr>
          <w:rFonts w:ascii="Arial" w:hAnsi="Arial" w:cs="Arial"/>
        </w:rPr>
        <w:t>, 22(1), 37-46.</w:t>
      </w:r>
    </w:p>
    <w:p w14:paraId="0D3F78EC" w14:textId="77777777" w:rsidR="002A109A" w:rsidRDefault="002A109A" w:rsidP="00441B6F">
      <w:pPr>
        <w:pStyle w:val="Body"/>
        <w:spacing w:after="0"/>
        <w:rPr>
          <w:rFonts w:ascii="Arial" w:hAnsi="Arial" w:cs="Arial"/>
        </w:rPr>
      </w:pPr>
    </w:p>
    <w:p w14:paraId="570EA7C9" w14:textId="77777777" w:rsidR="002A109A" w:rsidRDefault="002A109A" w:rsidP="00441B6F">
      <w:pPr>
        <w:pStyle w:val="Body"/>
        <w:spacing w:after="0"/>
        <w:rPr>
          <w:rFonts w:ascii="Arial" w:hAnsi="Arial" w:cs="Arial"/>
        </w:rPr>
      </w:pPr>
      <w:r w:rsidRPr="002A109A">
        <w:rPr>
          <w:rFonts w:ascii="Arial" w:hAnsi="Arial" w:cs="Arial"/>
        </w:rPr>
        <w:t xml:space="preserve">Jain, S. K., Kumar, V., &amp; </w:t>
      </w:r>
      <w:proofErr w:type="spellStart"/>
      <w:r w:rsidRPr="002A109A">
        <w:rPr>
          <w:rFonts w:ascii="Arial" w:hAnsi="Arial" w:cs="Arial"/>
        </w:rPr>
        <w:t>Saharia</w:t>
      </w:r>
      <w:proofErr w:type="spellEnd"/>
      <w:r w:rsidRPr="002A109A">
        <w:rPr>
          <w:rFonts w:ascii="Arial" w:hAnsi="Arial" w:cs="Arial"/>
        </w:rPr>
        <w:t>, M. (2013</w:t>
      </w:r>
      <w:r>
        <w:rPr>
          <w:rFonts w:ascii="Arial" w:hAnsi="Arial" w:cs="Arial"/>
        </w:rPr>
        <w:t>a</w:t>
      </w:r>
      <w:r w:rsidRPr="002A109A">
        <w:rPr>
          <w:rFonts w:ascii="Arial" w:hAnsi="Arial" w:cs="Arial"/>
        </w:rPr>
        <w:t xml:space="preserve">). Analysis of rainfall and temperature trends in northeast India. </w:t>
      </w:r>
      <w:r w:rsidRPr="001F1433">
        <w:rPr>
          <w:rFonts w:ascii="Arial" w:hAnsi="Arial" w:cs="Arial"/>
          <w:i/>
          <w:iCs/>
        </w:rPr>
        <w:t>International Journal of Climatology</w:t>
      </w:r>
      <w:r w:rsidRPr="002A109A">
        <w:rPr>
          <w:rFonts w:ascii="Arial" w:hAnsi="Arial" w:cs="Arial"/>
        </w:rPr>
        <w:t>, 33(4), 968-978.</w:t>
      </w:r>
      <w:r>
        <w:rPr>
          <w:rFonts w:ascii="Arial" w:hAnsi="Arial" w:cs="Arial"/>
        </w:rPr>
        <w:t xml:space="preserve"> DOI: </w:t>
      </w:r>
      <w:r w:rsidRPr="002A109A">
        <w:rPr>
          <w:rFonts w:ascii="Arial" w:hAnsi="Arial" w:cs="Arial"/>
        </w:rPr>
        <w:t>10.1002/joc.3483</w:t>
      </w:r>
    </w:p>
    <w:p w14:paraId="6847B0BE" w14:textId="77777777" w:rsidR="002A109A" w:rsidRDefault="002A109A" w:rsidP="00441B6F">
      <w:pPr>
        <w:pStyle w:val="Body"/>
        <w:spacing w:after="0"/>
        <w:rPr>
          <w:rFonts w:ascii="Arial" w:hAnsi="Arial" w:cs="Arial"/>
        </w:rPr>
      </w:pPr>
    </w:p>
    <w:p w14:paraId="21546A5A" w14:textId="77777777" w:rsidR="002A109A" w:rsidRDefault="002A109A" w:rsidP="00441B6F">
      <w:pPr>
        <w:pStyle w:val="Body"/>
        <w:spacing w:after="0"/>
        <w:rPr>
          <w:rFonts w:ascii="Arial" w:hAnsi="Arial" w:cs="Arial"/>
          <w:color w:val="222222"/>
          <w:shd w:val="clear" w:color="auto" w:fill="FFFFFF"/>
        </w:rPr>
      </w:pPr>
      <w:r w:rsidRPr="00010230">
        <w:rPr>
          <w:rFonts w:ascii="Arial" w:hAnsi="Arial" w:cs="Arial"/>
          <w:shd w:val="clear" w:color="auto" w:fill="FFFFFF"/>
        </w:rPr>
        <w:t>Murray, V., &amp; Ebi, K. L. (2012). IPCC special report on managing the risks of extreme events and disasters to advance climate change adaptation (SREX). </w:t>
      </w:r>
      <w:r w:rsidRPr="00010230">
        <w:rPr>
          <w:rFonts w:ascii="Arial" w:hAnsi="Arial" w:cs="Arial"/>
          <w:i/>
          <w:iCs/>
          <w:shd w:val="clear" w:color="auto" w:fill="FFFFFF"/>
        </w:rPr>
        <w:t>J Epidemiol Community Health</w:t>
      </w:r>
      <w:r w:rsidRPr="00010230">
        <w:rPr>
          <w:rFonts w:ascii="Arial" w:hAnsi="Arial" w:cs="Arial"/>
          <w:shd w:val="clear" w:color="auto" w:fill="FFFFFF"/>
        </w:rPr>
        <w:t>, </w:t>
      </w:r>
      <w:r w:rsidRPr="00010230">
        <w:rPr>
          <w:rFonts w:ascii="Arial" w:hAnsi="Arial" w:cs="Arial"/>
          <w:i/>
          <w:iCs/>
          <w:shd w:val="clear" w:color="auto" w:fill="FFFFFF"/>
        </w:rPr>
        <w:t>66</w:t>
      </w:r>
      <w:r w:rsidRPr="00010230">
        <w:rPr>
          <w:rFonts w:ascii="Arial" w:hAnsi="Arial" w:cs="Arial"/>
          <w:shd w:val="clear" w:color="auto" w:fill="FFFFFF"/>
        </w:rPr>
        <w:t xml:space="preserve">(9), 759-760. DOI: </w:t>
      </w:r>
      <w:hyperlink r:id="rId16" w:history="1">
        <w:r w:rsidRPr="00A21B4C">
          <w:rPr>
            <w:rStyle w:val="Hyperlink"/>
            <w:rFonts w:ascii="Arial" w:hAnsi="Arial" w:cs="Arial"/>
            <w:shd w:val="clear" w:color="auto" w:fill="FFFFFF"/>
          </w:rPr>
          <w:t>https://doi.org/10.1136/jech-2012-201045</w:t>
        </w:r>
      </w:hyperlink>
    </w:p>
    <w:p w14:paraId="3E80C5CD" w14:textId="77777777" w:rsidR="002A109A" w:rsidRDefault="002A109A" w:rsidP="00441B6F">
      <w:pPr>
        <w:pStyle w:val="Body"/>
        <w:spacing w:after="0"/>
        <w:rPr>
          <w:rFonts w:ascii="Arial" w:hAnsi="Arial" w:cs="Arial"/>
          <w:color w:val="222222"/>
          <w:shd w:val="clear" w:color="auto" w:fill="FFFFFF"/>
        </w:rPr>
      </w:pPr>
    </w:p>
    <w:p w14:paraId="6D3131C5" w14:textId="77777777" w:rsidR="002A109A" w:rsidRDefault="002A109A" w:rsidP="00441B6F">
      <w:pPr>
        <w:pStyle w:val="Body"/>
        <w:spacing w:after="0"/>
        <w:rPr>
          <w:rFonts w:ascii="Arial" w:hAnsi="Arial" w:cs="Arial"/>
        </w:rPr>
      </w:pPr>
      <w:r w:rsidRPr="002A109A">
        <w:rPr>
          <w:rFonts w:ascii="Arial" w:hAnsi="Arial" w:cs="Arial"/>
        </w:rPr>
        <w:t>Nicholson, S. E., Nash, D. J., Chase, B. M., Grab, S. W., Shanahan, T. M.</w:t>
      </w:r>
      <w:r>
        <w:rPr>
          <w:rFonts w:ascii="Arial" w:hAnsi="Arial" w:cs="Arial"/>
        </w:rPr>
        <w:t>, Verschuren, D., et. al.,</w:t>
      </w:r>
      <w:r w:rsidRPr="002A109A">
        <w:rPr>
          <w:rFonts w:ascii="Arial" w:hAnsi="Arial" w:cs="Arial"/>
        </w:rPr>
        <w:t xml:space="preserve"> (2013). Temperature variability over Africa during the last 2000 years. </w:t>
      </w:r>
      <w:r w:rsidRPr="001F1433">
        <w:rPr>
          <w:rFonts w:ascii="Arial" w:hAnsi="Arial" w:cs="Arial"/>
          <w:i/>
          <w:iCs/>
        </w:rPr>
        <w:t>The Holocene</w:t>
      </w:r>
      <w:r w:rsidRPr="002A109A">
        <w:rPr>
          <w:rFonts w:ascii="Arial" w:hAnsi="Arial" w:cs="Arial"/>
        </w:rPr>
        <w:t>, 23(8), 1085-1094.</w:t>
      </w:r>
      <w:r>
        <w:rPr>
          <w:rFonts w:ascii="Arial" w:hAnsi="Arial" w:cs="Arial"/>
        </w:rPr>
        <w:t xml:space="preserve"> DOI: </w:t>
      </w:r>
      <w:hyperlink r:id="rId17" w:history="1">
        <w:r w:rsidRPr="00A21B4C">
          <w:rPr>
            <w:rStyle w:val="Hyperlink"/>
            <w:rFonts w:ascii="Arial" w:hAnsi="Arial" w:cs="Arial"/>
          </w:rPr>
          <w:t>https://doi.org/10.1177/0959683613483618</w:t>
        </w:r>
      </w:hyperlink>
    </w:p>
    <w:p w14:paraId="134F4CC7" w14:textId="77777777" w:rsidR="002A109A" w:rsidRDefault="002A109A" w:rsidP="00441B6F">
      <w:pPr>
        <w:pStyle w:val="Body"/>
        <w:spacing w:after="0"/>
        <w:rPr>
          <w:rFonts w:ascii="Arial" w:hAnsi="Arial" w:cs="Arial"/>
        </w:rPr>
      </w:pPr>
    </w:p>
    <w:p w14:paraId="64412BA8" w14:textId="77777777" w:rsidR="002A109A" w:rsidRDefault="0001403A" w:rsidP="00441B6F">
      <w:pPr>
        <w:pStyle w:val="Body"/>
        <w:spacing w:after="0"/>
        <w:rPr>
          <w:rFonts w:ascii="Arial" w:hAnsi="Arial" w:cs="Arial"/>
        </w:rPr>
      </w:pPr>
      <w:r w:rsidRPr="0001403A">
        <w:rPr>
          <w:rFonts w:ascii="Arial" w:hAnsi="Arial" w:cs="Arial"/>
        </w:rPr>
        <w:t xml:space="preserve">Trenberth, K. E. (2011). Changes in precipitation with climate change. </w:t>
      </w:r>
      <w:r w:rsidRPr="001F1433">
        <w:rPr>
          <w:rFonts w:ascii="Arial" w:hAnsi="Arial" w:cs="Arial"/>
          <w:i/>
          <w:iCs/>
        </w:rPr>
        <w:t>Climate research</w:t>
      </w:r>
      <w:r w:rsidRPr="0001403A">
        <w:rPr>
          <w:rFonts w:ascii="Arial" w:hAnsi="Arial" w:cs="Arial"/>
        </w:rPr>
        <w:t>, 47(1-2), 123-138.</w:t>
      </w:r>
      <w:r>
        <w:rPr>
          <w:rFonts w:ascii="Arial" w:hAnsi="Arial" w:cs="Arial"/>
        </w:rPr>
        <w:t xml:space="preserve"> </w:t>
      </w:r>
      <w:hyperlink r:id="rId18" w:history="1">
        <w:r w:rsidRPr="00A21B4C">
          <w:rPr>
            <w:rStyle w:val="Hyperlink"/>
            <w:rFonts w:ascii="Arial" w:hAnsi="Arial" w:cs="Arial"/>
          </w:rPr>
          <w:t>https://doi.org/10.3354/cr00953</w:t>
        </w:r>
      </w:hyperlink>
    </w:p>
    <w:p w14:paraId="3334C32B" w14:textId="77777777" w:rsidR="0001403A" w:rsidRDefault="0001403A" w:rsidP="00441B6F">
      <w:pPr>
        <w:pStyle w:val="Body"/>
        <w:spacing w:after="0"/>
        <w:rPr>
          <w:rFonts w:ascii="Arial" w:hAnsi="Arial" w:cs="Arial"/>
        </w:rPr>
      </w:pPr>
    </w:p>
    <w:p w14:paraId="0A301B1F" w14:textId="77777777" w:rsidR="0001403A" w:rsidRDefault="0001403A" w:rsidP="00441B6F">
      <w:pPr>
        <w:pStyle w:val="Body"/>
        <w:spacing w:after="0"/>
        <w:rPr>
          <w:rFonts w:ascii="Arial" w:hAnsi="Arial" w:cs="Arial"/>
        </w:rPr>
      </w:pPr>
      <w:r w:rsidRPr="0001403A">
        <w:rPr>
          <w:rFonts w:ascii="Arial" w:hAnsi="Arial" w:cs="Arial"/>
        </w:rPr>
        <w:t xml:space="preserve">Madhusudhan, M. S., </w:t>
      </w:r>
      <w:proofErr w:type="spellStart"/>
      <w:r w:rsidRPr="0001403A">
        <w:rPr>
          <w:rFonts w:ascii="Arial" w:hAnsi="Arial" w:cs="Arial"/>
        </w:rPr>
        <w:t>Ningaraju</w:t>
      </w:r>
      <w:proofErr w:type="spellEnd"/>
      <w:r w:rsidRPr="0001403A">
        <w:rPr>
          <w:rFonts w:ascii="Arial" w:hAnsi="Arial" w:cs="Arial"/>
        </w:rPr>
        <w:t xml:space="preserve">, H. J., &amp; Shashank Patil, M. R. (2021). Analysis of rainfall trend series using Mann-Kendall and Sen’s slope estimator statistical test in </w:t>
      </w:r>
      <w:proofErr w:type="spellStart"/>
      <w:r w:rsidRPr="0001403A">
        <w:rPr>
          <w:rFonts w:ascii="Arial" w:hAnsi="Arial" w:cs="Arial"/>
        </w:rPr>
        <w:t>Mandya</w:t>
      </w:r>
      <w:proofErr w:type="spellEnd"/>
      <w:r w:rsidRPr="0001403A">
        <w:rPr>
          <w:rFonts w:ascii="Arial" w:hAnsi="Arial" w:cs="Arial"/>
        </w:rPr>
        <w:t xml:space="preserve"> District, Karnataka. </w:t>
      </w:r>
      <w:r w:rsidRPr="001F1433">
        <w:rPr>
          <w:rFonts w:ascii="Arial" w:hAnsi="Arial" w:cs="Arial"/>
          <w:i/>
          <w:iCs/>
        </w:rPr>
        <w:t>International Research Journal of Engineering and Technology</w:t>
      </w:r>
      <w:r w:rsidRPr="0001403A">
        <w:rPr>
          <w:rFonts w:ascii="Arial" w:hAnsi="Arial" w:cs="Arial"/>
        </w:rPr>
        <w:t>, 8(5), 3387-3393.</w:t>
      </w:r>
      <w:r>
        <w:rPr>
          <w:rFonts w:ascii="Arial" w:hAnsi="Arial" w:cs="Arial"/>
        </w:rPr>
        <w:t xml:space="preserve"> </w:t>
      </w:r>
    </w:p>
    <w:p w14:paraId="728D2736" w14:textId="77777777" w:rsidR="0001403A" w:rsidRDefault="0001403A" w:rsidP="00441B6F">
      <w:pPr>
        <w:pStyle w:val="Body"/>
        <w:spacing w:after="0"/>
        <w:rPr>
          <w:rFonts w:ascii="Arial" w:hAnsi="Arial" w:cs="Arial"/>
        </w:rPr>
      </w:pPr>
    </w:p>
    <w:p w14:paraId="2C26303D" w14:textId="17EEA93A" w:rsidR="0001403A" w:rsidRDefault="0001403A" w:rsidP="00441B6F">
      <w:pPr>
        <w:pStyle w:val="Body"/>
        <w:spacing w:after="0"/>
        <w:rPr>
          <w:rFonts w:ascii="Arial" w:hAnsi="Arial" w:cs="Arial"/>
          <w:color w:val="222222"/>
          <w:shd w:val="clear" w:color="auto" w:fill="FFFFFF"/>
        </w:rPr>
      </w:pPr>
      <w:proofErr w:type="spellStart"/>
      <w:r w:rsidRPr="00E83AE7">
        <w:rPr>
          <w:rFonts w:ascii="Arial" w:hAnsi="Arial" w:cs="Arial"/>
          <w:shd w:val="clear" w:color="auto" w:fill="FFFFFF"/>
        </w:rPr>
        <w:t>Gavrilov</w:t>
      </w:r>
      <w:proofErr w:type="spellEnd"/>
      <w:r w:rsidRPr="00E83AE7">
        <w:rPr>
          <w:rFonts w:ascii="Arial" w:hAnsi="Arial" w:cs="Arial"/>
          <w:shd w:val="clear" w:color="auto" w:fill="FFFFFF"/>
        </w:rPr>
        <w:t>, M. B., Marković, S. B., Janc, N., Nikolić, M.</w:t>
      </w:r>
      <w:r w:rsidR="00E83AE7" w:rsidRPr="00E83AE7">
        <w:rPr>
          <w:rFonts w:ascii="Arial" w:hAnsi="Arial" w:cs="Arial"/>
          <w:shd w:val="clear" w:color="auto" w:fill="FFFFFF"/>
        </w:rPr>
        <w:t xml:space="preserve">, </w:t>
      </w:r>
      <w:proofErr w:type="spellStart"/>
      <w:r w:rsidR="00E83AE7" w:rsidRPr="00E83AE7">
        <w:rPr>
          <w:rFonts w:ascii="Arial" w:hAnsi="Arial" w:cs="Arial"/>
          <w:shd w:val="clear" w:color="auto" w:fill="FFFFFF"/>
        </w:rPr>
        <w:t>Valjarević</w:t>
      </w:r>
      <w:proofErr w:type="spellEnd"/>
      <w:r w:rsidR="00E83AE7" w:rsidRPr="00E83AE7">
        <w:rPr>
          <w:rFonts w:ascii="Arial" w:hAnsi="Arial" w:cs="Arial"/>
          <w:shd w:val="clear" w:color="auto" w:fill="FFFFFF"/>
        </w:rPr>
        <w:t xml:space="preserve">, A., </w:t>
      </w:r>
      <w:proofErr w:type="spellStart"/>
      <w:r w:rsidR="00E83AE7" w:rsidRPr="00E83AE7">
        <w:rPr>
          <w:rFonts w:ascii="Arial" w:hAnsi="Arial" w:cs="Arial"/>
          <w:shd w:val="clear" w:color="auto" w:fill="FFFFFF"/>
        </w:rPr>
        <w:t>Komac</w:t>
      </w:r>
      <w:proofErr w:type="spellEnd"/>
      <w:r w:rsidR="00E83AE7" w:rsidRPr="00E83AE7">
        <w:rPr>
          <w:rFonts w:ascii="Arial" w:hAnsi="Arial" w:cs="Arial"/>
          <w:shd w:val="clear" w:color="auto" w:fill="FFFFFF"/>
        </w:rPr>
        <w:t>, B.</w:t>
      </w:r>
      <w:r w:rsidR="00E83AE7">
        <w:rPr>
          <w:rFonts w:ascii="Arial" w:hAnsi="Arial" w:cs="Arial"/>
          <w:shd w:val="clear" w:color="auto" w:fill="FFFFFF"/>
        </w:rPr>
        <w:t>,</w:t>
      </w:r>
      <w:r w:rsidRPr="00E83AE7">
        <w:rPr>
          <w:rFonts w:ascii="Arial" w:hAnsi="Arial" w:cs="Arial"/>
          <w:shd w:val="clear" w:color="auto" w:fill="FFFFFF"/>
        </w:rPr>
        <w:t xml:space="preserve"> &amp; </w:t>
      </w:r>
      <w:proofErr w:type="spellStart"/>
      <w:r w:rsidRPr="00E83AE7">
        <w:rPr>
          <w:rFonts w:ascii="Arial" w:hAnsi="Arial" w:cs="Arial"/>
          <w:shd w:val="clear" w:color="auto" w:fill="FFFFFF"/>
        </w:rPr>
        <w:t>Bačević</w:t>
      </w:r>
      <w:proofErr w:type="spellEnd"/>
      <w:r w:rsidRPr="00E83AE7">
        <w:rPr>
          <w:rFonts w:ascii="Arial" w:hAnsi="Arial" w:cs="Arial"/>
          <w:shd w:val="clear" w:color="auto" w:fill="FFFFFF"/>
        </w:rPr>
        <w:t>, N. (2018). Assessing average annual air temperature trends using the Mann–Kendall test in Kosovo. </w:t>
      </w:r>
      <w:r w:rsidRPr="00E83AE7">
        <w:rPr>
          <w:rFonts w:ascii="Arial" w:hAnsi="Arial" w:cs="Arial"/>
          <w:i/>
          <w:iCs/>
          <w:shd w:val="clear" w:color="auto" w:fill="FFFFFF"/>
        </w:rPr>
        <w:t xml:space="preserve">Acta </w:t>
      </w:r>
      <w:proofErr w:type="spellStart"/>
      <w:r w:rsidRPr="00E83AE7">
        <w:rPr>
          <w:rFonts w:ascii="Arial" w:hAnsi="Arial" w:cs="Arial"/>
          <w:i/>
          <w:iCs/>
          <w:shd w:val="clear" w:color="auto" w:fill="FFFFFF"/>
        </w:rPr>
        <w:t>Geographica</w:t>
      </w:r>
      <w:proofErr w:type="spellEnd"/>
      <w:r w:rsidRPr="00E83AE7">
        <w:rPr>
          <w:rFonts w:ascii="Arial" w:hAnsi="Arial" w:cs="Arial"/>
          <w:i/>
          <w:iCs/>
          <w:shd w:val="clear" w:color="auto" w:fill="FFFFFF"/>
        </w:rPr>
        <w:t xml:space="preserve"> </w:t>
      </w:r>
      <w:proofErr w:type="spellStart"/>
      <w:r w:rsidRPr="00E83AE7">
        <w:rPr>
          <w:rFonts w:ascii="Arial" w:hAnsi="Arial" w:cs="Arial"/>
          <w:i/>
          <w:iCs/>
          <w:shd w:val="clear" w:color="auto" w:fill="FFFFFF"/>
        </w:rPr>
        <w:t>Slovenica</w:t>
      </w:r>
      <w:proofErr w:type="spellEnd"/>
      <w:r w:rsidRPr="00E83AE7">
        <w:rPr>
          <w:rFonts w:ascii="Arial" w:hAnsi="Arial" w:cs="Arial"/>
          <w:shd w:val="clear" w:color="auto" w:fill="FFFFFF"/>
        </w:rPr>
        <w:t>, </w:t>
      </w:r>
      <w:r w:rsidRPr="00E83AE7">
        <w:rPr>
          <w:rFonts w:ascii="Arial" w:hAnsi="Arial" w:cs="Arial"/>
          <w:i/>
          <w:iCs/>
          <w:shd w:val="clear" w:color="auto" w:fill="FFFFFF"/>
        </w:rPr>
        <w:t>58</w:t>
      </w:r>
      <w:r w:rsidRPr="00E83AE7">
        <w:rPr>
          <w:rFonts w:ascii="Arial" w:hAnsi="Arial" w:cs="Arial"/>
          <w:shd w:val="clear" w:color="auto" w:fill="FFFFFF"/>
        </w:rPr>
        <w:t>(1), 7-25. DOI:</w:t>
      </w:r>
      <w:r>
        <w:rPr>
          <w:rFonts w:ascii="Arial" w:hAnsi="Arial" w:cs="Arial"/>
          <w:color w:val="222222"/>
          <w:shd w:val="clear" w:color="auto" w:fill="FFFFFF"/>
        </w:rPr>
        <w:t xml:space="preserve"> </w:t>
      </w:r>
      <w:hyperlink r:id="rId19" w:history="1">
        <w:r w:rsidRPr="00A21B4C">
          <w:rPr>
            <w:rStyle w:val="Hyperlink"/>
            <w:rFonts w:ascii="Arial" w:hAnsi="Arial" w:cs="Arial"/>
            <w:shd w:val="clear" w:color="auto" w:fill="FFFFFF"/>
          </w:rPr>
          <w:t>https://doi.org/10.3986/AGS.1309</w:t>
        </w:r>
      </w:hyperlink>
    </w:p>
    <w:p w14:paraId="5015641C" w14:textId="77777777" w:rsidR="0001403A" w:rsidRDefault="0001403A" w:rsidP="00441B6F">
      <w:pPr>
        <w:pStyle w:val="Body"/>
        <w:spacing w:after="0"/>
        <w:rPr>
          <w:rFonts w:ascii="Arial" w:hAnsi="Arial" w:cs="Arial"/>
          <w:color w:val="222222"/>
          <w:shd w:val="clear" w:color="auto" w:fill="FFFFFF"/>
        </w:rPr>
      </w:pPr>
    </w:p>
    <w:p w14:paraId="5FAE58BE" w14:textId="77777777" w:rsidR="0001403A" w:rsidRDefault="0001403A" w:rsidP="00441B6F">
      <w:pPr>
        <w:pStyle w:val="Body"/>
        <w:spacing w:after="0"/>
        <w:rPr>
          <w:rFonts w:ascii="Arial" w:hAnsi="Arial" w:cs="Arial"/>
        </w:rPr>
      </w:pPr>
      <w:r w:rsidRPr="0001403A">
        <w:rPr>
          <w:rFonts w:ascii="Arial" w:hAnsi="Arial" w:cs="Arial"/>
        </w:rPr>
        <w:t xml:space="preserve">Nyikadzino, B., </w:t>
      </w:r>
      <w:proofErr w:type="spellStart"/>
      <w:r w:rsidRPr="0001403A">
        <w:rPr>
          <w:rFonts w:ascii="Arial" w:hAnsi="Arial" w:cs="Arial"/>
        </w:rPr>
        <w:t>Chitakira</w:t>
      </w:r>
      <w:proofErr w:type="spellEnd"/>
      <w:r w:rsidRPr="0001403A">
        <w:rPr>
          <w:rFonts w:ascii="Arial" w:hAnsi="Arial" w:cs="Arial"/>
        </w:rPr>
        <w:t xml:space="preserve">, M., &amp; </w:t>
      </w:r>
      <w:proofErr w:type="spellStart"/>
      <w:r w:rsidRPr="0001403A">
        <w:rPr>
          <w:rFonts w:ascii="Arial" w:hAnsi="Arial" w:cs="Arial"/>
        </w:rPr>
        <w:t>Muchuru</w:t>
      </w:r>
      <w:proofErr w:type="spellEnd"/>
      <w:r w:rsidRPr="0001403A">
        <w:rPr>
          <w:rFonts w:ascii="Arial" w:hAnsi="Arial" w:cs="Arial"/>
        </w:rPr>
        <w:t xml:space="preserve">, S. (2020). Rainfall and runoff trend analysis in the Limpopo river basin using the Mann Kendall statistic. </w:t>
      </w:r>
      <w:r w:rsidRPr="001F1433">
        <w:rPr>
          <w:rFonts w:ascii="Arial" w:hAnsi="Arial" w:cs="Arial"/>
          <w:i/>
          <w:iCs/>
        </w:rPr>
        <w:t>Physics and Chemistry of the Earth</w:t>
      </w:r>
      <w:r w:rsidRPr="0001403A">
        <w:rPr>
          <w:rFonts w:ascii="Arial" w:hAnsi="Arial" w:cs="Arial"/>
        </w:rPr>
        <w:t>, Parts a/b/c, 117, 102870.</w:t>
      </w:r>
      <w:r>
        <w:rPr>
          <w:rFonts w:ascii="Arial" w:hAnsi="Arial" w:cs="Arial"/>
        </w:rPr>
        <w:t xml:space="preserve"> DOI: </w:t>
      </w:r>
      <w:hyperlink r:id="rId20" w:history="1">
        <w:r w:rsidRPr="00A21B4C">
          <w:rPr>
            <w:rStyle w:val="Hyperlink"/>
            <w:rFonts w:ascii="Arial" w:hAnsi="Arial" w:cs="Arial"/>
          </w:rPr>
          <w:t>https://doi.org/10.1016/j.pce.2020.102870</w:t>
        </w:r>
      </w:hyperlink>
    </w:p>
    <w:p w14:paraId="3E8F514F" w14:textId="77777777" w:rsidR="0001403A" w:rsidRDefault="0001403A" w:rsidP="00441B6F">
      <w:pPr>
        <w:pStyle w:val="Body"/>
        <w:spacing w:after="0"/>
        <w:rPr>
          <w:rFonts w:ascii="Arial" w:hAnsi="Arial" w:cs="Arial"/>
        </w:rPr>
      </w:pPr>
    </w:p>
    <w:p w14:paraId="1B2F06D6" w14:textId="11E15029" w:rsidR="0001403A" w:rsidRDefault="0001403A" w:rsidP="00441B6F">
      <w:pPr>
        <w:pStyle w:val="Body"/>
        <w:spacing w:after="0"/>
        <w:rPr>
          <w:rStyle w:val="Hyperlink"/>
          <w:rFonts w:ascii="Arial" w:hAnsi="Arial" w:cs="Arial"/>
          <w:shd w:val="clear" w:color="auto" w:fill="FFFFFF"/>
        </w:rPr>
      </w:pPr>
      <w:proofErr w:type="spellStart"/>
      <w:r w:rsidRPr="00E83AE7">
        <w:rPr>
          <w:rFonts w:ascii="Arial" w:hAnsi="Arial" w:cs="Arial"/>
          <w:shd w:val="clear" w:color="auto" w:fill="FFFFFF"/>
        </w:rPr>
        <w:t>Gocic</w:t>
      </w:r>
      <w:proofErr w:type="spellEnd"/>
      <w:r w:rsidRPr="00E83AE7">
        <w:rPr>
          <w:rFonts w:ascii="Arial" w:hAnsi="Arial" w:cs="Arial"/>
          <w:shd w:val="clear" w:color="auto" w:fill="FFFFFF"/>
        </w:rPr>
        <w:t xml:space="preserve">, M., &amp; </w:t>
      </w:r>
      <w:proofErr w:type="spellStart"/>
      <w:r w:rsidRPr="00E83AE7">
        <w:rPr>
          <w:rFonts w:ascii="Arial" w:hAnsi="Arial" w:cs="Arial"/>
          <w:shd w:val="clear" w:color="auto" w:fill="FFFFFF"/>
        </w:rPr>
        <w:t>Trajkovic</w:t>
      </w:r>
      <w:proofErr w:type="spellEnd"/>
      <w:r w:rsidRPr="00E83AE7">
        <w:rPr>
          <w:rFonts w:ascii="Arial" w:hAnsi="Arial" w:cs="Arial"/>
          <w:shd w:val="clear" w:color="auto" w:fill="FFFFFF"/>
        </w:rPr>
        <w:t>, S. (2013). Analysis of changes in meteorological variables using Mann-Kendall and Sen's slope estimator statistical tests in Serbia. </w:t>
      </w:r>
      <w:r w:rsidRPr="00E83AE7">
        <w:rPr>
          <w:rFonts w:ascii="Arial" w:hAnsi="Arial" w:cs="Arial"/>
          <w:i/>
          <w:iCs/>
          <w:shd w:val="clear" w:color="auto" w:fill="FFFFFF"/>
        </w:rPr>
        <w:t>Global and planetary change</w:t>
      </w:r>
      <w:r w:rsidRPr="00E83AE7">
        <w:rPr>
          <w:rFonts w:ascii="Arial" w:hAnsi="Arial" w:cs="Arial"/>
          <w:shd w:val="clear" w:color="auto" w:fill="FFFFFF"/>
        </w:rPr>
        <w:t>, </w:t>
      </w:r>
      <w:r w:rsidRPr="00E83AE7">
        <w:rPr>
          <w:rFonts w:ascii="Arial" w:hAnsi="Arial" w:cs="Arial"/>
          <w:i/>
          <w:iCs/>
          <w:shd w:val="clear" w:color="auto" w:fill="FFFFFF"/>
        </w:rPr>
        <w:t>100</w:t>
      </w:r>
      <w:r w:rsidRPr="00E83AE7">
        <w:rPr>
          <w:rFonts w:ascii="Arial" w:hAnsi="Arial" w:cs="Arial"/>
          <w:shd w:val="clear" w:color="auto" w:fill="FFFFFF"/>
        </w:rPr>
        <w:t>, 172-182. DOI:</w:t>
      </w:r>
      <w:r>
        <w:rPr>
          <w:rFonts w:ascii="Arial" w:hAnsi="Arial" w:cs="Arial"/>
          <w:color w:val="222222"/>
          <w:shd w:val="clear" w:color="auto" w:fill="FFFFFF"/>
        </w:rPr>
        <w:t xml:space="preserve"> </w:t>
      </w:r>
      <w:hyperlink r:id="rId21" w:history="1">
        <w:r w:rsidRPr="00A21B4C">
          <w:rPr>
            <w:rStyle w:val="Hyperlink"/>
            <w:rFonts w:ascii="Arial" w:hAnsi="Arial" w:cs="Arial"/>
            <w:shd w:val="clear" w:color="auto" w:fill="FFFFFF"/>
          </w:rPr>
          <w:t>https://doi.org/10.1016/j.gloplacha.2012.10.014</w:t>
        </w:r>
      </w:hyperlink>
    </w:p>
    <w:p w14:paraId="0BCCF928" w14:textId="517F3937" w:rsidR="002D7A70" w:rsidRDefault="002D7A70" w:rsidP="00441B6F">
      <w:pPr>
        <w:pStyle w:val="Body"/>
        <w:spacing w:after="0"/>
        <w:rPr>
          <w:rStyle w:val="Hyperlink"/>
          <w:rFonts w:ascii="Arial" w:hAnsi="Arial" w:cs="Arial"/>
          <w:shd w:val="clear" w:color="auto" w:fill="FFFFFF"/>
        </w:rPr>
      </w:pPr>
    </w:p>
    <w:p w14:paraId="18C2C9FA" w14:textId="2227C5CD" w:rsidR="002D7A70" w:rsidRPr="00E83AE7" w:rsidRDefault="002D7A70" w:rsidP="00441B6F">
      <w:pPr>
        <w:pStyle w:val="Body"/>
        <w:spacing w:after="0"/>
        <w:rPr>
          <w:rFonts w:ascii="Arial" w:hAnsi="Arial" w:cs="Arial"/>
          <w:shd w:val="clear" w:color="auto" w:fill="FFFFFF"/>
        </w:rPr>
      </w:pPr>
      <w:r w:rsidRPr="00E83AE7">
        <w:rPr>
          <w:rFonts w:ascii="Arial" w:hAnsi="Arial" w:cs="Arial"/>
          <w:shd w:val="clear" w:color="auto" w:fill="FFFFFF"/>
        </w:rPr>
        <w:t xml:space="preserve">Joshi, J. P., &amp; Bhatt, B. (2024). Time series trend analysis of temperature and rainfall using Mann-Kendall method: A study of Vadodara City, Gujarat, India. </w:t>
      </w:r>
      <w:r w:rsidRPr="00E83AE7">
        <w:rPr>
          <w:rFonts w:ascii="Arial" w:hAnsi="Arial" w:cs="Arial"/>
          <w:i/>
          <w:iCs/>
          <w:shd w:val="clear" w:color="auto" w:fill="FFFFFF"/>
        </w:rPr>
        <w:t>Asian Journal of Geographical Research</w:t>
      </w:r>
      <w:r w:rsidRPr="00E83AE7">
        <w:rPr>
          <w:rFonts w:ascii="Arial" w:hAnsi="Arial" w:cs="Arial"/>
          <w:shd w:val="clear" w:color="auto" w:fill="FFFFFF"/>
        </w:rPr>
        <w:t xml:space="preserve">, 7(2), 123-139. https://doi.org/10.9734/ajgr/2024/v7i2236  </w:t>
      </w:r>
    </w:p>
    <w:p w14:paraId="76260FFD" w14:textId="77777777" w:rsidR="0001403A" w:rsidRPr="00E83AE7" w:rsidRDefault="0001403A" w:rsidP="00441B6F">
      <w:pPr>
        <w:pStyle w:val="Body"/>
        <w:spacing w:after="0"/>
        <w:rPr>
          <w:rFonts w:ascii="Arial" w:hAnsi="Arial" w:cs="Arial"/>
          <w:shd w:val="clear" w:color="auto" w:fill="FFFFFF"/>
        </w:rPr>
      </w:pPr>
    </w:p>
    <w:p w14:paraId="2D404B5B" w14:textId="77777777" w:rsidR="0001403A" w:rsidRPr="00E83AE7" w:rsidRDefault="000F6B30" w:rsidP="00441B6F">
      <w:pPr>
        <w:pStyle w:val="Body"/>
        <w:spacing w:after="0"/>
        <w:rPr>
          <w:rFonts w:ascii="Arial" w:hAnsi="Arial" w:cs="Arial"/>
          <w:shd w:val="clear" w:color="auto" w:fill="FFFFFF"/>
        </w:rPr>
      </w:pPr>
      <w:r w:rsidRPr="00E83AE7">
        <w:rPr>
          <w:rFonts w:ascii="Arial" w:hAnsi="Arial" w:cs="Arial"/>
          <w:shd w:val="clear" w:color="auto" w:fill="FFFFFF"/>
        </w:rPr>
        <w:t>Wani, J. M., Sarda, V. K., &amp; Jain, S. K. (2017). Assessment of trends and variability of rainfall and temperature for the district of Mandi in Himachal Pradesh, India. </w:t>
      </w:r>
      <w:r w:rsidRPr="00E83AE7">
        <w:rPr>
          <w:rFonts w:ascii="Arial" w:hAnsi="Arial" w:cs="Arial"/>
          <w:i/>
          <w:iCs/>
          <w:shd w:val="clear" w:color="auto" w:fill="FFFFFF"/>
        </w:rPr>
        <w:t>Slovak Journal of Civil Engineering</w:t>
      </w:r>
      <w:r w:rsidRPr="00E83AE7">
        <w:rPr>
          <w:rFonts w:ascii="Arial" w:hAnsi="Arial" w:cs="Arial"/>
          <w:shd w:val="clear" w:color="auto" w:fill="FFFFFF"/>
        </w:rPr>
        <w:t>, </w:t>
      </w:r>
      <w:r w:rsidRPr="00E83AE7">
        <w:rPr>
          <w:rFonts w:ascii="Arial" w:hAnsi="Arial" w:cs="Arial"/>
          <w:i/>
          <w:iCs/>
          <w:shd w:val="clear" w:color="auto" w:fill="FFFFFF"/>
        </w:rPr>
        <w:t>25</w:t>
      </w:r>
      <w:r w:rsidRPr="00E83AE7">
        <w:rPr>
          <w:rFonts w:ascii="Arial" w:hAnsi="Arial" w:cs="Arial"/>
          <w:shd w:val="clear" w:color="auto" w:fill="FFFFFF"/>
        </w:rPr>
        <w:t>(3), 15. DOI: 10.1515/sjce-2017-0014</w:t>
      </w:r>
    </w:p>
    <w:p w14:paraId="1697B203" w14:textId="77777777" w:rsidR="000F6B30" w:rsidRPr="00E83AE7" w:rsidRDefault="000F6B30" w:rsidP="00441B6F">
      <w:pPr>
        <w:pStyle w:val="Body"/>
        <w:spacing w:after="0"/>
        <w:rPr>
          <w:rFonts w:ascii="Arial" w:hAnsi="Arial" w:cs="Arial"/>
          <w:shd w:val="clear" w:color="auto" w:fill="FFFFFF"/>
        </w:rPr>
      </w:pPr>
    </w:p>
    <w:p w14:paraId="5494C94C" w14:textId="77777777" w:rsidR="000F6B30" w:rsidRDefault="000F6B30" w:rsidP="00441B6F">
      <w:pPr>
        <w:pStyle w:val="Body"/>
        <w:spacing w:after="0"/>
        <w:rPr>
          <w:rFonts w:ascii="Arial" w:hAnsi="Arial" w:cs="Arial"/>
          <w:color w:val="222222"/>
          <w:shd w:val="clear" w:color="auto" w:fill="FFFFFF"/>
        </w:rPr>
      </w:pPr>
      <w:r w:rsidRPr="00E83AE7">
        <w:rPr>
          <w:rFonts w:ascii="Arial" w:hAnsi="Arial" w:cs="Arial"/>
          <w:shd w:val="clear" w:color="auto" w:fill="FFFFFF"/>
        </w:rPr>
        <w:t>Mondal, A., Khare, D., &amp; Kundu, S. (2015). Spatial and temporal analysis of rainfall and temperature trend of India. </w:t>
      </w:r>
      <w:r w:rsidRPr="00E83AE7">
        <w:rPr>
          <w:rFonts w:ascii="Arial" w:hAnsi="Arial" w:cs="Arial"/>
          <w:i/>
          <w:iCs/>
          <w:shd w:val="clear" w:color="auto" w:fill="FFFFFF"/>
        </w:rPr>
        <w:t>Theoretical and applied climatology</w:t>
      </w:r>
      <w:r w:rsidRPr="00E83AE7">
        <w:rPr>
          <w:rFonts w:ascii="Arial" w:hAnsi="Arial" w:cs="Arial"/>
          <w:shd w:val="clear" w:color="auto" w:fill="FFFFFF"/>
        </w:rPr>
        <w:t>, </w:t>
      </w:r>
      <w:r w:rsidRPr="00E83AE7">
        <w:rPr>
          <w:rFonts w:ascii="Arial" w:hAnsi="Arial" w:cs="Arial"/>
          <w:i/>
          <w:iCs/>
          <w:shd w:val="clear" w:color="auto" w:fill="FFFFFF"/>
        </w:rPr>
        <w:t>122</w:t>
      </w:r>
      <w:r w:rsidRPr="00E83AE7">
        <w:rPr>
          <w:rFonts w:ascii="Arial" w:hAnsi="Arial" w:cs="Arial"/>
          <w:shd w:val="clear" w:color="auto" w:fill="FFFFFF"/>
        </w:rPr>
        <w:t>, 143-158. DOI</w:t>
      </w:r>
      <w:r>
        <w:rPr>
          <w:rFonts w:ascii="Arial" w:hAnsi="Arial" w:cs="Arial"/>
          <w:color w:val="222222"/>
          <w:shd w:val="clear" w:color="auto" w:fill="FFFFFF"/>
        </w:rPr>
        <w:t xml:space="preserve">: </w:t>
      </w:r>
      <w:hyperlink r:id="rId22" w:history="1">
        <w:r w:rsidRPr="00A21B4C">
          <w:rPr>
            <w:rStyle w:val="Hyperlink"/>
            <w:rFonts w:ascii="Arial" w:hAnsi="Arial" w:cs="Arial"/>
            <w:shd w:val="clear" w:color="auto" w:fill="FFFFFF"/>
          </w:rPr>
          <w:t>https://doi.org/10.1007/s00704-014-1283-z</w:t>
        </w:r>
      </w:hyperlink>
    </w:p>
    <w:p w14:paraId="6AFB48E4" w14:textId="77777777" w:rsidR="000F6B30" w:rsidRDefault="000F6B30" w:rsidP="00441B6F">
      <w:pPr>
        <w:pStyle w:val="Body"/>
        <w:spacing w:after="0"/>
        <w:rPr>
          <w:rFonts w:ascii="Arial" w:hAnsi="Arial" w:cs="Arial"/>
          <w:color w:val="222222"/>
          <w:shd w:val="clear" w:color="auto" w:fill="FFFFFF"/>
        </w:rPr>
      </w:pPr>
    </w:p>
    <w:p w14:paraId="45283C54" w14:textId="20FCA911" w:rsidR="000F6B30" w:rsidRDefault="000F6B30" w:rsidP="00441B6F">
      <w:pPr>
        <w:pStyle w:val="Body"/>
        <w:spacing w:after="0"/>
        <w:rPr>
          <w:rFonts w:ascii="Arial" w:hAnsi="Arial" w:cs="Arial"/>
          <w:color w:val="222222"/>
          <w:shd w:val="clear" w:color="auto" w:fill="FFFFFF"/>
        </w:rPr>
      </w:pPr>
      <w:proofErr w:type="spellStart"/>
      <w:r w:rsidRPr="00E83AE7">
        <w:rPr>
          <w:rFonts w:ascii="Arial" w:hAnsi="Arial" w:cs="Arial"/>
          <w:shd w:val="clear" w:color="auto" w:fill="FFFFFF"/>
        </w:rPr>
        <w:lastRenderedPageBreak/>
        <w:t>Kingra</w:t>
      </w:r>
      <w:proofErr w:type="spellEnd"/>
      <w:r w:rsidRPr="00E83AE7">
        <w:rPr>
          <w:rFonts w:ascii="Arial" w:hAnsi="Arial" w:cs="Arial"/>
          <w:shd w:val="clear" w:color="auto" w:fill="FFFFFF"/>
        </w:rPr>
        <w:t>, P. K., Setia, R., Singh, S., Kaur,</w:t>
      </w:r>
      <w:r w:rsidR="00E83AE7">
        <w:rPr>
          <w:rFonts w:ascii="Arial" w:hAnsi="Arial" w:cs="Arial"/>
          <w:shd w:val="clear" w:color="auto" w:fill="FFFFFF"/>
        </w:rPr>
        <w:t xml:space="preserve"> J., Kaur, S., Singh, S. P.,</w:t>
      </w:r>
      <w:r w:rsidRPr="00E83AE7">
        <w:rPr>
          <w:rFonts w:ascii="Arial" w:hAnsi="Arial" w:cs="Arial"/>
          <w:shd w:val="clear" w:color="auto" w:fill="FFFFFF"/>
        </w:rPr>
        <w:t xml:space="preserve"> &amp; </w:t>
      </w:r>
      <w:proofErr w:type="spellStart"/>
      <w:r w:rsidRPr="00E83AE7">
        <w:rPr>
          <w:rFonts w:ascii="Arial" w:hAnsi="Arial" w:cs="Arial"/>
          <w:shd w:val="clear" w:color="auto" w:fill="FFFFFF"/>
        </w:rPr>
        <w:t>Pateriya</w:t>
      </w:r>
      <w:proofErr w:type="spellEnd"/>
      <w:r w:rsidRPr="00E83AE7">
        <w:rPr>
          <w:rFonts w:ascii="Arial" w:hAnsi="Arial" w:cs="Arial"/>
          <w:shd w:val="clear" w:color="auto" w:fill="FFFFFF"/>
        </w:rPr>
        <w:t xml:space="preserve">, B. (2017). Climatic variability and its </w:t>
      </w:r>
      <w:proofErr w:type="spellStart"/>
      <w:r w:rsidRPr="00E83AE7">
        <w:rPr>
          <w:rFonts w:ascii="Arial" w:hAnsi="Arial" w:cs="Arial"/>
          <w:shd w:val="clear" w:color="auto" w:fill="FFFFFF"/>
        </w:rPr>
        <w:t>characterisation</w:t>
      </w:r>
      <w:proofErr w:type="spellEnd"/>
      <w:r w:rsidRPr="00E83AE7">
        <w:rPr>
          <w:rFonts w:ascii="Arial" w:hAnsi="Arial" w:cs="Arial"/>
          <w:shd w:val="clear" w:color="auto" w:fill="FFFFFF"/>
        </w:rPr>
        <w:t xml:space="preserve"> over Punjab, India. </w:t>
      </w:r>
      <w:r w:rsidRPr="00E83AE7">
        <w:rPr>
          <w:rFonts w:ascii="Arial" w:hAnsi="Arial" w:cs="Arial"/>
          <w:i/>
          <w:iCs/>
          <w:shd w:val="clear" w:color="auto" w:fill="FFFFFF"/>
        </w:rPr>
        <w:t>Journal of Agrometeorology</w:t>
      </w:r>
      <w:r w:rsidRPr="00E83AE7">
        <w:rPr>
          <w:rFonts w:ascii="Arial" w:hAnsi="Arial" w:cs="Arial"/>
          <w:shd w:val="clear" w:color="auto" w:fill="FFFFFF"/>
        </w:rPr>
        <w:t>, </w:t>
      </w:r>
      <w:r w:rsidRPr="00E83AE7">
        <w:rPr>
          <w:rFonts w:ascii="Arial" w:hAnsi="Arial" w:cs="Arial"/>
          <w:i/>
          <w:iCs/>
          <w:shd w:val="clear" w:color="auto" w:fill="FFFFFF"/>
        </w:rPr>
        <w:t>19</w:t>
      </w:r>
      <w:r w:rsidRPr="00E83AE7">
        <w:rPr>
          <w:rFonts w:ascii="Arial" w:hAnsi="Arial" w:cs="Arial"/>
          <w:shd w:val="clear" w:color="auto" w:fill="FFFFFF"/>
        </w:rPr>
        <w:t>(3), 246-250. DOI:</w:t>
      </w:r>
      <w:r>
        <w:rPr>
          <w:rFonts w:ascii="Arial" w:hAnsi="Arial" w:cs="Arial"/>
          <w:color w:val="222222"/>
          <w:shd w:val="clear" w:color="auto" w:fill="FFFFFF"/>
        </w:rPr>
        <w:t xml:space="preserve"> </w:t>
      </w:r>
      <w:hyperlink r:id="rId23" w:history="1">
        <w:r w:rsidRPr="00A21B4C">
          <w:rPr>
            <w:rStyle w:val="Hyperlink"/>
            <w:rFonts w:ascii="Arial" w:hAnsi="Arial" w:cs="Arial"/>
            <w:shd w:val="clear" w:color="auto" w:fill="FFFFFF"/>
          </w:rPr>
          <w:t>https://doi.org/10.54386/jam.v19i3.664</w:t>
        </w:r>
      </w:hyperlink>
    </w:p>
    <w:p w14:paraId="339F32C4" w14:textId="77777777" w:rsidR="000F6B30" w:rsidRDefault="000F6B30" w:rsidP="00441B6F">
      <w:pPr>
        <w:pStyle w:val="Body"/>
        <w:spacing w:after="0"/>
        <w:rPr>
          <w:rFonts w:ascii="Arial" w:hAnsi="Arial" w:cs="Arial"/>
          <w:color w:val="222222"/>
          <w:shd w:val="clear" w:color="auto" w:fill="FFFFFF"/>
        </w:rPr>
      </w:pPr>
    </w:p>
    <w:p w14:paraId="7D6B5148" w14:textId="77777777" w:rsidR="000F6B30" w:rsidRDefault="000F6B30" w:rsidP="00441B6F">
      <w:pPr>
        <w:pStyle w:val="Body"/>
        <w:spacing w:after="0"/>
        <w:rPr>
          <w:rFonts w:ascii="Arial" w:hAnsi="Arial" w:cs="Arial"/>
          <w:color w:val="222222"/>
          <w:shd w:val="clear" w:color="auto" w:fill="FFFFFF"/>
        </w:rPr>
      </w:pPr>
      <w:r w:rsidRPr="00E83AE7">
        <w:rPr>
          <w:rFonts w:ascii="Arial" w:hAnsi="Arial" w:cs="Arial"/>
          <w:shd w:val="clear" w:color="auto" w:fill="FFFFFF"/>
        </w:rPr>
        <w:t xml:space="preserve">Yadav, R., Tripathi, S. K., </w:t>
      </w:r>
      <w:proofErr w:type="spellStart"/>
      <w:r w:rsidRPr="00E83AE7">
        <w:rPr>
          <w:rFonts w:ascii="Arial" w:hAnsi="Arial" w:cs="Arial"/>
          <w:shd w:val="clear" w:color="auto" w:fill="FFFFFF"/>
        </w:rPr>
        <w:t>Pranuthi</w:t>
      </w:r>
      <w:proofErr w:type="spellEnd"/>
      <w:r w:rsidRPr="00E83AE7">
        <w:rPr>
          <w:rFonts w:ascii="Arial" w:hAnsi="Arial" w:cs="Arial"/>
          <w:shd w:val="clear" w:color="auto" w:fill="FFFFFF"/>
        </w:rPr>
        <w:t>, G., &amp; Dubey, S. K. (2014). Trend analysis by Mann-Kendall test for precipitation and temperature for thirteen districts of Uttarakhand. </w:t>
      </w:r>
      <w:r w:rsidRPr="00E83AE7">
        <w:rPr>
          <w:rFonts w:ascii="Arial" w:hAnsi="Arial" w:cs="Arial"/>
          <w:i/>
          <w:iCs/>
          <w:shd w:val="clear" w:color="auto" w:fill="FFFFFF"/>
        </w:rPr>
        <w:t>Journal of Agrometeorology</w:t>
      </w:r>
      <w:r w:rsidRPr="00E83AE7">
        <w:rPr>
          <w:rFonts w:ascii="Arial" w:hAnsi="Arial" w:cs="Arial"/>
          <w:shd w:val="clear" w:color="auto" w:fill="FFFFFF"/>
        </w:rPr>
        <w:t>, </w:t>
      </w:r>
      <w:r w:rsidRPr="00E83AE7">
        <w:rPr>
          <w:rFonts w:ascii="Arial" w:hAnsi="Arial" w:cs="Arial"/>
          <w:i/>
          <w:iCs/>
          <w:shd w:val="clear" w:color="auto" w:fill="FFFFFF"/>
        </w:rPr>
        <w:t>16</w:t>
      </w:r>
      <w:r w:rsidRPr="00E83AE7">
        <w:rPr>
          <w:rFonts w:ascii="Arial" w:hAnsi="Arial" w:cs="Arial"/>
          <w:shd w:val="clear" w:color="auto" w:fill="FFFFFF"/>
        </w:rPr>
        <w:t>(2), 164-171. DOI:</w:t>
      </w:r>
      <w:r>
        <w:rPr>
          <w:rFonts w:ascii="Arial" w:hAnsi="Arial" w:cs="Arial"/>
          <w:color w:val="222222"/>
          <w:shd w:val="clear" w:color="auto" w:fill="FFFFFF"/>
        </w:rPr>
        <w:t xml:space="preserve"> </w:t>
      </w:r>
      <w:hyperlink r:id="rId24" w:history="1">
        <w:r w:rsidRPr="00A21B4C">
          <w:rPr>
            <w:rStyle w:val="Hyperlink"/>
            <w:rFonts w:ascii="Arial" w:hAnsi="Arial" w:cs="Arial"/>
            <w:shd w:val="clear" w:color="auto" w:fill="FFFFFF"/>
          </w:rPr>
          <w:t>https://doi.org/10.54386/jam.v16i2.1507</w:t>
        </w:r>
      </w:hyperlink>
    </w:p>
    <w:p w14:paraId="191A2D52" w14:textId="77777777" w:rsidR="000F6B30" w:rsidRDefault="000F6B30" w:rsidP="00441B6F">
      <w:pPr>
        <w:pStyle w:val="Body"/>
        <w:spacing w:after="0"/>
        <w:rPr>
          <w:rFonts w:ascii="Arial" w:hAnsi="Arial" w:cs="Arial"/>
          <w:color w:val="222222"/>
          <w:shd w:val="clear" w:color="auto" w:fill="FFFFFF"/>
        </w:rPr>
      </w:pPr>
    </w:p>
    <w:p w14:paraId="1C496780" w14:textId="77777777" w:rsidR="000F6B30" w:rsidRPr="00E83AE7" w:rsidRDefault="000F6B30" w:rsidP="00441B6F">
      <w:pPr>
        <w:pStyle w:val="Body"/>
        <w:spacing w:after="0"/>
        <w:rPr>
          <w:rFonts w:ascii="Arial" w:hAnsi="Arial" w:cs="Arial"/>
          <w:shd w:val="clear" w:color="auto" w:fill="FFFFFF"/>
        </w:rPr>
      </w:pPr>
      <w:r w:rsidRPr="00E83AE7">
        <w:rPr>
          <w:rFonts w:ascii="Arial" w:hAnsi="Arial" w:cs="Arial"/>
          <w:shd w:val="clear" w:color="auto" w:fill="FFFFFF"/>
        </w:rPr>
        <w:t xml:space="preserve">Vaidya, V. B., </w:t>
      </w:r>
      <w:proofErr w:type="spellStart"/>
      <w:r w:rsidRPr="00E83AE7">
        <w:rPr>
          <w:rFonts w:ascii="Arial" w:hAnsi="Arial" w:cs="Arial"/>
          <w:shd w:val="clear" w:color="auto" w:fill="FFFFFF"/>
        </w:rPr>
        <w:t>Karande</w:t>
      </w:r>
      <w:proofErr w:type="spellEnd"/>
      <w:r w:rsidRPr="00E83AE7">
        <w:rPr>
          <w:rFonts w:ascii="Arial" w:hAnsi="Arial" w:cs="Arial"/>
          <w:shd w:val="clear" w:color="auto" w:fill="FFFFFF"/>
        </w:rPr>
        <w:t xml:space="preserve">, B. I., Pandey, V., </w:t>
      </w:r>
      <w:proofErr w:type="spellStart"/>
      <w:r w:rsidRPr="00E83AE7">
        <w:rPr>
          <w:rFonts w:ascii="Arial" w:hAnsi="Arial" w:cs="Arial"/>
          <w:shd w:val="clear" w:color="auto" w:fill="FFFFFF"/>
        </w:rPr>
        <w:t>Lunagaria</w:t>
      </w:r>
      <w:proofErr w:type="spellEnd"/>
      <w:r w:rsidRPr="00E83AE7">
        <w:rPr>
          <w:rFonts w:ascii="Arial" w:hAnsi="Arial" w:cs="Arial"/>
          <w:shd w:val="clear" w:color="auto" w:fill="FFFFFF"/>
        </w:rPr>
        <w:t>, M. M., &amp; Shekh, A. M. (2008). Rainfall probability analysis for crop planning in Gujarat state. </w:t>
      </w:r>
      <w:r w:rsidRPr="00E83AE7">
        <w:rPr>
          <w:rFonts w:ascii="Arial" w:hAnsi="Arial" w:cs="Arial"/>
          <w:i/>
          <w:iCs/>
          <w:shd w:val="clear" w:color="auto" w:fill="FFFFFF"/>
        </w:rPr>
        <w:t>Journal of Agrometeorology</w:t>
      </w:r>
      <w:r w:rsidRPr="00E83AE7">
        <w:rPr>
          <w:rFonts w:ascii="Arial" w:hAnsi="Arial" w:cs="Arial"/>
          <w:shd w:val="clear" w:color="auto" w:fill="FFFFFF"/>
        </w:rPr>
        <w:t>, </w:t>
      </w:r>
      <w:r w:rsidRPr="00E83AE7">
        <w:rPr>
          <w:rFonts w:ascii="Arial" w:hAnsi="Arial" w:cs="Arial"/>
          <w:i/>
          <w:iCs/>
          <w:shd w:val="clear" w:color="auto" w:fill="FFFFFF"/>
        </w:rPr>
        <w:t>10</w:t>
      </w:r>
      <w:r w:rsidRPr="00E83AE7">
        <w:rPr>
          <w:rFonts w:ascii="Arial" w:hAnsi="Arial" w:cs="Arial"/>
          <w:shd w:val="clear" w:color="auto" w:fill="FFFFFF"/>
        </w:rPr>
        <w:t xml:space="preserve">(1-2), 183-185. </w:t>
      </w:r>
    </w:p>
    <w:p w14:paraId="471462A1" w14:textId="77777777" w:rsidR="000F6B30" w:rsidRDefault="000F6B30" w:rsidP="00441B6F">
      <w:pPr>
        <w:pStyle w:val="Body"/>
        <w:spacing w:after="0"/>
        <w:rPr>
          <w:rFonts w:ascii="Arial" w:hAnsi="Arial" w:cs="Arial"/>
          <w:color w:val="222222"/>
          <w:shd w:val="clear" w:color="auto" w:fill="FFFFFF"/>
        </w:rPr>
      </w:pPr>
    </w:p>
    <w:p w14:paraId="74189F1D" w14:textId="77777777" w:rsidR="000F6B30" w:rsidRDefault="000F6B30" w:rsidP="00441B6F">
      <w:pPr>
        <w:pStyle w:val="Body"/>
        <w:spacing w:after="0"/>
        <w:rPr>
          <w:rFonts w:ascii="Arial" w:hAnsi="Arial" w:cs="Arial"/>
        </w:rPr>
      </w:pPr>
      <w:r w:rsidRPr="000F6B30">
        <w:rPr>
          <w:rFonts w:ascii="Arial" w:hAnsi="Arial" w:cs="Arial"/>
        </w:rPr>
        <w:t xml:space="preserve">Pathak, B. S. (2006). Long-term strategies and </w:t>
      </w:r>
      <w:proofErr w:type="spellStart"/>
      <w:r w:rsidRPr="000F6B30">
        <w:rPr>
          <w:rFonts w:ascii="Arial" w:hAnsi="Arial" w:cs="Arial"/>
        </w:rPr>
        <w:t>programmes</w:t>
      </w:r>
      <w:proofErr w:type="spellEnd"/>
      <w:r w:rsidRPr="000F6B30">
        <w:rPr>
          <w:rFonts w:ascii="Arial" w:hAnsi="Arial" w:cs="Arial"/>
        </w:rPr>
        <w:t xml:space="preserve"> for mechanization of agriculture in agro climatic zone–XIII: Gujarat plains and hills region. Indian Agricultural Statistics Research Institute, 239-248.</w:t>
      </w:r>
    </w:p>
    <w:p w14:paraId="6F9D1990" w14:textId="77777777" w:rsidR="000F6B30" w:rsidRDefault="000F6B30" w:rsidP="00441B6F">
      <w:pPr>
        <w:pStyle w:val="Body"/>
        <w:spacing w:after="0"/>
        <w:rPr>
          <w:rFonts w:ascii="Arial" w:hAnsi="Arial" w:cs="Arial"/>
        </w:rPr>
      </w:pPr>
    </w:p>
    <w:p w14:paraId="78EA973B" w14:textId="77777777" w:rsidR="000F6B30" w:rsidRDefault="000F6B30" w:rsidP="00441B6F">
      <w:pPr>
        <w:pStyle w:val="Body"/>
        <w:spacing w:after="0"/>
        <w:rPr>
          <w:rFonts w:ascii="Arial" w:hAnsi="Arial" w:cs="Arial"/>
        </w:rPr>
      </w:pPr>
      <w:r w:rsidRPr="000F6B30">
        <w:rPr>
          <w:rFonts w:ascii="Arial" w:hAnsi="Arial" w:cs="Arial"/>
        </w:rPr>
        <w:t xml:space="preserve">Jain, S. K., Kumar, V., &amp; </w:t>
      </w:r>
      <w:proofErr w:type="spellStart"/>
      <w:r w:rsidRPr="000F6B30">
        <w:rPr>
          <w:rFonts w:ascii="Arial" w:hAnsi="Arial" w:cs="Arial"/>
        </w:rPr>
        <w:t>Saharia</w:t>
      </w:r>
      <w:proofErr w:type="spellEnd"/>
      <w:r w:rsidRPr="000F6B30">
        <w:rPr>
          <w:rFonts w:ascii="Arial" w:hAnsi="Arial" w:cs="Arial"/>
        </w:rPr>
        <w:t>, M. (2013</w:t>
      </w:r>
      <w:r>
        <w:rPr>
          <w:rFonts w:ascii="Arial" w:hAnsi="Arial" w:cs="Arial"/>
        </w:rPr>
        <w:t>b</w:t>
      </w:r>
      <w:r w:rsidRPr="000F6B30">
        <w:rPr>
          <w:rFonts w:ascii="Arial" w:hAnsi="Arial" w:cs="Arial"/>
        </w:rPr>
        <w:t xml:space="preserve">). Analysis of rainfall and temperature trends in northeast India. </w:t>
      </w:r>
      <w:r w:rsidRPr="00990BAF">
        <w:rPr>
          <w:rFonts w:ascii="Arial" w:hAnsi="Arial" w:cs="Arial"/>
          <w:i/>
          <w:iCs/>
        </w:rPr>
        <w:t>International Journal of Climatology</w:t>
      </w:r>
      <w:r w:rsidRPr="000F6B30">
        <w:rPr>
          <w:rFonts w:ascii="Arial" w:hAnsi="Arial" w:cs="Arial"/>
        </w:rPr>
        <w:t>, 33(4), 968-978.</w:t>
      </w:r>
      <w:r>
        <w:rPr>
          <w:rFonts w:ascii="Arial" w:hAnsi="Arial" w:cs="Arial"/>
        </w:rPr>
        <w:t xml:space="preserve"> DOI: </w:t>
      </w:r>
      <w:r w:rsidRPr="000F6B30">
        <w:rPr>
          <w:rFonts w:ascii="Arial" w:hAnsi="Arial" w:cs="Arial"/>
        </w:rPr>
        <w:t>10.1002/joc.3483</w:t>
      </w:r>
    </w:p>
    <w:p w14:paraId="5AB89E41" w14:textId="77777777" w:rsidR="004D4277" w:rsidRPr="003A3B82" w:rsidRDefault="004D4277" w:rsidP="003A3B82">
      <w:pPr>
        <w:pStyle w:val="DefAcrHead"/>
        <w:spacing w:after="0"/>
        <w:jc w:val="both"/>
        <w:rPr>
          <w:rFonts w:ascii="Arial" w:hAnsi="Arial" w:cs="Arial"/>
        </w:rPr>
        <w:sectPr w:rsidR="004D4277" w:rsidRPr="003A3B82" w:rsidSect="00D27714">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79C0C23" w14:textId="77777777" w:rsidR="00B01FCD" w:rsidRPr="00FB3A86" w:rsidRDefault="00B01FCD" w:rsidP="00441B6F">
      <w:pPr>
        <w:pStyle w:val="Appendix"/>
        <w:spacing w:after="0"/>
        <w:jc w:val="both"/>
        <w:rPr>
          <w:rFonts w:ascii="Arial" w:hAnsi="Arial" w:cs="Arial"/>
          <w:b w:val="0"/>
        </w:rPr>
      </w:pPr>
    </w:p>
    <w:sectPr w:rsidR="00B01FCD" w:rsidRPr="00FB3A86" w:rsidSect="00D277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433B" w14:textId="77777777" w:rsidR="006914FD" w:rsidRDefault="006914FD" w:rsidP="00C37E61">
      <w:r>
        <w:separator/>
      </w:r>
    </w:p>
  </w:endnote>
  <w:endnote w:type="continuationSeparator" w:id="0">
    <w:p w14:paraId="675C0CAE" w14:textId="77777777" w:rsidR="006914FD" w:rsidRDefault="006914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070B" w14:textId="77777777" w:rsidR="00782797" w:rsidRDefault="00782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4EB0" w14:textId="6A1E4CD5" w:rsidR="00782797" w:rsidRPr="009526A2" w:rsidRDefault="00782797" w:rsidP="00952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5A3A" w14:textId="38172526" w:rsidR="00782797" w:rsidRPr="00D27714" w:rsidRDefault="00782797" w:rsidP="00D277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324" w14:textId="77777777" w:rsidR="00782797" w:rsidRPr="00C37E61" w:rsidRDefault="0078279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FA8E1" w14:textId="77777777" w:rsidR="006914FD" w:rsidRDefault="006914FD" w:rsidP="00C37E61">
      <w:r>
        <w:separator/>
      </w:r>
    </w:p>
  </w:footnote>
  <w:footnote w:type="continuationSeparator" w:id="0">
    <w:p w14:paraId="4329FB17" w14:textId="77777777" w:rsidR="006914FD" w:rsidRDefault="006914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9B51D" w14:textId="6F2A9DF0" w:rsidR="00782797" w:rsidRDefault="006914FD">
    <w:pPr>
      <w:pStyle w:val="Header"/>
    </w:pPr>
    <w:r>
      <w:rPr>
        <w:noProof/>
      </w:rPr>
      <w:pict w14:anchorId="6ECAA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0A9B" w14:textId="5BEF1A61" w:rsidR="00782797" w:rsidRDefault="006914FD">
    <w:pPr>
      <w:pStyle w:val="Header"/>
    </w:pPr>
    <w:r>
      <w:rPr>
        <w:noProof/>
      </w:rPr>
      <w:pict w14:anchorId="08951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4510" w14:textId="2E639AEE" w:rsidR="00782797" w:rsidRPr="00296529" w:rsidRDefault="006914FD" w:rsidP="00296529">
    <w:pPr>
      <w:ind w:left="2160"/>
      <w:jc w:val="center"/>
      <w:rPr>
        <w:rFonts w:ascii="Times New Roman" w:eastAsia="Calibri" w:hAnsi="Times New Roman"/>
        <w:i/>
        <w:sz w:val="18"/>
        <w:szCs w:val="22"/>
      </w:rPr>
    </w:pPr>
    <w:r>
      <w:rPr>
        <w:noProof/>
      </w:rPr>
      <w:pict w14:anchorId="6A8FE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2C8450A" w14:textId="77777777" w:rsidR="00782797" w:rsidRPr="00296529" w:rsidRDefault="007827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0D5C62" w14:textId="77777777" w:rsidR="00782797" w:rsidRPr="00296529" w:rsidRDefault="007827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9E0DF1" w14:textId="77777777" w:rsidR="00782797" w:rsidRPr="00296529" w:rsidRDefault="007827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89B795" w14:textId="77777777" w:rsidR="00782797" w:rsidRDefault="007827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54B196" w14:textId="77777777" w:rsidR="00782797" w:rsidRDefault="007827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2D94E4" w14:textId="77777777" w:rsidR="00782797" w:rsidRDefault="007827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C14F" w14:textId="2EDB0FF9" w:rsidR="00782797" w:rsidRDefault="006914FD">
    <w:pPr>
      <w:pStyle w:val="Header"/>
    </w:pPr>
    <w:r>
      <w:rPr>
        <w:noProof/>
      </w:rPr>
      <w:pict w14:anchorId="1480D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5D52" w14:textId="260490B0" w:rsidR="00782797" w:rsidRDefault="006914FD">
    <w:pPr>
      <w:pStyle w:val="Header"/>
    </w:pPr>
    <w:r>
      <w:rPr>
        <w:noProof/>
      </w:rPr>
      <w:pict w14:anchorId="447A6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B495" w14:textId="522C860B" w:rsidR="00782797" w:rsidRDefault="006914FD">
    <w:pPr>
      <w:pStyle w:val="Header"/>
    </w:pPr>
    <w:r>
      <w:rPr>
        <w:noProof/>
      </w:rPr>
      <w:pict w14:anchorId="02780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55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7315C7"/>
    <w:multiLevelType w:val="hybridMultilevel"/>
    <w:tmpl w:val="D99A7A0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230"/>
    <w:rsid w:val="0001403A"/>
    <w:rsid w:val="000237E2"/>
    <w:rsid w:val="00030174"/>
    <w:rsid w:val="0004579C"/>
    <w:rsid w:val="00092E87"/>
    <w:rsid w:val="000A47FA"/>
    <w:rsid w:val="000A65D3"/>
    <w:rsid w:val="000B1E33"/>
    <w:rsid w:val="000D5D00"/>
    <w:rsid w:val="000D689F"/>
    <w:rsid w:val="000E7B7B"/>
    <w:rsid w:val="000E7D62"/>
    <w:rsid w:val="000F6B30"/>
    <w:rsid w:val="00103357"/>
    <w:rsid w:val="00123C9F"/>
    <w:rsid w:val="00124504"/>
    <w:rsid w:val="00125DEC"/>
    <w:rsid w:val="00126190"/>
    <w:rsid w:val="00130F17"/>
    <w:rsid w:val="001320BF"/>
    <w:rsid w:val="00133D93"/>
    <w:rsid w:val="001531A3"/>
    <w:rsid w:val="00163BC4"/>
    <w:rsid w:val="00191062"/>
    <w:rsid w:val="00192B72"/>
    <w:rsid w:val="001A29D8"/>
    <w:rsid w:val="001A5CAA"/>
    <w:rsid w:val="001A75F4"/>
    <w:rsid w:val="001B0427"/>
    <w:rsid w:val="001C2122"/>
    <w:rsid w:val="001D3A51"/>
    <w:rsid w:val="001D738A"/>
    <w:rsid w:val="001E10D2"/>
    <w:rsid w:val="001E25B4"/>
    <w:rsid w:val="001E44FE"/>
    <w:rsid w:val="001E6FC0"/>
    <w:rsid w:val="001F1433"/>
    <w:rsid w:val="00200595"/>
    <w:rsid w:val="00204835"/>
    <w:rsid w:val="002065E2"/>
    <w:rsid w:val="00212F4C"/>
    <w:rsid w:val="0021608A"/>
    <w:rsid w:val="002218F0"/>
    <w:rsid w:val="00231920"/>
    <w:rsid w:val="0023195C"/>
    <w:rsid w:val="00233E57"/>
    <w:rsid w:val="0024282C"/>
    <w:rsid w:val="002460DC"/>
    <w:rsid w:val="00250985"/>
    <w:rsid w:val="002556F6"/>
    <w:rsid w:val="00255E0B"/>
    <w:rsid w:val="00283105"/>
    <w:rsid w:val="00284C4C"/>
    <w:rsid w:val="00287E68"/>
    <w:rsid w:val="00296529"/>
    <w:rsid w:val="0029735F"/>
    <w:rsid w:val="002A109A"/>
    <w:rsid w:val="002B27FB"/>
    <w:rsid w:val="002B685A"/>
    <w:rsid w:val="002C57D2"/>
    <w:rsid w:val="002D7A70"/>
    <w:rsid w:val="002E0D56"/>
    <w:rsid w:val="002F0B93"/>
    <w:rsid w:val="0030376D"/>
    <w:rsid w:val="00313DA7"/>
    <w:rsid w:val="00315186"/>
    <w:rsid w:val="0033343E"/>
    <w:rsid w:val="003408F3"/>
    <w:rsid w:val="00342A42"/>
    <w:rsid w:val="00346CF2"/>
    <w:rsid w:val="003512C2"/>
    <w:rsid w:val="00363C92"/>
    <w:rsid w:val="00371FB6"/>
    <w:rsid w:val="003763C1"/>
    <w:rsid w:val="00376BBE"/>
    <w:rsid w:val="003854C8"/>
    <w:rsid w:val="00391A5D"/>
    <w:rsid w:val="0039224F"/>
    <w:rsid w:val="003A182B"/>
    <w:rsid w:val="003A1DBA"/>
    <w:rsid w:val="003A3B82"/>
    <w:rsid w:val="003A43A4"/>
    <w:rsid w:val="003A7E18"/>
    <w:rsid w:val="003C0D5D"/>
    <w:rsid w:val="003C4C86"/>
    <w:rsid w:val="003C6258"/>
    <w:rsid w:val="003E2904"/>
    <w:rsid w:val="003E661C"/>
    <w:rsid w:val="00401927"/>
    <w:rsid w:val="0041027F"/>
    <w:rsid w:val="00412475"/>
    <w:rsid w:val="00423789"/>
    <w:rsid w:val="00440F43"/>
    <w:rsid w:val="00441B6F"/>
    <w:rsid w:val="00446221"/>
    <w:rsid w:val="00450E62"/>
    <w:rsid w:val="004539DB"/>
    <w:rsid w:val="00462185"/>
    <w:rsid w:val="00471A80"/>
    <w:rsid w:val="004A772A"/>
    <w:rsid w:val="004D305E"/>
    <w:rsid w:val="004D4277"/>
    <w:rsid w:val="00502516"/>
    <w:rsid w:val="00505F06"/>
    <w:rsid w:val="00506828"/>
    <w:rsid w:val="00527C19"/>
    <w:rsid w:val="0053056E"/>
    <w:rsid w:val="00554FDA"/>
    <w:rsid w:val="00562C59"/>
    <w:rsid w:val="005B74FB"/>
    <w:rsid w:val="005C784C"/>
    <w:rsid w:val="005D17F6"/>
    <w:rsid w:val="005E5539"/>
    <w:rsid w:val="005F6795"/>
    <w:rsid w:val="00602BF5"/>
    <w:rsid w:val="00615742"/>
    <w:rsid w:val="00617FDD"/>
    <w:rsid w:val="00633614"/>
    <w:rsid w:val="00633F68"/>
    <w:rsid w:val="00636EB2"/>
    <w:rsid w:val="006375B8"/>
    <w:rsid w:val="0066510A"/>
    <w:rsid w:val="00673F9F"/>
    <w:rsid w:val="00686953"/>
    <w:rsid w:val="00687DEA"/>
    <w:rsid w:val="00687E67"/>
    <w:rsid w:val="006914FD"/>
    <w:rsid w:val="006967F7"/>
    <w:rsid w:val="006A250C"/>
    <w:rsid w:val="006B21D3"/>
    <w:rsid w:val="006B57D0"/>
    <w:rsid w:val="006D30FF"/>
    <w:rsid w:val="006D6940"/>
    <w:rsid w:val="006E07E0"/>
    <w:rsid w:val="006F11EC"/>
    <w:rsid w:val="006F7131"/>
    <w:rsid w:val="0070082C"/>
    <w:rsid w:val="00700F66"/>
    <w:rsid w:val="00715C8D"/>
    <w:rsid w:val="007233F5"/>
    <w:rsid w:val="00732FE4"/>
    <w:rsid w:val="007369E6"/>
    <w:rsid w:val="00746E59"/>
    <w:rsid w:val="00754C9A"/>
    <w:rsid w:val="0075599A"/>
    <w:rsid w:val="00756BC4"/>
    <w:rsid w:val="00761D52"/>
    <w:rsid w:val="007724C9"/>
    <w:rsid w:val="0077749E"/>
    <w:rsid w:val="00782797"/>
    <w:rsid w:val="00783E7F"/>
    <w:rsid w:val="00790ADA"/>
    <w:rsid w:val="007A7B4A"/>
    <w:rsid w:val="007D1B35"/>
    <w:rsid w:val="007D2288"/>
    <w:rsid w:val="007D4327"/>
    <w:rsid w:val="007E088F"/>
    <w:rsid w:val="007F16CF"/>
    <w:rsid w:val="007F318C"/>
    <w:rsid w:val="007F43A3"/>
    <w:rsid w:val="007F7B32"/>
    <w:rsid w:val="00804BC2"/>
    <w:rsid w:val="008051E4"/>
    <w:rsid w:val="00806541"/>
    <w:rsid w:val="0081431A"/>
    <w:rsid w:val="0083216F"/>
    <w:rsid w:val="008409E6"/>
    <w:rsid w:val="00852C48"/>
    <w:rsid w:val="0085738E"/>
    <w:rsid w:val="00860000"/>
    <w:rsid w:val="00863BD3"/>
    <w:rsid w:val="008641ED"/>
    <w:rsid w:val="00866D66"/>
    <w:rsid w:val="008671C6"/>
    <w:rsid w:val="00875803"/>
    <w:rsid w:val="008B459E"/>
    <w:rsid w:val="008B5041"/>
    <w:rsid w:val="008C2833"/>
    <w:rsid w:val="008D00AA"/>
    <w:rsid w:val="008E13AE"/>
    <w:rsid w:val="008E1506"/>
    <w:rsid w:val="008E3BBD"/>
    <w:rsid w:val="008E710C"/>
    <w:rsid w:val="008E78DE"/>
    <w:rsid w:val="008F229C"/>
    <w:rsid w:val="008F69D6"/>
    <w:rsid w:val="00902823"/>
    <w:rsid w:val="00915CA6"/>
    <w:rsid w:val="00925667"/>
    <w:rsid w:val="00927834"/>
    <w:rsid w:val="009500A6"/>
    <w:rsid w:val="009526A2"/>
    <w:rsid w:val="00957C18"/>
    <w:rsid w:val="009659BA"/>
    <w:rsid w:val="00983040"/>
    <w:rsid w:val="00990BAF"/>
    <w:rsid w:val="00997F04"/>
    <w:rsid w:val="009A7290"/>
    <w:rsid w:val="009B3FB9"/>
    <w:rsid w:val="009C2465"/>
    <w:rsid w:val="009D35A0"/>
    <w:rsid w:val="009D7EB7"/>
    <w:rsid w:val="009E048A"/>
    <w:rsid w:val="009E08E9"/>
    <w:rsid w:val="009E3DB9"/>
    <w:rsid w:val="009E4EE6"/>
    <w:rsid w:val="009E6E35"/>
    <w:rsid w:val="009F0EDA"/>
    <w:rsid w:val="00A03B96"/>
    <w:rsid w:val="00A05B19"/>
    <w:rsid w:val="00A1134E"/>
    <w:rsid w:val="00A24E7E"/>
    <w:rsid w:val="00A258C3"/>
    <w:rsid w:val="00A347C0"/>
    <w:rsid w:val="00A51431"/>
    <w:rsid w:val="00A52558"/>
    <w:rsid w:val="00A539AD"/>
    <w:rsid w:val="00A94063"/>
    <w:rsid w:val="00AA274F"/>
    <w:rsid w:val="00AA6219"/>
    <w:rsid w:val="00AA74E0"/>
    <w:rsid w:val="00AB703F"/>
    <w:rsid w:val="00AC248C"/>
    <w:rsid w:val="00AC6BB8"/>
    <w:rsid w:val="00AE008F"/>
    <w:rsid w:val="00AE2216"/>
    <w:rsid w:val="00B01FCD"/>
    <w:rsid w:val="00B1776C"/>
    <w:rsid w:val="00B17C20"/>
    <w:rsid w:val="00B4544C"/>
    <w:rsid w:val="00B52583"/>
    <w:rsid w:val="00B52896"/>
    <w:rsid w:val="00B6532B"/>
    <w:rsid w:val="00B95236"/>
    <w:rsid w:val="00B95D8C"/>
    <w:rsid w:val="00B96BD9"/>
    <w:rsid w:val="00BA1B01"/>
    <w:rsid w:val="00BA2641"/>
    <w:rsid w:val="00BA2963"/>
    <w:rsid w:val="00BB37AA"/>
    <w:rsid w:val="00BC53A0"/>
    <w:rsid w:val="00BD1274"/>
    <w:rsid w:val="00BE62AD"/>
    <w:rsid w:val="00BF121F"/>
    <w:rsid w:val="00BF1F80"/>
    <w:rsid w:val="00C033BA"/>
    <w:rsid w:val="00C042AC"/>
    <w:rsid w:val="00C166EF"/>
    <w:rsid w:val="00C17EB0"/>
    <w:rsid w:val="00C27F5F"/>
    <w:rsid w:val="00C30A0F"/>
    <w:rsid w:val="00C37E61"/>
    <w:rsid w:val="00C55C2B"/>
    <w:rsid w:val="00C70F1B"/>
    <w:rsid w:val="00C71A47"/>
    <w:rsid w:val="00C7464C"/>
    <w:rsid w:val="00C85588"/>
    <w:rsid w:val="00CB7A24"/>
    <w:rsid w:val="00CD6755"/>
    <w:rsid w:val="00CD6856"/>
    <w:rsid w:val="00CE0089"/>
    <w:rsid w:val="00CE793C"/>
    <w:rsid w:val="00CF193C"/>
    <w:rsid w:val="00D173F1"/>
    <w:rsid w:val="00D27714"/>
    <w:rsid w:val="00D4268A"/>
    <w:rsid w:val="00D453C8"/>
    <w:rsid w:val="00D74CB0"/>
    <w:rsid w:val="00D8295D"/>
    <w:rsid w:val="00D93DBF"/>
    <w:rsid w:val="00DA532B"/>
    <w:rsid w:val="00DA5787"/>
    <w:rsid w:val="00DB7BB3"/>
    <w:rsid w:val="00DC2A65"/>
    <w:rsid w:val="00DE10BA"/>
    <w:rsid w:val="00DE15F0"/>
    <w:rsid w:val="00DE1A3C"/>
    <w:rsid w:val="00DE5663"/>
    <w:rsid w:val="00DE78AA"/>
    <w:rsid w:val="00E053D0"/>
    <w:rsid w:val="00E06928"/>
    <w:rsid w:val="00E13227"/>
    <w:rsid w:val="00E14D92"/>
    <w:rsid w:val="00E15994"/>
    <w:rsid w:val="00E3114E"/>
    <w:rsid w:val="00E311F2"/>
    <w:rsid w:val="00E315D8"/>
    <w:rsid w:val="00E31A70"/>
    <w:rsid w:val="00E35B02"/>
    <w:rsid w:val="00E66496"/>
    <w:rsid w:val="00E66B35"/>
    <w:rsid w:val="00E66E10"/>
    <w:rsid w:val="00E71C65"/>
    <w:rsid w:val="00E7683E"/>
    <w:rsid w:val="00E769F6"/>
    <w:rsid w:val="00E83AE7"/>
    <w:rsid w:val="00E8407C"/>
    <w:rsid w:val="00E84F3C"/>
    <w:rsid w:val="00EA012C"/>
    <w:rsid w:val="00EC0BCD"/>
    <w:rsid w:val="00EC6A55"/>
    <w:rsid w:val="00ED0288"/>
    <w:rsid w:val="00EE52CB"/>
    <w:rsid w:val="00EF581D"/>
    <w:rsid w:val="00EF7FD8"/>
    <w:rsid w:val="00F06F59"/>
    <w:rsid w:val="00F17988"/>
    <w:rsid w:val="00F3208C"/>
    <w:rsid w:val="00F469F0"/>
    <w:rsid w:val="00F53273"/>
    <w:rsid w:val="00F568B0"/>
    <w:rsid w:val="00F6496E"/>
    <w:rsid w:val="00F755E4"/>
    <w:rsid w:val="00F77D02"/>
    <w:rsid w:val="00F93886"/>
    <w:rsid w:val="00FB3A86"/>
    <w:rsid w:val="00FD1486"/>
    <w:rsid w:val="00FD36C8"/>
    <w:rsid w:val="00FD4B81"/>
    <w:rsid w:val="00FE14E1"/>
    <w:rsid w:val="00FF3E2B"/>
    <w:rsid w:val="00FF5AD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00349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E1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8E78D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5C2B"/>
    <w:pPr>
      <w:widowControl w:val="0"/>
      <w:autoSpaceDE w:val="0"/>
      <w:autoSpaceDN w:val="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DE1A3C"/>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9526A2"/>
    <w:rPr>
      <w:color w:val="605E5C"/>
      <w:shd w:val="clear" w:color="auto" w:fill="E1DFDD"/>
    </w:rPr>
  </w:style>
  <w:style w:type="character" w:customStyle="1" w:styleId="katex-mathml">
    <w:name w:val="katex-mathml"/>
    <w:basedOn w:val="DefaultParagraphFont"/>
    <w:rsid w:val="00700F66"/>
  </w:style>
  <w:style w:type="character" w:customStyle="1" w:styleId="mord">
    <w:name w:val="mord"/>
    <w:basedOn w:val="DefaultParagraphFont"/>
    <w:rsid w:val="00700F66"/>
  </w:style>
  <w:style w:type="character" w:customStyle="1" w:styleId="vlist-s">
    <w:name w:val="vlist-s"/>
    <w:basedOn w:val="DefaultParagraphFont"/>
    <w:rsid w:val="0070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4975816">
      <w:bodyDiv w:val="1"/>
      <w:marLeft w:val="0"/>
      <w:marRight w:val="0"/>
      <w:marTop w:val="0"/>
      <w:marBottom w:val="0"/>
      <w:divBdr>
        <w:top w:val="none" w:sz="0" w:space="0" w:color="auto"/>
        <w:left w:val="none" w:sz="0" w:space="0" w:color="auto"/>
        <w:bottom w:val="none" w:sz="0" w:space="0" w:color="auto"/>
        <w:right w:val="none" w:sz="0" w:space="0" w:color="auto"/>
      </w:divBdr>
    </w:div>
    <w:div w:id="846098205">
      <w:bodyDiv w:val="1"/>
      <w:marLeft w:val="0"/>
      <w:marRight w:val="0"/>
      <w:marTop w:val="0"/>
      <w:marBottom w:val="0"/>
      <w:divBdr>
        <w:top w:val="none" w:sz="0" w:space="0" w:color="auto"/>
        <w:left w:val="none" w:sz="0" w:space="0" w:color="auto"/>
        <w:bottom w:val="none" w:sz="0" w:space="0" w:color="auto"/>
        <w:right w:val="none" w:sz="0" w:space="0" w:color="auto"/>
      </w:divBdr>
      <w:divsChild>
        <w:div w:id="135805323">
          <w:marLeft w:val="0"/>
          <w:marRight w:val="0"/>
          <w:marTop w:val="0"/>
          <w:marBottom w:val="0"/>
          <w:divBdr>
            <w:top w:val="none" w:sz="0" w:space="0" w:color="auto"/>
            <w:left w:val="none" w:sz="0" w:space="0" w:color="auto"/>
            <w:bottom w:val="none" w:sz="0" w:space="0" w:color="auto"/>
            <w:right w:val="none" w:sz="0" w:space="0" w:color="auto"/>
          </w:divBdr>
        </w:div>
      </w:divsChild>
    </w:div>
    <w:div w:id="8627869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53706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7981968">
      <w:bodyDiv w:val="1"/>
      <w:marLeft w:val="0"/>
      <w:marRight w:val="0"/>
      <w:marTop w:val="0"/>
      <w:marBottom w:val="0"/>
      <w:divBdr>
        <w:top w:val="none" w:sz="0" w:space="0" w:color="auto"/>
        <w:left w:val="none" w:sz="0" w:space="0" w:color="auto"/>
        <w:bottom w:val="none" w:sz="0" w:space="0" w:color="auto"/>
        <w:right w:val="none" w:sz="0" w:space="0" w:color="auto"/>
      </w:divBdr>
    </w:div>
    <w:div w:id="16978033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832011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2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54/cr0095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gloplacha.2012.10.0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959683613483618"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36/jech-2012-201045" TargetMode="External"/><Relationship Id="rId20" Type="http://schemas.openxmlformats.org/officeDocument/2006/relationships/hyperlink" Target="https://doi.org/10.1016/j.pce.2020.1028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4386/jam.v16i2.1507" TargetMode="External"/><Relationship Id="rId5" Type="http://schemas.openxmlformats.org/officeDocument/2006/relationships/webSettings" Target="webSettings.xml"/><Relationship Id="rId15" Type="http://schemas.openxmlformats.org/officeDocument/2006/relationships/hyperlink" Target="https://doi.org/10.54386/jam.v20i2.532" TargetMode="External"/><Relationship Id="rId23" Type="http://schemas.openxmlformats.org/officeDocument/2006/relationships/hyperlink" Target="https://doi.org/10.54386/jam.v19i3.664"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986/AGS.13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07/s00704-014-1283-z"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961BD-D960-4CFD-A333-BD4DD7E8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281</TotalTime>
  <Pages>11</Pages>
  <Words>2786</Words>
  <Characters>21903</Characters>
  <Application>Microsoft Office Word</Application>
  <DocSecurity>0</DocSecurity>
  <Lines>1991</Lines>
  <Paragraphs>1299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103</cp:revision>
  <cp:lastPrinted>1999-07-06T11:00:00Z</cp:lastPrinted>
  <dcterms:created xsi:type="dcterms:W3CDTF">2014-10-25T14:34:00Z</dcterms:created>
  <dcterms:modified xsi:type="dcterms:W3CDTF">2025-05-05T07:52:00Z</dcterms:modified>
</cp:coreProperties>
</file>