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3D0" w:rsidRPr="00FB0A57" w:rsidRDefault="00ED03D0" w:rsidP="004A543E">
      <w:pPr>
        <w:jc w:val="center"/>
        <w:rPr>
          <w:rFonts w:ascii="Times New Roman" w:hAnsi="Times New Roman" w:cs="Times New Roman"/>
          <w:b/>
          <w:bCs/>
        </w:rPr>
      </w:pPr>
      <w:r w:rsidRPr="00FB0A57">
        <w:rPr>
          <w:rFonts w:ascii="Times New Roman" w:hAnsi="Times New Roman" w:cs="Times New Roman"/>
          <w:b/>
          <w:bCs/>
        </w:rPr>
        <w:t>Biochemical Implications and Strategic Utilization of Alternative Feed Ingredients in Nigerian Poultry Production: Challenges, Gaps, and Future Perspectives</w:t>
      </w:r>
    </w:p>
    <w:p w:rsidR="00ED03D0" w:rsidRPr="00FB0A57" w:rsidRDefault="00ED03D0" w:rsidP="004A543E">
      <w:pPr>
        <w:jc w:val="center"/>
        <w:rPr>
          <w:rFonts w:ascii="Times New Roman" w:hAnsi="Times New Roman" w:cs="Times New Roman"/>
          <w:b/>
          <w:bCs/>
        </w:rPr>
      </w:pPr>
    </w:p>
    <w:p w:rsidR="004A543E" w:rsidRPr="00FB0A57" w:rsidRDefault="004A543E" w:rsidP="004A543E">
      <w:pPr>
        <w:jc w:val="both"/>
        <w:rPr>
          <w:rFonts w:ascii="Times New Roman" w:hAnsi="Times New Roman" w:cs="Times New Roman"/>
          <w:b/>
          <w:bCs/>
        </w:rPr>
      </w:pPr>
    </w:p>
    <w:p w:rsidR="0075401E" w:rsidRPr="0075401E" w:rsidRDefault="0075401E" w:rsidP="004A543E">
      <w:pPr>
        <w:jc w:val="both"/>
        <w:rPr>
          <w:rFonts w:ascii="Times New Roman" w:hAnsi="Times New Roman" w:cs="Times New Roman"/>
        </w:rPr>
      </w:pPr>
      <w:r w:rsidRPr="0075401E">
        <w:rPr>
          <w:rFonts w:ascii="Times New Roman" w:hAnsi="Times New Roman" w:cs="Times New Roman"/>
          <w:b/>
          <w:bCs/>
        </w:rPr>
        <w:t>Abstract</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The escalating costs and inconsistent availability of conventional poultry feed ingredients, notably maize and soybean meal, have prompted Nigerian poultry producers to explore alternative feed ingredients (AFIs), including agro-industrial by-products. While AFIs offer notable economic incentives, their potential biochemical impacts on poultry health warrant careful evaluation. This review synthesizes current knowledge on the biochemical responses of poultry to common AFIs utilized in Nigeria—specifically cassava peels, palm kernel cake, moringa leaf meal, maggot meal, and brewers' dried grains. Focus is placed on critical markers such as liver enzymes (AST, ALT, </w:t>
      </w:r>
      <w:proofErr w:type="gramStart"/>
      <w:r w:rsidRPr="0075401E">
        <w:rPr>
          <w:rFonts w:ascii="Times New Roman" w:hAnsi="Times New Roman" w:cs="Times New Roman"/>
        </w:rPr>
        <w:t>ALP</w:t>
      </w:r>
      <w:proofErr w:type="gramEnd"/>
      <w:r w:rsidRPr="0075401E">
        <w:rPr>
          <w:rFonts w:ascii="Times New Roman" w:hAnsi="Times New Roman" w:cs="Times New Roman"/>
        </w:rPr>
        <w:t>), oxidative stress indicators (MDA, catalase, SOD), serum lipid profiles, and immune function parameters. Evidence indicates that while certain AFIs enhance antioxidant defenses and reduce feed costs, others—particularly when improperly processed or used at excessive levels—may precipitate liver dysfunction, lipid imbalances, or compromised nutrient assimilation. These findings highlight the necessity of incorporating biochemical assessments into feed evaluation protocols. The review further advocates for integrative research linking biochemical markers with performance outcomes to define safe inclusion thresholds and support the sustainable advancement of poultry production systems in Nigeria.</w:t>
      </w:r>
    </w:p>
    <w:p w:rsidR="001E6231" w:rsidRPr="00FB0A57" w:rsidRDefault="00FB1876" w:rsidP="004A543E">
      <w:pPr>
        <w:jc w:val="both"/>
        <w:rPr>
          <w:rFonts w:ascii="Times New Roman" w:hAnsi="Times New Roman" w:cs="Times New Roman"/>
          <w:b/>
          <w:bCs/>
        </w:rPr>
      </w:pPr>
      <w:r w:rsidRPr="00FB1876">
        <w:rPr>
          <w:rFonts w:ascii="Times New Roman" w:hAnsi="Times New Roman" w:cs="Times New Roman"/>
          <w:b/>
          <w:bCs/>
        </w:rPr>
        <w:t>Keywords:</w:t>
      </w:r>
      <w:r w:rsidRPr="00FB0A57">
        <w:rPr>
          <w:rFonts w:ascii="Times New Roman" w:hAnsi="Times New Roman" w:cs="Times New Roman"/>
          <w:b/>
          <w:bCs/>
        </w:rPr>
        <w:t xml:space="preserve"> </w:t>
      </w:r>
    </w:p>
    <w:p w:rsidR="00FB1876" w:rsidRPr="00FB0A57" w:rsidRDefault="00FB1876" w:rsidP="004A543E">
      <w:pPr>
        <w:jc w:val="both"/>
        <w:rPr>
          <w:rFonts w:ascii="Times New Roman" w:hAnsi="Times New Roman" w:cs="Times New Roman"/>
        </w:rPr>
      </w:pPr>
      <w:r w:rsidRPr="00FB1876">
        <w:rPr>
          <w:rFonts w:ascii="Times New Roman" w:hAnsi="Times New Roman" w:cs="Times New Roman"/>
        </w:rPr>
        <w:t xml:space="preserve">Alternative </w:t>
      </w:r>
      <w:r w:rsidR="00561285">
        <w:rPr>
          <w:rFonts w:ascii="Times New Roman" w:hAnsi="Times New Roman" w:cs="Times New Roman"/>
        </w:rPr>
        <w:t>F</w:t>
      </w:r>
      <w:r w:rsidRPr="00FB1876">
        <w:rPr>
          <w:rFonts w:ascii="Times New Roman" w:hAnsi="Times New Roman" w:cs="Times New Roman"/>
        </w:rPr>
        <w:t xml:space="preserve">eed </w:t>
      </w:r>
      <w:r w:rsidR="00561285">
        <w:rPr>
          <w:rFonts w:ascii="Times New Roman" w:hAnsi="Times New Roman" w:cs="Times New Roman"/>
        </w:rPr>
        <w:t>I</w:t>
      </w:r>
      <w:r w:rsidRPr="00FB1876">
        <w:rPr>
          <w:rFonts w:ascii="Times New Roman" w:hAnsi="Times New Roman" w:cs="Times New Roman"/>
        </w:rPr>
        <w:t>ngredients (AFIs)</w:t>
      </w:r>
      <w:r w:rsidRPr="00FB0A57">
        <w:rPr>
          <w:rFonts w:ascii="Times New Roman" w:hAnsi="Times New Roman" w:cs="Times New Roman"/>
        </w:rPr>
        <w:t xml:space="preserve">, </w:t>
      </w:r>
      <w:r w:rsidRPr="00FB1876">
        <w:rPr>
          <w:rFonts w:ascii="Times New Roman" w:hAnsi="Times New Roman" w:cs="Times New Roman"/>
        </w:rPr>
        <w:t xml:space="preserve">Poultry </w:t>
      </w:r>
      <w:r w:rsidR="00561285">
        <w:rPr>
          <w:rFonts w:ascii="Times New Roman" w:hAnsi="Times New Roman" w:cs="Times New Roman"/>
        </w:rPr>
        <w:t>N</w:t>
      </w:r>
      <w:r w:rsidRPr="00FB1876">
        <w:rPr>
          <w:rFonts w:ascii="Times New Roman" w:hAnsi="Times New Roman" w:cs="Times New Roman"/>
        </w:rPr>
        <w:t>utrition</w:t>
      </w:r>
      <w:r w:rsidRPr="00FB0A57">
        <w:rPr>
          <w:rFonts w:ascii="Times New Roman" w:hAnsi="Times New Roman" w:cs="Times New Roman"/>
        </w:rPr>
        <w:t xml:space="preserve">, </w:t>
      </w:r>
      <w:r w:rsidRPr="00FB1876">
        <w:rPr>
          <w:rFonts w:ascii="Times New Roman" w:hAnsi="Times New Roman" w:cs="Times New Roman"/>
        </w:rPr>
        <w:t xml:space="preserve">Biochemical </w:t>
      </w:r>
      <w:r w:rsidR="00561285">
        <w:rPr>
          <w:rFonts w:ascii="Times New Roman" w:hAnsi="Times New Roman" w:cs="Times New Roman"/>
        </w:rPr>
        <w:t>M</w:t>
      </w:r>
      <w:r w:rsidRPr="00FB1876">
        <w:rPr>
          <w:rFonts w:ascii="Times New Roman" w:hAnsi="Times New Roman" w:cs="Times New Roman"/>
        </w:rPr>
        <w:t>arkers</w:t>
      </w:r>
      <w:r w:rsidRPr="00FB0A57">
        <w:rPr>
          <w:rFonts w:ascii="Times New Roman" w:hAnsi="Times New Roman" w:cs="Times New Roman"/>
        </w:rPr>
        <w:t xml:space="preserve">, </w:t>
      </w:r>
      <w:r w:rsidRPr="00FB1876">
        <w:rPr>
          <w:rFonts w:ascii="Times New Roman" w:hAnsi="Times New Roman" w:cs="Times New Roman"/>
        </w:rPr>
        <w:t xml:space="preserve">Sustainable </w:t>
      </w:r>
      <w:r w:rsidR="00561285">
        <w:rPr>
          <w:rFonts w:ascii="Times New Roman" w:hAnsi="Times New Roman" w:cs="Times New Roman"/>
        </w:rPr>
        <w:t>P</w:t>
      </w:r>
      <w:r w:rsidRPr="00FB1876">
        <w:rPr>
          <w:rFonts w:ascii="Times New Roman" w:hAnsi="Times New Roman" w:cs="Times New Roman"/>
        </w:rPr>
        <w:t xml:space="preserve">oultry </w:t>
      </w:r>
      <w:r w:rsidR="00561285">
        <w:rPr>
          <w:rFonts w:ascii="Times New Roman" w:hAnsi="Times New Roman" w:cs="Times New Roman"/>
        </w:rPr>
        <w:t>P</w:t>
      </w:r>
      <w:r w:rsidRPr="00FB1876">
        <w:rPr>
          <w:rFonts w:ascii="Times New Roman" w:hAnsi="Times New Roman" w:cs="Times New Roman"/>
        </w:rPr>
        <w:t>roduction</w:t>
      </w:r>
      <w:r w:rsidRPr="00FB0A57">
        <w:rPr>
          <w:rFonts w:ascii="Times New Roman" w:hAnsi="Times New Roman" w:cs="Times New Roman"/>
        </w:rPr>
        <w:t xml:space="preserve">, </w:t>
      </w:r>
      <w:r w:rsidRPr="00FB1876">
        <w:rPr>
          <w:rFonts w:ascii="Times New Roman" w:hAnsi="Times New Roman" w:cs="Times New Roman"/>
        </w:rPr>
        <w:t xml:space="preserve">Feed </w:t>
      </w:r>
      <w:r w:rsidR="00561285">
        <w:rPr>
          <w:rFonts w:ascii="Times New Roman" w:hAnsi="Times New Roman" w:cs="Times New Roman"/>
        </w:rPr>
        <w:t>S</w:t>
      </w:r>
      <w:r w:rsidRPr="00FB1876">
        <w:rPr>
          <w:rFonts w:ascii="Times New Roman" w:hAnsi="Times New Roman" w:cs="Times New Roman"/>
        </w:rPr>
        <w:t xml:space="preserve">afety </w:t>
      </w:r>
      <w:r w:rsidR="00561285">
        <w:rPr>
          <w:rFonts w:ascii="Times New Roman" w:hAnsi="Times New Roman" w:cs="Times New Roman"/>
        </w:rPr>
        <w:t>R</w:t>
      </w:r>
      <w:r w:rsidRPr="00FB1876">
        <w:rPr>
          <w:rFonts w:ascii="Times New Roman" w:hAnsi="Times New Roman" w:cs="Times New Roman"/>
        </w:rPr>
        <w:t>egulation</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1. Introduction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Poultry production forms a critical part of Nigeria’s livestock industry, playing a major role in enhancing food security, creating employment opportunities, and supporting household incomes. Yet, feed remains the single largest expense in poultry farming, accounting for up to 70% of total production costs (</w:t>
      </w:r>
      <w:proofErr w:type="spellStart"/>
      <w:r w:rsidRPr="0075401E">
        <w:rPr>
          <w:rFonts w:ascii="Times New Roman" w:hAnsi="Times New Roman" w:cs="Times New Roman"/>
        </w:rPr>
        <w:t>Olomu</w:t>
      </w:r>
      <w:proofErr w:type="spellEnd"/>
      <w:r w:rsidRPr="0075401E">
        <w:rPr>
          <w:rFonts w:ascii="Times New Roman" w:hAnsi="Times New Roman" w:cs="Times New Roman"/>
        </w:rPr>
        <w:t xml:space="preserve">, 2011). Traditionally, Nigerian poultry diets have depended heavily on </w:t>
      </w:r>
      <w:proofErr w:type="gramStart"/>
      <w:r w:rsidRPr="0075401E">
        <w:rPr>
          <w:rFonts w:ascii="Times New Roman" w:hAnsi="Times New Roman" w:cs="Times New Roman"/>
        </w:rPr>
        <w:t>maize</w:t>
      </w:r>
      <w:proofErr w:type="gramEnd"/>
      <w:r w:rsidRPr="0075401E">
        <w:rPr>
          <w:rFonts w:ascii="Times New Roman" w:hAnsi="Times New Roman" w:cs="Times New Roman"/>
        </w:rPr>
        <w:t xml:space="preserve"> and soybean meal. However, this reliance has increasingly been undermined by volatile market prices, seasonal supply disruptions, and growing competition between animal feed industries and human food demands.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In response, attention has shifted toward the use of alternative feed ingredients (AFIs)—locally available, non-conventional feed resources—as a strategy to reduce costs and enhance the sustainability of poultry production (</w:t>
      </w:r>
      <w:proofErr w:type="spellStart"/>
      <w:r w:rsidR="001B5DA3">
        <w:rPr>
          <w:rFonts w:ascii="Times New Roman" w:hAnsi="Times New Roman" w:cs="Times New Roman"/>
        </w:rPr>
        <w:t>Esonu</w:t>
      </w:r>
      <w:proofErr w:type="spellEnd"/>
      <w:r w:rsidR="001B5DA3">
        <w:rPr>
          <w:rFonts w:ascii="Times New Roman" w:hAnsi="Times New Roman" w:cs="Times New Roman"/>
        </w:rPr>
        <w:t xml:space="preserve"> et al</w:t>
      </w:r>
      <w:r w:rsidR="00241CD0">
        <w:rPr>
          <w:rFonts w:ascii="Times New Roman" w:hAnsi="Times New Roman" w:cs="Times New Roman"/>
        </w:rPr>
        <w:t>., 2007;</w:t>
      </w:r>
      <w:r w:rsidR="001B5DA3">
        <w:rPr>
          <w:rFonts w:ascii="Times New Roman" w:hAnsi="Times New Roman" w:cs="Times New Roman"/>
        </w:rPr>
        <w:t>.,</w:t>
      </w:r>
      <w:r w:rsidR="00E0254F">
        <w:rPr>
          <w:rFonts w:ascii="Times New Roman" w:hAnsi="Times New Roman" w:cs="Times New Roman"/>
        </w:rPr>
        <w:t>Olowoyeye</w:t>
      </w:r>
      <w:r w:rsidRPr="0075401E">
        <w:rPr>
          <w:rFonts w:ascii="Times New Roman" w:hAnsi="Times New Roman" w:cs="Times New Roman"/>
        </w:rPr>
        <w:t xml:space="preserve"> et al., 20</w:t>
      </w:r>
      <w:r w:rsidR="00E0254F">
        <w:rPr>
          <w:rFonts w:ascii="Times New Roman" w:hAnsi="Times New Roman" w:cs="Times New Roman"/>
        </w:rPr>
        <w:t>19</w:t>
      </w:r>
      <w:r w:rsidRPr="0075401E">
        <w:rPr>
          <w:rFonts w:ascii="Times New Roman" w:hAnsi="Times New Roman" w:cs="Times New Roman"/>
        </w:rPr>
        <w:t xml:space="preserve">). Among the promising candidates are cassava peels, palm kernel cake (PKC), moringa leaf meal, insect meals, </w:t>
      </w:r>
      <w:r w:rsidRPr="0075401E">
        <w:rPr>
          <w:rFonts w:ascii="Times New Roman" w:hAnsi="Times New Roman" w:cs="Times New Roman"/>
        </w:rPr>
        <w:lastRenderedPageBreak/>
        <w:t>and brewers' dried grains (BDG), each offering potential as affordable sources of energy and protein.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However, much of the existing research on AFIs has concentrated narrowly on external performance indicators such as growth rate, feed intake, and feed conversion efficiency. While valuable, this performance-focused approach often overlooks critical internal physiological responses that determine animal health, welfare, and long-term productivity. Biochemical evaluations—analyzing liver and kidney function markers, immune system parameters, and antioxidant status—provide a more comprehensive understanding of how AFIs influence metabolic health in poultry ( </w:t>
      </w:r>
      <w:proofErr w:type="spellStart"/>
      <w:r w:rsidR="00FF545E">
        <w:rPr>
          <w:rFonts w:ascii="Times New Roman" w:hAnsi="Times New Roman" w:cs="Times New Roman"/>
        </w:rPr>
        <w:t>Amevor</w:t>
      </w:r>
      <w:proofErr w:type="spellEnd"/>
      <w:r w:rsidRPr="0075401E">
        <w:rPr>
          <w:rFonts w:ascii="Times New Roman" w:hAnsi="Times New Roman" w:cs="Times New Roman"/>
        </w:rPr>
        <w:t xml:space="preserve"> et al., 20</w:t>
      </w:r>
      <w:r w:rsidR="007D7B50">
        <w:rPr>
          <w:rFonts w:ascii="Times New Roman" w:hAnsi="Times New Roman" w:cs="Times New Roman"/>
        </w:rPr>
        <w:t>25</w:t>
      </w:r>
      <w:r w:rsidRPr="0075401E">
        <w:rPr>
          <w:rFonts w:ascii="Times New Roman" w:hAnsi="Times New Roman" w:cs="Times New Roman"/>
        </w:rPr>
        <w:t>).</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This review seeks to address this gap by examining the biochemical impacts of commonly used AFIs within the context of Nigerian poultry nutrition. Specifically, it evaluates changes in blood biochemistry and tissue biomarkers that signal physiological status and potential toxicological risks associated with AFI inclusion. By integrating these insights, the review aims to inform not only academic research and feed formulation practices but also regulatory standards and farmer education initiatives to promote safer, more sustainable poultry production systems.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 Overview of Common Alternative Feed Ingredients in Nigeria</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2.1 Cassava Peels and Fermented Cassava Products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Cassava peels, an abundant agro-industrial by-product, are widely available in Nigeria due to the extensive cultivation and processing of cassava. They offer a low-cost alternative to maize in poultry diets and have become increasingly attractive to feed millers aiming to reduce production costs (Bello et al., 2015). Fermentation, particularly when cassava peels are combined with palm kernel cake, has been shown to enhance their nutritional profile, allowing up to 50% substitution of conventional energy sources without negatively affecting growth performance (</w:t>
      </w:r>
      <w:proofErr w:type="spellStart"/>
      <w:r w:rsidRPr="0075401E">
        <w:rPr>
          <w:rFonts w:ascii="Times New Roman" w:hAnsi="Times New Roman" w:cs="Times New Roman"/>
        </w:rPr>
        <w:t>Obongekpe</w:t>
      </w:r>
      <w:proofErr w:type="spellEnd"/>
      <w:r w:rsidRPr="0075401E">
        <w:rPr>
          <w:rFonts w:ascii="Times New Roman" w:hAnsi="Times New Roman" w:cs="Times New Roman"/>
        </w:rPr>
        <w:t>, 2020). However, cassava peels naturally contain cyanogenic glycosides, which can be toxic if improperly processed. Traditional methods such as sun-drying, soaking, boiling, or ensiling have been proven effective in significantly reducing cyanide content to safe levels for animal consumption (Okah &amp; Ebere, 2017). Nonetheless, their high fiber content remains a constraint in poultry diets, necessitating the use of fiber-degrading enzymes or supplementation with protein-rich ingredients to improve overall digestibility.</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2.2 Palm Kernel Cake (PKC)</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Palm kernel cake (PKC) is another widely utilized by-product in Nigerian poultry nutrition, valued for its affordability and consistent availability. Despite its economic benefits, PKC presents limitations due to its high fiber content and relatively low lysine levels, both of which can impair nutrient digestibility and protein quality (</w:t>
      </w:r>
      <w:proofErr w:type="spellStart"/>
      <w:r w:rsidRPr="0075401E">
        <w:rPr>
          <w:rFonts w:ascii="Times New Roman" w:hAnsi="Times New Roman" w:cs="Times New Roman"/>
        </w:rPr>
        <w:t>Moseri</w:t>
      </w:r>
      <w:proofErr w:type="spellEnd"/>
      <w:r w:rsidRPr="0075401E">
        <w:rPr>
          <w:rFonts w:ascii="Times New Roman" w:hAnsi="Times New Roman" w:cs="Times New Roman"/>
        </w:rPr>
        <w:t xml:space="preserve"> et al., 2020). To address these challenges, processing methods such as microbial fermentation and enzyme supplementation are commonly employed. Fermentation, in particular, has been shown to improve nutrient bioavailability by breaking down fibrous components and enhancing protein digestibility. Studies indicate that diets </w:t>
      </w:r>
      <w:r w:rsidRPr="0075401E">
        <w:rPr>
          <w:rFonts w:ascii="Times New Roman" w:hAnsi="Times New Roman" w:cs="Times New Roman"/>
        </w:rPr>
        <w:lastRenderedPageBreak/>
        <w:t>incorporating fermented PKC—especially when combined with cassava peels—yield improved carcass quality and favorable blood profiles in both pigs and poultry, supporting its safe and efficient utilization (</w:t>
      </w:r>
      <w:proofErr w:type="spellStart"/>
      <w:r w:rsidRPr="0075401E">
        <w:rPr>
          <w:rFonts w:ascii="Times New Roman" w:hAnsi="Times New Roman" w:cs="Times New Roman"/>
        </w:rPr>
        <w:t>Obongekpe</w:t>
      </w:r>
      <w:proofErr w:type="spellEnd"/>
      <w:r w:rsidRPr="0075401E">
        <w:rPr>
          <w:rFonts w:ascii="Times New Roman" w:hAnsi="Times New Roman" w:cs="Times New Roman"/>
        </w:rPr>
        <w:t>, 2020).</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2.3 Moringa oleifera Leaf Meal</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Moringa oleifera leaf meal (MOLM) offers an excellent source of protein, often exceeding 25% crude protein content, and is rich in vitamins, minerals, and bioactive antioxidants such as flavonoids and phenolic acids. In poultry and ruminant diets, MOLM supplementation has been associated with enhanced weight gain, improved immune responses, and increased antioxidant capacity (</w:t>
      </w:r>
      <w:proofErr w:type="spellStart"/>
      <w:r w:rsidRPr="0075401E">
        <w:rPr>
          <w:rFonts w:ascii="Times New Roman" w:hAnsi="Times New Roman" w:cs="Times New Roman"/>
        </w:rPr>
        <w:t>Adegun</w:t>
      </w:r>
      <w:proofErr w:type="spellEnd"/>
      <w:r w:rsidRPr="0075401E">
        <w:rPr>
          <w:rFonts w:ascii="Times New Roman" w:hAnsi="Times New Roman" w:cs="Times New Roman"/>
        </w:rPr>
        <w:t xml:space="preserve"> </w:t>
      </w:r>
      <w:r w:rsidR="008235E8">
        <w:rPr>
          <w:rFonts w:ascii="Times New Roman" w:hAnsi="Times New Roman" w:cs="Times New Roman"/>
        </w:rPr>
        <w:t>et al.,</w:t>
      </w:r>
      <w:r w:rsidRPr="0075401E">
        <w:rPr>
          <w:rFonts w:ascii="Times New Roman" w:hAnsi="Times New Roman" w:cs="Times New Roman"/>
        </w:rPr>
        <w:t xml:space="preserve"> 2011). However, the presence of anti-nutritional factors such as tannins and saponins at high inclusion rates may impair nutrient absorption. Evidence suggests that inclusion levels up to 10–15% in poultry diets are safe and do not adversely affect growth performance, egg production, or other productive parameters (Akintunde &amp; Toye, 2022).</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2.4 Maggot Meal and Insect-Based Protein Sources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Maggot meal, primarily derived from the larvae of the housefly (</w:t>
      </w:r>
      <w:r w:rsidRPr="0075401E">
        <w:rPr>
          <w:rFonts w:ascii="Times New Roman" w:hAnsi="Times New Roman" w:cs="Times New Roman"/>
          <w:i/>
          <w:iCs/>
        </w:rPr>
        <w:t>Musca domestica</w:t>
      </w:r>
      <w:r w:rsidRPr="0075401E">
        <w:rPr>
          <w:rFonts w:ascii="Times New Roman" w:hAnsi="Times New Roman" w:cs="Times New Roman"/>
        </w:rPr>
        <w:t>), has emerged as a promising alternative protein source in poultry diets. With crude protein content reaching up to 60% and a favorable amino acid profile, maggot meal effectively supports growth and feed conversion in both broilers and layers</w:t>
      </w:r>
      <w:r w:rsidR="003C3E5F">
        <w:rPr>
          <w:rFonts w:ascii="Times New Roman" w:hAnsi="Times New Roman" w:cs="Times New Roman"/>
        </w:rPr>
        <w:t xml:space="preserve">. </w:t>
      </w:r>
      <w:r w:rsidRPr="0075401E">
        <w:rPr>
          <w:rFonts w:ascii="Times New Roman" w:hAnsi="Times New Roman" w:cs="Times New Roman"/>
        </w:rPr>
        <w:t>(Awoniyi et al., 2004). Despite its nutritional benefits, public perception and consumer acceptance of insect-based proteins remain significant barriers to widespread adoption. Additionally, improper processing or inadequate storage practices can lead to microbial contamination and the accumulation of harmful toxins. As such, ensuring hygienic production and handling practices is critical to the safe and effective use of maggot meal in poultry feed formulations.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2.5 Brewers’ Dried Grains (BDG)</w:t>
      </w:r>
    </w:p>
    <w:p w:rsidR="00393CFD" w:rsidRDefault="00393CFD" w:rsidP="004A543E">
      <w:pPr>
        <w:jc w:val="both"/>
        <w:rPr>
          <w:rFonts w:ascii="Times New Roman" w:hAnsi="Times New Roman" w:cs="Times New Roman"/>
        </w:rPr>
      </w:pPr>
    </w:p>
    <w:p w:rsidR="00393CFD" w:rsidRPr="00393CFD" w:rsidRDefault="00393CFD" w:rsidP="00393CFD">
      <w:pPr>
        <w:jc w:val="both"/>
        <w:rPr>
          <w:rFonts w:ascii="Times New Roman" w:hAnsi="Times New Roman" w:cs="Times New Roman"/>
        </w:rPr>
      </w:pPr>
      <w:r w:rsidRPr="00393CFD">
        <w:rPr>
          <w:rFonts w:ascii="Times New Roman" w:hAnsi="Times New Roman" w:cs="Times New Roman"/>
        </w:rPr>
        <w:t>Brewers’ dried grains (BDG), a by-product of the beer brewing industry, are widely available across Nigeria and are increasingly utilized in poultry nutrition due to their rich nutritional composition. Typically, BDG contains 20–25% crude protein, moderate levels of fiber, and residual energy, making it a viable partial substitute for conventional feed ingredients (Abd El-Hack et al., 2019; National Research Council [NRC], 1994).</w:t>
      </w:r>
    </w:p>
    <w:p w:rsidR="00393CFD" w:rsidRPr="00393CFD" w:rsidRDefault="00393CFD" w:rsidP="00393CFD">
      <w:pPr>
        <w:jc w:val="both"/>
        <w:rPr>
          <w:rFonts w:ascii="Times New Roman" w:hAnsi="Times New Roman" w:cs="Times New Roman"/>
          <w:highlight w:val="yellow"/>
        </w:rPr>
      </w:pPr>
      <w:r w:rsidRPr="00393CFD">
        <w:rPr>
          <w:rFonts w:ascii="Times New Roman" w:hAnsi="Times New Roman" w:cs="Times New Roman"/>
          <w:highlight w:val="yellow"/>
        </w:rPr>
        <w:t>Numerous studies have demonstrated that BDG can be included in broiler diets at rates up to 20% without negatively affecting growth performance, feed intake, or feed conversion ratios (</w:t>
      </w:r>
      <w:proofErr w:type="spellStart"/>
      <w:r w:rsidRPr="00393CFD">
        <w:rPr>
          <w:rFonts w:ascii="Times New Roman" w:hAnsi="Times New Roman" w:cs="Times New Roman"/>
          <w:highlight w:val="yellow"/>
        </w:rPr>
        <w:t>Kuleile</w:t>
      </w:r>
      <w:proofErr w:type="spellEnd"/>
      <w:r w:rsidRPr="00393CFD">
        <w:rPr>
          <w:rFonts w:ascii="Times New Roman" w:hAnsi="Times New Roman" w:cs="Times New Roman"/>
          <w:highlight w:val="yellow"/>
        </w:rPr>
        <w:t xml:space="preserve"> et al., 2019). Its cost-effectiveness and local availability make it particularly attractive for poultry producers seeking to reduce feed expenses without compromising productivity. </w:t>
      </w:r>
      <w:r w:rsidR="006C77E0">
        <w:rPr>
          <w:rFonts w:ascii="Times New Roman" w:hAnsi="Times New Roman" w:cs="Times New Roman"/>
          <w:highlight w:val="yellow"/>
        </w:rPr>
        <w:t>T</w:t>
      </w:r>
      <w:r w:rsidR="002C488C" w:rsidRPr="002C488C">
        <w:rPr>
          <w:rFonts w:ascii="Times New Roman" w:hAnsi="Times New Roman" w:cs="Times New Roman"/>
          <w:highlight w:val="yellow"/>
        </w:rPr>
        <w:t xml:space="preserve">he study by Onifade and Babatunde (1998) focused on broiler chickens. Their research evaluated the inclusion of brewers' dried grains (BDG) in broiler diets at varying levels. They found that incorporating BDG at levels up to 100 g/kg (10%) did not adversely affect growth performance, but higher </w:t>
      </w:r>
      <w:r w:rsidR="002C488C" w:rsidRPr="002C488C">
        <w:rPr>
          <w:rFonts w:ascii="Times New Roman" w:hAnsi="Times New Roman" w:cs="Times New Roman"/>
          <w:highlight w:val="yellow"/>
        </w:rPr>
        <w:lastRenderedPageBreak/>
        <w:t>inclusion rates led to decreased feed efficiency and growth rates. This suggests that BDG can be utilized in broiler diets at moderate levels without negative impacts on performance.</w:t>
      </w:r>
      <w:r w:rsidR="006C77E0">
        <w:rPr>
          <w:rFonts w:ascii="Times New Roman" w:hAnsi="Times New Roman" w:cs="Times New Roman"/>
          <w:highlight w:val="yellow"/>
        </w:rPr>
        <w:t xml:space="preserve"> </w:t>
      </w:r>
      <w:r w:rsidR="002C488C" w:rsidRPr="002C488C">
        <w:rPr>
          <w:rFonts w:ascii="Times New Roman" w:hAnsi="Times New Roman" w:cs="Times New Roman"/>
          <w:highlight w:val="yellow"/>
        </w:rPr>
        <w:t>Additionally, other studies have explored the use of BDG in poultry diets. For instance, Olajide et al. (2013) investigated the effect of BDG supplemented with enzymes in laying hen diets and observed improved performance and profitability at inclusion levels up to 20%. These findings support the potential of BDG as a cost-effective feed ingredient in poultry nutrition when used appropriately.</w:t>
      </w:r>
    </w:p>
    <w:p w:rsidR="00393CFD" w:rsidRPr="00393CFD" w:rsidRDefault="00393CFD" w:rsidP="00393CFD">
      <w:pPr>
        <w:jc w:val="both"/>
        <w:rPr>
          <w:rFonts w:ascii="Times New Roman" w:hAnsi="Times New Roman" w:cs="Times New Roman"/>
          <w:highlight w:val="yellow"/>
        </w:rPr>
      </w:pPr>
      <w:r w:rsidRPr="00393CFD">
        <w:rPr>
          <w:rFonts w:ascii="Times New Roman" w:hAnsi="Times New Roman" w:cs="Times New Roman"/>
          <w:highlight w:val="yellow"/>
        </w:rPr>
        <w:t xml:space="preserve">However, one of the primary challenges associated with the use of BDG is the potential for mycotoxin contamination, especially under poor post-processing and storage conditions. BDG’s high moisture content makes it susceptible to fungal proliferation, particularly by </w:t>
      </w:r>
      <w:r w:rsidRPr="00393CFD">
        <w:rPr>
          <w:rFonts w:ascii="Times New Roman" w:hAnsi="Times New Roman" w:cs="Times New Roman"/>
          <w:i/>
          <w:iCs/>
          <w:highlight w:val="yellow"/>
        </w:rPr>
        <w:t>Aspergillus</w:t>
      </w:r>
      <w:r w:rsidRPr="00393CFD">
        <w:rPr>
          <w:rFonts w:ascii="Times New Roman" w:hAnsi="Times New Roman" w:cs="Times New Roman"/>
          <w:highlight w:val="yellow"/>
        </w:rPr>
        <w:t xml:space="preserve"> species, which can produce aflatoxins harmful to poultry health (Kehinde et al., 2018). The ingestion of aflatoxin-contaminated feed has been linked to reduced performance, immunosuppression, and liver damage in broilers. To mitigate these risks, it is essential to implement proper drying, handling, and storage protocols, including the use of mycotoxin binders where necessary.</w:t>
      </w:r>
    </w:p>
    <w:p w:rsidR="00FB0A57" w:rsidRPr="00393CFD" w:rsidRDefault="00393CFD" w:rsidP="004A543E">
      <w:pPr>
        <w:jc w:val="both"/>
        <w:rPr>
          <w:rFonts w:ascii="Times New Roman" w:hAnsi="Times New Roman" w:cs="Times New Roman"/>
        </w:rPr>
      </w:pPr>
      <w:r w:rsidRPr="00393CFD">
        <w:rPr>
          <w:rFonts w:ascii="Times New Roman" w:hAnsi="Times New Roman" w:cs="Times New Roman"/>
          <w:highlight w:val="yellow"/>
        </w:rPr>
        <w:t>With appropriate management, BDG remains a valuable feed resource capable of improving sustainability and reducing dependency on imported feed ingredients in Nigeria’s poultry industry.</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 Biochemical Parameters in Poultry Nutrition Studies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Biochemical parameters offer critical insights into the internal physiological responses of poultry to dietary interventions. Unlike growth performance metrics, which often reflect outcomes only after prolonged exposure, biochemical markers can provide early warnings of toxicity, metabolic stress, or, conversely, improvements in health and resilience. They serve as valuable tools in evaluating the safety, efficacy, and physiological impacts of alternative feed ingredients (AFIs) and other nutritional strategies.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3.1 Enzymatic Activity (Amylase, Protease, Lipase)</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Digestive enzymes such as amylase, protease, and lipase play essential roles in nutrient assimilation in poultry. Supplementation with exogenous enzymes, particularly in young broilers with immature digestive systems, has been shown to enhance nutrient utilization. For instance, the addition of multi-enzyme blends to corn–soybean diets significantly improved the digestibility of starch and protein in broilers, achieving ileal digestibility rates of approximately 97.7% for starch and 80–83% for protein (Slominski et al., 2006). Although the direct impact on overall growth performance was modest, the findings emphasize the role of enzyme activity in optimizing feed efficiency and nutrient availability.</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3.2 Liver Function Enzymes (AST, ALT, ALP)</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Liver function enzymes—specifically aspartate aminotransferase (AST), alanine aminotransferase (ALT), and alkaline phosphatase (ALP)—are reliable indicators of hepatic health and metabolic status. Nutritional stressors, including heat exposure and dietary imbalances, can significantly alter </w:t>
      </w:r>
      <w:r w:rsidRPr="0075401E">
        <w:rPr>
          <w:rFonts w:ascii="Times New Roman" w:hAnsi="Times New Roman" w:cs="Times New Roman"/>
        </w:rPr>
        <w:lastRenderedPageBreak/>
        <w:t xml:space="preserve">these enzymes' activity. In broilers subjected to acute heat stress, elevated levels of ALT, AST, and ALP were observed, signaling hepatic strain and potential organ dysfunction (Huang et al., 2017). Conversely, dietary supplementation with natural extracts such as </w:t>
      </w:r>
      <w:r w:rsidRPr="0075401E">
        <w:rPr>
          <w:rFonts w:ascii="Times New Roman" w:hAnsi="Times New Roman" w:cs="Times New Roman"/>
          <w:i/>
          <w:iCs/>
        </w:rPr>
        <w:t>Urtica dioica</w:t>
      </w:r>
      <w:r w:rsidRPr="0075401E">
        <w:rPr>
          <w:rFonts w:ascii="Times New Roman" w:hAnsi="Times New Roman" w:cs="Times New Roman"/>
        </w:rPr>
        <w:t xml:space="preserve"> (nettle) has demonstrated hepatoprotective effects by reducing these enzyme levels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underscoring the potential of phytogenic additives in mitigating metabolic stress.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 xml:space="preserve">3.3 Oxidative Stress Markers (MDA, SOD, </w:t>
      </w:r>
      <w:proofErr w:type="spellStart"/>
      <w:r w:rsidRPr="0075401E">
        <w:rPr>
          <w:rFonts w:ascii="Times New Roman" w:hAnsi="Times New Roman" w:cs="Times New Roman"/>
          <w:b/>
          <w:bCs/>
        </w:rPr>
        <w:t>GPx</w:t>
      </w:r>
      <w:proofErr w:type="spellEnd"/>
      <w:r w:rsidRPr="0075401E">
        <w:rPr>
          <w:rFonts w:ascii="Times New Roman" w:hAnsi="Times New Roman" w:cs="Times New Roman"/>
          <w:b/>
          <w:bCs/>
        </w:rPr>
        <w:t>, Catalase)</w:t>
      </w:r>
    </w:p>
    <w:p w:rsidR="00FB0A57" w:rsidRPr="00365FBF" w:rsidRDefault="0075401E" w:rsidP="004A543E">
      <w:pPr>
        <w:jc w:val="both"/>
        <w:rPr>
          <w:rFonts w:ascii="Times New Roman" w:hAnsi="Times New Roman" w:cs="Times New Roman"/>
        </w:rPr>
      </w:pPr>
      <w:r w:rsidRPr="0075401E">
        <w:rPr>
          <w:rFonts w:ascii="Times New Roman" w:hAnsi="Times New Roman" w:cs="Times New Roman"/>
        </w:rPr>
        <w:t>Oxidative stress is a major factor affecting poultry health, and it is typically assessed through markers such as malondialdehyde (MDA), superoxide dismutase (SOD), glutathione peroxidase (</w:t>
      </w:r>
      <w:proofErr w:type="spellStart"/>
      <w:r w:rsidRPr="0075401E">
        <w:rPr>
          <w:rFonts w:ascii="Times New Roman" w:hAnsi="Times New Roman" w:cs="Times New Roman"/>
        </w:rPr>
        <w:t>GPx</w:t>
      </w:r>
      <w:proofErr w:type="spellEnd"/>
      <w:r w:rsidRPr="0075401E">
        <w:rPr>
          <w:rFonts w:ascii="Times New Roman" w:hAnsi="Times New Roman" w:cs="Times New Roman"/>
        </w:rPr>
        <w:t>), and catalase activities. High oxidative stress leads to lipid peroxidation, damaging cellular membranes and impairing physiological functions. Nutritional interventions with antioxidant-rich additives, such as Moringa and nettle extracts, have been shown to enhance endogenous antioxidant defenses. Broilers receiving 0.25 ml/L of nettle extract exhibited increased serum SOD activity and total antioxidant capacity, coupled with a significant reduction in lipid peroxidation markers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demonstrating the protective role of natural antioxidants in poultry diets.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3.4 Lipid Profile (HDL, LDL, Total Cholesterol)</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Alterations in lipid metabolism are closely tied to both genetic factors and dietary composition. In broiler lines selected for fat content, birds with a predisposition for fat deposition exhibited higher high-density lipoprotein (HDL) levels and </w:t>
      </w:r>
      <w:r w:rsidRPr="00C40D35">
        <w:rPr>
          <w:rFonts w:ascii="Times New Roman" w:hAnsi="Times New Roman" w:cs="Times New Roman"/>
          <w:highlight w:val="yellow"/>
        </w:rPr>
        <w:t>HDL-to-LDL</w:t>
      </w:r>
      <w:r w:rsidRPr="0075401E">
        <w:rPr>
          <w:rFonts w:ascii="Times New Roman" w:hAnsi="Times New Roman" w:cs="Times New Roman"/>
        </w:rPr>
        <w:t xml:space="preserve"> ratios, but lower LDL and total cholesterol levels (Dong et al., 2015). This suggests that lipid profiles can serve as predictive biomarkers for fat deposition traits. Moreover, supplementation with </w:t>
      </w:r>
      <w:r w:rsidRPr="0075401E">
        <w:rPr>
          <w:rFonts w:ascii="Times New Roman" w:hAnsi="Times New Roman" w:cs="Times New Roman"/>
          <w:i/>
          <w:iCs/>
        </w:rPr>
        <w:t>Urtica dioica</w:t>
      </w:r>
      <w:r w:rsidRPr="0075401E">
        <w:rPr>
          <w:rFonts w:ascii="Times New Roman" w:hAnsi="Times New Roman" w:cs="Times New Roman"/>
        </w:rPr>
        <w:t xml:space="preserve"> extract has been shown to lower serum cholesterol and triglyceride levels in broilers, thereby potentially improving meat quality and reducing the risk of lipid-related disorders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3.5 Serum Protein Levels (Albumin, Globulin)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Serum proteins, including albumin and globulin, reflect the protein metabolic status and immune competence of poultry. Dietary interventions using biofortified maize and natural additives have been associated with increases in total protein, albumin, and globulin concentrations without adverse effects (</w:t>
      </w:r>
      <w:proofErr w:type="spellStart"/>
      <w:r w:rsidRPr="0075401E">
        <w:rPr>
          <w:rFonts w:ascii="Times New Roman" w:hAnsi="Times New Roman" w:cs="Times New Roman"/>
        </w:rPr>
        <w:t>Odunitan-Wayas</w:t>
      </w:r>
      <w:proofErr w:type="spellEnd"/>
      <w:r w:rsidRPr="0075401E">
        <w:rPr>
          <w:rFonts w:ascii="Times New Roman" w:hAnsi="Times New Roman" w:cs="Times New Roman"/>
        </w:rPr>
        <w:t xml:space="preserve"> et al., 2018;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For example, nettle extract supplementation elevated serum albumin levels while concurrently reducing urea concentrations and liver enzyme activities, suggesting improved protein metabolism and hepatic function.</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3.6 Immune Function Indicators (IgG, IgA, WBC Count)</w:t>
      </w:r>
    </w:p>
    <w:p w:rsidR="0075401E" w:rsidRPr="0075401E" w:rsidRDefault="00C40D35" w:rsidP="004A543E">
      <w:pPr>
        <w:jc w:val="both"/>
        <w:rPr>
          <w:rFonts w:ascii="Times New Roman" w:hAnsi="Times New Roman" w:cs="Times New Roman"/>
        </w:rPr>
      </w:pPr>
      <w:r w:rsidRPr="00C40D35">
        <w:rPr>
          <w:rFonts w:ascii="Times New Roman" w:hAnsi="Times New Roman" w:cs="Times New Roman"/>
          <w:highlight w:val="yellow"/>
        </w:rPr>
        <w:t>Evaluating immune function through markers such as immunoglobulin levels (IgG, IgA) and white blood cell counts offers valuable insight into how dietary components may influence the immune system</w:t>
      </w:r>
      <w:proofErr w:type="gramStart"/>
      <w:r w:rsidRPr="00C40D35">
        <w:rPr>
          <w:rFonts w:ascii="Times New Roman" w:hAnsi="Times New Roman" w:cs="Times New Roman"/>
          <w:highlight w:val="yellow"/>
        </w:rPr>
        <w:t>.</w:t>
      </w:r>
      <w:r w:rsidR="0075401E" w:rsidRPr="0075401E">
        <w:rPr>
          <w:rFonts w:ascii="Times New Roman" w:hAnsi="Times New Roman" w:cs="Times New Roman"/>
        </w:rPr>
        <w:t>.</w:t>
      </w:r>
      <w:proofErr w:type="gramEnd"/>
      <w:r w:rsidR="0075401E" w:rsidRPr="0075401E">
        <w:rPr>
          <w:rFonts w:ascii="Times New Roman" w:hAnsi="Times New Roman" w:cs="Times New Roman"/>
        </w:rPr>
        <w:t xml:space="preserve"> Natural additives such as Moringa and hot red pepper have been shown to enhance both innate and adaptive immune responses, as evidenced by increased IgG production and elevated WBC counts in supplemented birds (Khan et al., 2021; Adedoyin et al., 2019). Importantly, these </w:t>
      </w:r>
      <w:r w:rsidR="0075401E" w:rsidRPr="0075401E">
        <w:rPr>
          <w:rFonts w:ascii="Times New Roman" w:hAnsi="Times New Roman" w:cs="Times New Roman"/>
        </w:rPr>
        <w:lastRenderedPageBreak/>
        <w:t>immunostimulatory effects were achieved without adverse impacts on liver or kidney function, supporting the safety and efficacy of phytogenic additives in promoting poultry health.</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 Biochemical Impacts of Specific Alternative Feeds</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4.1 Effects of Cassava By-Products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Detoxification Impact on Liver Enzymes</w:t>
      </w:r>
      <w:r w:rsidRPr="00F3313D">
        <w:rPr>
          <w:rFonts w:ascii="Times New Roman" w:hAnsi="Times New Roman" w:cs="Times New Roman"/>
        </w:rPr>
        <w:br/>
        <w:t xml:space="preserve">Cassava by-products, particularly peels and pulp, are rich in energy but naturally contain cyanogenic glycosides that can pose toxicity risks if not properly processed. Nonetheless, studies have demonstrated that controlled inclusion of hydrolyzed or fermented cassava peel meal preserves liver integrity. Feeding broilers with </w:t>
      </w:r>
      <w:r w:rsidRPr="00F3313D">
        <w:rPr>
          <w:rFonts w:ascii="Times New Roman" w:hAnsi="Times New Roman" w:cs="Times New Roman"/>
          <w:i/>
          <w:iCs/>
        </w:rPr>
        <w:t xml:space="preserve">Aspergillus </w:t>
      </w:r>
      <w:proofErr w:type="spellStart"/>
      <w:r w:rsidRPr="00F3313D">
        <w:rPr>
          <w:rFonts w:ascii="Times New Roman" w:hAnsi="Times New Roman" w:cs="Times New Roman"/>
          <w:i/>
          <w:iCs/>
        </w:rPr>
        <w:t>niger</w:t>
      </w:r>
      <w:proofErr w:type="spellEnd"/>
      <w:r w:rsidRPr="00F3313D">
        <w:rPr>
          <w:rFonts w:ascii="Times New Roman" w:hAnsi="Times New Roman" w:cs="Times New Roman"/>
        </w:rPr>
        <w:t>-hydrolyzed cassava peel meal, even at inclusion levels up to 50%, maintained normal liver collagen and reticulin structures, indicating the absence of liver damage (Muhammed et al., 2016). Histological assessments further confirmed no significant hepatic lesions at moderate cassava inclusion rates (Adeyemo et al., 2014).</w:t>
      </w:r>
    </w:p>
    <w:p w:rsidR="00F3313D" w:rsidRPr="00F3313D" w:rsidRDefault="00F3313D" w:rsidP="004A543E">
      <w:pPr>
        <w:jc w:val="both"/>
        <w:rPr>
          <w:rFonts w:ascii="Times New Roman" w:hAnsi="Times New Roman" w:cs="Times New Roman"/>
        </w:rPr>
      </w:pPr>
      <w:r w:rsidRPr="00F3313D">
        <w:rPr>
          <w:rFonts w:ascii="Times New Roman" w:hAnsi="Times New Roman" w:cs="Times New Roman"/>
          <w:b/>
          <w:bCs/>
        </w:rPr>
        <w:t>Role of Fermentation in Improving Bioavailability and Reducing Stress Markers</w:t>
      </w:r>
      <w:r w:rsidRPr="00F3313D">
        <w:rPr>
          <w:rFonts w:ascii="Times New Roman" w:hAnsi="Times New Roman" w:cs="Times New Roman"/>
        </w:rPr>
        <w:br/>
        <w:t xml:space="preserve">Fermentation significantly improves the nutritional quality of cassava by reducing anti-nutritional factors and enhancing nutrient digestibility. For example, cassava pulp fermented with </w:t>
      </w:r>
      <w:proofErr w:type="spellStart"/>
      <w:r w:rsidRPr="00F3313D">
        <w:rPr>
          <w:rFonts w:ascii="Times New Roman" w:hAnsi="Times New Roman" w:cs="Times New Roman"/>
          <w:i/>
          <w:iCs/>
        </w:rPr>
        <w:t>Acremonium</w:t>
      </w:r>
      <w:proofErr w:type="spellEnd"/>
      <w:r w:rsidRPr="00F3313D">
        <w:rPr>
          <w:rFonts w:ascii="Times New Roman" w:hAnsi="Times New Roman" w:cs="Times New Roman"/>
          <w:i/>
          <w:iCs/>
        </w:rPr>
        <w:t xml:space="preserve"> </w:t>
      </w:r>
      <w:proofErr w:type="spellStart"/>
      <w:r w:rsidRPr="00F3313D">
        <w:rPr>
          <w:rFonts w:ascii="Times New Roman" w:hAnsi="Times New Roman" w:cs="Times New Roman"/>
          <w:i/>
          <w:iCs/>
        </w:rPr>
        <w:t>charticola</w:t>
      </w:r>
      <w:proofErr w:type="spellEnd"/>
      <w:r w:rsidRPr="00F3313D">
        <w:rPr>
          <w:rFonts w:ascii="Times New Roman" w:hAnsi="Times New Roman" w:cs="Times New Roman"/>
        </w:rPr>
        <w:t xml:space="preserve"> reduced oxidative stress markers and improved crude protein content in broiler meat (</w:t>
      </w:r>
      <w:proofErr w:type="spellStart"/>
      <w:r w:rsidRPr="00F3313D">
        <w:rPr>
          <w:rFonts w:ascii="Times New Roman" w:hAnsi="Times New Roman" w:cs="Times New Roman"/>
        </w:rPr>
        <w:t>Sugiharto</w:t>
      </w:r>
      <w:proofErr w:type="spellEnd"/>
      <w:r w:rsidRPr="00F3313D">
        <w:rPr>
          <w:rFonts w:ascii="Times New Roman" w:hAnsi="Times New Roman" w:cs="Times New Roman"/>
        </w:rPr>
        <w:t xml:space="preserve"> et al., 2017). A recent meta-analysis also found that fermented cassava diets elevated serum protein levels and enhanced white blood cell counts in poultry, suggesting improved immune function and nutrient utilization (</w:t>
      </w:r>
      <w:proofErr w:type="spellStart"/>
      <w:r w:rsidRPr="00F3313D">
        <w:rPr>
          <w:rFonts w:ascii="Times New Roman" w:hAnsi="Times New Roman" w:cs="Times New Roman"/>
        </w:rPr>
        <w:t>Ogbuewu</w:t>
      </w:r>
      <w:proofErr w:type="spellEnd"/>
      <w:r w:rsidRPr="00F3313D">
        <w:rPr>
          <w:rFonts w:ascii="Times New Roman" w:hAnsi="Times New Roman" w:cs="Times New Roman"/>
        </w:rPr>
        <w:t xml:space="preserve"> et al., 2023).</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4.2 Impact of Palm Kernel Cake (PKC) and Other Fibrous Ingredients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Liver Enlargement and Enzyme Elevation Due to Fibrous Overload</w:t>
      </w:r>
      <w:r w:rsidRPr="00F3313D">
        <w:rPr>
          <w:rFonts w:ascii="Times New Roman" w:hAnsi="Times New Roman" w:cs="Times New Roman"/>
        </w:rPr>
        <w:br/>
        <w:t>High-fiber feed ingredients such as PKC can impose significant metabolic strain on poultry, leading to compensatory liver enlargement and elevated liver enzyme activities. In broilers, liver weight was found to increase significantly with higher PKC inclusion rates, particularly when diets lacked supplemental enzymes (Hakim et al., 2022). Additionally, in vitro studies demonstrated that unprocessed PKC could induce oxidative stress in hepatocytes, highlighting the importance of appropriate processing (</w:t>
      </w:r>
      <w:proofErr w:type="spellStart"/>
      <w:r w:rsidRPr="00F3313D">
        <w:rPr>
          <w:rFonts w:ascii="Times New Roman" w:hAnsi="Times New Roman" w:cs="Times New Roman"/>
        </w:rPr>
        <w:t>Oskoueian</w:t>
      </w:r>
      <w:proofErr w:type="spellEnd"/>
      <w:r w:rsidRPr="00F3313D">
        <w:rPr>
          <w:rFonts w:ascii="Times New Roman" w:hAnsi="Times New Roman" w:cs="Times New Roman"/>
        </w:rPr>
        <w:t xml:space="preserve"> et al., 2014).</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of Enzyme Supplementation</w:t>
      </w:r>
      <w:r w:rsidRPr="00F3313D">
        <w:rPr>
          <w:rFonts w:ascii="Times New Roman" w:hAnsi="Times New Roman" w:cs="Times New Roman"/>
        </w:rPr>
        <w:br/>
        <w:t xml:space="preserve">The incorporation of fiber-degrading enzymes such as </w:t>
      </w:r>
      <w:proofErr w:type="spellStart"/>
      <w:r w:rsidRPr="00F3313D">
        <w:rPr>
          <w:rFonts w:ascii="Times New Roman" w:hAnsi="Times New Roman" w:cs="Times New Roman"/>
        </w:rPr>
        <w:t>mannanase</w:t>
      </w:r>
      <w:proofErr w:type="spellEnd"/>
      <w:r w:rsidRPr="00F3313D">
        <w:rPr>
          <w:rFonts w:ascii="Times New Roman" w:hAnsi="Times New Roman" w:cs="Times New Roman"/>
        </w:rPr>
        <w:t xml:space="preserve">, </w:t>
      </w:r>
      <w:proofErr w:type="spellStart"/>
      <w:r w:rsidRPr="00F3313D">
        <w:rPr>
          <w:rFonts w:ascii="Times New Roman" w:hAnsi="Times New Roman" w:cs="Times New Roman"/>
        </w:rPr>
        <w:t>cellulase</w:t>
      </w:r>
      <w:proofErr w:type="spellEnd"/>
      <w:r w:rsidRPr="00F3313D">
        <w:rPr>
          <w:rFonts w:ascii="Times New Roman" w:hAnsi="Times New Roman" w:cs="Times New Roman"/>
        </w:rPr>
        <w:t>, and protease has proven effective in mitigating the adverse effects of PKC. Enzyme supplementation improved average daily gain (ADG), feed conversion ratio (FCR), and carcass yield in broilers fed diets containing 10–20% PKC, without compromising liver health (Zubaidah et al., 2024). Further improvements were noted when PKC was combined with xylanase, promoting gut microbial balance and enhancing nutrient digestibility (</w:t>
      </w:r>
      <w:proofErr w:type="spellStart"/>
      <w:r w:rsidRPr="00F3313D">
        <w:rPr>
          <w:rFonts w:ascii="Times New Roman" w:hAnsi="Times New Roman" w:cs="Times New Roman"/>
        </w:rPr>
        <w:t>Okukpe</w:t>
      </w:r>
      <w:proofErr w:type="spellEnd"/>
      <w:r w:rsidRPr="00F3313D">
        <w:rPr>
          <w:rFonts w:ascii="Times New Roman" w:hAnsi="Times New Roman" w:cs="Times New Roman"/>
        </w:rPr>
        <w:t xml:space="preserve"> et al., 2019). Techniques like sieving to remove shell particles, coupled with enzyme supplementation, have also been shown to increase crude protein availability while reducing fibrous load on internal organs (</w:t>
      </w:r>
      <w:proofErr w:type="spellStart"/>
      <w:r w:rsidRPr="00F3313D">
        <w:rPr>
          <w:rFonts w:ascii="Times New Roman" w:hAnsi="Times New Roman" w:cs="Times New Roman"/>
        </w:rPr>
        <w:t>Sinurat</w:t>
      </w:r>
      <w:proofErr w:type="spellEnd"/>
      <w:r w:rsidRPr="00F3313D">
        <w:rPr>
          <w:rFonts w:ascii="Times New Roman" w:hAnsi="Times New Roman" w:cs="Times New Roman"/>
        </w:rPr>
        <w:t xml:space="preserve"> et al., 2013).</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lastRenderedPageBreak/>
        <w:t>4.3 Antioxidant Potential of Moringa</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Effects on Oxidative Stress Parameters</w:t>
      </w:r>
      <w:r w:rsidRPr="00F3313D">
        <w:rPr>
          <w:rFonts w:ascii="Times New Roman" w:hAnsi="Times New Roman" w:cs="Times New Roman"/>
        </w:rPr>
        <w:br/>
      </w:r>
      <w:r w:rsidRPr="00F3313D">
        <w:rPr>
          <w:rFonts w:ascii="Times New Roman" w:hAnsi="Times New Roman" w:cs="Times New Roman"/>
          <w:i/>
          <w:iCs/>
        </w:rPr>
        <w:t>Moringa oleifera</w:t>
      </w:r>
      <w:r w:rsidRPr="00F3313D">
        <w:rPr>
          <w:rFonts w:ascii="Times New Roman" w:hAnsi="Times New Roman" w:cs="Times New Roman"/>
        </w:rPr>
        <w:t xml:space="preserve"> leaf supplementation has exhibited strong antioxidant properties in poultry nutrition. Inclusion of Moringa in broiler diets increased the activities of antioxidant enzymes such as glutathione peroxidase, catalase, and superoxide dismutase, helping to counteract oxidative damage (El-Deep et al., 2019). In disease-challenged birds, Moringa supplementation reduced malondialdehyde (MDA) levels and supported liver antioxidant defenses during infections like infectious bursal disease (</w:t>
      </w:r>
      <w:proofErr w:type="spellStart"/>
      <w:r w:rsidRPr="00F3313D">
        <w:rPr>
          <w:rFonts w:ascii="Times New Roman" w:hAnsi="Times New Roman" w:cs="Times New Roman"/>
        </w:rPr>
        <w:t>Balami</w:t>
      </w:r>
      <w:proofErr w:type="spellEnd"/>
      <w:r w:rsidRPr="00F3313D">
        <w:rPr>
          <w:rFonts w:ascii="Times New Roman" w:hAnsi="Times New Roman" w:cs="Times New Roman"/>
        </w:rPr>
        <w:t xml:space="preserve"> et al., 2021). Furthermore, studies found that Moringa reduced hepatic lipid peroxidation without adversely affecting performance outcomes (Rao et al., 2019).</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Immunomodulatory Roles</w:t>
      </w:r>
      <w:r w:rsidRPr="00F3313D">
        <w:rPr>
          <w:rFonts w:ascii="Times New Roman" w:hAnsi="Times New Roman" w:cs="Times New Roman"/>
        </w:rPr>
        <w:br/>
        <w:t xml:space="preserve">Beyond its antioxidative effects, Moringa exerts significant immunomodulatory impacts. Supplementation upregulated key cytokines such as interleukin-2 (IL-2) and interleukin-6 (IL-6) and boosted antibody responses against poultry vaccines like Newcastle disease virus (NDV) (El-Deep et al., 2019). Additionally, Moringa supplementation enhanced immunoglobulin concentrations and improved resistance to pathogenic challenges, even matching the effectiveness of standard anticoccidial drugs in coccidiosis-challenged broilers (Mahfuz &amp; </w:t>
      </w:r>
      <w:proofErr w:type="spellStart"/>
      <w:r w:rsidRPr="00F3313D">
        <w:rPr>
          <w:rFonts w:ascii="Times New Roman" w:hAnsi="Times New Roman" w:cs="Times New Roman"/>
        </w:rPr>
        <w:t>Piao</w:t>
      </w:r>
      <w:proofErr w:type="spellEnd"/>
      <w:r w:rsidRPr="00F3313D">
        <w:rPr>
          <w:rFonts w:ascii="Times New Roman" w:hAnsi="Times New Roman" w:cs="Times New Roman"/>
        </w:rPr>
        <w:t xml:space="preserve">, 2019; </w:t>
      </w:r>
      <w:proofErr w:type="spellStart"/>
      <w:r w:rsidRPr="00F3313D">
        <w:rPr>
          <w:rFonts w:ascii="Times New Roman" w:hAnsi="Times New Roman" w:cs="Times New Roman"/>
        </w:rPr>
        <w:t>Mashalla</w:t>
      </w:r>
      <w:proofErr w:type="spellEnd"/>
      <w:r w:rsidRPr="00F3313D">
        <w:rPr>
          <w:rFonts w:ascii="Times New Roman" w:hAnsi="Times New Roman" w:cs="Times New Roman"/>
        </w:rPr>
        <w:t xml:space="preserve"> et al., 2022).</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4.4 Maggot and Insect Meals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on Lipid Metabolism and Immune Response</w:t>
      </w:r>
      <w:r w:rsidRPr="00F3313D">
        <w:rPr>
          <w:rFonts w:ascii="Times New Roman" w:hAnsi="Times New Roman" w:cs="Times New Roman"/>
        </w:rPr>
        <w:br/>
        <w:t>Insect meals, including those derived from black soldier fly larvae and housefly maggots, offer promising high-quality protein sources for poultry. Their inclusion in broiler diets has been associated with improved lipid metabolism, including reductions in total cholesterol and LDL levels, as well as enhanced antioxidant enzyme activities such as SOD (</w:t>
      </w:r>
      <w:proofErr w:type="spellStart"/>
      <w:r w:rsidRPr="00F3313D">
        <w:rPr>
          <w:rFonts w:ascii="Times New Roman" w:hAnsi="Times New Roman" w:cs="Times New Roman"/>
        </w:rPr>
        <w:t>Ognik</w:t>
      </w:r>
      <w:proofErr w:type="spellEnd"/>
      <w:r w:rsidRPr="00F3313D">
        <w:rPr>
          <w:rFonts w:ascii="Times New Roman" w:hAnsi="Times New Roman" w:cs="Times New Roman"/>
        </w:rPr>
        <w:t xml:space="preserve"> et al., 2020). In addition to metabolic benefits, insect-based proteins stimulate humoral and cellular immunity, partly due to the presence of natural antimicrobial peptides (Elahi et al., 2022; </w:t>
      </w:r>
      <w:proofErr w:type="spellStart"/>
      <w:r w:rsidRPr="00F3313D">
        <w:rPr>
          <w:rFonts w:ascii="Times New Roman" w:hAnsi="Times New Roman" w:cs="Times New Roman"/>
        </w:rPr>
        <w:t>Malematja</w:t>
      </w:r>
      <w:proofErr w:type="spellEnd"/>
      <w:r w:rsidRPr="00F3313D">
        <w:rPr>
          <w:rFonts w:ascii="Times New Roman" w:hAnsi="Times New Roman" w:cs="Times New Roman"/>
        </w:rPr>
        <w:t xml:space="preserve"> et al., 2023).</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Risk of Microbial Contamination and Toxin Accumulation</w:t>
      </w:r>
      <w:r w:rsidRPr="00F3313D">
        <w:rPr>
          <w:rFonts w:ascii="Times New Roman" w:hAnsi="Times New Roman" w:cs="Times New Roman"/>
        </w:rPr>
        <w:br/>
      </w:r>
      <w:r w:rsidR="00C40D35" w:rsidRPr="00C40D35">
        <w:rPr>
          <w:rFonts w:ascii="Times New Roman" w:hAnsi="Times New Roman" w:cs="Times New Roman"/>
          <w:highlight w:val="yellow"/>
        </w:rPr>
        <w:t>While insect meals offer clear nutritional and environmental benefits, their use also presents certain risks that warrant careful consideration</w:t>
      </w:r>
      <w:proofErr w:type="gramStart"/>
      <w:r w:rsidR="00C40D35" w:rsidRPr="00C40D35">
        <w:rPr>
          <w:rFonts w:ascii="Times New Roman" w:hAnsi="Times New Roman" w:cs="Times New Roman"/>
        </w:rPr>
        <w:t>.</w:t>
      </w:r>
      <w:r w:rsidRPr="00F3313D">
        <w:rPr>
          <w:rFonts w:ascii="Times New Roman" w:hAnsi="Times New Roman" w:cs="Times New Roman"/>
        </w:rPr>
        <w:t>.</w:t>
      </w:r>
      <w:proofErr w:type="gramEnd"/>
      <w:r w:rsidRPr="00F3313D">
        <w:rPr>
          <w:rFonts w:ascii="Times New Roman" w:hAnsi="Times New Roman" w:cs="Times New Roman"/>
        </w:rPr>
        <w:t xml:space="preserve"> When larvae are reared on waste substrates, they may harbor pathogenic microbes such as </w:t>
      </w:r>
      <w:r w:rsidRPr="00F3313D">
        <w:rPr>
          <w:rFonts w:ascii="Times New Roman" w:hAnsi="Times New Roman" w:cs="Times New Roman"/>
          <w:i/>
          <w:iCs/>
        </w:rPr>
        <w:t>Salmonella</w:t>
      </w:r>
      <w:r w:rsidRPr="00F3313D">
        <w:rPr>
          <w:rFonts w:ascii="Times New Roman" w:hAnsi="Times New Roman" w:cs="Times New Roman"/>
        </w:rPr>
        <w:t xml:space="preserve"> and </w:t>
      </w:r>
      <w:r w:rsidRPr="00F3313D">
        <w:rPr>
          <w:rFonts w:ascii="Times New Roman" w:hAnsi="Times New Roman" w:cs="Times New Roman"/>
          <w:i/>
          <w:iCs/>
        </w:rPr>
        <w:t>E. coli</w:t>
      </w:r>
      <w:r w:rsidRPr="00F3313D">
        <w:rPr>
          <w:rFonts w:ascii="Times New Roman" w:hAnsi="Times New Roman" w:cs="Times New Roman"/>
        </w:rPr>
        <w:t>, posing food safety concerns if not processed properly (Popowska-Nowak et al., 2017). Moreover, over-inclusion rates exceeding 10–15% can lead to lipid oxidation and excessive fat accumulation in the liver, necessitating careful formulation to balance nutritional benefits with safety (</w:t>
      </w:r>
      <w:proofErr w:type="spellStart"/>
      <w:r w:rsidRPr="00F3313D">
        <w:rPr>
          <w:rFonts w:ascii="Times New Roman" w:hAnsi="Times New Roman" w:cs="Times New Roman"/>
        </w:rPr>
        <w:t>Ognik</w:t>
      </w:r>
      <w:proofErr w:type="spellEnd"/>
      <w:r w:rsidRPr="00F3313D">
        <w:rPr>
          <w:rFonts w:ascii="Times New Roman" w:hAnsi="Times New Roman" w:cs="Times New Roman"/>
        </w:rPr>
        <w:t xml:space="preserve"> et al., 2020).</w:t>
      </w:r>
    </w:p>
    <w:p w:rsidR="00F3313D" w:rsidRPr="00F3313D" w:rsidRDefault="00F3313D" w:rsidP="00FB0A57">
      <w:pPr>
        <w:rPr>
          <w:rFonts w:ascii="Times New Roman" w:hAnsi="Times New Roman" w:cs="Times New Roman"/>
          <w:b/>
          <w:bCs/>
        </w:rPr>
      </w:pPr>
      <w:r w:rsidRPr="00F3313D">
        <w:rPr>
          <w:rFonts w:ascii="Times New Roman" w:hAnsi="Times New Roman" w:cs="Times New Roman"/>
          <w:b/>
          <w:bCs/>
        </w:rPr>
        <w:t>4.5 Brewers’ Dried Grains (BDG) and By-Product Blends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Variability in Nutrient Composition</w:t>
      </w:r>
      <w:r w:rsidRPr="00F3313D">
        <w:rPr>
          <w:rFonts w:ascii="Times New Roman" w:hAnsi="Times New Roman" w:cs="Times New Roman"/>
        </w:rPr>
        <w:br/>
        <w:t xml:space="preserve">Brewers' dried grains (BDG), a common by-product of the brewing industry, are characterized by </w:t>
      </w:r>
      <w:r w:rsidRPr="00F3313D">
        <w:rPr>
          <w:rFonts w:ascii="Times New Roman" w:hAnsi="Times New Roman" w:cs="Times New Roman"/>
        </w:rPr>
        <w:lastRenderedPageBreak/>
        <w:t>considerable variability in nutrient composition, particularly with respect to crude protein and fiber contents. On average, BDG contains approximately 20% crude protein and significant levels of lysine, methionine, and threonine—offering a protein profile superior to maize (El-Hack et al., 2019). However, poor drying and storage conditions can lead to nutrient losses and fungal contamination (Faccenda et al., 2020).</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Protein Efficiency Ratio and Liver Function Indicators</w:t>
      </w:r>
      <w:r w:rsidRPr="00F3313D">
        <w:rPr>
          <w:rFonts w:ascii="Times New Roman" w:hAnsi="Times New Roman" w:cs="Times New Roman"/>
        </w:rPr>
        <w:br/>
      </w:r>
      <w:proofErr w:type="gramStart"/>
      <w:r w:rsidRPr="00F3313D">
        <w:rPr>
          <w:rFonts w:ascii="Times New Roman" w:hAnsi="Times New Roman" w:cs="Times New Roman"/>
        </w:rPr>
        <w:t>When</w:t>
      </w:r>
      <w:proofErr w:type="gramEnd"/>
      <w:r w:rsidRPr="00F3313D">
        <w:rPr>
          <w:rFonts w:ascii="Times New Roman" w:hAnsi="Times New Roman" w:cs="Times New Roman"/>
        </w:rPr>
        <w:t xml:space="preserve"> incorporated appropriately, BDG has demonstrated positive effects on protein efficiency and metabolic health in poultry. Fermented or enzyme-treated BDG improved body weight gain, enhanced feed efficiency, and upregulated genes related to nutrient absorption, while also reducing cholesterol content in thigh muscle (Al-</w:t>
      </w:r>
      <w:proofErr w:type="spellStart"/>
      <w:r w:rsidRPr="00F3313D">
        <w:rPr>
          <w:rFonts w:ascii="Times New Roman" w:hAnsi="Times New Roman" w:cs="Times New Roman"/>
        </w:rPr>
        <w:t>Khalaifah</w:t>
      </w:r>
      <w:proofErr w:type="spellEnd"/>
      <w:r w:rsidRPr="00F3313D">
        <w:rPr>
          <w:rFonts w:ascii="Times New Roman" w:hAnsi="Times New Roman" w:cs="Times New Roman"/>
        </w:rPr>
        <w:t xml:space="preserve"> et al., 2020). In addition, biodegradation of BDG with </w:t>
      </w:r>
      <w:r w:rsidRPr="00F3313D">
        <w:rPr>
          <w:rFonts w:ascii="Times New Roman" w:hAnsi="Times New Roman" w:cs="Times New Roman"/>
          <w:i/>
          <w:iCs/>
        </w:rPr>
        <w:t>Aspergillus flavus</w:t>
      </w:r>
      <w:r w:rsidRPr="00F3313D">
        <w:rPr>
          <w:rFonts w:ascii="Times New Roman" w:hAnsi="Times New Roman" w:cs="Times New Roman"/>
        </w:rPr>
        <w:t xml:space="preserve"> increased protein content and decreased fiber levels, facilitating improved nutrient digestibility without adverse effects on liver function (Lawal et al., 2017). In laying hens, moderate BDG inclusion (≤10%) was associated with reduced hepatic fat deposition and enhanced internal egg quality, suggesting favorable impacts on lipid metabolism (Jensen et al., 1976).</w:t>
      </w:r>
    </w:p>
    <w:p w:rsidR="00F3313D" w:rsidRPr="00F3313D" w:rsidRDefault="00F3313D" w:rsidP="004A543E">
      <w:pPr>
        <w:jc w:val="both"/>
        <w:rPr>
          <w:rFonts w:ascii="Times New Roman" w:hAnsi="Times New Roman" w:cs="Times New Roman"/>
        </w:rPr>
      </w:pPr>
      <w:r w:rsidRPr="00F3313D">
        <w:rPr>
          <w:rFonts w:ascii="Times New Roman" w:hAnsi="Times New Roman" w:cs="Times New Roman"/>
        </w:rPr>
        <w:t>While alternative feed ingredients offer promising nutritional and economic benefits, the biochemical evidence reviewed highlights the need for cautious and strategic utilization. The physiological responses observed—ranging from enhanced antioxidant defenses to potential hepatic stress and lipid imbalances—underscore the complex interplay between feed composition, processing quality, and poultry health. Despite significant advances in optimizing the use of AFIs, several challenges persist, including variability in nutrient composition, limited biochemical data, and potential safety risks. The following section critically examines these challenges and outlines the key limitations that must be addressed to ensure the sustainable and safe integration of AFIs into poultry production systems.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 Challenges and Limitations of Alternative Feed Ingredients (AFIs)</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Despite the growing interest in alternative feed ingredients (AFIs) for poultry production, several significant challenges and limitations continue to constrain their widespread adoption and optimal use. A thorough understanding of these issues is critical for refining feed evaluation strategies, ensuring animal health, and achieving consistent production outcomes.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5.1 Variability in Composition</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One of the primary obstacles associated with AFIs is the inconsistency in their nutrient composition. Variability often arises from differences in sourcing, processing methods, and storage conditions. For example, the nutritional profile of brewers’ dried grains (BDG) or palm kernel cake (PKC) can fluctuate markedly depending on factors such as processing temperature and the origin of raw materials. Such inconsistencies affect nutrient availability and digestibility, leading to unpredictable performance outcomes in poultry diets (</w:t>
      </w:r>
      <w:proofErr w:type="gramStart"/>
      <w:r w:rsidRPr="008F5690">
        <w:rPr>
          <w:rFonts w:ascii="Times New Roman" w:hAnsi="Times New Roman" w:cs="Times New Roman"/>
        </w:rPr>
        <w:t>An &amp;</w:t>
      </w:r>
      <w:proofErr w:type="gramEnd"/>
      <w:r w:rsidRPr="008F5690">
        <w:rPr>
          <w:rFonts w:ascii="Times New Roman" w:hAnsi="Times New Roman" w:cs="Times New Roman"/>
        </w:rPr>
        <w:t xml:space="preserve"> Kong, 2018). Without standardized </w:t>
      </w:r>
      <w:r w:rsidRPr="008F5690">
        <w:rPr>
          <w:rFonts w:ascii="Times New Roman" w:hAnsi="Times New Roman" w:cs="Times New Roman"/>
        </w:rPr>
        <w:lastRenderedPageBreak/>
        <w:t>processing protocols, it becomes challenging to formulate balanced rations using AFIs, ultimately discouraging their wider adoption across the poultry industry.</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5.2 Limited Biochemical Data</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A major limitation in the current body of research on AFIs is the predominant focus on external performance metrics, such as body weight gain and feed conversion ratios, with relatively few studies incorporating detailed biochemical or physiological assessments. This creates critical knowledge gaps regarding the effects of AFIs on liver function, enzymatic activity, oxidative stress, and immune competence. For instance, while insect-based protein sources like maggot and mosquito meals have shown promising effects on growth performance, studies rarely assess their biochemical safety profiles (</w:t>
      </w:r>
      <w:proofErr w:type="spellStart"/>
      <w:r w:rsidRPr="008F5690">
        <w:rPr>
          <w:rFonts w:ascii="Times New Roman" w:hAnsi="Times New Roman" w:cs="Times New Roman"/>
        </w:rPr>
        <w:t>Tsafrakidou</w:t>
      </w:r>
      <w:proofErr w:type="spellEnd"/>
      <w:r w:rsidRPr="008F5690">
        <w:rPr>
          <w:rFonts w:ascii="Times New Roman" w:hAnsi="Times New Roman" w:cs="Times New Roman"/>
        </w:rPr>
        <w:t xml:space="preserve"> et al., 2024). The absence of comprehensive biochemical data increases the risk of overlooking subclinical toxicity or long-term metabolic disturbances.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5.3 Breed and Age Dependency</w:t>
      </w:r>
    </w:p>
    <w:p w:rsidR="00C40D35" w:rsidRPr="00C40D35" w:rsidRDefault="008F5690" w:rsidP="00C40D35">
      <w:pPr>
        <w:jc w:val="both"/>
        <w:rPr>
          <w:rFonts w:ascii="Times New Roman" w:hAnsi="Times New Roman" w:cs="Times New Roman"/>
        </w:rPr>
      </w:pPr>
      <w:r w:rsidRPr="008F5690">
        <w:rPr>
          <w:rFonts w:ascii="Times New Roman" w:hAnsi="Times New Roman" w:cs="Times New Roman"/>
        </w:rPr>
        <w:t xml:space="preserve">Another complicating factor in the use of AFIs is the variability in physiological responses across different poultry breeds and age groups. Young birds, with underdeveloped digestive systems, may be less capable of utilizing high-fiber AFIs effectively, while genetic lines selected for rapid growth or dual-purpose traits exhibit distinct nutrient absorption and metabolism patterns. For example, a study on high-oleic peanuts found that while nutrient digestibility improved across strains, body weight gain varied significantly, highlighting genotype-specific responses (Toomer et al., 2020). </w:t>
      </w:r>
      <w:r w:rsidR="00C40D35" w:rsidRPr="00C40D35">
        <w:rPr>
          <w:rFonts w:ascii="Times New Roman" w:hAnsi="Times New Roman" w:cs="Times New Roman"/>
          <w:highlight w:val="yellow"/>
        </w:rPr>
        <w:t>Because different poultry breeds and age groups respond uniquely to AFIs, setting one-size-fits-all inclusion guidelines becomes challenging. This highlights the need for more customized nutritional strategies that consider these physiological differences.</w:t>
      </w:r>
    </w:p>
    <w:p w:rsidR="008F5690" w:rsidRPr="008F5690" w:rsidRDefault="008F5690" w:rsidP="004A543E">
      <w:pPr>
        <w:jc w:val="both"/>
        <w:rPr>
          <w:rFonts w:ascii="Times New Roman" w:hAnsi="Times New Roman" w:cs="Times New Roman"/>
        </w:rPr>
      </w:pP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5.4 Underreporting of Adverse Effects</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Subclinical or delayed physiological impacts of AFIs are often underreported, primarily due to the limited use of biochemical monitoring in feeding trials. Without routine evaluations of liver enzymes (e.g., AST, ALT), oxidative stress markers (e.g., MDA, SOD), or immune indicators (e.g., IgG, IgA), potential feed-induced organ dysfunction or metabolic stress may go unnoticed. </w:t>
      </w:r>
      <w:r w:rsidR="00C40D35" w:rsidRPr="00C40D35">
        <w:rPr>
          <w:rFonts w:ascii="Times New Roman" w:hAnsi="Times New Roman" w:cs="Times New Roman"/>
          <w:highlight w:val="yellow"/>
        </w:rPr>
        <w:t>The absence of thorough reporting may contribute to an inaccurately favorable representation of AFI safety and efficacy.</w:t>
      </w:r>
      <w:r w:rsidRPr="008F5690">
        <w:rPr>
          <w:rFonts w:ascii="Times New Roman" w:hAnsi="Times New Roman" w:cs="Times New Roman"/>
        </w:rPr>
        <w:t xml:space="preserve"> In a recent review of sustainable poultry feeding strategies, researchers emphasized that although many by-product feeds appear promising, the presence of anti-nutritional factors and potential organ-level toxicity remains insufficiently documented and urgently requires biochemical scrutiny (Vlaicu et al., 2024).</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The challenges outlined—ranging from nutrient variability and insufficient biochemical data to breed-specific responses and underreported adverse effects—highlight significant barriers to the effective and safe utilization of alternative feed ingredients in poultry production. Addressing these issues requires a more comprehensive research framework that moves beyond conventional </w:t>
      </w:r>
      <w:r w:rsidRPr="008F5690">
        <w:rPr>
          <w:rFonts w:ascii="Times New Roman" w:hAnsi="Times New Roman" w:cs="Times New Roman"/>
        </w:rPr>
        <w:lastRenderedPageBreak/>
        <w:t>performance metrics to include detailed physiological and biochemical evaluations. The next section identifies critical research gaps and proposes future directions needed to establish evidence-based guidelines, improve feed safety standards, and maximize the potential of AFIs in sustainable poultry nutrition.</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 Research Gaps and Future Directions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Although interest in alternative feed ingredients (AFIs) for poultry production continues to grow, several critical research and regulatory gaps remain, limiting their safe and widespread application. Addressing these gaps is essential for optimizing poultry nutrition strategies that enhance performance while safeguarding animal welfare and public health.</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6.1 Need for Integrative Studies Linking Performance Metrics with Biochemical Markers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Current research on AFIs predominantly emphasizes external performance indicators such as body weight gain and feed conversion ratios. However, there remains a significant lack of integrated studies that simultaneously evaluate biochemical parameters such as liver enzyme profiles, oxidative stress markers, and immune biomarkers. This disconnect hampers comprehensive assessments of feed ingredient safety and physiological impacts. As Vlaicu et al. (2024) emphasize, the development of sustainable poultry feeding systems requires a balanced evaluation of both productivity outcomes and internal physiological responses. Without such integrative approaches, it is difficult to detect subclinical disturbances that may undermine long-term animal health and production efficiency.</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6.2 Establish Biochemical Safety Thresholds for AFIs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Another major limitation in AFI research is the absence of clearly established biochemical safety thresholds. Many feeding trials fail to investigate or report on early indicators of organ stress, oxidative imbalance, or endocrine disruptions that could compromise bird health. For example, in evaluating probiotic safety, Susanti et al. (2021) demonstrated that only through comprehensive biochemical and phenotypic analyses could virulence traits be ruled out and growth-promoting efficacy confirmed. A similar methodology should be applied systematically to AFIs. Establishing maximum tolerable limits based on biochemical markers would provide a scientific basis for feed formulation guidelines and enhance confidence in the safe use of alternative feed resources.</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6.3 Role of Omics (e.g., Metabolomics, Proteomics) in Identifying Subclinical Effects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The application of omics technologies—such as transcriptomics, metabolomics, and proteomics—represents a transformative opportunity to uncover subclinical effects of dietary interventions. These high-throughput tools enable detailed profiling of molecular and cellular responses to AFIs, revealing metabolic pathways and immune processes that traditional performance evaluations might overlook. For instance, multi-omics analyses have successfully identified biomarkers related to feed efficiency, gut health, and metabolic resilience in poultry (</w:t>
      </w:r>
      <w:proofErr w:type="spellStart"/>
      <w:r w:rsidRPr="00ED03D0">
        <w:rPr>
          <w:rFonts w:ascii="Times New Roman" w:hAnsi="Times New Roman" w:cs="Times New Roman"/>
        </w:rPr>
        <w:t>Urgessa</w:t>
      </w:r>
      <w:proofErr w:type="spellEnd"/>
      <w:r w:rsidRPr="00ED03D0">
        <w:rPr>
          <w:rFonts w:ascii="Times New Roman" w:hAnsi="Times New Roman" w:cs="Times New Roman"/>
        </w:rPr>
        <w:t xml:space="preserve"> &amp; </w:t>
      </w:r>
      <w:proofErr w:type="spellStart"/>
      <w:r w:rsidRPr="00ED03D0">
        <w:rPr>
          <w:rFonts w:ascii="Times New Roman" w:hAnsi="Times New Roman" w:cs="Times New Roman"/>
        </w:rPr>
        <w:t>Woldesemayat</w:t>
      </w:r>
      <w:proofErr w:type="spellEnd"/>
      <w:r w:rsidRPr="00ED03D0">
        <w:rPr>
          <w:rFonts w:ascii="Times New Roman" w:hAnsi="Times New Roman" w:cs="Times New Roman"/>
        </w:rPr>
        <w:t xml:space="preserve">, 2023; </w:t>
      </w:r>
      <w:proofErr w:type="spellStart"/>
      <w:r w:rsidRPr="00ED03D0">
        <w:rPr>
          <w:rFonts w:ascii="Times New Roman" w:hAnsi="Times New Roman" w:cs="Times New Roman"/>
        </w:rPr>
        <w:t>Zampiga</w:t>
      </w:r>
      <w:proofErr w:type="spellEnd"/>
      <w:r w:rsidRPr="00ED03D0">
        <w:rPr>
          <w:rFonts w:ascii="Times New Roman" w:hAnsi="Times New Roman" w:cs="Times New Roman"/>
        </w:rPr>
        <w:t xml:space="preserve"> et al., 2018). Integrating omics approaches into AFI research will allow for earlier </w:t>
      </w:r>
      <w:r w:rsidRPr="00ED03D0">
        <w:rPr>
          <w:rFonts w:ascii="Times New Roman" w:hAnsi="Times New Roman" w:cs="Times New Roman"/>
        </w:rPr>
        <w:lastRenderedPageBreak/>
        <w:t>detection of physiological disturbances, stronger cause-effect validation, and more predictive assessments of long-term safety and productivity.</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6.4 National Feed Policy and Regulation</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In many countries, including Nigeria, regulatory frameworks for feed ingredients remain fragmented, inconsistent, or outdated. The absence of clear national standards governing the evaluation, approval, and monitoring of AFIs contributes to variability in feed quality and safety. A comprehensive, standardized feed policy is urgently needed to regulate the incorporation of agro-industrial by-products, insect-based meals, and other novel feed ingredients. Such a policy should mandate routine testing for contaminants such as mycotoxins, heavy metals, and microbial pathogens. Moreover, emerging scientific insights—particularly from omics and biochemical safety studies—must be integrated into regulatory frameworks to ensure animal health protection, feed industry transparency, and consumer safety.</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Bridging the research and regulatory gaps identified is critical for advancing the responsible use of alternative feed ingredients in poultry nutrition. A multidisciplinary approach—combining performance evaluation, biochemical monitoring, omics technologies, and policy reform—is necessary to fully unlock the potential of AFIs while safeguarding animal health and production sustainability. The final section synthesizes the key insights from this review and outlines concluding remarks on the future outlook for AFIs in the Nigerian poultry sector and beyond.</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7. Conclusion</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Alternative feed ingredients (AFIs) present a significant opportunity to enhance the sustainability, resilience, and cost-efficiency of poultry production systems. Their utilization aligns with broader goals of reducing reliance on conventional feedstuffs, minimizing agricultural waste, and promoting local resource use. However, realizing the full potential of AFIs remains constrained by critical research deficiencies and regulatory gaps.</w:t>
      </w:r>
    </w:p>
    <w:p w:rsidR="00ED03D0" w:rsidRDefault="00ED03D0" w:rsidP="004A543E">
      <w:pPr>
        <w:jc w:val="both"/>
        <w:rPr>
          <w:rFonts w:ascii="Times New Roman" w:hAnsi="Times New Roman" w:cs="Times New Roman"/>
        </w:rPr>
      </w:pPr>
      <w:r w:rsidRPr="00ED03D0">
        <w:rPr>
          <w:rFonts w:ascii="Times New Roman" w:hAnsi="Times New Roman" w:cs="Times New Roman"/>
        </w:rPr>
        <w:t>Addressing these challenges requires a multidisciplinary strategy that integrates conventional performance assessments with detailed biochemical evaluations. Establishing evidence-based safety thresholds, applying advanced omics technologies to detect subclinical effects, and enforcing standardized national feed regulations are essential steps toward ensuring the safe and effective incorporation of AFIs into poultry diets. Only through such a comprehensive, science-driven, and policy-supported approach can AFIs contribute meaningfully to sustainable poultry production while safeguarding animal health and food security.</w:t>
      </w:r>
    </w:p>
    <w:p w:rsidR="00974FF4" w:rsidRDefault="000E6B93" w:rsidP="004A543E">
      <w:pPr>
        <w:jc w:val="both"/>
        <w:rPr>
          <w:rFonts w:ascii="Times New Roman" w:hAnsi="Times New Roman" w:cs="Times New Roman"/>
        </w:rPr>
      </w:pPr>
      <w:r w:rsidRPr="000E6B93">
        <w:rPr>
          <w:rFonts w:ascii="Times New Roman" w:hAnsi="Times New Roman" w:cs="Times New Roman"/>
        </w:rPr>
        <w:t>AI disclaimer</w:t>
      </w:r>
      <w:bookmarkStart w:id="0" w:name="_GoBack"/>
      <w:bookmarkEnd w:id="0"/>
    </w:p>
    <w:p w:rsidR="00974FF4" w:rsidRPr="009C5487" w:rsidRDefault="00974FF4" w:rsidP="00974FF4">
      <w:pPr>
        <w:rPr>
          <w:rFonts w:ascii="Calibri" w:eastAsia="Calibri" w:hAnsi="Calibri" w:cs="Times New Roman"/>
          <w:highlight w:val="yellow"/>
        </w:rPr>
      </w:pPr>
      <w:bookmarkStart w:id="1" w:name="_Hlk180402183"/>
      <w:bookmarkStart w:id="2" w:name="_Hlk183680988"/>
      <w:r w:rsidRPr="009C5487">
        <w:rPr>
          <w:rFonts w:ascii="Calibri" w:eastAsia="Calibri" w:hAnsi="Calibri" w:cs="Times New Roman"/>
          <w:highlight w:val="yellow"/>
        </w:rPr>
        <w:t xml:space="preserve">Option 2: </w:t>
      </w:r>
    </w:p>
    <w:p w:rsidR="00974FF4" w:rsidRPr="009C5487" w:rsidRDefault="00974FF4" w:rsidP="00974FF4">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w:t>
      </w:r>
    </w:p>
    <w:bookmarkEnd w:id="1"/>
    <w:bookmarkEnd w:id="2"/>
    <w:p w:rsidR="00974FF4" w:rsidRPr="00ED03D0" w:rsidRDefault="00974FF4" w:rsidP="004A543E">
      <w:pPr>
        <w:jc w:val="both"/>
        <w:rPr>
          <w:rFonts w:ascii="Times New Roman" w:hAnsi="Times New Roman" w:cs="Times New Roman"/>
        </w:rPr>
      </w:pPr>
    </w:p>
    <w:p w:rsidR="0075401E" w:rsidRPr="00FB0A57" w:rsidRDefault="0075401E" w:rsidP="004A543E">
      <w:pPr>
        <w:jc w:val="both"/>
        <w:rPr>
          <w:rFonts w:ascii="Times New Roman" w:hAnsi="Times New Roman" w:cs="Times New Roman"/>
        </w:rPr>
      </w:pPr>
    </w:p>
    <w:p w:rsidR="00620040" w:rsidRPr="00FB0A57" w:rsidRDefault="00620040" w:rsidP="004A543E">
      <w:pPr>
        <w:jc w:val="both"/>
        <w:rPr>
          <w:rFonts w:ascii="Times New Roman" w:hAnsi="Times New Roman" w:cs="Times New Roman"/>
          <w:b/>
          <w:bCs/>
        </w:rPr>
      </w:pPr>
      <w:r w:rsidRPr="00FB0A57">
        <w:rPr>
          <w:rFonts w:ascii="Times New Roman" w:hAnsi="Times New Roman" w:cs="Times New Roman"/>
          <w:b/>
          <w:bCs/>
        </w:rPr>
        <w:t>References</w:t>
      </w:r>
    </w:p>
    <w:p w:rsidR="00461EBB" w:rsidRPr="000E6DB6" w:rsidRDefault="00461EBB" w:rsidP="000E6DB6">
      <w:pPr>
        <w:jc w:val="both"/>
      </w:pPr>
      <w:r w:rsidRPr="000E6DB6">
        <w:t xml:space="preserve">Adedoyin, A., </w:t>
      </w:r>
      <w:proofErr w:type="spellStart"/>
      <w:r w:rsidRPr="000E6DB6">
        <w:t>Mosobalaje</w:t>
      </w:r>
      <w:proofErr w:type="spellEnd"/>
      <w:r w:rsidRPr="000E6DB6">
        <w:t xml:space="preserve">, M., &amp; </w:t>
      </w:r>
      <w:proofErr w:type="spellStart"/>
      <w:r w:rsidRPr="000E6DB6">
        <w:t>Bamimore</w:t>
      </w:r>
      <w:proofErr w:type="spellEnd"/>
      <w:r w:rsidRPr="000E6DB6">
        <w:t>, A. (2019). Performance, Immuno-stimulatory and Blood Biochemical Indices of Broiler Chickens Fed Hot Red Pepper (Capsicum annuum L.) Supplemented Diets. </w:t>
      </w:r>
      <w:r w:rsidRPr="000E6DB6">
        <w:rPr>
          <w:i/>
          <w:iCs/>
        </w:rPr>
        <w:t>Journal of Experimental Agriculture International</w:t>
      </w:r>
      <w:r w:rsidRPr="000E6DB6">
        <w:t xml:space="preserve">. </w:t>
      </w:r>
      <w:hyperlink r:id="rId7" w:history="1">
        <w:r w:rsidRPr="000E6DB6">
          <w:rPr>
            <w:rStyle w:val="Hyperlink"/>
          </w:rPr>
          <w:t>https://doi.org/10.9734/JEAI/2019/V36I330238</w:t>
        </w:r>
      </w:hyperlink>
      <w:r w:rsidRPr="000E6DB6">
        <w:t>.</w:t>
      </w:r>
    </w:p>
    <w:p w:rsidR="00461EBB" w:rsidRPr="000E6DB6" w:rsidRDefault="00461EBB" w:rsidP="000E6DB6">
      <w:pPr>
        <w:jc w:val="both"/>
        <w:rPr>
          <w:rFonts w:ascii="Times New Roman" w:hAnsi="Times New Roman" w:cs="Times New Roman"/>
        </w:rPr>
      </w:pPr>
      <w:proofErr w:type="spellStart"/>
      <w:r w:rsidRPr="000E6DB6">
        <w:rPr>
          <w:rFonts w:ascii="Times New Roman" w:hAnsi="Times New Roman" w:cs="Times New Roman"/>
        </w:rPr>
        <w:t>Adegun</w:t>
      </w:r>
      <w:proofErr w:type="spellEnd"/>
      <w:r w:rsidRPr="000E6DB6">
        <w:rPr>
          <w:rFonts w:ascii="Times New Roman" w:hAnsi="Times New Roman" w:cs="Times New Roman"/>
        </w:rPr>
        <w:t>, M. K.</w:t>
      </w:r>
      <w:r w:rsidR="007D1DF5">
        <w:rPr>
          <w:rFonts w:ascii="Times New Roman" w:hAnsi="Times New Roman" w:cs="Times New Roman"/>
        </w:rPr>
        <w:t>,</w:t>
      </w:r>
      <w:r w:rsidRPr="000E6DB6">
        <w:rPr>
          <w:rFonts w:ascii="Times New Roman" w:hAnsi="Times New Roman" w:cs="Times New Roman"/>
        </w:rPr>
        <w:t xml:space="preserve"> Aye, P. A. </w:t>
      </w:r>
      <w:r w:rsidR="007D1DF5">
        <w:rPr>
          <w:rFonts w:ascii="Times New Roman" w:hAnsi="Times New Roman" w:cs="Times New Roman"/>
        </w:rPr>
        <w:t xml:space="preserve">&amp; Dairo F.A.S </w:t>
      </w:r>
      <w:r w:rsidRPr="000E6DB6">
        <w:rPr>
          <w:rFonts w:ascii="Times New Roman" w:hAnsi="Times New Roman" w:cs="Times New Roman"/>
        </w:rPr>
        <w:t xml:space="preserve">(2011). Evaluation of </w:t>
      </w:r>
      <w:proofErr w:type="spellStart"/>
      <w:r w:rsidRPr="000E6DB6">
        <w:rPr>
          <w:rFonts w:ascii="Times New Roman" w:hAnsi="Times New Roman" w:cs="Times New Roman"/>
          <w:i/>
          <w:iCs/>
        </w:rPr>
        <w:t>Moringa</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oleifera</w:t>
      </w:r>
      <w:proofErr w:type="spellEnd"/>
      <w:r w:rsidRPr="000E6DB6">
        <w:rPr>
          <w:rFonts w:ascii="Times New Roman" w:hAnsi="Times New Roman" w:cs="Times New Roman"/>
        </w:rPr>
        <w:t xml:space="preserve">, </w:t>
      </w:r>
      <w:proofErr w:type="spellStart"/>
      <w:r w:rsidRPr="000E6DB6">
        <w:rPr>
          <w:rFonts w:ascii="Times New Roman" w:hAnsi="Times New Roman" w:cs="Times New Roman"/>
          <w:i/>
          <w:iCs/>
        </w:rPr>
        <w:t>Gliricidia</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sepium</w:t>
      </w:r>
      <w:proofErr w:type="spellEnd"/>
      <w:r w:rsidRPr="000E6DB6">
        <w:rPr>
          <w:rFonts w:ascii="Times New Roman" w:hAnsi="Times New Roman" w:cs="Times New Roman"/>
        </w:rPr>
        <w:t xml:space="preserve"> and </w:t>
      </w:r>
      <w:proofErr w:type="spellStart"/>
      <w:r w:rsidRPr="000E6DB6">
        <w:rPr>
          <w:rFonts w:ascii="Times New Roman" w:hAnsi="Times New Roman" w:cs="Times New Roman"/>
          <w:i/>
          <w:iCs/>
        </w:rPr>
        <w:t>Leucaena</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leucocephala</w:t>
      </w:r>
      <w:proofErr w:type="spellEnd"/>
      <w:r w:rsidRPr="000E6DB6">
        <w:rPr>
          <w:rFonts w:ascii="Times New Roman" w:hAnsi="Times New Roman" w:cs="Times New Roman"/>
        </w:rPr>
        <w:t xml:space="preserve">-based </w:t>
      </w:r>
      <w:proofErr w:type="spellStart"/>
      <w:r w:rsidRPr="000E6DB6">
        <w:rPr>
          <w:rFonts w:ascii="Times New Roman" w:hAnsi="Times New Roman" w:cs="Times New Roman"/>
        </w:rPr>
        <w:t>multinutrient</w:t>
      </w:r>
      <w:proofErr w:type="spellEnd"/>
      <w:r w:rsidRPr="000E6DB6">
        <w:rPr>
          <w:rFonts w:ascii="Times New Roman" w:hAnsi="Times New Roman" w:cs="Times New Roman"/>
        </w:rPr>
        <w:t xml:space="preserve"> blocks as feed supplements for sheep in South Western Nigeria. </w:t>
      </w:r>
      <w:r w:rsidRPr="000E6DB6">
        <w:rPr>
          <w:rFonts w:ascii="Times New Roman" w:hAnsi="Times New Roman" w:cs="Times New Roman"/>
          <w:i/>
          <w:iCs/>
        </w:rPr>
        <w:t>Agriculture and Biology Journal of North America, 2</w:t>
      </w:r>
      <w:r w:rsidRPr="000E6DB6">
        <w:rPr>
          <w:rFonts w:ascii="Times New Roman" w:hAnsi="Times New Roman" w:cs="Times New Roman"/>
        </w:rPr>
        <w:t>(11), 1395–1401. https://doi.org/10.5251/ABJNA.2011.2.11.1395.1401</w:t>
      </w:r>
    </w:p>
    <w:p w:rsidR="00461EBB" w:rsidRPr="000E6DB6" w:rsidRDefault="00461EBB" w:rsidP="000E6DB6">
      <w:pPr>
        <w:jc w:val="both"/>
      </w:pPr>
      <w:r w:rsidRPr="000E6DB6">
        <w:t xml:space="preserve">Adeyemo, A., Sani, A., Aderibigbe, T., Abdurrasheed, M., &amp; </w:t>
      </w:r>
      <w:proofErr w:type="spellStart"/>
      <w:r w:rsidRPr="000E6DB6">
        <w:t>Agbolade</w:t>
      </w:r>
      <w:proofErr w:type="spellEnd"/>
      <w:r w:rsidRPr="000E6DB6">
        <w:t xml:space="preserve">, J. (2014). A study of Aspergillus </w:t>
      </w:r>
      <w:proofErr w:type="spellStart"/>
      <w:r w:rsidRPr="000E6DB6">
        <w:t>niger</w:t>
      </w:r>
      <w:proofErr w:type="spellEnd"/>
      <w:r w:rsidRPr="000E6DB6">
        <w:t>- hydrolyzed cassava peel meal as a carbohydrate source on the histology of broiler chickens. </w:t>
      </w:r>
      <w:proofErr w:type="spellStart"/>
      <w:r w:rsidRPr="000E6DB6">
        <w:rPr>
          <w:i/>
          <w:iCs/>
        </w:rPr>
        <w:t>SpringerPlus</w:t>
      </w:r>
      <w:proofErr w:type="spellEnd"/>
      <w:r w:rsidRPr="000E6DB6">
        <w:t xml:space="preserve">, 3. </w:t>
      </w:r>
      <w:hyperlink r:id="rId8" w:history="1">
        <w:r w:rsidRPr="000E6DB6">
          <w:rPr>
            <w:rStyle w:val="Hyperlink"/>
          </w:rPr>
          <w:t>https://doi.org/10.1186/2193-1801-3-31</w:t>
        </w:r>
      </w:hyperlink>
      <w:r w:rsidRPr="000E6DB6">
        <w:t>.</w:t>
      </w:r>
    </w:p>
    <w:p w:rsidR="008235E8" w:rsidRDefault="008235E8" w:rsidP="000E6DB6">
      <w:pPr>
        <w:jc w:val="both"/>
      </w:pPr>
      <w:r w:rsidRPr="008235E8">
        <w:t xml:space="preserve">Akintunde, A., &amp; Toye, A. A. (2022). Comparative study on egg characteristics of Yoruba ecotype Nigerian local chickens and Isa Brown chickens fed graded levels of </w:t>
      </w:r>
      <w:r w:rsidRPr="008235E8">
        <w:rPr>
          <w:i/>
          <w:iCs/>
        </w:rPr>
        <w:t>Moringa oleifera</w:t>
      </w:r>
      <w:r w:rsidRPr="008235E8">
        <w:t xml:space="preserve"> seed meal. </w:t>
      </w:r>
      <w:r w:rsidRPr="008235E8">
        <w:rPr>
          <w:i/>
          <w:iCs/>
        </w:rPr>
        <w:t>Agricultural Science Digest</w:t>
      </w:r>
      <w:r w:rsidRPr="008235E8">
        <w:t>. https://doi.org/10.18805/ag.df-430</w:t>
      </w:r>
    </w:p>
    <w:p w:rsidR="00461EBB" w:rsidRPr="000E6DB6" w:rsidRDefault="00461EBB" w:rsidP="000E6DB6">
      <w:pPr>
        <w:jc w:val="both"/>
      </w:pPr>
      <w:r w:rsidRPr="000E6DB6">
        <w:t>Al-</w:t>
      </w:r>
      <w:proofErr w:type="spellStart"/>
      <w:r w:rsidRPr="000E6DB6">
        <w:t>Khalaifah</w:t>
      </w:r>
      <w:proofErr w:type="spellEnd"/>
      <w:r w:rsidRPr="000E6DB6">
        <w:t>, H., Shahin, S., Omar, A., Mohammed, H., Mahmoud, H., &amp; Ibrahim, D. (2020). Effects of graded levels of microbial fermented or enzymatically treated dried brewer’s grains on growth, digestive and nutrient transporter genes expression and cost effectiveness in broiler chickens. </w:t>
      </w:r>
      <w:r w:rsidRPr="000E6DB6">
        <w:rPr>
          <w:i/>
          <w:iCs/>
        </w:rPr>
        <w:t>BMC Veterinary Research</w:t>
      </w:r>
      <w:r w:rsidRPr="000E6DB6">
        <w:t xml:space="preserve">, 16. </w:t>
      </w:r>
      <w:hyperlink r:id="rId9" w:history="1">
        <w:r w:rsidRPr="000E6DB6">
          <w:rPr>
            <w:rStyle w:val="Hyperlink"/>
          </w:rPr>
          <w:t>https://doi.org/10.1186/s12917-020-02603-0</w:t>
        </w:r>
      </w:hyperlink>
      <w:r w:rsidRPr="000E6DB6">
        <w:t>.</w:t>
      </w:r>
    </w:p>
    <w:p w:rsidR="007D7B50" w:rsidRDefault="007D7B50" w:rsidP="000E6DB6">
      <w:pPr>
        <w:jc w:val="both"/>
      </w:pPr>
      <w:proofErr w:type="spellStart"/>
      <w:r w:rsidRPr="007D7B50">
        <w:t>Amevor</w:t>
      </w:r>
      <w:proofErr w:type="spellEnd"/>
      <w:r w:rsidRPr="007D7B50">
        <w:t xml:space="preserve">, F. K., </w:t>
      </w:r>
      <w:proofErr w:type="spellStart"/>
      <w:r w:rsidRPr="007D7B50">
        <w:t>Uyanga</w:t>
      </w:r>
      <w:proofErr w:type="spellEnd"/>
      <w:r w:rsidRPr="007D7B50">
        <w:t>, V. A., Wu, L., Xu, D., Shu, G., Wang, Y., &amp; Zhao, X. (2025). Enhancing poultry health and productivity through the liver-gut axis with integrated nutritional and immunological approaches: a mini-review. </w:t>
      </w:r>
      <w:r w:rsidRPr="007D7B50">
        <w:rPr>
          <w:i/>
          <w:iCs/>
        </w:rPr>
        <w:t>Frontiers in Physiology</w:t>
      </w:r>
      <w:r w:rsidRPr="007D7B50">
        <w:t>, </w:t>
      </w:r>
      <w:r w:rsidRPr="007D7B50">
        <w:rPr>
          <w:i/>
          <w:iCs/>
        </w:rPr>
        <w:t>16</w:t>
      </w:r>
      <w:r w:rsidRPr="007D7B50">
        <w:t>, 1537099.</w:t>
      </w:r>
    </w:p>
    <w:p w:rsidR="00461EBB" w:rsidRPr="000E6DB6" w:rsidRDefault="00461EBB" w:rsidP="000E6DB6">
      <w:pPr>
        <w:jc w:val="both"/>
      </w:pPr>
      <w:r w:rsidRPr="000E6DB6">
        <w:t>An, S., &amp; Kong, C. (2018). Calculation of Replacement Price for Alternative Feed Ingredient in Consideration of Nutrient Content in Feed Ingredient Fed to Broiler Chickens. </w:t>
      </w:r>
      <w:r w:rsidRPr="000E6DB6">
        <w:rPr>
          <w:i/>
          <w:iCs/>
        </w:rPr>
        <w:t>Korean Journal of Poultry Science</w:t>
      </w:r>
      <w:r w:rsidRPr="000E6DB6">
        <w:t xml:space="preserve">. </w:t>
      </w:r>
      <w:hyperlink r:id="rId10" w:history="1">
        <w:r w:rsidRPr="000E6DB6">
          <w:rPr>
            <w:rStyle w:val="Hyperlink"/>
          </w:rPr>
          <w:t>https://doi.org/10.5536/KJPS.2018.45.2.73</w:t>
        </w:r>
      </w:hyperlink>
      <w:r w:rsidRPr="000E6DB6">
        <w:t>.</w:t>
      </w:r>
    </w:p>
    <w:p w:rsidR="00461EBB" w:rsidRPr="000E6DB6" w:rsidRDefault="00461EBB" w:rsidP="000E6DB6">
      <w:pPr>
        <w:jc w:val="both"/>
      </w:pPr>
      <w:r w:rsidRPr="000E6DB6">
        <w:t xml:space="preserve">Awoniyi T. A. M., V. A. </w:t>
      </w:r>
      <w:proofErr w:type="spellStart"/>
      <w:r w:rsidRPr="000E6DB6">
        <w:t>Aletor</w:t>
      </w:r>
      <w:proofErr w:type="spellEnd"/>
      <w:r w:rsidRPr="000E6DB6">
        <w:t xml:space="preserve"> and J. M. Aina, 2003. Performance of Broiler - Chickens Fed on Maggot Meal in Place of Fishmeal. </w:t>
      </w:r>
      <w:r w:rsidRPr="000E6DB6">
        <w:rPr>
          <w:i/>
          <w:iCs/>
        </w:rPr>
        <w:t>International Journal of Poultry Science, 2: 271-274.</w:t>
      </w:r>
      <w:r w:rsidRPr="000E6DB6">
        <w:br/>
        <w:t>DOI: </w:t>
      </w:r>
      <w:hyperlink r:id="rId11" w:tgtFrame="_blank" w:history="1">
        <w:r w:rsidRPr="000E6DB6">
          <w:rPr>
            <w:rStyle w:val="Hyperlink"/>
          </w:rPr>
          <w:t>10.3923/ijps.2003.271.274</w:t>
        </w:r>
      </w:hyperlink>
    </w:p>
    <w:p w:rsidR="00461EBB" w:rsidRPr="000E6DB6" w:rsidRDefault="00461EBB" w:rsidP="000E6DB6">
      <w:pPr>
        <w:jc w:val="both"/>
      </w:pPr>
      <w:proofErr w:type="spellStart"/>
      <w:r w:rsidRPr="000E6DB6">
        <w:t>Balami</w:t>
      </w:r>
      <w:proofErr w:type="spellEnd"/>
      <w:r w:rsidRPr="000E6DB6">
        <w:t xml:space="preserve">, A., Sule, A., Enam, S., </w:t>
      </w:r>
      <w:proofErr w:type="spellStart"/>
      <w:r w:rsidRPr="000E6DB6">
        <w:t>Gadzama</w:t>
      </w:r>
      <w:proofErr w:type="spellEnd"/>
      <w:r w:rsidRPr="000E6DB6">
        <w:t xml:space="preserve">, J., </w:t>
      </w:r>
      <w:proofErr w:type="spellStart"/>
      <w:r w:rsidRPr="000E6DB6">
        <w:t>Ndahi</w:t>
      </w:r>
      <w:proofErr w:type="spellEnd"/>
      <w:r w:rsidRPr="000E6DB6">
        <w:t xml:space="preserve">, J., Mustapha, M., Adamu, L., </w:t>
      </w:r>
      <w:proofErr w:type="spellStart"/>
      <w:r w:rsidRPr="000E6DB6">
        <w:t>Wakawa</w:t>
      </w:r>
      <w:proofErr w:type="spellEnd"/>
      <w:r w:rsidRPr="000E6DB6">
        <w:t xml:space="preserve">, A., </w:t>
      </w:r>
      <w:proofErr w:type="spellStart"/>
      <w:r w:rsidRPr="000E6DB6">
        <w:t>Aluwong</w:t>
      </w:r>
      <w:proofErr w:type="spellEnd"/>
      <w:r w:rsidRPr="000E6DB6">
        <w:t xml:space="preserve">, T., &amp; Abdu, P. (2021). Effect of Moringa oleifera Supplementation on Oxidative Stress </w:t>
      </w:r>
      <w:r w:rsidRPr="000E6DB6">
        <w:lastRenderedPageBreak/>
        <w:t>Biomarkers ‎during Infectious Bursal Disease Virus Infection in Broiler Chickens. </w:t>
      </w:r>
      <w:r w:rsidRPr="000E6DB6">
        <w:rPr>
          <w:i/>
          <w:iCs/>
        </w:rPr>
        <w:t>Sahel Journal of Veterinary Sciences</w:t>
      </w:r>
      <w:r w:rsidRPr="000E6DB6">
        <w:t xml:space="preserve">. </w:t>
      </w:r>
      <w:hyperlink r:id="rId12" w:history="1">
        <w:r w:rsidRPr="000E6DB6">
          <w:rPr>
            <w:rStyle w:val="Hyperlink"/>
          </w:rPr>
          <w:t>https://doi.org/10.54058/saheljvs.v18i3.229</w:t>
        </w:r>
      </w:hyperlink>
      <w:r w:rsidRPr="000E6DB6">
        <w:t>.</w:t>
      </w:r>
    </w:p>
    <w:p w:rsidR="00461EBB" w:rsidRPr="000E6DB6" w:rsidRDefault="00461EBB" w:rsidP="000E6DB6">
      <w:pPr>
        <w:jc w:val="both"/>
      </w:pPr>
      <w:proofErr w:type="spellStart"/>
      <w:r w:rsidRPr="000E6DB6">
        <w:t>Behboodi</w:t>
      </w:r>
      <w:proofErr w:type="spellEnd"/>
      <w:r w:rsidRPr="000E6DB6">
        <w:t>, H., Alemi, M. &amp; Baradaran, A. </w:t>
      </w:r>
      <w:r w:rsidRPr="000E6DB6">
        <w:rPr>
          <w:i/>
          <w:iCs/>
        </w:rPr>
        <w:t>Urtica dioica</w:t>
      </w:r>
      <w:r w:rsidRPr="000E6DB6">
        <w:t> extract—suitable dietary supplement influencing the growth body characteristics, antioxidant status, and serum biochemical parameters of broiler chickens. </w:t>
      </w:r>
      <w:r w:rsidRPr="000E6DB6">
        <w:rPr>
          <w:i/>
          <w:iCs/>
        </w:rPr>
        <w:t xml:space="preserve">Comp </w:t>
      </w:r>
      <w:proofErr w:type="spellStart"/>
      <w:r w:rsidRPr="000E6DB6">
        <w:rPr>
          <w:i/>
          <w:iCs/>
        </w:rPr>
        <w:t>Clin</w:t>
      </w:r>
      <w:proofErr w:type="spellEnd"/>
      <w:r w:rsidRPr="000E6DB6">
        <w:rPr>
          <w:i/>
          <w:iCs/>
        </w:rPr>
        <w:t xml:space="preserve"> </w:t>
      </w:r>
      <w:proofErr w:type="spellStart"/>
      <w:r w:rsidRPr="000E6DB6">
        <w:rPr>
          <w:i/>
          <w:iCs/>
        </w:rPr>
        <w:t>Pathol</w:t>
      </w:r>
      <w:proofErr w:type="spellEnd"/>
      <w:r w:rsidRPr="000E6DB6">
        <w:t xml:space="preserve"> 30, 913–920 (2021). </w:t>
      </w:r>
      <w:hyperlink r:id="rId13" w:history="1">
        <w:r w:rsidRPr="000E6DB6">
          <w:rPr>
            <w:rStyle w:val="Hyperlink"/>
          </w:rPr>
          <w:t>https://doi.org/10.1007/s00580-021-03286-1</w:t>
        </w:r>
      </w:hyperlink>
    </w:p>
    <w:p w:rsidR="00274933" w:rsidRPr="000E6DB6" w:rsidRDefault="00274933" w:rsidP="000E6DB6">
      <w:pPr>
        <w:jc w:val="both"/>
      </w:pPr>
      <w:r w:rsidRPr="000E6DB6">
        <w:t xml:space="preserve">Bello, K., </w:t>
      </w:r>
      <w:proofErr w:type="spellStart"/>
      <w:r w:rsidRPr="000E6DB6">
        <w:t>Adetoye</w:t>
      </w:r>
      <w:proofErr w:type="spellEnd"/>
      <w:r w:rsidRPr="000E6DB6">
        <w:t xml:space="preserve">, A. M., &amp; </w:t>
      </w:r>
      <w:proofErr w:type="spellStart"/>
      <w:r w:rsidRPr="000E6DB6">
        <w:t>Irekhore</w:t>
      </w:r>
      <w:proofErr w:type="spellEnd"/>
      <w:r w:rsidRPr="000E6DB6">
        <w:t xml:space="preserve">, O. (2015). Assessment of the use of cassava as alternative energy feedstuff in livestock feeds in Nigeria. </w:t>
      </w:r>
      <w:r w:rsidRPr="000E6DB6">
        <w:rPr>
          <w:i/>
          <w:iCs/>
        </w:rPr>
        <w:t>International Journal of Applied Agriculture and Apiculture Research, 11</w:t>
      </w:r>
      <w:r w:rsidRPr="000E6DB6">
        <w:t>, 67–76.</w:t>
      </w:r>
    </w:p>
    <w:p w:rsidR="00F34333" w:rsidRPr="000E6DB6" w:rsidRDefault="00F34333" w:rsidP="000E6DB6">
      <w:pPr>
        <w:jc w:val="both"/>
      </w:pPr>
      <w:proofErr w:type="gramStart"/>
      <w:r w:rsidRPr="000E6DB6">
        <w:t>J.-</w:t>
      </w:r>
      <w:proofErr w:type="gramEnd"/>
      <w:r w:rsidRPr="000E6DB6">
        <w:t xml:space="preserve"> Q. Dong, H. Zhang, X.- F. Jiang, S.- Z. Wang, Z.- Q. Du, Z.- P. Wang, L. Leng, Z.- P. Cao, Y.- M. Li, P. Luan, H. Li, Comparison of serum biochemical parameters between two broiler chicken lines divergently selected for abdominal fat content, </w:t>
      </w:r>
      <w:r w:rsidRPr="000E6DB6">
        <w:rPr>
          <w:i/>
          <w:iCs/>
        </w:rPr>
        <w:t>Journal of Animal Science</w:t>
      </w:r>
      <w:r w:rsidRPr="000E6DB6">
        <w:t>, Volume 93, Issue 7, July 2015, Pages 3278–3286, </w:t>
      </w:r>
      <w:hyperlink r:id="rId14" w:history="1">
        <w:r w:rsidRPr="000E6DB6">
          <w:rPr>
            <w:rStyle w:val="Hyperlink"/>
          </w:rPr>
          <w:t>https://doi.org/10.2527/jas.2015-8871</w:t>
        </w:r>
      </w:hyperlink>
    </w:p>
    <w:p w:rsidR="00F34333" w:rsidRPr="000E6DB6" w:rsidRDefault="00F34333" w:rsidP="000E6DB6">
      <w:pPr>
        <w:jc w:val="both"/>
      </w:pPr>
      <w:r w:rsidRPr="000E6DB6">
        <w:t xml:space="preserve">El-Deep, M., Dawood, M., Assar, M., </w:t>
      </w:r>
      <w:proofErr w:type="spellStart"/>
      <w:r w:rsidRPr="000E6DB6">
        <w:t>Ijiri</w:t>
      </w:r>
      <w:proofErr w:type="spellEnd"/>
      <w:r w:rsidRPr="000E6DB6">
        <w:t>, D., &amp; Ohtsuka, A. (2019). Dietary Moringa oleifera improves growth performance, oxidative status, and immune related gene expression in broilers under normal and high temperature conditions</w:t>
      </w:r>
      <w:proofErr w:type="gramStart"/>
      <w:r w:rsidRPr="000E6DB6">
        <w:t>..</w:t>
      </w:r>
      <w:proofErr w:type="gramEnd"/>
      <w:r w:rsidRPr="000E6DB6">
        <w:t> </w:t>
      </w:r>
      <w:r w:rsidRPr="000E6DB6">
        <w:rPr>
          <w:i/>
          <w:iCs/>
        </w:rPr>
        <w:t>Journal of thermal biology</w:t>
      </w:r>
      <w:r w:rsidRPr="000E6DB6">
        <w:t>, 82, 157-</w:t>
      </w:r>
      <w:proofErr w:type="gramStart"/>
      <w:r w:rsidRPr="000E6DB6">
        <w:t>163 .</w:t>
      </w:r>
      <w:proofErr w:type="gramEnd"/>
      <w:r w:rsidRPr="000E6DB6">
        <w:t xml:space="preserve"> </w:t>
      </w:r>
      <w:hyperlink r:id="rId15" w:history="1">
        <w:r w:rsidRPr="000E6DB6">
          <w:rPr>
            <w:rStyle w:val="Hyperlink"/>
          </w:rPr>
          <w:t>https://doi.org/10.1016/J.JTHERBIO.2019.04.016</w:t>
        </w:r>
      </w:hyperlink>
      <w:r w:rsidRPr="000E6DB6">
        <w:t>.</w:t>
      </w:r>
    </w:p>
    <w:p w:rsidR="00F34333" w:rsidRPr="000E6DB6" w:rsidRDefault="00F34333" w:rsidP="000E6DB6">
      <w:pPr>
        <w:jc w:val="both"/>
      </w:pPr>
      <w:r w:rsidRPr="000E6DB6">
        <w:t xml:space="preserve">El-Hack, M., </w:t>
      </w:r>
      <w:proofErr w:type="spellStart"/>
      <w:r w:rsidRPr="000E6DB6">
        <w:t>Alagawany</w:t>
      </w:r>
      <w:proofErr w:type="spellEnd"/>
      <w:r w:rsidRPr="000E6DB6">
        <w:t xml:space="preserve">, M., Patra, A., Abdel-Latif, M., Ashour, E., Arif, M., Farag, M., &amp; </w:t>
      </w:r>
      <w:proofErr w:type="spellStart"/>
      <w:r w:rsidRPr="000E6DB6">
        <w:t>Dhama</w:t>
      </w:r>
      <w:proofErr w:type="spellEnd"/>
      <w:r w:rsidRPr="000E6DB6">
        <w:t>, K. (2019). Use of Brewers Dried Grains as an Unconventional Feed Ingredient in the Diets of Broiler Chickens: A Review. </w:t>
      </w:r>
      <w:r w:rsidRPr="000E6DB6">
        <w:rPr>
          <w:i/>
          <w:iCs/>
        </w:rPr>
        <w:t>Advances in Animal and Veterinary Sciences</w:t>
      </w:r>
      <w:r w:rsidRPr="000E6DB6">
        <w:t xml:space="preserve">. </w:t>
      </w:r>
      <w:hyperlink r:id="rId16" w:history="1">
        <w:r w:rsidRPr="000E6DB6">
          <w:rPr>
            <w:rStyle w:val="Hyperlink"/>
          </w:rPr>
          <w:t>https://doi.org/10.17582/JOURNAL.AAVS/2019/7.3.218.224</w:t>
        </w:r>
      </w:hyperlink>
      <w:r w:rsidRPr="000E6DB6">
        <w:t>.</w:t>
      </w:r>
    </w:p>
    <w:p w:rsidR="001B5DA3" w:rsidRDefault="001B5DA3" w:rsidP="000E6DB6">
      <w:pPr>
        <w:jc w:val="both"/>
      </w:pPr>
      <w:proofErr w:type="spellStart"/>
      <w:r w:rsidRPr="001B5DA3">
        <w:t>Esonu</w:t>
      </w:r>
      <w:proofErr w:type="spellEnd"/>
      <w:r w:rsidRPr="001B5DA3">
        <w:t xml:space="preserve">, B. O., </w:t>
      </w:r>
      <w:proofErr w:type="spellStart"/>
      <w:r w:rsidRPr="001B5DA3">
        <w:t>Udedibie</w:t>
      </w:r>
      <w:proofErr w:type="spellEnd"/>
      <w:r w:rsidRPr="001B5DA3">
        <w:t xml:space="preserve">, A. B. I., &amp; Herbert, U. (2007). The use of palm kernel meal as substitute for maize in broiler diets. </w:t>
      </w:r>
      <w:r w:rsidRPr="001B5DA3">
        <w:rPr>
          <w:i/>
          <w:iCs/>
        </w:rPr>
        <w:t>Nigerian Journal of Animal Production</w:t>
      </w:r>
      <w:r w:rsidRPr="001B5DA3">
        <w:t xml:space="preserve">, </w:t>
      </w:r>
      <w:r w:rsidRPr="001B5DA3">
        <w:rPr>
          <w:i/>
          <w:iCs/>
        </w:rPr>
        <w:t>34</w:t>
      </w:r>
      <w:r w:rsidRPr="001B5DA3">
        <w:t>(2), 160–166.</w:t>
      </w:r>
    </w:p>
    <w:p w:rsidR="00F34333" w:rsidRPr="000E6DB6" w:rsidRDefault="00F34333" w:rsidP="000E6DB6">
      <w:pPr>
        <w:jc w:val="both"/>
      </w:pPr>
      <w:r w:rsidRPr="000E6DB6">
        <w:t xml:space="preserve">Faccenda, A., </w:t>
      </w:r>
      <w:proofErr w:type="spellStart"/>
      <w:r w:rsidRPr="000E6DB6">
        <w:t>Zambom</w:t>
      </w:r>
      <w:proofErr w:type="spellEnd"/>
      <w:r w:rsidRPr="000E6DB6">
        <w:t xml:space="preserve">, M., Avila, A., </w:t>
      </w:r>
      <w:proofErr w:type="spellStart"/>
      <w:r w:rsidRPr="000E6DB6">
        <w:t>Castagnara</w:t>
      </w:r>
      <w:proofErr w:type="spellEnd"/>
      <w:r w:rsidRPr="000E6DB6">
        <w:t xml:space="preserve">, D., Dri, R., Fischer, M., </w:t>
      </w:r>
      <w:proofErr w:type="spellStart"/>
      <w:r w:rsidRPr="000E6DB6">
        <w:t>Tinini</w:t>
      </w:r>
      <w:proofErr w:type="spellEnd"/>
      <w:r w:rsidRPr="000E6DB6">
        <w:t xml:space="preserve">, R., </w:t>
      </w:r>
      <w:proofErr w:type="spellStart"/>
      <w:r w:rsidRPr="000E6DB6">
        <w:t>Dessbesell</w:t>
      </w:r>
      <w:proofErr w:type="spellEnd"/>
      <w:r w:rsidRPr="000E6DB6">
        <w:t>, J., Almeida, A., &amp; Almeida, K. (2020). Influence of storage period on the nutritional and microbiological value of sun-dried brewer’s grains. </w:t>
      </w:r>
      <w:proofErr w:type="spellStart"/>
      <w:r w:rsidRPr="000E6DB6">
        <w:rPr>
          <w:i/>
          <w:iCs/>
        </w:rPr>
        <w:t>Revista</w:t>
      </w:r>
      <w:proofErr w:type="spellEnd"/>
      <w:r w:rsidRPr="000E6DB6">
        <w:rPr>
          <w:i/>
          <w:iCs/>
        </w:rPr>
        <w:t xml:space="preserve"> </w:t>
      </w:r>
      <w:proofErr w:type="spellStart"/>
      <w:r w:rsidRPr="000E6DB6">
        <w:rPr>
          <w:i/>
          <w:iCs/>
        </w:rPr>
        <w:t>Colombiana</w:t>
      </w:r>
      <w:proofErr w:type="spellEnd"/>
      <w:r w:rsidRPr="000E6DB6">
        <w:rPr>
          <w:i/>
          <w:iCs/>
        </w:rPr>
        <w:t xml:space="preserve"> de </w:t>
      </w:r>
      <w:proofErr w:type="spellStart"/>
      <w:r w:rsidRPr="000E6DB6">
        <w:rPr>
          <w:i/>
          <w:iCs/>
        </w:rPr>
        <w:t>Ciencias</w:t>
      </w:r>
      <w:proofErr w:type="spellEnd"/>
      <w:r w:rsidRPr="000E6DB6">
        <w:rPr>
          <w:i/>
          <w:iCs/>
        </w:rPr>
        <w:t xml:space="preserve"> </w:t>
      </w:r>
      <w:proofErr w:type="spellStart"/>
      <w:r w:rsidRPr="000E6DB6">
        <w:rPr>
          <w:i/>
          <w:iCs/>
        </w:rPr>
        <w:t>Pecuarias</w:t>
      </w:r>
      <w:proofErr w:type="spellEnd"/>
      <w:r w:rsidRPr="000E6DB6">
        <w:t xml:space="preserve">. </w:t>
      </w:r>
      <w:hyperlink r:id="rId17" w:history="1">
        <w:r w:rsidRPr="000E6DB6">
          <w:rPr>
            <w:rStyle w:val="Hyperlink"/>
          </w:rPr>
          <w:t>https://doi.org/10.17533/udea.rccp.v34n4a02</w:t>
        </w:r>
      </w:hyperlink>
      <w:r w:rsidRPr="000E6DB6">
        <w:t>.</w:t>
      </w:r>
    </w:p>
    <w:p w:rsidR="00F34333" w:rsidRPr="000E6DB6" w:rsidRDefault="00F34333" w:rsidP="000E6DB6">
      <w:pPr>
        <w:jc w:val="both"/>
      </w:pPr>
      <w:r w:rsidRPr="000E6DB6">
        <w:t>Hakim, A., Zulkifli, I., Farjam, A., Awad, E., &amp; Ramiah, S. (2022). Impact of Feeding Fermented Palm Kernel Cake and High Dietary Fat on Nutrient Digestibility, Enzyme Activity, Intestinal Morphology and Intestinal Nutrient Transporters mRNA Expression in Broiler Chickens under Hot and Humid Conditions. </w:t>
      </w:r>
      <w:proofErr w:type="gramStart"/>
      <w:r w:rsidRPr="000E6DB6">
        <w:rPr>
          <w:i/>
          <w:iCs/>
        </w:rPr>
        <w:t>Animals :</w:t>
      </w:r>
      <w:proofErr w:type="gramEnd"/>
      <w:r w:rsidRPr="000E6DB6">
        <w:rPr>
          <w:i/>
          <w:iCs/>
        </w:rPr>
        <w:t xml:space="preserve"> an Open Access Journal from MDPI</w:t>
      </w:r>
      <w:r w:rsidRPr="000E6DB6">
        <w:t xml:space="preserve">, 12. </w:t>
      </w:r>
      <w:hyperlink r:id="rId18" w:history="1">
        <w:r w:rsidRPr="000E6DB6">
          <w:rPr>
            <w:rStyle w:val="Hyperlink"/>
          </w:rPr>
          <w:t>https://doi.org/10.3390/ani12070882</w:t>
        </w:r>
      </w:hyperlink>
      <w:r w:rsidRPr="000E6DB6">
        <w:t>.</w:t>
      </w:r>
    </w:p>
    <w:p w:rsidR="00F34333" w:rsidRPr="000E6DB6" w:rsidRDefault="00F34333" w:rsidP="000E6DB6">
      <w:pPr>
        <w:jc w:val="both"/>
      </w:pPr>
      <w:r w:rsidRPr="000E6DB6">
        <w:lastRenderedPageBreak/>
        <w:t>Huang, S., Yang, H., Rehman, M. U., &amp; Tong, Z. (2018). Acute heat stress in broiler chickens and its impact on serum biochemical and electrolyte parameters. </w:t>
      </w:r>
      <w:r w:rsidRPr="000E6DB6">
        <w:rPr>
          <w:i/>
          <w:iCs/>
        </w:rPr>
        <w:t>Indian Journal of Animal Research</w:t>
      </w:r>
      <w:r w:rsidRPr="000E6DB6">
        <w:t>, </w:t>
      </w:r>
      <w:r w:rsidRPr="000E6DB6">
        <w:rPr>
          <w:i/>
          <w:iCs/>
        </w:rPr>
        <w:t>52</w:t>
      </w:r>
      <w:r w:rsidRPr="000E6DB6">
        <w:t>(5), 683-686.</w:t>
      </w:r>
    </w:p>
    <w:p w:rsidR="00F34333" w:rsidRPr="000E6DB6" w:rsidRDefault="00F34333" w:rsidP="000E6DB6">
      <w:pPr>
        <w:jc w:val="both"/>
      </w:pPr>
      <w:r w:rsidRPr="000E6DB6">
        <w:t>Jensen, L., Chang, C., &amp; Maurice, D. (1976). Improvement in Interior Egg Quality and Reduction in Liver Fat in Hens Fed Brewers Dried Grains. </w:t>
      </w:r>
      <w:r w:rsidRPr="000E6DB6">
        <w:rPr>
          <w:i/>
          <w:iCs/>
        </w:rPr>
        <w:t>Poultry Science</w:t>
      </w:r>
      <w:r w:rsidRPr="000E6DB6">
        <w:t xml:space="preserve">, 55, 1841-1847. </w:t>
      </w:r>
      <w:hyperlink r:id="rId19" w:history="1">
        <w:r w:rsidRPr="000E6DB6">
          <w:rPr>
            <w:rStyle w:val="Hyperlink"/>
          </w:rPr>
          <w:t>https://doi.org/10.3382/PS.0551841</w:t>
        </w:r>
      </w:hyperlink>
      <w:r w:rsidRPr="000E6DB6">
        <w:t>.</w:t>
      </w:r>
    </w:p>
    <w:p w:rsidR="004B010B" w:rsidRDefault="004B010B" w:rsidP="000E6DB6">
      <w:pPr>
        <w:jc w:val="both"/>
        <w:rPr>
          <w:rFonts w:ascii="Times New Roman" w:hAnsi="Times New Roman" w:cs="Times New Roman"/>
        </w:rPr>
      </w:pPr>
      <w:r w:rsidRPr="004B010B">
        <w:rPr>
          <w:rFonts w:ascii="Times New Roman" w:hAnsi="Times New Roman" w:cs="Times New Roman"/>
        </w:rPr>
        <w:t xml:space="preserve">Kehinde, H. W., </w:t>
      </w:r>
      <w:proofErr w:type="spellStart"/>
      <w:r w:rsidRPr="004B010B">
        <w:rPr>
          <w:rFonts w:ascii="Times New Roman" w:hAnsi="Times New Roman" w:cs="Times New Roman"/>
        </w:rPr>
        <w:t>Sekoni</w:t>
      </w:r>
      <w:proofErr w:type="spellEnd"/>
      <w:r w:rsidRPr="004B010B">
        <w:rPr>
          <w:rFonts w:ascii="Times New Roman" w:hAnsi="Times New Roman" w:cs="Times New Roman"/>
        </w:rPr>
        <w:t xml:space="preserve">, A. A., </w:t>
      </w:r>
      <w:proofErr w:type="spellStart"/>
      <w:r w:rsidRPr="004B010B">
        <w:rPr>
          <w:rFonts w:ascii="Times New Roman" w:hAnsi="Times New Roman" w:cs="Times New Roman"/>
        </w:rPr>
        <w:t>Olugbemi</w:t>
      </w:r>
      <w:proofErr w:type="spellEnd"/>
      <w:r w:rsidRPr="004B010B">
        <w:rPr>
          <w:rFonts w:ascii="Times New Roman" w:hAnsi="Times New Roman" w:cs="Times New Roman"/>
        </w:rPr>
        <w:t xml:space="preserve">, T. S., &amp; </w:t>
      </w:r>
      <w:proofErr w:type="spellStart"/>
      <w:r w:rsidRPr="004B010B">
        <w:rPr>
          <w:rFonts w:ascii="Times New Roman" w:hAnsi="Times New Roman" w:cs="Times New Roman"/>
        </w:rPr>
        <w:t>Onimisi</w:t>
      </w:r>
      <w:proofErr w:type="spellEnd"/>
      <w:r w:rsidRPr="004B010B">
        <w:rPr>
          <w:rFonts w:ascii="Times New Roman" w:hAnsi="Times New Roman" w:cs="Times New Roman"/>
        </w:rPr>
        <w:t xml:space="preserve">, P. A. (2018). Prevalence of aflatoxin B1 in some common poultry feed ingredients and optimum inclusion levels of </w:t>
      </w:r>
      <w:proofErr w:type="spellStart"/>
      <w:r w:rsidRPr="004B010B">
        <w:rPr>
          <w:rFonts w:ascii="Times New Roman" w:hAnsi="Times New Roman" w:cs="Times New Roman"/>
        </w:rPr>
        <w:t>mycofix</w:t>
      </w:r>
      <w:proofErr w:type="spellEnd"/>
      <w:r w:rsidRPr="004B010B">
        <w:rPr>
          <w:rFonts w:ascii="Times New Roman" w:hAnsi="Times New Roman" w:cs="Times New Roman"/>
        </w:rPr>
        <w:t xml:space="preserve"> binder as feed additive on performance of broiler chickens. </w:t>
      </w:r>
      <w:r w:rsidRPr="004B010B">
        <w:rPr>
          <w:rFonts w:ascii="Times New Roman" w:hAnsi="Times New Roman" w:cs="Times New Roman"/>
          <w:i/>
          <w:iCs/>
        </w:rPr>
        <w:t>Nigerian Journal of Animal Production, 45</w:t>
      </w:r>
      <w:r w:rsidRPr="004B010B">
        <w:rPr>
          <w:rFonts w:ascii="Times New Roman" w:hAnsi="Times New Roman" w:cs="Times New Roman"/>
        </w:rPr>
        <w:t>(2), 137–149. https://njap.org.ng/index.php/njap/article/view/495</w:t>
      </w:r>
    </w:p>
    <w:p w:rsidR="00620040" w:rsidRPr="000E6DB6" w:rsidRDefault="00F9265E" w:rsidP="000E6DB6">
      <w:pPr>
        <w:jc w:val="both"/>
        <w:rPr>
          <w:rFonts w:ascii="Times New Roman" w:hAnsi="Times New Roman" w:cs="Times New Roman"/>
        </w:rPr>
      </w:pPr>
      <w:r w:rsidRPr="000E6DB6">
        <w:rPr>
          <w:rFonts w:ascii="Times New Roman" w:hAnsi="Times New Roman" w:cs="Times New Roman"/>
        </w:rPr>
        <w:t xml:space="preserve">Khan, A., Tahir, M., </w:t>
      </w:r>
      <w:proofErr w:type="spellStart"/>
      <w:r w:rsidRPr="000E6DB6">
        <w:rPr>
          <w:rFonts w:ascii="Times New Roman" w:hAnsi="Times New Roman" w:cs="Times New Roman"/>
        </w:rPr>
        <w:t>Alhidary</w:t>
      </w:r>
      <w:proofErr w:type="spellEnd"/>
      <w:r w:rsidRPr="000E6DB6">
        <w:rPr>
          <w:rFonts w:ascii="Times New Roman" w:hAnsi="Times New Roman" w:cs="Times New Roman"/>
        </w:rPr>
        <w:t xml:space="preserve">, I., Abdelrahman, M., </w:t>
      </w:r>
      <w:proofErr w:type="spellStart"/>
      <w:r w:rsidRPr="000E6DB6">
        <w:rPr>
          <w:rFonts w:ascii="Times New Roman" w:hAnsi="Times New Roman" w:cs="Times New Roman"/>
        </w:rPr>
        <w:t>Swelum</w:t>
      </w:r>
      <w:proofErr w:type="spellEnd"/>
      <w:r w:rsidRPr="000E6DB6">
        <w:rPr>
          <w:rFonts w:ascii="Times New Roman" w:hAnsi="Times New Roman" w:cs="Times New Roman"/>
        </w:rPr>
        <w:t>, A., &amp; Khan, R. (2021). Role of dietary Moringa oleifera leaf extract on productive parameters, humoral immunity and lipid peroxidation in broiler chicks. </w:t>
      </w:r>
      <w:r w:rsidRPr="000E6DB6">
        <w:rPr>
          <w:rFonts w:ascii="Times New Roman" w:hAnsi="Times New Roman" w:cs="Times New Roman"/>
          <w:i/>
          <w:iCs/>
        </w:rPr>
        <w:t>Animal Biotechnology</w:t>
      </w:r>
      <w:r w:rsidRPr="000E6DB6">
        <w:rPr>
          <w:rFonts w:ascii="Times New Roman" w:hAnsi="Times New Roman" w:cs="Times New Roman"/>
        </w:rPr>
        <w:t>, 33, 1353 - 1358. https://doi.org/10.1080/10495398.2021.1899936.</w:t>
      </w:r>
    </w:p>
    <w:p w:rsidR="004B010B" w:rsidRDefault="004B010B" w:rsidP="000E6DB6">
      <w:pPr>
        <w:jc w:val="both"/>
        <w:rPr>
          <w:rFonts w:ascii="Times New Roman" w:hAnsi="Times New Roman" w:cs="Times New Roman"/>
        </w:rPr>
      </w:pPr>
      <w:proofErr w:type="spellStart"/>
      <w:r w:rsidRPr="004B010B">
        <w:rPr>
          <w:rFonts w:ascii="Times New Roman" w:hAnsi="Times New Roman" w:cs="Times New Roman"/>
        </w:rPr>
        <w:t>Kuleile</w:t>
      </w:r>
      <w:proofErr w:type="spellEnd"/>
      <w:r w:rsidRPr="004B010B">
        <w:rPr>
          <w:rFonts w:ascii="Times New Roman" w:hAnsi="Times New Roman" w:cs="Times New Roman"/>
        </w:rPr>
        <w:t xml:space="preserve">, N., </w:t>
      </w:r>
      <w:proofErr w:type="spellStart"/>
      <w:r w:rsidRPr="004B010B">
        <w:rPr>
          <w:rFonts w:ascii="Times New Roman" w:hAnsi="Times New Roman" w:cs="Times New Roman"/>
        </w:rPr>
        <w:t>Adoko</w:t>
      </w:r>
      <w:proofErr w:type="spellEnd"/>
      <w:r w:rsidRPr="004B010B">
        <w:rPr>
          <w:rFonts w:ascii="Times New Roman" w:hAnsi="Times New Roman" w:cs="Times New Roman"/>
        </w:rPr>
        <w:t xml:space="preserve">, G., &amp; </w:t>
      </w:r>
      <w:proofErr w:type="spellStart"/>
      <w:r w:rsidRPr="004B010B">
        <w:rPr>
          <w:rFonts w:ascii="Times New Roman" w:hAnsi="Times New Roman" w:cs="Times New Roman"/>
        </w:rPr>
        <w:t>Nkheche</w:t>
      </w:r>
      <w:proofErr w:type="spellEnd"/>
      <w:r w:rsidRPr="004B010B">
        <w:rPr>
          <w:rFonts w:ascii="Times New Roman" w:hAnsi="Times New Roman" w:cs="Times New Roman"/>
        </w:rPr>
        <w:t xml:space="preserve">, M. (2019). The influence of dried brewery grain in broiler diets on production performance. </w:t>
      </w:r>
      <w:r w:rsidRPr="004B010B">
        <w:rPr>
          <w:rFonts w:ascii="Times New Roman" w:hAnsi="Times New Roman" w:cs="Times New Roman"/>
          <w:i/>
          <w:iCs/>
        </w:rPr>
        <w:t>Online Journal of Animal and Feed Research, 9</w:t>
      </w:r>
      <w:r w:rsidRPr="004B010B">
        <w:rPr>
          <w:rFonts w:ascii="Times New Roman" w:hAnsi="Times New Roman" w:cs="Times New Roman"/>
        </w:rPr>
        <w:t>(3), 134–138. https://www.ojafr.ir/main/attachments/article/140/OJAFR%</w:t>
      </w:r>
      <w:proofErr w:type="gramStart"/>
      <w:r w:rsidRPr="004B010B">
        <w:rPr>
          <w:rFonts w:ascii="Times New Roman" w:hAnsi="Times New Roman" w:cs="Times New Roman"/>
        </w:rPr>
        <w:t>209(</w:t>
      </w:r>
      <w:proofErr w:type="gramEnd"/>
      <w:r w:rsidRPr="004B010B">
        <w:rPr>
          <w:rFonts w:ascii="Times New Roman" w:hAnsi="Times New Roman" w:cs="Times New Roman"/>
        </w:rPr>
        <w:t>3)%20134-138,%202019.pdf</w:t>
      </w:r>
    </w:p>
    <w:p w:rsidR="00093D93" w:rsidRDefault="00093D93" w:rsidP="000E6DB6">
      <w:pPr>
        <w:jc w:val="both"/>
        <w:rPr>
          <w:rFonts w:ascii="Times New Roman" w:hAnsi="Times New Roman" w:cs="Times New Roman"/>
        </w:rPr>
      </w:pPr>
      <w:r w:rsidRPr="00093D93">
        <w:rPr>
          <w:rFonts w:ascii="Times New Roman" w:hAnsi="Times New Roman" w:cs="Times New Roman"/>
        </w:rPr>
        <w:t xml:space="preserve">Lawal, T., Ademola, S., </w:t>
      </w:r>
      <w:proofErr w:type="spellStart"/>
      <w:r w:rsidRPr="00093D93">
        <w:rPr>
          <w:rFonts w:ascii="Times New Roman" w:hAnsi="Times New Roman" w:cs="Times New Roman"/>
        </w:rPr>
        <w:t>Owoseni</w:t>
      </w:r>
      <w:proofErr w:type="spellEnd"/>
      <w:r w:rsidRPr="00093D93">
        <w:rPr>
          <w:rFonts w:ascii="Times New Roman" w:hAnsi="Times New Roman" w:cs="Times New Roman"/>
        </w:rPr>
        <w:t xml:space="preserve">, A., </w:t>
      </w:r>
      <w:proofErr w:type="spellStart"/>
      <w:r w:rsidRPr="00093D93">
        <w:rPr>
          <w:rFonts w:ascii="Times New Roman" w:hAnsi="Times New Roman" w:cs="Times New Roman"/>
        </w:rPr>
        <w:t>Atobatele</w:t>
      </w:r>
      <w:proofErr w:type="spellEnd"/>
      <w:r w:rsidRPr="00093D93">
        <w:rPr>
          <w:rFonts w:ascii="Times New Roman" w:hAnsi="Times New Roman" w:cs="Times New Roman"/>
        </w:rPr>
        <w:t xml:space="preserve">, O., &amp; </w:t>
      </w:r>
      <w:proofErr w:type="spellStart"/>
      <w:r w:rsidRPr="00093D93">
        <w:rPr>
          <w:rFonts w:ascii="Times New Roman" w:hAnsi="Times New Roman" w:cs="Times New Roman"/>
        </w:rPr>
        <w:t>Asuelimen</w:t>
      </w:r>
      <w:proofErr w:type="spellEnd"/>
      <w:r w:rsidRPr="00093D93">
        <w:rPr>
          <w:rFonts w:ascii="Times New Roman" w:hAnsi="Times New Roman" w:cs="Times New Roman"/>
        </w:rPr>
        <w:t>, P. (2017). Aspergillus flavus Degraded Brewer Dried Grains for Broiler Chicken Diet: Performance and Nutrient Digestibility Parameters. </w:t>
      </w:r>
      <w:r w:rsidRPr="00093D93">
        <w:rPr>
          <w:rFonts w:ascii="Times New Roman" w:hAnsi="Times New Roman" w:cs="Times New Roman"/>
          <w:i/>
          <w:iCs/>
        </w:rPr>
        <w:t>Journal of Advances in Biology &amp; Biotechnology</w:t>
      </w:r>
      <w:r w:rsidRPr="00093D93">
        <w:rPr>
          <w:rFonts w:ascii="Times New Roman" w:hAnsi="Times New Roman" w:cs="Times New Roman"/>
        </w:rPr>
        <w:t>, 11, 1-8. https://doi.org/10.9734/JABB/2017/28681.</w:t>
      </w:r>
    </w:p>
    <w:p w:rsidR="00176CAB" w:rsidRPr="000E6DB6" w:rsidRDefault="00176CAB" w:rsidP="000E6DB6">
      <w:pPr>
        <w:jc w:val="both"/>
      </w:pPr>
      <w:r w:rsidRPr="000E6DB6">
        <w:t>Mahfuz, S., &amp; Piao, X. (2019). Application of Moringa (Moringa oleifera) as Natural Feed Supplement in Poultry Diets. </w:t>
      </w:r>
      <w:proofErr w:type="gramStart"/>
      <w:r w:rsidRPr="000E6DB6">
        <w:rPr>
          <w:i/>
          <w:iCs/>
        </w:rPr>
        <w:t>Animals :</w:t>
      </w:r>
      <w:proofErr w:type="gramEnd"/>
      <w:r w:rsidRPr="000E6DB6">
        <w:rPr>
          <w:i/>
          <w:iCs/>
        </w:rPr>
        <w:t xml:space="preserve"> an Open Access Journal from MDPI</w:t>
      </w:r>
      <w:r w:rsidRPr="000E6DB6">
        <w:t xml:space="preserve">, 9. </w:t>
      </w:r>
      <w:hyperlink r:id="rId20" w:history="1">
        <w:r w:rsidRPr="000E6DB6">
          <w:rPr>
            <w:rStyle w:val="Hyperlink"/>
          </w:rPr>
          <w:t>https://doi.org/10.3390/ani9070431</w:t>
        </w:r>
      </w:hyperlink>
      <w:r w:rsidRPr="000E6DB6">
        <w:t>.</w:t>
      </w:r>
    </w:p>
    <w:p w:rsidR="00176CAB" w:rsidRPr="000E6DB6" w:rsidRDefault="00176CAB" w:rsidP="000E6DB6">
      <w:pPr>
        <w:jc w:val="both"/>
      </w:pPr>
      <w:proofErr w:type="spellStart"/>
      <w:r w:rsidRPr="000E6DB6">
        <w:t>Malematja</w:t>
      </w:r>
      <w:proofErr w:type="spellEnd"/>
      <w:r w:rsidRPr="000E6DB6">
        <w:t xml:space="preserve">, E., </w:t>
      </w:r>
      <w:proofErr w:type="spellStart"/>
      <w:r w:rsidRPr="000E6DB6">
        <w:t>Manyelo</w:t>
      </w:r>
      <w:proofErr w:type="spellEnd"/>
      <w:r w:rsidRPr="000E6DB6">
        <w:t xml:space="preserve">, T., Sebola, N., &amp; </w:t>
      </w:r>
      <w:proofErr w:type="spellStart"/>
      <w:r w:rsidRPr="000E6DB6">
        <w:t>Mabelebele</w:t>
      </w:r>
      <w:proofErr w:type="spellEnd"/>
      <w:r w:rsidRPr="000E6DB6">
        <w:t>, M. (2023). The role of insects in promoting the health and gut status of poultry. </w:t>
      </w:r>
      <w:r w:rsidRPr="000E6DB6">
        <w:rPr>
          <w:i/>
          <w:iCs/>
        </w:rPr>
        <w:t>Comparative Clinical Pathology</w:t>
      </w:r>
      <w:r w:rsidRPr="000E6DB6">
        <w:t xml:space="preserve">, 32, 501-513. </w:t>
      </w:r>
      <w:hyperlink r:id="rId21" w:history="1">
        <w:r w:rsidRPr="000E6DB6">
          <w:rPr>
            <w:rStyle w:val="Hyperlink"/>
          </w:rPr>
          <w:t>https://doi.org/10.1007/s00580-023-03447-4</w:t>
        </w:r>
      </w:hyperlink>
      <w:r w:rsidRPr="000E6DB6">
        <w:t>.</w:t>
      </w:r>
    </w:p>
    <w:p w:rsidR="00176CAB" w:rsidRPr="000E6DB6" w:rsidRDefault="00176CAB" w:rsidP="000E6DB6">
      <w:pPr>
        <w:jc w:val="both"/>
      </w:pPr>
      <w:proofErr w:type="spellStart"/>
      <w:r w:rsidRPr="00672D19">
        <w:t>Moseri</w:t>
      </w:r>
      <w:proofErr w:type="spellEnd"/>
      <w:r w:rsidRPr="00672D19">
        <w:t xml:space="preserve">, H., </w:t>
      </w:r>
      <w:proofErr w:type="spellStart"/>
      <w:r w:rsidRPr="00672D19">
        <w:t>Belonwu</w:t>
      </w:r>
      <w:proofErr w:type="spellEnd"/>
      <w:r w:rsidRPr="00672D19">
        <w:t xml:space="preserve">, E. N., &amp; </w:t>
      </w:r>
      <w:proofErr w:type="spellStart"/>
      <w:r w:rsidRPr="00672D19">
        <w:t>Egieme</w:t>
      </w:r>
      <w:proofErr w:type="spellEnd"/>
      <w:r w:rsidRPr="00672D19">
        <w:t xml:space="preserve">, C. (2020). Effect of Cassava Peels and Palm Kernel Cake Meal Mixtures on the </w:t>
      </w:r>
      <w:proofErr w:type="spellStart"/>
      <w:r w:rsidRPr="00672D19">
        <w:t>Heamatological</w:t>
      </w:r>
      <w:proofErr w:type="spellEnd"/>
      <w:r w:rsidRPr="00672D19">
        <w:t xml:space="preserve"> and Serum Biochemical of Finisher Pigs. </w:t>
      </w:r>
      <w:r w:rsidRPr="00672D19">
        <w:rPr>
          <w:i/>
          <w:iCs/>
        </w:rPr>
        <w:t>European Journal of Agriculture and Food Sciences</w:t>
      </w:r>
      <w:r w:rsidRPr="00672D19">
        <w:t>, </w:t>
      </w:r>
      <w:r w:rsidRPr="00672D19">
        <w:rPr>
          <w:i/>
          <w:iCs/>
        </w:rPr>
        <w:t>2</w:t>
      </w:r>
      <w:r w:rsidRPr="00672D19">
        <w:t xml:space="preserve">(4). </w:t>
      </w:r>
      <w:hyperlink r:id="rId22" w:history="1">
        <w:r w:rsidRPr="00672D19">
          <w:rPr>
            <w:rStyle w:val="Hyperlink"/>
          </w:rPr>
          <w:t>https://doi.org/10.24018/ejfood.2020.2.4.30</w:t>
        </w:r>
      </w:hyperlink>
    </w:p>
    <w:p w:rsidR="00176CAB" w:rsidRPr="000E6DB6" w:rsidRDefault="00176CAB" w:rsidP="000E6DB6">
      <w:pPr>
        <w:jc w:val="both"/>
      </w:pPr>
      <w:r w:rsidRPr="000E6DB6">
        <w:t>Muhammed, A., Adeyemo, I.</w:t>
      </w:r>
      <w:proofErr w:type="gramStart"/>
      <w:r w:rsidRPr="000E6DB6">
        <w:t>, ,</w:t>
      </w:r>
      <w:proofErr w:type="gramEnd"/>
      <w:r w:rsidRPr="000E6DB6">
        <w:t xml:space="preserve"> O., </w:t>
      </w:r>
      <w:proofErr w:type="spellStart"/>
      <w:r w:rsidRPr="000E6DB6">
        <w:t>Afodun</w:t>
      </w:r>
      <w:proofErr w:type="spellEnd"/>
      <w:r w:rsidRPr="000E6DB6">
        <w:t xml:space="preserve">, M., &amp; Ajayi, A. (2016). Safety of collagen and </w:t>
      </w:r>
      <w:proofErr w:type="spellStart"/>
      <w:r w:rsidRPr="000E6DB6">
        <w:t>reticulin</w:t>
      </w:r>
      <w:proofErr w:type="spellEnd"/>
      <w:r w:rsidRPr="000E6DB6">
        <w:t xml:space="preserve"> </w:t>
      </w:r>
      <w:proofErr w:type="spellStart"/>
      <w:r w:rsidRPr="000E6DB6">
        <w:t>fibres</w:t>
      </w:r>
      <w:proofErr w:type="spellEnd"/>
      <w:r w:rsidRPr="000E6DB6">
        <w:t xml:space="preserve"> in the liver and kidney of broiler chicken fed with Aspergillus </w:t>
      </w:r>
      <w:proofErr w:type="spellStart"/>
      <w:proofErr w:type="gramStart"/>
      <w:r w:rsidRPr="000E6DB6">
        <w:t>niger</w:t>
      </w:r>
      <w:proofErr w:type="spellEnd"/>
      <w:proofErr w:type="gramEnd"/>
      <w:r w:rsidRPr="000E6DB6">
        <w:t xml:space="preserve"> -hydrolyzed cassava peel meal as carbohydrate source. , 7, 5-12. </w:t>
      </w:r>
      <w:hyperlink r:id="rId23" w:history="1">
        <w:r w:rsidRPr="000E6DB6">
          <w:rPr>
            <w:rStyle w:val="Hyperlink"/>
          </w:rPr>
          <w:t>https://doi.org/10.5897/JMLD2015.0119</w:t>
        </w:r>
      </w:hyperlink>
      <w:r w:rsidRPr="000E6DB6">
        <w:t>.</w:t>
      </w:r>
    </w:p>
    <w:p w:rsidR="004B010B" w:rsidRDefault="004B010B" w:rsidP="004B010B">
      <w:pPr>
        <w:jc w:val="both"/>
      </w:pPr>
      <w:r w:rsidRPr="004B010B">
        <w:lastRenderedPageBreak/>
        <w:t xml:space="preserve">National Research Council. (1994). </w:t>
      </w:r>
      <w:r w:rsidRPr="004B010B">
        <w:rPr>
          <w:i/>
          <w:iCs/>
        </w:rPr>
        <w:t>Nutrient requirements of poultry</w:t>
      </w:r>
      <w:r w:rsidRPr="004B010B">
        <w:t xml:space="preserve"> (9th </w:t>
      </w:r>
      <w:proofErr w:type="gramStart"/>
      <w:r w:rsidRPr="004B010B">
        <w:t>ed</w:t>
      </w:r>
      <w:proofErr w:type="gramEnd"/>
      <w:r w:rsidRPr="004B010B">
        <w:t xml:space="preserve">.). National Academies Press. </w:t>
      </w:r>
    </w:p>
    <w:p w:rsidR="00176CAB" w:rsidRPr="000E6DB6" w:rsidRDefault="00176CAB" w:rsidP="000E6DB6">
      <w:pPr>
        <w:jc w:val="both"/>
      </w:pPr>
      <w:proofErr w:type="spellStart"/>
      <w:r w:rsidRPr="000E6DB6">
        <w:t>Obongekpe</w:t>
      </w:r>
      <w:proofErr w:type="spellEnd"/>
      <w:r w:rsidRPr="000E6DB6">
        <w:t xml:space="preserve">, R. (2020). Nutritional assessment of graded levels of fermented mixtures of cassava peels and palm kernel cake. </w:t>
      </w:r>
      <w:r w:rsidRPr="000E6DB6">
        <w:rPr>
          <w:i/>
          <w:iCs/>
        </w:rPr>
        <w:t>International Journal of Research and Scientific Innovation, 7</w:t>
      </w:r>
      <w:r w:rsidRPr="000E6DB6">
        <w:t xml:space="preserve">(5), 180–191. </w:t>
      </w:r>
      <w:hyperlink r:id="rId24" w:history="1">
        <w:r w:rsidRPr="000E6DB6">
          <w:rPr>
            <w:rStyle w:val="Hyperlink"/>
          </w:rPr>
          <w:t>https://doi.org/10.31033/IJRASB.7.5.25</w:t>
        </w:r>
      </w:hyperlink>
    </w:p>
    <w:p w:rsidR="00BC601D" w:rsidRDefault="00BC601D" w:rsidP="00BC601D">
      <w:proofErr w:type="spellStart"/>
      <w:r w:rsidRPr="00BC601D">
        <w:t>Odunitan-Wayas</w:t>
      </w:r>
      <w:proofErr w:type="spellEnd"/>
      <w:r w:rsidRPr="00BC601D">
        <w:t xml:space="preserve">, F. A., </w:t>
      </w:r>
      <w:proofErr w:type="spellStart"/>
      <w:r w:rsidRPr="00BC601D">
        <w:t>Kolanisi</w:t>
      </w:r>
      <w:proofErr w:type="spellEnd"/>
      <w:r w:rsidRPr="00BC601D">
        <w:t xml:space="preserve">, U., &amp; </w:t>
      </w:r>
      <w:proofErr w:type="spellStart"/>
      <w:r w:rsidRPr="00BC601D">
        <w:t>Chimonyo</w:t>
      </w:r>
      <w:proofErr w:type="spellEnd"/>
      <w:r w:rsidRPr="00BC601D">
        <w:t xml:space="preserve">, M. (2018). </w:t>
      </w:r>
      <w:proofErr w:type="spellStart"/>
      <w:r w:rsidRPr="00BC601D">
        <w:t>Haematological</w:t>
      </w:r>
      <w:proofErr w:type="spellEnd"/>
      <w:r w:rsidRPr="00BC601D">
        <w:t xml:space="preserve"> and serum biochemical responses of Ovambo chickens fed provitamin </w:t>
      </w:r>
      <w:proofErr w:type="gramStart"/>
      <w:r w:rsidRPr="00BC601D">
        <w:t>A</w:t>
      </w:r>
      <w:proofErr w:type="gramEnd"/>
      <w:r w:rsidRPr="00BC601D">
        <w:t xml:space="preserve"> biofortified maize. </w:t>
      </w:r>
      <w:r w:rsidRPr="00BC601D">
        <w:rPr>
          <w:i/>
          <w:iCs/>
        </w:rPr>
        <w:t>Brazilian Journal of Poultry Science</w:t>
      </w:r>
      <w:r w:rsidRPr="00BC601D">
        <w:t xml:space="preserve">. </w:t>
      </w:r>
      <w:hyperlink r:id="rId25" w:history="1">
        <w:r w:rsidRPr="00BC601D">
          <w:rPr>
            <w:rStyle w:val="Hyperlink"/>
          </w:rPr>
          <w:t>https://doi.org/10.1590/1806-9061-2016-0444</w:t>
        </w:r>
      </w:hyperlink>
    </w:p>
    <w:p w:rsidR="0002798D" w:rsidRPr="000E6DB6" w:rsidRDefault="0002798D" w:rsidP="000E6DB6">
      <w:pPr>
        <w:jc w:val="both"/>
      </w:pPr>
      <w:proofErr w:type="spellStart"/>
      <w:r w:rsidRPr="000E6DB6">
        <w:t>Ogbuewu</w:t>
      </w:r>
      <w:proofErr w:type="spellEnd"/>
      <w:r w:rsidRPr="000E6DB6">
        <w:t xml:space="preserve">, I., </w:t>
      </w:r>
      <w:proofErr w:type="spellStart"/>
      <w:r w:rsidRPr="000E6DB6">
        <w:t>Mabelebele</w:t>
      </w:r>
      <w:proofErr w:type="spellEnd"/>
      <w:r w:rsidRPr="000E6DB6">
        <w:t xml:space="preserve">, M., &amp; </w:t>
      </w:r>
      <w:proofErr w:type="spellStart"/>
      <w:r w:rsidRPr="000E6DB6">
        <w:t>Mbajiorgu</w:t>
      </w:r>
      <w:proofErr w:type="spellEnd"/>
      <w:r w:rsidRPr="000E6DB6">
        <w:t>, C. (2023). Meta-analysis of blood indices and production physiology of broiler chickens on dietary fermented cassava intervention. </w:t>
      </w:r>
      <w:r w:rsidRPr="000E6DB6">
        <w:rPr>
          <w:i/>
          <w:iCs/>
        </w:rPr>
        <w:t>Tropical Animal Health and Production</w:t>
      </w:r>
      <w:r w:rsidRPr="000E6DB6">
        <w:t xml:space="preserve">, 55. </w:t>
      </w:r>
      <w:hyperlink r:id="rId26" w:history="1">
        <w:r w:rsidRPr="000E6DB6">
          <w:rPr>
            <w:rStyle w:val="Hyperlink"/>
          </w:rPr>
          <w:t>https://doi.org/10.1007/s11250-023-03783-1</w:t>
        </w:r>
      </w:hyperlink>
      <w:r w:rsidRPr="000E6DB6">
        <w:t>.</w:t>
      </w:r>
    </w:p>
    <w:p w:rsidR="0002798D" w:rsidRPr="000E6DB6" w:rsidRDefault="0002798D" w:rsidP="000E6DB6">
      <w:pPr>
        <w:jc w:val="both"/>
      </w:pPr>
      <w:proofErr w:type="spellStart"/>
      <w:r w:rsidRPr="000E6DB6">
        <w:t>Ognik</w:t>
      </w:r>
      <w:proofErr w:type="spellEnd"/>
      <w:r w:rsidRPr="000E6DB6">
        <w:t xml:space="preserve">, K., Kozłowski, K., </w:t>
      </w:r>
      <w:proofErr w:type="spellStart"/>
      <w:r w:rsidRPr="000E6DB6">
        <w:t>Stępniowska</w:t>
      </w:r>
      <w:proofErr w:type="spellEnd"/>
      <w:r w:rsidRPr="000E6DB6">
        <w:t xml:space="preserve">, A., </w:t>
      </w:r>
      <w:proofErr w:type="spellStart"/>
      <w:r w:rsidRPr="000E6DB6">
        <w:t>Listos</w:t>
      </w:r>
      <w:proofErr w:type="spellEnd"/>
      <w:r w:rsidRPr="000E6DB6">
        <w:t xml:space="preserve">, P., </w:t>
      </w:r>
      <w:proofErr w:type="spellStart"/>
      <w:r w:rsidRPr="000E6DB6">
        <w:t>Józefiak</w:t>
      </w:r>
      <w:proofErr w:type="spellEnd"/>
      <w:r w:rsidRPr="000E6DB6">
        <w:t xml:space="preserve">, D., </w:t>
      </w:r>
      <w:proofErr w:type="spellStart"/>
      <w:r w:rsidRPr="000E6DB6">
        <w:t>Zduńczyk</w:t>
      </w:r>
      <w:proofErr w:type="spellEnd"/>
      <w:r w:rsidRPr="000E6DB6">
        <w:t xml:space="preserve">, Z., &amp; Jankowski, J. (2020). Antioxidant Status and Liver Function of Young Turkeys Receiving a Diet with Full-Fat Insect Meal from </w:t>
      </w:r>
      <w:proofErr w:type="spellStart"/>
      <w:r w:rsidRPr="000E6DB6">
        <w:t>Hermetia</w:t>
      </w:r>
      <w:proofErr w:type="spellEnd"/>
      <w:r w:rsidRPr="000E6DB6">
        <w:t xml:space="preserve"> </w:t>
      </w:r>
      <w:proofErr w:type="spellStart"/>
      <w:r w:rsidRPr="000E6DB6">
        <w:t>illucens</w:t>
      </w:r>
      <w:proofErr w:type="spellEnd"/>
      <w:r w:rsidRPr="000E6DB6">
        <w:t>. </w:t>
      </w:r>
      <w:proofErr w:type="gramStart"/>
      <w:r w:rsidRPr="000E6DB6">
        <w:rPr>
          <w:i/>
          <w:iCs/>
        </w:rPr>
        <w:t>Animals :</w:t>
      </w:r>
      <w:proofErr w:type="gramEnd"/>
      <w:r w:rsidRPr="000E6DB6">
        <w:rPr>
          <w:i/>
          <w:iCs/>
        </w:rPr>
        <w:t xml:space="preserve"> an Open Access Journal from MDPI</w:t>
      </w:r>
      <w:r w:rsidRPr="000E6DB6">
        <w:t xml:space="preserve">, 10. </w:t>
      </w:r>
      <w:hyperlink r:id="rId27" w:history="1">
        <w:r w:rsidRPr="000E6DB6">
          <w:rPr>
            <w:rStyle w:val="Hyperlink"/>
          </w:rPr>
          <w:t>https://doi.org/10.3390/ani10081339</w:t>
        </w:r>
      </w:hyperlink>
      <w:r w:rsidRPr="000E6DB6">
        <w:t>.</w:t>
      </w:r>
    </w:p>
    <w:p w:rsidR="0002798D" w:rsidRPr="000E6DB6" w:rsidRDefault="0002798D" w:rsidP="000E6DB6">
      <w:pPr>
        <w:jc w:val="both"/>
      </w:pPr>
      <w:r w:rsidRPr="000E6DB6">
        <w:t xml:space="preserve">Okah, U. C., &amp; Ebere, M. (2017). Effect of processing methods on the chemical composition of cassava peel as livestock feed resource. </w:t>
      </w:r>
      <w:r w:rsidRPr="000E6DB6">
        <w:rPr>
          <w:i/>
          <w:iCs/>
        </w:rPr>
        <w:t>College of Animal Science and Production, MOUAU</w:t>
      </w:r>
      <w:r w:rsidRPr="000E6DB6">
        <w:t>.</w:t>
      </w:r>
    </w:p>
    <w:p w:rsidR="0002798D" w:rsidRPr="000E6DB6" w:rsidRDefault="0002798D" w:rsidP="000E6DB6">
      <w:pPr>
        <w:jc w:val="both"/>
      </w:pPr>
      <w:proofErr w:type="spellStart"/>
      <w:r w:rsidRPr="000E6DB6">
        <w:t>Okukpe</w:t>
      </w:r>
      <w:proofErr w:type="spellEnd"/>
      <w:r w:rsidRPr="000E6DB6">
        <w:t xml:space="preserve">, M., </w:t>
      </w:r>
      <w:proofErr w:type="spellStart"/>
      <w:r w:rsidRPr="000E6DB6">
        <w:t>Aderibigde</w:t>
      </w:r>
      <w:proofErr w:type="spellEnd"/>
      <w:r w:rsidRPr="000E6DB6">
        <w:t>, T., &amp; Atleh, J. (2019). Effect of Supplementation of Palm Kernel Cake (PKC) with Enzyme Xylanase on Performances and Gut Microbiota of Broiler Chickens. </w:t>
      </w:r>
      <w:proofErr w:type="spellStart"/>
      <w:r w:rsidRPr="000E6DB6">
        <w:rPr>
          <w:i/>
          <w:iCs/>
        </w:rPr>
        <w:t>Vidyodaya</w:t>
      </w:r>
      <w:proofErr w:type="spellEnd"/>
      <w:r w:rsidRPr="000E6DB6">
        <w:rPr>
          <w:i/>
          <w:iCs/>
        </w:rPr>
        <w:t xml:space="preserve"> Journal of Science</w:t>
      </w:r>
      <w:r w:rsidRPr="000E6DB6">
        <w:t>. https://doi.org/10.4038/VJS.V22I1.6061.</w:t>
      </w:r>
    </w:p>
    <w:p w:rsidR="004B010B" w:rsidRDefault="004B010B" w:rsidP="000E6DB6">
      <w:pPr>
        <w:jc w:val="both"/>
      </w:pPr>
      <w:r w:rsidRPr="004B010B">
        <w:t xml:space="preserve">Olajide, R., </w:t>
      </w:r>
      <w:proofErr w:type="spellStart"/>
      <w:r w:rsidRPr="004B010B">
        <w:t>Akinsoyinu</w:t>
      </w:r>
      <w:proofErr w:type="spellEnd"/>
      <w:r w:rsidRPr="004B010B">
        <w:t xml:space="preserve">, A. O., </w:t>
      </w:r>
      <w:proofErr w:type="spellStart"/>
      <w:r w:rsidRPr="004B010B">
        <w:t>Iyayi</w:t>
      </w:r>
      <w:proofErr w:type="spellEnd"/>
      <w:r w:rsidRPr="004B010B">
        <w:t xml:space="preserve">, E. A., &amp; Afolabi, K. D. (2013). The effect of brewers dried grains supplemented by enzyme on performance of ISA-Brown laying hens. </w:t>
      </w:r>
      <w:proofErr w:type="spellStart"/>
      <w:r w:rsidRPr="004B010B">
        <w:rPr>
          <w:i/>
          <w:iCs/>
        </w:rPr>
        <w:t>Poljoprivreda</w:t>
      </w:r>
      <w:proofErr w:type="spellEnd"/>
      <w:r w:rsidRPr="004B010B">
        <w:rPr>
          <w:i/>
          <w:iCs/>
        </w:rPr>
        <w:t>, 19</w:t>
      </w:r>
      <w:r w:rsidRPr="004B010B">
        <w:t xml:space="preserve">(1), 65–69. </w:t>
      </w:r>
      <w:hyperlink r:id="rId28" w:tgtFrame="_new" w:history="1">
        <w:r w:rsidRPr="004B010B">
          <w:rPr>
            <w:rStyle w:val="Hyperlink"/>
          </w:rPr>
          <w:t>https://hrcak.srce.hr/file/153354</w:t>
        </w:r>
      </w:hyperlink>
    </w:p>
    <w:p w:rsidR="00A73D87" w:rsidRDefault="00A73D87" w:rsidP="000E6DB6">
      <w:pPr>
        <w:jc w:val="both"/>
      </w:pPr>
      <w:proofErr w:type="spellStart"/>
      <w:r w:rsidRPr="00A73D87">
        <w:t>Olomu</w:t>
      </w:r>
      <w:proofErr w:type="spellEnd"/>
      <w:r w:rsidRPr="00A73D87">
        <w:t xml:space="preserve">, J. M. (2011). </w:t>
      </w:r>
      <w:r w:rsidRPr="00A73D87">
        <w:rPr>
          <w:i/>
          <w:iCs/>
        </w:rPr>
        <w:t>Monogastric Animal Nutrition: Principles and Practice</w:t>
      </w:r>
      <w:r w:rsidRPr="00A73D87">
        <w:t xml:space="preserve"> (2nd </w:t>
      </w:r>
      <w:proofErr w:type="gramStart"/>
      <w:r w:rsidRPr="00A73D87">
        <w:t>ed</w:t>
      </w:r>
      <w:proofErr w:type="gramEnd"/>
      <w:r w:rsidRPr="00A73D87">
        <w:t>.). St. Jackson Publishing.</w:t>
      </w:r>
    </w:p>
    <w:p w:rsidR="00D85180" w:rsidRDefault="00D85180" w:rsidP="000E6DB6">
      <w:pPr>
        <w:jc w:val="both"/>
      </w:pPr>
      <w:r w:rsidRPr="00D85180">
        <w:rPr>
          <w:b/>
        </w:rPr>
        <w:t>J</w:t>
      </w:r>
      <w:r w:rsidRPr="00D85180">
        <w:rPr>
          <w:b/>
          <w:bCs/>
        </w:rPr>
        <w:t xml:space="preserve"> C </w:t>
      </w:r>
      <w:proofErr w:type="spellStart"/>
      <w:r w:rsidRPr="00D85180">
        <w:rPr>
          <w:b/>
          <w:bCs/>
        </w:rPr>
        <w:t>Olowoyeye</w:t>
      </w:r>
      <w:proofErr w:type="spellEnd"/>
      <w:r w:rsidRPr="00D85180">
        <w:rPr>
          <w:b/>
          <w:bCs/>
        </w:rPr>
        <w:t xml:space="preserve">, </w:t>
      </w:r>
      <w:r w:rsidRPr="00D85180">
        <w:t xml:space="preserve">J O </w:t>
      </w:r>
      <w:proofErr w:type="spellStart"/>
      <w:r w:rsidRPr="00D85180">
        <w:t>Agbede</w:t>
      </w:r>
      <w:proofErr w:type="spellEnd"/>
      <w:r w:rsidRPr="00D85180">
        <w:t xml:space="preserve">, F </w:t>
      </w:r>
      <w:proofErr w:type="gramStart"/>
      <w:r w:rsidRPr="00D85180">
        <w:t>A</w:t>
      </w:r>
      <w:proofErr w:type="gramEnd"/>
      <w:r w:rsidRPr="00D85180">
        <w:t xml:space="preserve"> </w:t>
      </w:r>
      <w:proofErr w:type="spellStart"/>
      <w:r w:rsidRPr="00D85180">
        <w:t>Igbasan</w:t>
      </w:r>
      <w:proofErr w:type="spellEnd"/>
      <w:r w:rsidRPr="00D85180">
        <w:t xml:space="preserve">, O D </w:t>
      </w:r>
      <w:proofErr w:type="spellStart"/>
      <w:r w:rsidRPr="00D85180">
        <w:t>Oloruntola</w:t>
      </w:r>
      <w:proofErr w:type="spellEnd"/>
      <w:r w:rsidRPr="00D85180">
        <w:t xml:space="preserve"> and </w:t>
      </w:r>
      <w:proofErr w:type="spellStart"/>
      <w:r w:rsidRPr="00D85180">
        <w:t>AOAyeni</w:t>
      </w:r>
      <w:proofErr w:type="spellEnd"/>
      <w:r w:rsidRPr="00D85180">
        <w:t xml:space="preserve"> (2019): Effect of replacing maize with cassava peel-leaf mixture on growth performance of broiler chickens.</w:t>
      </w:r>
      <w:r w:rsidRPr="00D85180">
        <w:rPr>
          <w:i/>
          <w:iCs/>
        </w:rPr>
        <w:t xml:space="preserve"> </w:t>
      </w:r>
      <w:hyperlink r:id="rId29" w:history="1">
        <w:r w:rsidRPr="00D85180">
          <w:rPr>
            <w:rStyle w:val="Hyperlink"/>
            <w:i/>
            <w:iCs/>
          </w:rPr>
          <w:t>Livestock Research for Rural Development 31 (10) 2019</w:t>
        </w:r>
      </w:hyperlink>
    </w:p>
    <w:p w:rsidR="004B010B" w:rsidRDefault="004B010B" w:rsidP="000E6DB6">
      <w:pPr>
        <w:jc w:val="both"/>
      </w:pPr>
      <w:r w:rsidRPr="004B010B">
        <w:t xml:space="preserve">Onifade, A. A., &amp; Babatunde, G. M. (1998). Comparison of the </w:t>
      </w:r>
      <w:proofErr w:type="spellStart"/>
      <w:r w:rsidRPr="004B010B">
        <w:t>utilisation</w:t>
      </w:r>
      <w:proofErr w:type="spellEnd"/>
      <w:r w:rsidRPr="004B010B">
        <w:t xml:space="preserve"> of palm kernel meal, brewers' dried grains and maize offal by broiler chicks. </w:t>
      </w:r>
      <w:r w:rsidRPr="004B010B">
        <w:rPr>
          <w:i/>
          <w:iCs/>
        </w:rPr>
        <w:t>British Poultry Science, 39</w:t>
      </w:r>
      <w:r w:rsidRPr="004B010B">
        <w:t xml:space="preserve">(2), 245–250. </w:t>
      </w:r>
      <w:hyperlink r:id="rId30" w:tgtFrame="_new" w:history="1">
        <w:r w:rsidRPr="004B010B">
          <w:rPr>
            <w:rStyle w:val="Hyperlink"/>
          </w:rPr>
          <w:t>https://doi.org/10.1080/00071669889204</w:t>
        </w:r>
      </w:hyperlink>
    </w:p>
    <w:p w:rsidR="0002798D" w:rsidRPr="000E6DB6" w:rsidRDefault="0002798D" w:rsidP="000E6DB6">
      <w:pPr>
        <w:jc w:val="both"/>
      </w:pPr>
      <w:proofErr w:type="spellStart"/>
      <w:r w:rsidRPr="000E6DB6">
        <w:t>Oskoueian</w:t>
      </w:r>
      <w:proofErr w:type="spellEnd"/>
      <w:r w:rsidRPr="000E6DB6">
        <w:t xml:space="preserve">, E., Abdullah, N., </w:t>
      </w:r>
      <w:proofErr w:type="spellStart"/>
      <w:r w:rsidRPr="000E6DB6">
        <w:t>Idrus</w:t>
      </w:r>
      <w:proofErr w:type="spellEnd"/>
      <w:r w:rsidRPr="000E6DB6">
        <w:t xml:space="preserve">, Z., Ebrahimi, M., Goh, Y., Shakeri, M., &amp; </w:t>
      </w:r>
      <w:proofErr w:type="spellStart"/>
      <w:r w:rsidRPr="000E6DB6">
        <w:t>Oskoueian</w:t>
      </w:r>
      <w:proofErr w:type="spellEnd"/>
      <w:r w:rsidRPr="000E6DB6">
        <w:t xml:space="preserve">, A. (2014). Palm kernel cake extract exerts hepatoprotective activity in heat-induced oxidative stress in </w:t>
      </w:r>
      <w:r w:rsidRPr="000E6DB6">
        <w:lastRenderedPageBreak/>
        <w:t>chicken hepatocytes. </w:t>
      </w:r>
      <w:r w:rsidRPr="000E6DB6">
        <w:rPr>
          <w:i/>
          <w:iCs/>
        </w:rPr>
        <w:t>BMC Complementary and Alternative Medicine</w:t>
      </w:r>
      <w:r w:rsidRPr="000E6DB6">
        <w:t xml:space="preserve">, 14. </w:t>
      </w:r>
      <w:hyperlink r:id="rId31" w:history="1">
        <w:r w:rsidRPr="000E6DB6">
          <w:rPr>
            <w:rStyle w:val="Hyperlink"/>
          </w:rPr>
          <w:t>https://doi.org/10.1186/1472-6882-14-368</w:t>
        </w:r>
      </w:hyperlink>
      <w:r w:rsidRPr="000E6DB6">
        <w:t>.</w:t>
      </w:r>
    </w:p>
    <w:p w:rsidR="0002798D" w:rsidRPr="000E6DB6" w:rsidRDefault="0002798D" w:rsidP="000E6DB6">
      <w:pPr>
        <w:jc w:val="both"/>
      </w:pPr>
      <w:r w:rsidRPr="000E6DB6">
        <w:t xml:space="preserve">Popowska-Nowak, E., </w:t>
      </w:r>
      <w:proofErr w:type="spellStart"/>
      <w:r w:rsidRPr="000E6DB6">
        <w:t>Tumialis</w:t>
      </w:r>
      <w:proofErr w:type="spellEnd"/>
      <w:r w:rsidRPr="000E6DB6">
        <w:t xml:space="preserve">, D., &amp; </w:t>
      </w:r>
      <w:proofErr w:type="spellStart"/>
      <w:r w:rsidRPr="000E6DB6">
        <w:t>Pezowicz</w:t>
      </w:r>
      <w:proofErr w:type="spellEnd"/>
      <w:r w:rsidRPr="000E6DB6">
        <w:t xml:space="preserve">, E. (2017). Susceptibility of lesser mealworm, </w:t>
      </w:r>
      <w:proofErr w:type="spellStart"/>
      <w:r w:rsidRPr="000E6DB6">
        <w:t>Alphitobius</w:t>
      </w:r>
      <w:proofErr w:type="spellEnd"/>
      <w:r w:rsidRPr="000E6DB6">
        <w:t xml:space="preserve"> </w:t>
      </w:r>
      <w:proofErr w:type="spellStart"/>
      <w:r w:rsidRPr="000E6DB6">
        <w:t>diaperinus</w:t>
      </w:r>
      <w:proofErr w:type="spellEnd"/>
      <w:r w:rsidRPr="000E6DB6">
        <w:t xml:space="preserve"> Panzer (</w:t>
      </w:r>
      <w:proofErr w:type="spellStart"/>
      <w:r w:rsidRPr="000E6DB6">
        <w:t>Coleoptera</w:t>
      </w:r>
      <w:proofErr w:type="spellEnd"/>
      <w:r w:rsidRPr="000E6DB6">
        <w:t xml:space="preserve">: Tenebrionidae) to entomopathogenic fungi isolated from poultry houses litter and nearby soil. , 15, 31-39. </w:t>
      </w:r>
      <w:hyperlink r:id="rId32" w:history="1">
        <w:r w:rsidRPr="000E6DB6">
          <w:rPr>
            <w:rStyle w:val="Hyperlink"/>
          </w:rPr>
          <w:t>https://doi.org/10.21697/seb.2017.15.4.04</w:t>
        </w:r>
      </w:hyperlink>
      <w:r w:rsidRPr="000E6DB6">
        <w:t>.</w:t>
      </w:r>
    </w:p>
    <w:p w:rsidR="0002798D" w:rsidRPr="000E6DB6" w:rsidRDefault="0002798D" w:rsidP="000E6DB6">
      <w:pPr>
        <w:jc w:val="both"/>
      </w:pPr>
      <w:r w:rsidRPr="000E6DB6">
        <w:t>Rao, S., Raju, M., Prakash, B., Rajkumar, U., &amp; Reddy, E. (2019). Effect of supplementing moringa (Moringa oleifera) leaf meal and pomegranate (Punica granatum) peel meal on performance, carcass attributes, immune and antioxidant responses in broiler chickens. </w:t>
      </w:r>
      <w:r w:rsidRPr="000E6DB6">
        <w:rPr>
          <w:i/>
          <w:iCs/>
        </w:rPr>
        <w:t>Animal Production Science</w:t>
      </w:r>
      <w:r w:rsidRPr="000E6DB6">
        <w:t xml:space="preserve">. </w:t>
      </w:r>
      <w:hyperlink r:id="rId33" w:history="1">
        <w:r w:rsidRPr="000E6DB6">
          <w:rPr>
            <w:rStyle w:val="Hyperlink"/>
          </w:rPr>
          <w:t>https://doi.org/10.1071/AN17390</w:t>
        </w:r>
      </w:hyperlink>
      <w:r w:rsidRPr="000E6DB6">
        <w:t>.</w:t>
      </w:r>
    </w:p>
    <w:p w:rsidR="00176CAB" w:rsidRPr="000E6DB6" w:rsidRDefault="0002798D" w:rsidP="000E6DB6">
      <w:pPr>
        <w:jc w:val="both"/>
        <w:rPr>
          <w:rFonts w:ascii="Times New Roman" w:hAnsi="Times New Roman" w:cs="Times New Roman"/>
        </w:rPr>
      </w:pPr>
      <w:proofErr w:type="spellStart"/>
      <w:r w:rsidRPr="000E6DB6">
        <w:rPr>
          <w:rFonts w:ascii="Times New Roman" w:hAnsi="Times New Roman" w:cs="Times New Roman"/>
        </w:rPr>
        <w:t>Sinurat</w:t>
      </w:r>
      <w:proofErr w:type="spellEnd"/>
      <w:r w:rsidRPr="000E6DB6">
        <w:rPr>
          <w:rFonts w:ascii="Times New Roman" w:hAnsi="Times New Roman" w:cs="Times New Roman"/>
        </w:rPr>
        <w:t xml:space="preserve">, A., </w:t>
      </w:r>
      <w:proofErr w:type="spellStart"/>
      <w:r w:rsidRPr="000E6DB6">
        <w:rPr>
          <w:rFonts w:ascii="Times New Roman" w:hAnsi="Times New Roman" w:cs="Times New Roman"/>
        </w:rPr>
        <w:t>Purwadaria</w:t>
      </w:r>
      <w:proofErr w:type="spellEnd"/>
      <w:r w:rsidRPr="000E6DB6">
        <w:rPr>
          <w:rFonts w:ascii="Times New Roman" w:hAnsi="Times New Roman" w:cs="Times New Roman"/>
        </w:rPr>
        <w:t xml:space="preserve">, T., &amp; </w:t>
      </w:r>
      <w:proofErr w:type="spellStart"/>
      <w:r w:rsidRPr="000E6DB6">
        <w:rPr>
          <w:rFonts w:ascii="Times New Roman" w:hAnsi="Times New Roman" w:cs="Times New Roman"/>
        </w:rPr>
        <w:t>Purba</w:t>
      </w:r>
      <w:proofErr w:type="spellEnd"/>
      <w:r w:rsidRPr="000E6DB6">
        <w:rPr>
          <w:rFonts w:ascii="Times New Roman" w:hAnsi="Times New Roman" w:cs="Times New Roman"/>
        </w:rPr>
        <w:t>, M. (2015). Effect of enzyme supplementation on nutritive values of fermented palm kernel cake used to substitute soybean meal in broiler diet</w:t>
      </w:r>
      <w:proofErr w:type="gramStart"/>
      <w:r w:rsidRPr="000E6DB6">
        <w:rPr>
          <w:rFonts w:ascii="Times New Roman" w:hAnsi="Times New Roman" w:cs="Times New Roman"/>
        </w:rPr>
        <w:t>..</w:t>
      </w:r>
      <w:proofErr w:type="gramEnd"/>
      <w:r w:rsidRPr="000E6DB6">
        <w:rPr>
          <w:rFonts w:ascii="Times New Roman" w:hAnsi="Times New Roman" w:cs="Times New Roman"/>
        </w:rPr>
        <w:t> </w:t>
      </w:r>
      <w:proofErr w:type="spellStart"/>
      <w:r w:rsidRPr="000E6DB6">
        <w:rPr>
          <w:rFonts w:ascii="Times New Roman" w:hAnsi="Times New Roman" w:cs="Times New Roman"/>
          <w:i/>
          <w:iCs/>
        </w:rPr>
        <w:t>Jurnal</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Ilmu</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Ternak</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dan</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Veteriner</w:t>
      </w:r>
      <w:proofErr w:type="spellEnd"/>
      <w:r w:rsidRPr="000E6DB6">
        <w:rPr>
          <w:rFonts w:ascii="Times New Roman" w:hAnsi="Times New Roman" w:cs="Times New Roman"/>
        </w:rPr>
        <w:t>, 20, 184-192. https://doi.org/10.14334/JITV.V20I3.1185.</w:t>
      </w:r>
    </w:p>
    <w:p w:rsidR="000E6DB6" w:rsidRPr="000E6DB6" w:rsidRDefault="000E6DB6" w:rsidP="000E6DB6">
      <w:pPr>
        <w:jc w:val="both"/>
      </w:pPr>
      <w:proofErr w:type="spellStart"/>
      <w:r w:rsidRPr="000E6DB6">
        <w:t>Sugiharto</w:t>
      </w:r>
      <w:proofErr w:type="spellEnd"/>
      <w:r w:rsidRPr="000E6DB6">
        <w:t xml:space="preserve">, S., </w:t>
      </w:r>
      <w:proofErr w:type="spellStart"/>
      <w:r w:rsidRPr="000E6DB6">
        <w:t>Yudiarti</w:t>
      </w:r>
      <w:proofErr w:type="spellEnd"/>
      <w:r w:rsidRPr="000E6DB6">
        <w:t xml:space="preserve">, T., </w:t>
      </w:r>
      <w:proofErr w:type="spellStart"/>
      <w:r w:rsidRPr="000E6DB6">
        <w:t>Isroli</w:t>
      </w:r>
      <w:proofErr w:type="spellEnd"/>
      <w:r w:rsidRPr="000E6DB6">
        <w:t xml:space="preserve">, I., </w:t>
      </w:r>
      <w:proofErr w:type="spellStart"/>
      <w:r w:rsidRPr="000E6DB6">
        <w:t>Widiastuti</w:t>
      </w:r>
      <w:proofErr w:type="spellEnd"/>
      <w:r w:rsidRPr="000E6DB6">
        <w:t xml:space="preserve">, E., &amp; Putra, F. (2017). Effects of feeding cassava pulp fermented with </w:t>
      </w:r>
      <w:proofErr w:type="spellStart"/>
      <w:r w:rsidRPr="000E6DB6">
        <w:t>Acremonium</w:t>
      </w:r>
      <w:proofErr w:type="spellEnd"/>
      <w:r w:rsidRPr="000E6DB6">
        <w:t xml:space="preserve"> </w:t>
      </w:r>
      <w:proofErr w:type="spellStart"/>
      <w:r w:rsidRPr="000E6DB6">
        <w:t>charticola</w:t>
      </w:r>
      <w:proofErr w:type="spellEnd"/>
      <w:r w:rsidRPr="000E6DB6">
        <w:t xml:space="preserve"> on growth performance, nutrient digestibility and meat quality of broiler chicks. </w:t>
      </w:r>
      <w:r w:rsidRPr="000E6DB6">
        <w:rPr>
          <w:i/>
          <w:iCs/>
        </w:rPr>
        <w:t>South African Journal of Animal Science</w:t>
      </w:r>
      <w:r w:rsidRPr="000E6DB6">
        <w:t xml:space="preserve">, 47, 130-137. </w:t>
      </w:r>
      <w:hyperlink r:id="rId34" w:history="1">
        <w:r w:rsidRPr="000E6DB6">
          <w:rPr>
            <w:rStyle w:val="Hyperlink"/>
          </w:rPr>
          <w:t>https://doi.org/10.4314/SAJAS.V47I2.4</w:t>
        </w:r>
      </w:hyperlink>
      <w:r w:rsidRPr="000E6DB6">
        <w:t>.</w:t>
      </w:r>
    </w:p>
    <w:p w:rsidR="000E6DB6" w:rsidRPr="000E6DB6" w:rsidRDefault="000E6DB6" w:rsidP="000E6DB6">
      <w:pPr>
        <w:jc w:val="both"/>
      </w:pPr>
      <w:r w:rsidRPr="000E6DB6">
        <w:t xml:space="preserve">Susanti D, Volland A, Tawari N, Baxter N, </w:t>
      </w:r>
      <w:proofErr w:type="spellStart"/>
      <w:r w:rsidRPr="000E6DB6">
        <w:t>Gangaiah</w:t>
      </w:r>
      <w:proofErr w:type="spellEnd"/>
      <w:r w:rsidRPr="000E6DB6">
        <w:t xml:space="preserve"> D, Plata G, Nagireddy A, Hawkins T, Mane SP and Kumar A (2021) Multi-Omics Characterization of Host-Derived </w:t>
      </w:r>
      <w:r w:rsidRPr="000E6DB6">
        <w:rPr>
          <w:i/>
          <w:iCs/>
        </w:rPr>
        <w:t>Bacillus</w:t>
      </w:r>
      <w:r w:rsidRPr="000E6DB6">
        <w:t> spp. Probiotics for Improved Growth Performance in Poultry. </w:t>
      </w:r>
      <w:r w:rsidRPr="000E6DB6">
        <w:rPr>
          <w:i/>
          <w:iCs/>
        </w:rPr>
        <w:t>Front. Microbiol.</w:t>
      </w:r>
      <w:r w:rsidRPr="000E6DB6">
        <w:t xml:space="preserve"> 12:747845. </w:t>
      </w:r>
      <w:proofErr w:type="spellStart"/>
      <w:r w:rsidRPr="000E6DB6">
        <w:t>doi</w:t>
      </w:r>
      <w:proofErr w:type="spellEnd"/>
      <w:r w:rsidRPr="000E6DB6">
        <w:t>: 10.3389/fmicb.2021.747845</w:t>
      </w:r>
    </w:p>
    <w:p w:rsidR="000E6DB6" w:rsidRPr="000E6DB6" w:rsidRDefault="000E6DB6" w:rsidP="000E6DB6">
      <w:pPr>
        <w:jc w:val="both"/>
        <w:rPr>
          <w:rFonts w:ascii="Times New Roman" w:hAnsi="Times New Roman" w:cs="Times New Roman"/>
        </w:rPr>
      </w:pPr>
      <w:r w:rsidRPr="000E6DB6">
        <w:rPr>
          <w:rFonts w:ascii="Times New Roman" w:hAnsi="Times New Roman" w:cs="Times New Roman"/>
        </w:rPr>
        <w:t xml:space="preserve">Toomer, O., Sanders, E., Vu, T., Malheiros, R., Redhead, A., Livingston, M., Livingston, K., Carvalho, L., &amp; </w:t>
      </w:r>
      <w:proofErr w:type="spellStart"/>
      <w:r w:rsidRPr="000E6DB6">
        <w:rPr>
          <w:rFonts w:ascii="Times New Roman" w:hAnsi="Times New Roman" w:cs="Times New Roman"/>
        </w:rPr>
        <w:t>Ferket</w:t>
      </w:r>
      <w:proofErr w:type="spellEnd"/>
      <w:r w:rsidRPr="000E6DB6">
        <w:rPr>
          <w:rFonts w:ascii="Times New Roman" w:hAnsi="Times New Roman" w:cs="Times New Roman"/>
        </w:rPr>
        <w:t>, P. (2020). The effects of high-oleic peanuts as an alternative feed ingredient on broiler performance, ileal digestibility, apparent metabolizable energy, and histology of the intestine</w:t>
      </w:r>
      <w:proofErr w:type="gramStart"/>
      <w:r w:rsidRPr="000E6DB6">
        <w:rPr>
          <w:rFonts w:ascii="Times New Roman" w:hAnsi="Times New Roman" w:cs="Times New Roman"/>
        </w:rPr>
        <w:t>..</w:t>
      </w:r>
      <w:proofErr w:type="gramEnd"/>
      <w:r w:rsidRPr="000E6DB6">
        <w:rPr>
          <w:rFonts w:ascii="Times New Roman" w:hAnsi="Times New Roman" w:cs="Times New Roman"/>
        </w:rPr>
        <w:t> </w:t>
      </w:r>
      <w:r w:rsidRPr="000E6DB6">
        <w:rPr>
          <w:rFonts w:ascii="Times New Roman" w:hAnsi="Times New Roman" w:cs="Times New Roman"/>
          <w:i/>
          <w:iCs/>
        </w:rPr>
        <w:t>Translational animal science</w:t>
      </w:r>
      <w:r w:rsidRPr="000E6DB6">
        <w:rPr>
          <w:rFonts w:ascii="Times New Roman" w:hAnsi="Times New Roman" w:cs="Times New Roman"/>
        </w:rPr>
        <w:t xml:space="preserve">, 4 3, </w:t>
      </w:r>
      <w:proofErr w:type="gramStart"/>
      <w:r w:rsidRPr="000E6DB6">
        <w:rPr>
          <w:rFonts w:ascii="Times New Roman" w:hAnsi="Times New Roman" w:cs="Times New Roman"/>
        </w:rPr>
        <w:t>txaa137 .</w:t>
      </w:r>
      <w:proofErr w:type="gramEnd"/>
      <w:r w:rsidRPr="000E6DB6">
        <w:rPr>
          <w:rFonts w:ascii="Times New Roman" w:hAnsi="Times New Roman" w:cs="Times New Roman"/>
        </w:rPr>
        <w:t xml:space="preserve"> https://doi.org/10.1093/tas/txaa137.</w:t>
      </w:r>
    </w:p>
    <w:p w:rsidR="000E6DB6" w:rsidRPr="000E6DB6" w:rsidRDefault="000E6DB6" w:rsidP="000E6DB6">
      <w:pPr>
        <w:jc w:val="both"/>
        <w:rPr>
          <w:rFonts w:ascii="Times New Roman" w:hAnsi="Times New Roman" w:cs="Times New Roman"/>
        </w:rPr>
      </w:pPr>
      <w:proofErr w:type="spellStart"/>
      <w:r w:rsidRPr="000E6DB6">
        <w:rPr>
          <w:rFonts w:ascii="Times New Roman" w:hAnsi="Times New Roman" w:cs="Times New Roman"/>
        </w:rPr>
        <w:t>Tsafrakidou</w:t>
      </w:r>
      <w:proofErr w:type="spellEnd"/>
      <w:r w:rsidRPr="000E6DB6">
        <w:rPr>
          <w:rFonts w:ascii="Times New Roman" w:hAnsi="Times New Roman" w:cs="Times New Roman"/>
        </w:rPr>
        <w:t xml:space="preserve">, P., </w:t>
      </w:r>
      <w:proofErr w:type="spellStart"/>
      <w:r w:rsidRPr="000E6DB6">
        <w:rPr>
          <w:rFonts w:ascii="Times New Roman" w:hAnsi="Times New Roman" w:cs="Times New Roman"/>
        </w:rPr>
        <w:t>Papoti</w:t>
      </w:r>
      <w:proofErr w:type="spellEnd"/>
      <w:r w:rsidRPr="000E6DB6">
        <w:rPr>
          <w:rFonts w:ascii="Times New Roman" w:hAnsi="Times New Roman" w:cs="Times New Roman"/>
        </w:rPr>
        <w:t xml:space="preserve">, V., Giannakakis, E., </w:t>
      </w:r>
      <w:proofErr w:type="spellStart"/>
      <w:r w:rsidRPr="000E6DB6">
        <w:rPr>
          <w:rFonts w:ascii="Times New Roman" w:hAnsi="Times New Roman" w:cs="Times New Roman"/>
        </w:rPr>
        <w:t>Christaki</w:t>
      </w:r>
      <w:proofErr w:type="spellEnd"/>
      <w:r w:rsidRPr="000E6DB6">
        <w:rPr>
          <w:rFonts w:ascii="Times New Roman" w:hAnsi="Times New Roman" w:cs="Times New Roman"/>
        </w:rPr>
        <w:t xml:space="preserve">, A., </w:t>
      </w:r>
      <w:proofErr w:type="spellStart"/>
      <w:r w:rsidRPr="000E6DB6">
        <w:rPr>
          <w:rFonts w:ascii="Times New Roman" w:hAnsi="Times New Roman" w:cs="Times New Roman"/>
        </w:rPr>
        <w:t>Miaoulis</w:t>
      </w:r>
      <w:proofErr w:type="spellEnd"/>
      <w:r w:rsidRPr="000E6DB6">
        <w:rPr>
          <w:rFonts w:ascii="Times New Roman" w:hAnsi="Times New Roman" w:cs="Times New Roman"/>
        </w:rPr>
        <w:t xml:space="preserve">, M., Oppert, B., </w:t>
      </w:r>
      <w:proofErr w:type="spellStart"/>
      <w:r w:rsidRPr="000E6DB6">
        <w:rPr>
          <w:rFonts w:ascii="Times New Roman" w:hAnsi="Times New Roman" w:cs="Times New Roman"/>
        </w:rPr>
        <w:t>Cohnstaedt</w:t>
      </w:r>
      <w:proofErr w:type="spellEnd"/>
      <w:r w:rsidRPr="000E6DB6">
        <w:rPr>
          <w:rFonts w:ascii="Times New Roman" w:hAnsi="Times New Roman" w:cs="Times New Roman"/>
        </w:rPr>
        <w:t xml:space="preserve">, L., Arsi, K., Donoghue, A., Vergos, E., </w:t>
      </w:r>
      <w:proofErr w:type="spellStart"/>
      <w:r w:rsidRPr="000E6DB6">
        <w:rPr>
          <w:rFonts w:ascii="Times New Roman" w:hAnsi="Times New Roman" w:cs="Times New Roman"/>
        </w:rPr>
        <w:t>Chaskopoulou</w:t>
      </w:r>
      <w:proofErr w:type="spellEnd"/>
      <w:r w:rsidRPr="000E6DB6">
        <w:rPr>
          <w:rFonts w:ascii="Times New Roman" w:hAnsi="Times New Roman" w:cs="Times New Roman"/>
        </w:rPr>
        <w:t xml:space="preserve">, A., &amp; </w:t>
      </w:r>
      <w:proofErr w:type="spellStart"/>
      <w:r w:rsidRPr="000E6DB6">
        <w:rPr>
          <w:rFonts w:ascii="Times New Roman" w:hAnsi="Times New Roman" w:cs="Times New Roman"/>
        </w:rPr>
        <w:t>Zinoviadou</w:t>
      </w:r>
      <w:proofErr w:type="spellEnd"/>
      <w:r w:rsidRPr="000E6DB6">
        <w:rPr>
          <w:rFonts w:ascii="Times New Roman" w:hAnsi="Times New Roman" w:cs="Times New Roman"/>
        </w:rPr>
        <w:t>, K. (2024). Mosquitoes harvested from rice fields as alternative protein ingredient in broiler feed: insights from the first pilot study</w:t>
      </w:r>
      <w:proofErr w:type="gramStart"/>
      <w:r w:rsidRPr="000E6DB6">
        <w:rPr>
          <w:rFonts w:ascii="Times New Roman" w:hAnsi="Times New Roman" w:cs="Times New Roman"/>
        </w:rPr>
        <w:t>..</w:t>
      </w:r>
      <w:proofErr w:type="gramEnd"/>
      <w:r w:rsidRPr="000E6DB6">
        <w:rPr>
          <w:rFonts w:ascii="Times New Roman" w:hAnsi="Times New Roman" w:cs="Times New Roman"/>
        </w:rPr>
        <w:t> </w:t>
      </w:r>
      <w:r w:rsidRPr="000E6DB6">
        <w:rPr>
          <w:rFonts w:ascii="Times New Roman" w:hAnsi="Times New Roman" w:cs="Times New Roman"/>
          <w:i/>
          <w:iCs/>
        </w:rPr>
        <w:t>Journal of economic entomology</w:t>
      </w:r>
      <w:r w:rsidRPr="000E6DB6">
        <w:rPr>
          <w:rFonts w:ascii="Times New Roman" w:hAnsi="Times New Roman" w:cs="Times New Roman"/>
        </w:rPr>
        <w:t>. https://doi.org/10.1093/jee/toae096.</w:t>
      </w:r>
    </w:p>
    <w:p w:rsidR="000E6DB6" w:rsidRPr="000E6DB6" w:rsidRDefault="000E6DB6" w:rsidP="000E6DB6">
      <w:pPr>
        <w:jc w:val="both"/>
      </w:pPr>
      <w:r w:rsidRPr="000E6DB6">
        <w:t xml:space="preserve">Urgessa, O. E., &amp; </w:t>
      </w:r>
      <w:proofErr w:type="spellStart"/>
      <w:r w:rsidRPr="000E6DB6">
        <w:t>Woldesemayat</w:t>
      </w:r>
      <w:proofErr w:type="spellEnd"/>
      <w:r w:rsidRPr="000E6DB6">
        <w:t>, A. A. (2023). OMICs approaches and technologies for understanding low-high feed efficiency traits in chicken: implication to breeding. </w:t>
      </w:r>
      <w:r w:rsidRPr="000E6DB6">
        <w:rPr>
          <w:i/>
          <w:iCs/>
        </w:rPr>
        <w:t>Animal Biotechnology</w:t>
      </w:r>
      <w:r w:rsidRPr="000E6DB6">
        <w:t>, </w:t>
      </w:r>
      <w:r w:rsidRPr="000E6DB6">
        <w:rPr>
          <w:i/>
          <w:iCs/>
        </w:rPr>
        <w:t>34</w:t>
      </w:r>
      <w:r w:rsidRPr="000E6DB6">
        <w:t xml:space="preserve">(8), 4147–4166. </w:t>
      </w:r>
      <w:hyperlink r:id="rId35" w:history="1">
        <w:r w:rsidRPr="000E6DB6">
          <w:rPr>
            <w:rStyle w:val="Hyperlink"/>
          </w:rPr>
          <w:t>https://doi.org/10.1080/10495398.2023.2187404</w:t>
        </w:r>
      </w:hyperlink>
    </w:p>
    <w:p w:rsidR="000E6DB6" w:rsidRPr="00370F51" w:rsidRDefault="000E6DB6" w:rsidP="000E6DB6">
      <w:pPr>
        <w:jc w:val="both"/>
      </w:pPr>
      <w:r w:rsidRPr="00370F51">
        <w:lastRenderedPageBreak/>
        <w:t>Vlaicu, P. A., Untea, A. E., &amp; Oancea, A. G. (2024). Sustainable Poultry Feeding Strategies for Achieving Zero Hunger and Enhancing Food Quality. </w:t>
      </w:r>
      <w:r w:rsidRPr="00370F51">
        <w:rPr>
          <w:i/>
          <w:iCs/>
        </w:rPr>
        <w:t>Agriculture</w:t>
      </w:r>
      <w:r w:rsidRPr="00370F51">
        <w:t>, </w:t>
      </w:r>
      <w:r w:rsidRPr="00370F51">
        <w:rPr>
          <w:i/>
          <w:iCs/>
        </w:rPr>
        <w:t>14</w:t>
      </w:r>
      <w:r w:rsidRPr="00370F51">
        <w:t>(10), 1811. https://doi.org/10.3390/agriculture14101811</w:t>
      </w:r>
    </w:p>
    <w:p w:rsidR="000E6DB6" w:rsidRPr="000E6DB6" w:rsidRDefault="000E6DB6" w:rsidP="000E6DB6">
      <w:pPr>
        <w:jc w:val="both"/>
      </w:pPr>
      <w:proofErr w:type="spellStart"/>
      <w:r w:rsidRPr="000E6DB6">
        <w:t>Zampiga</w:t>
      </w:r>
      <w:proofErr w:type="spellEnd"/>
      <w:r w:rsidRPr="000E6DB6">
        <w:t xml:space="preserve">, M., Flees, J. J., </w:t>
      </w:r>
      <w:proofErr w:type="spellStart"/>
      <w:r w:rsidRPr="000E6DB6">
        <w:t>Meluzzi</w:t>
      </w:r>
      <w:proofErr w:type="spellEnd"/>
      <w:r w:rsidRPr="000E6DB6">
        <w:t xml:space="preserve">, A., Dridi, S., &amp; Sirri, F. (2018). Application of omics technologies for a deeper insight into </w:t>
      </w:r>
      <w:proofErr w:type="spellStart"/>
      <w:r w:rsidRPr="000E6DB6">
        <w:t>quali</w:t>
      </w:r>
      <w:proofErr w:type="spellEnd"/>
      <w:r w:rsidRPr="000E6DB6">
        <w:t xml:space="preserve">-quantitative production traits in broiler chickens: A review. </w:t>
      </w:r>
      <w:r w:rsidRPr="000E6DB6">
        <w:rPr>
          <w:i/>
          <w:iCs/>
        </w:rPr>
        <w:t>Journal of Animal Science and Biotechnology, 9</w:t>
      </w:r>
      <w:r w:rsidRPr="000E6DB6">
        <w:t xml:space="preserve">, 61. </w:t>
      </w:r>
      <w:hyperlink r:id="rId36" w:history="1">
        <w:r w:rsidRPr="000E6DB6">
          <w:rPr>
            <w:rStyle w:val="Hyperlink"/>
          </w:rPr>
          <w:t>https://doi.org/10.1186/s40104-018-0278-5</w:t>
        </w:r>
      </w:hyperlink>
    </w:p>
    <w:p w:rsidR="000E6DB6" w:rsidRDefault="000E6DB6" w:rsidP="00FB0A57">
      <w:pPr>
        <w:rPr>
          <w:rFonts w:ascii="Times New Roman" w:hAnsi="Times New Roman" w:cs="Times New Roman"/>
        </w:rPr>
      </w:pPr>
    </w:p>
    <w:p w:rsidR="00620040" w:rsidRPr="00FB0A57" w:rsidRDefault="00620040" w:rsidP="00FB0A57">
      <w:pPr>
        <w:rPr>
          <w:rFonts w:ascii="Times New Roman" w:hAnsi="Times New Roman" w:cs="Times New Roman"/>
        </w:rPr>
      </w:pPr>
    </w:p>
    <w:sectPr w:rsidR="00620040" w:rsidRPr="00FB0A57">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13" w:rsidRDefault="00F26D13" w:rsidP="00FB0A57">
      <w:pPr>
        <w:spacing w:after="0" w:line="240" w:lineRule="auto"/>
      </w:pPr>
      <w:r>
        <w:separator/>
      </w:r>
    </w:p>
  </w:endnote>
  <w:endnote w:type="continuationSeparator" w:id="0">
    <w:p w:rsidR="00F26D13" w:rsidRDefault="00F26D13" w:rsidP="00FB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8D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8D2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8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13" w:rsidRDefault="00F26D13" w:rsidP="00FB0A57">
      <w:pPr>
        <w:spacing w:after="0" w:line="240" w:lineRule="auto"/>
      </w:pPr>
      <w:r>
        <w:separator/>
      </w:r>
    </w:p>
  </w:footnote>
  <w:footnote w:type="continuationSeparator" w:id="0">
    <w:p w:rsidR="00F26D13" w:rsidRDefault="00F26D13" w:rsidP="00FB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F26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F26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58" w:rsidRDefault="00F26D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031EA"/>
    <w:multiLevelType w:val="multilevel"/>
    <w:tmpl w:val="169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1E"/>
    <w:rsid w:val="0002798D"/>
    <w:rsid w:val="00093D93"/>
    <w:rsid w:val="000D6C84"/>
    <w:rsid w:val="000E6B93"/>
    <w:rsid w:val="000E6DB6"/>
    <w:rsid w:val="00176CAB"/>
    <w:rsid w:val="00190DB8"/>
    <w:rsid w:val="001B5DA3"/>
    <w:rsid w:val="001E6231"/>
    <w:rsid w:val="00241CD0"/>
    <w:rsid w:val="00274933"/>
    <w:rsid w:val="002C488C"/>
    <w:rsid w:val="00365FBF"/>
    <w:rsid w:val="00393CFD"/>
    <w:rsid w:val="003C3E5F"/>
    <w:rsid w:val="00461EBB"/>
    <w:rsid w:val="0047156A"/>
    <w:rsid w:val="004A543E"/>
    <w:rsid w:val="004B010B"/>
    <w:rsid w:val="0052627B"/>
    <w:rsid w:val="00561285"/>
    <w:rsid w:val="00620040"/>
    <w:rsid w:val="006903D2"/>
    <w:rsid w:val="006C77E0"/>
    <w:rsid w:val="006E79C1"/>
    <w:rsid w:val="0075401E"/>
    <w:rsid w:val="007A6D1A"/>
    <w:rsid w:val="007D1DF5"/>
    <w:rsid w:val="007D7B50"/>
    <w:rsid w:val="008235E8"/>
    <w:rsid w:val="00891708"/>
    <w:rsid w:val="008D2C58"/>
    <w:rsid w:val="008F5690"/>
    <w:rsid w:val="00935A39"/>
    <w:rsid w:val="00974FF4"/>
    <w:rsid w:val="00996965"/>
    <w:rsid w:val="00A73D87"/>
    <w:rsid w:val="00B218E0"/>
    <w:rsid w:val="00BC601D"/>
    <w:rsid w:val="00C40D35"/>
    <w:rsid w:val="00C668A2"/>
    <w:rsid w:val="00D85180"/>
    <w:rsid w:val="00DC2D94"/>
    <w:rsid w:val="00E01569"/>
    <w:rsid w:val="00E0254F"/>
    <w:rsid w:val="00ED03D0"/>
    <w:rsid w:val="00F14B8A"/>
    <w:rsid w:val="00F26D13"/>
    <w:rsid w:val="00F3313D"/>
    <w:rsid w:val="00F34333"/>
    <w:rsid w:val="00F47538"/>
    <w:rsid w:val="00F54926"/>
    <w:rsid w:val="00F9265E"/>
    <w:rsid w:val="00FB0A57"/>
    <w:rsid w:val="00FB1876"/>
    <w:rsid w:val="00F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DE0A628-4CC9-428B-9662-3AE940EF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4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1E"/>
    <w:rPr>
      <w:rFonts w:eastAsiaTheme="majorEastAsia" w:cstheme="majorBidi"/>
      <w:color w:val="272727" w:themeColor="text1" w:themeTint="D8"/>
    </w:rPr>
  </w:style>
  <w:style w:type="paragraph" w:styleId="Title">
    <w:name w:val="Title"/>
    <w:basedOn w:val="Normal"/>
    <w:next w:val="Normal"/>
    <w:link w:val="TitleChar"/>
    <w:uiPriority w:val="10"/>
    <w:qFormat/>
    <w:rsid w:val="0075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1E"/>
    <w:pPr>
      <w:spacing w:before="160"/>
      <w:jc w:val="center"/>
    </w:pPr>
    <w:rPr>
      <w:i/>
      <w:iCs/>
      <w:color w:val="404040" w:themeColor="text1" w:themeTint="BF"/>
    </w:rPr>
  </w:style>
  <w:style w:type="character" w:customStyle="1" w:styleId="QuoteChar">
    <w:name w:val="Quote Char"/>
    <w:basedOn w:val="DefaultParagraphFont"/>
    <w:link w:val="Quote"/>
    <w:uiPriority w:val="29"/>
    <w:rsid w:val="0075401E"/>
    <w:rPr>
      <w:i/>
      <w:iCs/>
      <w:color w:val="404040" w:themeColor="text1" w:themeTint="BF"/>
    </w:rPr>
  </w:style>
  <w:style w:type="paragraph" w:styleId="ListParagraph">
    <w:name w:val="List Paragraph"/>
    <w:basedOn w:val="Normal"/>
    <w:uiPriority w:val="34"/>
    <w:qFormat/>
    <w:rsid w:val="0075401E"/>
    <w:pPr>
      <w:ind w:left="720"/>
      <w:contextualSpacing/>
    </w:pPr>
  </w:style>
  <w:style w:type="character" w:styleId="IntenseEmphasis">
    <w:name w:val="Intense Emphasis"/>
    <w:basedOn w:val="DefaultParagraphFont"/>
    <w:uiPriority w:val="21"/>
    <w:qFormat/>
    <w:rsid w:val="0075401E"/>
    <w:rPr>
      <w:i/>
      <w:iCs/>
      <w:color w:val="2F5496" w:themeColor="accent1" w:themeShade="BF"/>
    </w:rPr>
  </w:style>
  <w:style w:type="paragraph" w:styleId="IntenseQuote">
    <w:name w:val="Intense Quote"/>
    <w:basedOn w:val="Normal"/>
    <w:next w:val="Normal"/>
    <w:link w:val="IntenseQuoteChar"/>
    <w:uiPriority w:val="30"/>
    <w:qFormat/>
    <w:rsid w:val="0075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01E"/>
    <w:rPr>
      <w:i/>
      <w:iCs/>
      <w:color w:val="2F5496" w:themeColor="accent1" w:themeShade="BF"/>
    </w:rPr>
  </w:style>
  <w:style w:type="character" w:styleId="IntenseReference">
    <w:name w:val="Intense Reference"/>
    <w:basedOn w:val="DefaultParagraphFont"/>
    <w:uiPriority w:val="32"/>
    <w:qFormat/>
    <w:rsid w:val="0075401E"/>
    <w:rPr>
      <w:b/>
      <w:bCs/>
      <w:smallCaps/>
      <w:color w:val="2F5496" w:themeColor="accent1" w:themeShade="BF"/>
      <w:spacing w:val="5"/>
    </w:rPr>
  </w:style>
  <w:style w:type="character" w:styleId="Hyperlink">
    <w:name w:val="Hyperlink"/>
    <w:basedOn w:val="DefaultParagraphFont"/>
    <w:uiPriority w:val="99"/>
    <w:unhideWhenUsed/>
    <w:rsid w:val="00620040"/>
    <w:rPr>
      <w:color w:val="0563C1" w:themeColor="hyperlink"/>
      <w:u w:val="single"/>
    </w:rPr>
  </w:style>
  <w:style w:type="character" w:customStyle="1" w:styleId="UnresolvedMention">
    <w:name w:val="Unresolved Mention"/>
    <w:basedOn w:val="DefaultParagraphFont"/>
    <w:uiPriority w:val="99"/>
    <w:semiHidden/>
    <w:unhideWhenUsed/>
    <w:rsid w:val="00620040"/>
    <w:rPr>
      <w:color w:val="605E5C"/>
      <w:shd w:val="clear" w:color="auto" w:fill="E1DFDD"/>
    </w:rPr>
  </w:style>
  <w:style w:type="paragraph" w:styleId="Header">
    <w:name w:val="header"/>
    <w:basedOn w:val="Normal"/>
    <w:link w:val="HeaderChar"/>
    <w:uiPriority w:val="99"/>
    <w:unhideWhenUsed/>
    <w:rsid w:val="00FB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57"/>
  </w:style>
  <w:style w:type="paragraph" w:styleId="Footer">
    <w:name w:val="footer"/>
    <w:basedOn w:val="Normal"/>
    <w:link w:val="FooterChar"/>
    <w:uiPriority w:val="99"/>
    <w:unhideWhenUsed/>
    <w:rsid w:val="00FB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714">
      <w:bodyDiv w:val="1"/>
      <w:marLeft w:val="0"/>
      <w:marRight w:val="0"/>
      <w:marTop w:val="0"/>
      <w:marBottom w:val="0"/>
      <w:divBdr>
        <w:top w:val="none" w:sz="0" w:space="0" w:color="auto"/>
        <w:left w:val="none" w:sz="0" w:space="0" w:color="auto"/>
        <w:bottom w:val="none" w:sz="0" w:space="0" w:color="auto"/>
        <w:right w:val="none" w:sz="0" w:space="0" w:color="auto"/>
      </w:divBdr>
    </w:div>
    <w:div w:id="18166077">
      <w:bodyDiv w:val="1"/>
      <w:marLeft w:val="0"/>
      <w:marRight w:val="0"/>
      <w:marTop w:val="0"/>
      <w:marBottom w:val="0"/>
      <w:divBdr>
        <w:top w:val="none" w:sz="0" w:space="0" w:color="auto"/>
        <w:left w:val="none" w:sz="0" w:space="0" w:color="auto"/>
        <w:bottom w:val="none" w:sz="0" w:space="0" w:color="auto"/>
        <w:right w:val="none" w:sz="0" w:space="0" w:color="auto"/>
      </w:divBdr>
    </w:div>
    <w:div w:id="324475032">
      <w:bodyDiv w:val="1"/>
      <w:marLeft w:val="0"/>
      <w:marRight w:val="0"/>
      <w:marTop w:val="0"/>
      <w:marBottom w:val="0"/>
      <w:divBdr>
        <w:top w:val="none" w:sz="0" w:space="0" w:color="auto"/>
        <w:left w:val="none" w:sz="0" w:space="0" w:color="auto"/>
        <w:bottom w:val="none" w:sz="0" w:space="0" w:color="auto"/>
        <w:right w:val="none" w:sz="0" w:space="0" w:color="auto"/>
      </w:divBdr>
    </w:div>
    <w:div w:id="358748717">
      <w:bodyDiv w:val="1"/>
      <w:marLeft w:val="0"/>
      <w:marRight w:val="0"/>
      <w:marTop w:val="0"/>
      <w:marBottom w:val="0"/>
      <w:divBdr>
        <w:top w:val="none" w:sz="0" w:space="0" w:color="auto"/>
        <w:left w:val="none" w:sz="0" w:space="0" w:color="auto"/>
        <w:bottom w:val="none" w:sz="0" w:space="0" w:color="auto"/>
        <w:right w:val="none" w:sz="0" w:space="0" w:color="auto"/>
      </w:divBdr>
    </w:div>
    <w:div w:id="436408108">
      <w:bodyDiv w:val="1"/>
      <w:marLeft w:val="0"/>
      <w:marRight w:val="0"/>
      <w:marTop w:val="0"/>
      <w:marBottom w:val="0"/>
      <w:divBdr>
        <w:top w:val="none" w:sz="0" w:space="0" w:color="auto"/>
        <w:left w:val="none" w:sz="0" w:space="0" w:color="auto"/>
        <w:bottom w:val="none" w:sz="0" w:space="0" w:color="auto"/>
        <w:right w:val="none" w:sz="0" w:space="0" w:color="auto"/>
      </w:divBdr>
    </w:div>
    <w:div w:id="437600739">
      <w:bodyDiv w:val="1"/>
      <w:marLeft w:val="0"/>
      <w:marRight w:val="0"/>
      <w:marTop w:val="0"/>
      <w:marBottom w:val="0"/>
      <w:divBdr>
        <w:top w:val="none" w:sz="0" w:space="0" w:color="auto"/>
        <w:left w:val="none" w:sz="0" w:space="0" w:color="auto"/>
        <w:bottom w:val="none" w:sz="0" w:space="0" w:color="auto"/>
        <w:right w:val="none" w:sz="0" w:space="0" w:color="auto"/>
      </w:divBdr>
    </w:div>
    <w:div w:id="511995360">
      <w:bodyDiv w:val="1"/>
      <w:marLeft w:val="0"/>
      <w:marRight w:val="0"/>
      <w:marTop w:val="0"/>
      <w:marBottom w:val="0"/>
      <w:divBdr>
        <w:top w:val="none" w:sz="0" w:space="0" w:color="auto"/>
        <w:left w:val="none" w:sz="0" w:space="0" w:color="auto"/>
        <w:bottom w:val="none" w:sz="0" w:space="0" w:color="auto"/>
        <w:right w:val="none" w:sz="0" w:space="0" w:color="auto"/>
      </w:divBdr>
    </w:div>
    <w:div w:id="534001032">
      <w:bodyDiv w:val="1"/>
      <w:marLeft w:val="0"/>
      <w:marRight w:val="0"/>
      <w:marTop w:val="0"/>
      <w:marBottom w:val="0"/>
      <w:divBdr>
        <w:top w:val="none" w:sz="0" w:space="0" w:color="auto"/>
        <w:left w:val="none" w:sz="0" w:space="0" w:color="auto"/>
        <w:bottom w:val="none" w:sz="0" w:space="0" w:color="auto"/>
        <w:right w:val="none" w:sz="0" w:space="0" w:color="auto"/>
      </w:divBdr>
    </w:div>
    <w:div w:id="627971243">
      <w:bodyDiv w:val="1"/>
      <w:marLeft w:val="0"/>
      <w:marRight w:val="0"/>
      <w:marTop w:val="0"/>
      <w:marBottom w:val="0"/>
      <w:divBdr>
        <w:top w:val="none" w:sz="0" w:space="0" w:color="auto"/>
        <w:left w:val="none" w:sz="0" w:space="0" w:color="auto"/>
        <w:bottom w:val="none" w:sz="0" w:space="0" w:color="auto"/>
        <w:right w:val="none" w:sz="0" w:space="0" w:color="auto"/>
      </w:divBdr>
    </w:div>
    <w:div w:id="675496819">
      <w:bodyDiv w:val="1"/>
      <w:marLeft w:val="0"/>
      <w:marRight w:val="0"/>
      <w:marTop w:val="0"/>
      <w:marBottom w:val="0"/>
      <w:divBdr>
        <w:top w:val="none" w:sz="0" w:space="0" w:color="auto"/>
        <w:left w:val="none" w:sz="0" w:space="0" w:color="auto"/>
        <w:bottom w:val="none" w:sz="0" w:space="0" w:color="auto"/>
        <w:right w:val="none" w:sz="0" w:space="0" w:color="auto"/>
      </w:divBdr>
      <w:divsChild>
        <w:div w:id="11425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950028">
      <w:bodyDiv w:val="1"/>
      <w:marLeft w:val="0"/>
      <w:marRight w:val="0"/>
      <w:marTop w:val="0"/>
      <w:marBottom w:val="0"/>
      <w:divBdr>
        <w:top w:val="none" w:sz="0" w:space="0" w:color="auto"/>
        <w:left w:val="none" w:sz="0" w:space="0" w:color="auto"/>
        <w:bottom w:val="none" w:sz="0" w:space="0" w:color="auto"/>
        <w:right w:val="none" w:sz="0" w:space="0" w:color="auto"/>
      </w:divBdr>
    </w:div>
    <w:div w:id="802960899">
      <w:bodyDiv w:val="1"/>
      <w:marLeft w:val="0"/>
      <w:marRight w:val="0"/>
      <w:marTop w:val="0"/>
      <w:marBottom w:val="0"/>
      <w:divBdr>
        <w:top w:val="none" w:sz="0" w:space="0" w:color="auto"/>
        <w:left w:val="none" w:sz="0" w:space="0" w:color="auto"/>
        <w:bottom w:val="none" w:sz="0" w:space="0" w:color="auto"/>
        <w:right w:val="none" w:sz="0" w:space="0" w:color="auto"/>
      </w:divBdr>
    </w:div>
    <w:div w:id="881408869">
      <w:bodyDiv w:val="1"/>
      <w:marLeft w:val="0"/>
      <w:marRight w:val="0"/>
      <w:marTop w:val="0"/>
      <w:marBottom w:val="0"/>
      <w:divBdr>
        <w:top w:val="none" w:sz="0" w:space="0" w:color="auto"/>
        <w:left w:val="none" w:sz="0" w:space="0" w:color="auto"/>
        <w:bottom w:val="none" w:sz="0" w:space="0" w:color="auto"/>
        <w:right w:val="none" w:sz="0" w:space="0" w:color="auto"/>
      </w:divBdr>
    </w:div>
    <w:div w:id="996999920">
      <w:bodyDiv w:val="1"/>
      <w:marLeft w:val="0"/>
      <w:marRight w:val="0"/>
      <w:marTop w:val="0"/>
      <w:marBottom w:val="0"/>
      <w:divBdr>
        <w:top w:val="none" w:sz="0" w:space="0" w:color="auto"/>
        <w:left w:val="none" w:sz="0" w:space="0" w:color="auto"/>
        <w:bottom w:val="none" w:sz="0" w:space="0" w:color="auto"/>
        <w:right w:val="none" w:sz="0" w:space="0" w:color="auto"/>
      </w:divBdr>
    </w:div>
    <w:div w:id="998651633">
      <w:bodyDiv w:val="1"/>
      <w:marLeft w:val="0"/>
      <w:marRight w:val="0"/>
      <w:marTop w:val="0"/>
      <w:marBottom w:val="0"/>
      <w:divBdr>
        <w:top w:val="none" w:sz="0" w:space="0" w:color="auto"/>
        <w:left w:val="none" w:sz="0" w:space="0" w:color="auto"/>
        <w:bottom w:val="none" w:sz="0" w:space="0" w:color="auto"/>
        <w:right w:val="none" w:sz="0" w:space="0" w:color="auto"/>
      </w:divBdr>
    </w:div>
    <w:div w:id="1004287350">
      <w:bodyDiv w:val="1"/>
      <w:marLeft w:val="0"/>
      <w:marRight w:val="0"/>
      <w:marTop w:val="0"/>
      <w:marBottom w:val="0"/>
      <w:divBdr>
        <w:top w:val="none" w:sz="0" w:space="0" w:color="auto"/>
        <w:left w:val="none" w:sz="0" w:space="0" w:color="auto"/>
        <w:bottom w:val="none" w:sz="0" w:space="0" w:color="auto"/>
        <w:right w:val="none" w:sz="0" w:space="0" w:color="auto"/>
      </w:divBdr>
    </w:div>
    <w:div w:id="1160341933">
      <w:bodyDiv w:val="1"/>
      <w:marLeft w:val="0"/>
      <w:marRight w:val="0"/>
      <w:marTop w:val="0"/>
      <w:marBottom w:val="0"/>
      <w:divBdr>
        <w:top w:val="none" w:sz="0" w:space="0" w:color="auto"/>
        <w:left w:val="none" w:sz="0" w:space="0" w:color="auto"/>
        <w:bottom w:val="none" w:sz="0" w:space="0" w:color="auto"/>
        <w:right w:val="none" w:sz="0" w:space="0" w:color="auto"/>
      </w:divBdr>
    </w:div>
    <w:div w:id="1163476205">
      <w:bodyDiv w:val="1"/>
      <w:marLeft w:val="0"/>
      <w:marRight w:val="0"/>
      <w:marTop w:val="0"/>
      <w:marBottom w:val="0"/>
      <w:divBdr>
        <w:top w:val="none" w:sz="0" w:space="0" w:color="auto"/>
        <w:left w:val="none" w:sz="0" w:space="0" w:color="auto"/>
        <w:bottom w:val="none" w:sz="0" w:space="0" w:color="auto"/>
        <w:right w:val="none" w:sz="0" w:space="0" w:color="auto"/>
      </w:divBdr>
    </w:div>
    <w:div w:id="1288580775">
      <w:bodyDiv w:val="1"/>
      <w:marLeft w:val="0"/>
      <w:marRight w:val="0"/>
      <w:marTop w:val="0"/>
      <w:marBottom w:val="0"/>
      <w:divBdr>
        <w:top w:val="none" w:sz="0" w:space="0" w:color="auto"/>
        <w:left w:val="none" w:sz="0" w:space="0" w:color="auto"/>
        <w:bottom w:val="none" w:sz="0" w:space="0" w:color="auto"/>
        <w:right w:val="none" w:sz="0" w:space="0" w:color="auto"/>
      </w:divBdr>
    </w:div>
    <w:div w:id="1301885481">
      <w:bodyDiv w:val="1"/>
      <w:marLeft w:val="0"/>
      <w:marRight w:val="0"/>
      <w:marTop w:val="0"/>
      <w:marBottom w:val="0"/>
      <w:divBdr>
        <w:top w:val="none" w:sz="0" w:space="0" w:color="auto"/>
        <w:left w:val="none" w:sz="0" w:space="0" w:color="auto"/>
        <w:bottom w:val="none" w:sz="0" w:space="0" w:color="auto"/>
        <w:right w:val="none" w:sz="0" w:space="0" w:color="auto"/>
      </w:divBdr>
    </w:div>
    <w:div w:id="1390029563">
      <w:bodyDiv w:val="1"/>
      <w:marLeft w:val="0"/>
      <w:marRight w:val="0"/>
      <w:marTop w:val="0"/>
      <w:marBottom w:val="0"/>
      <w:divBdr>
        <w:top w:val="none" w:sz="0" w:space="0" w:color="auto"/>
        <w:left w:val="none" w:sz="0" w:space="0" w:color="auto"/>
        <w:bottom w:val="none" w:sz="0" w:space="0" w:color="auto"/>
        <w:right w:val="none" w:sz="0" w:space="0" w:color="auto"/>
      </w:divBdr>
    </w:div>
    <w:div w:id="1525820747">
      <w:bodyDiv w:val="1"/>
      <w:marLeft w:val="0"/>
      <w:marRight w:val="0"/>
      <w:marTop w:val="0"/>
      <w:marBottom w:val="0"/>
      <w:divBdr>
        <w:top w:val="none" w:sz="0" w:space="0" w:color="auto"/>
        <w:left w:val="none" w:sz="0" w:space="0" w:color="auto"/>
        <w:bottom w:val="none" w:sz="0" w:space="0" w:color="auto"/>
        <w:right w:val="none" w:sz="0" w:space="0" w:color="auto"/>
      </w:divBdr>
    </w:div>
    <w:div w:id="1538666953">
      <w:bodyDiv w:val="1"/>
      <w:marLeft w:val="0"/>
      <w:marRight w:val="0"/>
      <w:marTop w:val="0"/>
      <w:marBottom w:val="0"/>
      <w:divBdr>
        <w:top w:val="none" w:sz="0" w:space="0" w:color="auto"/>
        <w:left w:val="none" w:sz="0" w:space="0" w:color="auto"/>
        <w:bottom w:val="none" w:sz="0" w:space="0" w:color="auto"/>
        <w:right w:val="none" w:sz="0" w:space="0" w:color="auto"/>
      </w:divBdr>
    </w:div>
    <w:div w:id="1545092408">
      <w:bodyDiv w:val="1"/>
      <w:marLeft w:val="0"/>
      <w:marRight w:val="0"/>
      <w:marTop w:val="0"/>
      <w:marBottom w:val="0"/>
      <w:divBdr>
        <w:top w:val="none" w:sz="0" w:space="0" w:color="auto"/>
        <w:left w:val="none" w:sz="0" w:space="0" w:color="auto"/>
        <w:bottom w:val="none" w:sz="0" w:space="0" w:color="auto"/>
        <w:right w:val="none" w:sz="0" w:space="0" w:color="auto"/>
      </w:divBdr>
    </w:div>
    <w:div w:id="1600677680">
      <w:bodyDiv w:val="1"/>
      <w:marLeft w:val="0"/>
      <w:marRight w:val="0"/>
      <w:marTop w:val="0"/>
      <w:marBottom w:val="0"/>
      <w:divBdr>
        <w:top w:val="none" w:sz="0" w:space="0" w:color="auto"/>
        <w:left w:val="none" w:sz="0" w:space="0" w:color="auto"/>
        <w:bottom w:val="none" w:sz="0" w:space="0" w:color="auto"/>
        <w:right w:val="none" w:sz="0" w:space="0" w:color="auto"/>
      </w:divBdr>
    </w:div>
    <w:div w:id="1603148769">
      <w:bodyDiv w:val="1"/>
      <w:marLeft w:val="0"/>
      <w:marRight w:val="0"/>
      <w:marTop w:val="0"/>
      <w:marBottom w:val="0"/>
      <w:divBdr>
        <w:top w:val="none" w:sz="0" w:space="0" w:color="auto"/>
        <w:left w:val="none" w:sz="0" w:space="0" w:color="auto"/>
        <w:bottom w:val="none" w:sz="0" w:space="0" w:color="auto"/>
        <w:right w:val="none" w:sz="0" w:space="0" w:color="auto"/>
      </w:divBdr>
    </w:div>
    <w:div w:id="1613054733">
      <w:bodyDiv w:val="1"/>
      <w:marLeft w:val="0"/>
      <w:marRight w:val="0"/>
      <w:marTop w:val="0"/>
      <w:marBottom w:val="0"/>
      <w:divBdr>
        <w:top w:val="none" w:sz="0" w:space="0" w:color="auto"/>
        <w:left w:val="none" w:sz="0" w:space="0" w:color="auto"/>
        <w:bottom w:val="none" w:sz="0" w:space="0" w:color="auto"/>
        <w:right w:val="none" w:sz="0" w:space="0" w:color="auto"/>
      </w:divBdr>
    </w:div>
    <w:div w:id="1699350901">
      <w:bodyDiv w:val="1"/>
      <w:marLeft w:val="0"/>
      <w:marRight w:val="0"/>
      <w:marTop w:val="0"/>
      <w:marBottom w:val="0"/>
      <w:divBdr>
        <w:top w:val="none" w:sz="0" w:space="0" w:color="auto"/>
        <w:left w:val="none" w:sz="0" w:space="0" w:color="auto"/>
        <w:bottom w:val="none" w:sz="0" w:space="0" w:color="auto"/>
        <w:right w:val="none" w:sz="0" w:space="0" w:color="auto"/>
      </w:divBdr>
    </w:div>
    <w:div w:id="1837724101">
      <w:bodyDiv w:val="1"/>
      <w:marLeft w:val="0"/>
      <w:marRight w:val="0"/>
      <w:marTop w:val="0"/>
      <w:marBottom w:val="0"/>
      <w:divBdr>
        <w:top w:val="none" w:sz="0" w:space="0" w:color="auto"/>
        <w:left w:val="none" w:sz="0" w:space="0" w:color="auto"/>
        <w:bottom w:val="none" w:sz="0" w:space="0" w:color="auto"/>
        <w:right w:val="none" w:sz="0" w:space="0" w:color="auto"/>
      </w:divBdr>
    </w:div>
    <w:div w:id="1917083800">
      <w:bodyDiv w:val="1"/>
      <w:marLeft w:val="0"/>
      <w:marRight w:val="0"/>
      <w:marTop w:val="0"/>
      <w:marBottom w:val="0"/>
      <w:divBdr>
        <w:top w:val="none" w:sz="0" w:space="0" w:color="auto"/>
        <w:left w:val="none" w:sz="0" w:space="0" w:color="auto"/>
        <w:bottom w:val="none" w:sz="0" w:space="0" w:color="auto"/>
        <w:right w:val="none" w:sz="0" w:space="0" w:color="auto"/>
      </w:divBdr>
      <w:divsChild>
        <w:div w:id="3264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696276">
      <w:bodyDiv w:val="1"/>
      <w:marLeft w:val="0"/>
      <w:marRight w:val="0"/>
      <w:marTop w:val="0"/>
      <w:marBottom w:val="0"/>
      <w:divBdr>
        <w:top w:val="none" w:sz="0" w:space="0" w:color="auto"/>
        <w:left w:val="none" w:sz="0" w:space="0" w:color="auto"/>
        <w:bottom w:val="none" w:sz="0" w:space="0" w:color="auto"/>
        <w:right w:val="none" w:sz="0" w:space="0" w:color="auto"/>
      </w:divBdr>
    </w:div>
    <w:div w:id="1998261012">
      <w:bodyDiv w:val="1"/>
      <w:marLeft w:val="0"/>
      <w:marRight w:val="0"/>
      <w:marTop w:val="0"/>
      <w:marBottom w:val="0"/>
      <w:divBdr>
        <w:top w:val="none" w:sz="0" w:space="0" w:color="auto"/>
        <w:left w:val="none" w:sz="0" w:space="0" w:color="auto"/>
        <w:bottom w:val="none" w:sz="0" w:space="0" w:color="auto"/>
        <w:right w:val="none" w:sz="0" w:space="0" w:color="auto"/>
      </w:divBdr>
    </w:div>
    <w:div w:id="2048484313">
      <w:bodyDiv w:val="1"/>
      <w:marLeft w:val="0"/>
      <w:marRight w:val="0"/>
      <w:marTop w:val="0"/>
      <w:marBottom w:val="0"/>
      <w:divBdr>
        <w:top w:val="none" w:sz="0" w:space="0" w:color="auto"/>
        <w:left w:val="none" w:sz="0" w:space="0" w:color="auto"/>
        <w:bottom w:val="none" w:sz="0" w:space="0" w:color="auto"/>
        <w:right w:val="none" w:sz="0" w:space="0" w:color="auto"/>
      </w:divBdr>
    </w:div>
    <w:div w:id="21066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80-021-03286-1" TargetMode="External"/><Relationship Id="rId18" Type="http://schemas.openxmlformats.org/officeDocument/2006/relationships/hyperlink" Target="https://doi.org/10.3390/ani12070882" TargetMode="External"/><Relationship Id="rId26" Type="http://schemas.openxmlformats.org/officeDocument/2006/relationships/hyperlink" Target="https://doi.org/10.1007/s11250-023-03783-1" TargetMode="External"/><Relationship Id="rId39" Type="http://schemas.openxmlformats.org/officeDocument/2006/relationships/footer" Target="footer1.xml"/><Relationship Id="rId21" Type="http://schemas.openxmlformats.org/officeDocument/2006/relationships/hyperlink" Target="https://doi.org/10.1007/s00580-023-03447-4" TargetMode="External"/><Relationship Id="rId34" Type="http://schemas.openxmlformats.org/officeDocument/2006/relationships/hyperlink" Target="https://doi.org/10.4314/SAJAS.V47I2.4" TargetMode="External"/><Relationship Id="rId42" Type="http://schemas.openxmlformats.org/officeDocument/2006/relationships/footer" Target="footer3.xml"/><Relationship Id="rId7" Type="http://schemas.openxmlformats.org/officeDocument/2006/relationships/hyperlink" Target="https://doi.org/10.9734/JEAI/2019/V36I330238" TargetMode="External"/><Relationship Id="rId2" Type="http://schemas.openxmlformats.org/officeDocument/2006/relationships/styles" Target="styles.xml"/><Relationship Id="rId16" Type="http://schemas.openxmlformats.org/officeDocument/2006/relationships/hyperlink" Target="https://doi.org/10.17582/JOURNAL.AAVS/2019/7.3.218.224" TargetMode="External"/><Relationship Id="rId20" Type="http://schemas.openxmlformats.org/officeDocument/2006/relationships/hyperlink" Target="https://doi.org/10.3390/ani9070431" TargetMode="External"/><Relationship Id="rId29" Type="http://schemas.openxmlformats.org/officeDocument/2006/relationships/hyperlink" Target="http://www.lrrd.org/lrrd31/10/cont3110.htm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ijps.2003.271.274" TargetMode="External"/><Relationship Id="rId24" Type="http://schemas.openxmlformats.org/officeDocument/2006/relationships/hyperlink" Target="https://doi.org/10.31033/IJRASB.7.5.25" TargetMode="External"/><Relationship Id="rId32" Type="http://schemas.openxmlformats.org/officeDocument/2006/relationships/hyperlink" Target="https://doi.org/10.21697/seb.2017.15.4.0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THERBIO.2019.04.016" TargetMode="External"/><Relationship Id="rId23" Type="http://schemas.openxmlformats.org/officeDocument/2006/relationships/hyperlink" Target="https://doi.org/10.5897/JMLD2015.0119" TargetMode="External"/><Relationship Id="rId28" Type="http://schemas.openxmlformats.org/officeDocument/2006/relationships/hyperlink" Target="https://hrcak.srce.hr/file/153354" TargetMode="External"/><Relationship Id="rId36" Type="http://schemas.openxmlformats.org/officeDocument/2006/relationships/hyperlink" Target="https://doi.org/10.1186/s40104-018-0278-5" TargetMode="External"/><Relationship Id="rId10" Type="http://schemas.openxmlformats.org/officeDocument/2006/relationships/hyperlink" Target="https://doi.org/10.5536/KJPS.2018.45.2.73" TargetMode="External"/><Relationship Id="rId19" Type="http://schemas.openxmlformats.org/officeDocument/2006/relationships/hyperlink" Target="https://doi.org/10.3382/PS.0551841" TargetMode="External"/><Relationship Id="rId31" Type="http://schemas.openxmlformats.org/officeDocument/2006/relationships/hyperlink" Target="https://doi.org/10.1186/1472-6882-14-36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12917-020-02603-0" TargetMode="External"/><Relationship Id="rId14" Type="http://schemas.openxmlformats.org/officeDocument/2006/relationships/hyperlink" Target="https://doi.org/10.2527/jas.2015-8871" TargetMode="External"/><Relationship Id="rId22" Type="http://schemas.openxmlformats.org/officeDocument/2006/relationships/hyperlink" Target="https://doi.org/10.24018/ejfood.2020.2.4.30" TargetMode="External"/><Relationship Id="rId27" Type="http://schemas.openxmlformats.org/officeDocument/2006/relationships/hyperlink" Target="https://doi.org/10.3390/ani10081339" TargetMode="External"/><Relationship Id="rId30" Type="http://schemas.openxmlformats.org/officeDocument/2006/relationships/hyperlink" Target="https://doi.org/10.1080/00071669889204" TargetMode="External"/><Relationship Id="rId35" Type="http://schemas.openxmlformats.org/officeDocument/2006/relationships/hyperlink" Target="https://doi.org/10.1080/10495398.2023.2187404" TargetMode="External"/><Relationship Id="rId43" Type="http://schemas.openxmlformats.org/officeDocument/2006/relationships/fontTable" Target="fontTable.xml"/><Relationship Id="rId8" Type="http://schemas.openxmlformats.org/officeDocument/2006/relationships/hyperlink" Target="https://doi.org/10.1186/2193-1801-3-31" TargetMode="External"/><Relationship Id="rId3" Type="http://schemas.openxmlformats.org/officeDocument/2006/relationships/settings" Target="settings.xml"/><Relationship Id="rId12" Type="http://schemas.openxmlformats.org/officeDocument/2006/relationships/hyperlink" Target="https://doi.org/10.54058/saheljvs.v18i3.229" TargetMode="External"/><Relationship Id="rId17" Type="http://schemas.openxmlformats.org/officeDocument/2006/relationships/hyperlink" Target="https://doi.org/10.17533/udea.rccp.v34n4a02" TargetMode="External"/><Relationship Id="rId25" Type="http://schemas.openxmlformats.org/officeDocument/2006/relationships/hyperlink" Target="https://doi.org/10.1590/1806-9061-2016-0444" TargetMode="External"/><Relationship Id="rId33" Type="http://schemas.openxmlformats.org/officeDocument/2006/relationships/hyperlink" Target="https://doi.org/10.1071/AN1739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17</Pages>
  <Words>7183</Words>
  <Characters>40946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OLOWOYEYE JANET</dc:creator>
  <cp:keywords/>
  <dc:description/>
  <cp:lastModifiedBy>SDI CPU 1127</cp:lastModifiedBy>
  <cp:revision>35</cp:revision>
  <dcterms:created xsi:type="dcterms:W3CDTF">2025-04-26T13:19:00Z</dcterms:created>
  <dcterms:modified xsi:type="dcterms:W3CDTF">2025-05-14T08:20:00Z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b47f1a66-8a05-4b9e-8d09-06dd398bc661</vt:lpwstr>
  </property>
</Properties>
</file>