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933E5" w14:textId="77777777" w:rsidR="00047E5F" w:rsidRPr="00D45CAA" w:rsidRDefault="00047E5F" w:rsidP="00047E5F">
      <w:pPr>
        <w:spacing w:before="100" w:beforeAutospacing="1" w:after="100" w:afterAutospacing="1" w:line="360" w:lineRule="auto"/>
        <w:rPr>
          <w:rFonts w:eastAsia="Times New Roman" w:cs="Calibri"/>
          <w:b/>
          <w:iCs/>
          <w:sz w:val="28"/>
          <w:szCs w:val="28"/>
          <w:u w:val="single"/>
        </w:rPr>
      </w:pPr>
      <w:r w:rsidRPr="00D45CAA">
        <w:rPr>
          <w:rFonts w:eastAsia="Times New Roman" w:cs="Calibri"/>
          <w:b/>
          <w:iCs/>
          <w:sz w:val="28"/>
          <w:szCs w:val="28"/>
          <w:u w:val="single"/>
        </w:rPr>
        <w:t>Original Research Article</w:t>
      </w:r>
    </w:p>
    <w:p w14:paraId="7078AEF5" w14:textId="77777777" w:rsidR="00047E5F" w:rsidRDefault="00047E5F" w:rsidP="00047E5F">
      <w:pPr>
        <w:spacing w:before="100" w:beforeAutospacing="1" w:after="100" w:afterAutospacing="1" w:line="360" w:lineRule="auto"/>
        <w:jc w:val="center"/>
        <w:rPr>
          <w:rFonts w:eastAsia="Times New Roman" w:cs="Calibri"/>
          <w:b/>
          <w:iCs/>
          <w:sz w:val="28"/>
          <w:szCs w:val="28"/>
        </w:rPr>
      </w:pPr>
      <w:r>
        <w:rPr>
          <w:rFonts w:eastAsia="Times New Roman" w:cs="Calibri"/>
          <w:b/>
          <w:iCs/>
          <w:sz w:val="28"/>
          <w:szCs w:val="28"/>
        </w:rPr>
        <w:t>Sero-Prevalence and Immunological Profile of SARS-CoV-2 Antibodies in Nigerian Sickle Cell Disease Patients during the COVID-19 Pandemic.</w:t>
      </w:r>
    </w:p>
    <w:p w14:paraId="60DCD3E1" w14:textId="77777777" w:rsidR="00047E5F" w:rsidRDefault="00047E5F" w:rsidP="00047E5F">
      <w:pPr>
        <w:spacing w:line="360" w:lineRule="auto"/>
        <w:jc w:val="both"/>
        <w:rPr>
          <w:rFonts w:cs="Calibri"/>
          <w:b/>
        </w:rPr>
      </w:pPr>
    </w:p>
    <w:p w14:paraId="12B947B7" w14:textId="77777777" w:rsidR="00047E5F" w:rsidRDefault="00047E5F" w:rsidP="00047E5F">
      <w:pPr>
        <w:spacing w:before="100" w:beforeAutospacing="1" w:after="100" w:afterAutospacing="1" w:line="360" w:lineRule="auto"/>
        <w:rPr>
          <w:rFonts w:eastAsia="Times New Roman" w:cs="Calibri"/>
          <w:b/>
          <w:sz w:val="28"/>
          <w:szCs w:val="28"/>
        </w:rPr>
      </w:pPr>
    </w:p>
    <w:p w14:paraId="6900FD50" w14:textId="77777777" w:rsidR="00047E5F" w:rsidRDefault="00047E5F" w:rsidP="00047E5F">
      <w:pPr>
        <w:spacing w:before="100" w:beforeAutospacing="1" w:after="100" w:afterAutospacing="1" w:line="360" w:lineRule="auto"/>
        <w:jc w:val="center"/>
        <w:outlineLvl w:val="2"/>
        <w:rPr>
          <w:rFonts w:eastAsia="Times New Roman" w:cs="Calibri"/>
          <w:b/>
          <w:bCs/>
          <w:sz w:val="24"/>
          <w:szCs w:val="24"/>
        </w:rPr>
      </w:pPr>
      <w:r>
        <w:rPr>
          <w:rFonts w:eastAsia="Times New Roman" w:cs="Calibri"/>
          <w:b/>
          <w:bCs/>
          <w:sz w:val="24"/>
          <w:szCs w:val="24"/>
        </w:rPr>
        <w:t>Abstract</w:t>
      </w:r>
    </w:p>
    <w:p w14:paraId="6602CAFD" w14:textId="77777777" w:rsidR="003D3F8F" w:rsidRPr="003D3F8F" w:rsidRDefault="003D3F8F" w:rsidP="003D3F8F">
      <w:pPr>
        <w:pStyle w:val="NormalWeb"/>
        <w:spacing w:line="360" w:lineRule="auto"/>
        <w:jc w:val="both"/>
        <w:rPr>
          <w:rFonts w:asciiTheme="minorHAnsi" w:hAnsiTheme="minorHAnsi" w:cstheme="minorHAnsi"/>
          <w:b/>
        </w:rPr>
      </w:pPr>
      <w:r w:rsidRPr="003D3F8F">
        <w:rPr>
          <w:rStyle w:val="Strong"/>
          <w:rFonts w:asciiTheme="minorHAnsi" w:eastAsia="SimSun" w:hAnsiTheme="minorHAnsi" w:cstheme="minorHAnsi"/>
        </w:rPr>
        <w:t>Introduction:</w:t>
      </w:r>
      <w:r w:rsidRPr="003D3F8F">
        <w:rPr>
          <w:rFonts w:asciiTheme="minorHAnsi" w:hAnsiTheme="minorHAnsi" w:cstheme="minorHAnsi"/>
        </w:rPr>
        <w:br/>
      </w:r>
      <w:r w:rsidRPr="003D3F8F">
        <w:rPr>
          <w:rStyle w:val="Strong"/>
          <w:rFonts w:asciiTheme="minorHAnsi" w:eastAsia="SimSun" w:hAnsiTheme="minorHAnsi" w:cstheme="minorHAnsi"/>
          <w:b w:val="0"/>
          <w:highlight w:val="yellow"/>
        </w:rPr>
        <w:t>Nigeria has the highest prevalence of sickle cell disease (SCD) globally, making it a major genetic disorder of public health concern in Africa.</w:t>
      </w:r>
      <w:r w:rsidRPr="003D3F8F">
        <w:rPr>
          <w:rFonts w:asciiTheme="minorHAnsi" w:hAnsiTheme="minorHAnsi" w:cstheme="minorHAnsi"/>
        </w:rPr>
        <w:t xml:space="preserve"> During the COVID-19 pandemic, </w:t>
      </w:r>
      <w:r w:rsidRPr="003D3F8F">
        <w:rPr>
          <w:rStyle w:val="Strong"/>
          <w:rFonts w:asciiTheme="minorHAnsi" w:eastAsia="SimSun" w:hAnsiTheme="minorHAnsi" w:cstheme="minorHAnsi"/>
          <w:b w:val="0"/>
          <w:highlight w:val="yellow"/>
        </w:rPr>
        <w:t>SCD patients were particularly vulnerable due to their compromised immune and hematological systems.</w:t>
      </w:r>
    </w:p>
    <w:p w14:paraId="14323F74" w14:textId="77777777" w:rsidR="003D3F8F" w:rsidRPr="003D3F8F" w:rsidRDefault="003D3F8F" w:rsidP="003D3F8F">
      <w:pPr>
        <w:pStyle w:val="NormalWeb"/>
        <w:spacing w:line="360" w:lineRule="auto"/>
        <w:jc w:val="both"/>
        <w:rPr>
          <w:rFonts w:asciiTheme="minorHAnsi" w:hAnsiTheme="minorHAnsi" w:cstheme="minorHAnsi"/>
          <w:b/>
        </w:rPr>
      </w:pPr>
      <w:r w:rsidRPr="003D3F8F">
        <w:rPr>
          <w:rStyle w:val="Strong"/>
          <w:rFonts w:asciiTheme="minorHAnsi" w:eastAsia="SimSun" w:hAnsiTheme="minorHAnsi" w:cstheme="minorHAnsi"/>
        </w:rPr>
        <w:t>Aim/Objective:</w:t>
      </w:r>
      <w:r w:rsidRPr="003D3F8F">
        <w:rPr>
          <w:rFonts w:asciiTheme="minorHAnsi" w:hAnsiTheme="minorHAnsi" w:cstheme="minorHAnsi"/>
        </w:rPr>
        <w:br/>
      </w:r>
      <w:r w:rsidRPr="003D3F8F">
        <w:rPr>
          <w:rStyle w:val="Strong"/>
          <w:rFonts w:asciiTheme="minorHAnsi" w:eastAsia="SimSun" w:hAnsiTheme="minorHAnsi" w:cstheme="minorHAnsi"/>
          <w:b w:val="0"/>
          <w:highlight w:val="yellow"/>
        </w:rPr>
        <w:t>This study aimed to determine the sero-prevalence of SARS-CoV-2 IgG and IgM antibodies and assess the associated hematological and immunological profiles in Nigerian SCD patients during the pandemic.</w:t>
      </w:r>
    </w:p>
    <w:p w14:paraId="66B8FC10" w14:textId="77777777" w:rsidR="003D3F8F" w:rsidRPr="003D3F8F" w:rsidRDefault="003D3F8F" w:rsidP="003D3F8F">
      <w:pPr>
        <w:pStyle w:val="NormalWeb"/>
        <w:spacing w:line="360" w:lineRule="auto"/>
        <w:jc w:val="both"/>
        <w:rPr>
          <w:rFonts w:asciiTheme="minorHAnsi" w:hAnsiTheme="minorHAnsi" w:cstheme="minorHAnsi"/>
          <w:b/>
        </w:rPr>
      </w:pPr>
      <w:r w:rsidRPr="003D3F8F">
        <w:rPr>
          <w:rStyle w:val="Strong"/>
          <w:rFonts w:asciiTheme="minorHAnsi" w:eastAsia="SimSun" w:hAnsiTheme="minorHAnsi" w:cstheme="minorHAnsi"/>
        </w:rPr>
        <w:t>Method:</w:t>
      </w:r>
      <w:r w:rsidRPr="003D3F8F">
        <w:rPr>
          <w:rFonts w:asciiTheme="minorHAnsi" w:hAnsiTheme="minorHAnsi" w:cstheme="minorHAnsi"/>
        </w:rPr>
        <w:br/>
      </w:r>
      <w:r w:rsidRPr="003D3F8F">
        <w:rPr>
          <w:rStyle w:val="Strong"/>
          <w:rFonts w:asciiTheme="minorHAnsi" w:eastAsia="SimSun" w:hAnsiTheme="minorHAnsi" w:cstheme="minorHAnsi"/>
          <w:b w:val="0"/>
          <w:highlight w:val="yellow"/>
        </w:rPr>
        <w:t>A case-control, cross-sectional study was conducted at the University College Hospital (UCH), Ibadan. The study involved 167 participants—122 confirmed SCD patients and 45 healthy controls.</w:t>
      </w:r>
      <w:r w:rsidRPr="003D3F8F">
        <w:rPr>
          <w:rFonts w:asciiTheme="minorHAnsi" w:hAnsiTheme="minorHAnsi" w:cstheme="minorHAnsi"/>
        </w:rPr>
        <w:t xml:space="preserve"> Blood samples were analyzed for hematological parameters (white blood cell count [WBC], platelet count, hemoglobin [Hb], and packed cell volume [PCV]), coagulation indicators (prothrombin time [PT], activated partial thromboplastin time [APTT], and D-dimer), and SARS-CoV-2 antibodies (IgG and IgM). </w:t>
      </w:r>
      <w:r w:rsidRPr="003D3F8F">
        <w:rPr>
          <w:rStyle w:val="Strong"/>
          <w:rFonts w:asciiTheme="minorHAnsi" w:eastAsia="SimSun" w:hAnsiTheme="minorHAnsi" w:cstheme="minorHAnsi"/>
          <w:b w:val="0"/>
          <w:highlight w:val="yellow"/>
        </w:rPr>
        <w:t>Statistical analysis was performed using SPSS version 23.0.</w:t>
      </w:r>
    </w:p>
    <w:p w14:paraId="61AAD11F" w14:textId="77777777" w:rsidR="00462B10" w:rsidRPr="00FD1D58" w:rsidRDefault="003D3F8F" w:rsidP="003D3F8F">
      <w:pPr>
        <w:pStyle w:val="NormalWeb"/>
        <w:spacing w:line="360" w:lineRule="auto"/>
        <w:jc w:val="both"/>
        <w:rPr>
          <w:rFonts w:asciiTheme="minorHAnsi" w:hAnsiTheme="minorHAnsi" w:cstheme="minorHAnsi"/>
        </w:rPr>
      </w:pPr>
      <w:r w:rsidRPr="003D3F8F">
        <w:rPr>
          <w:rStyle w:val="Strong"/>
          <w:rFonts w:asciiTheme="minorHAnsi" w:eastAsia="SimSun" w:hAnsiTheme="minorHAnsi" w:cstheme="minorHAnsi"/>
        </w:rPr>
        <w:t>Results:</w:t>
      </w:r>
      <w:r w:rsidRPr="003D3F8F">
        <w:rPr>
          <w:rFonts w:asciiTheme="minorHAnsi" w:hAnsiTheme="minorHAnsi" w:cstheme="minorHAnsi"/>
        </w:rPr>
        <w:br/>
      </w:r>
      <w:r w:rsidR="00462B10" w:rsidRPr="00FD1D58">
        <w:rPr>
          <w:rFonts w:asciiTheme="minorHAnsi" w:hAnsiTheme="minorHAnsi" w:cstheme="minorHAnsi"/>
          <w:highlight w:val="yellow"/>
        </w:rPr>
        <w:t xml:space="preserve">SCD patients showed significantly elevated values for white blood cell count (11.37 vs. 5.64 × 10⁹/L), platelet count (351.62 vs. 233.04 × 10⁹/L), prothrombin time (PT: 15.33 vs. 11.86 </w:t>
      </w:r>
      <w:r w:rsidR="00462B10" w:rsidRPr="00FD1D58">
        <w:rPr>
          <w:rFonts w:asciiTheme="minorHAnsi" w:hAnsiTheme="minorHAnsi" w:cstheme="minorHAnsi"/>
          <w:highlight w:val="yellow"/>
        </w:rPr>
        <w:lastRenderedPageBreak/>
        <w:t>seconds), activated partial thromboplastin time (APTT: 32.25 vs. 29.27 seconds), and D-dimer levels (3347.08 vs. 1438.13 ng/mL) compared to healthy controls (p&lt;0.05). In contrast, SCD patients had significantly lower hemoglobin concentrations (7.75 vs. 13.13 g/dL) and packed cell volume (PCV: 22.42% vs. 39.64%) (p&lt;0.05). Although SCD patients exhibited slightly higher average levels of SARS-CoV-2 IgG and IgM antibodies, these differences were not statistically significant compared with the control group. A significant negative correlation was observed between age and IgM antibody levels (r = -0.223, p = 0.014), indicating a possible reduction in recent immune response with increasing age.</w:t>
      </w:r>
    </w:p>
    <w:p w14:paraId="71256DE5" w14:textId="77777777" w:rsidR="003D3F8F" w:rsidRPr="003D3F8F" w:rsidRDefault="003D3F8F" w:rsidP="003D3F8F">
      <w:pPr>
        <w:pStyle w:val="NormalWeb"/>
        <w:spacing w:line="360" w:lineRule="auto"/>
        <w:jc w:val="both"/>
        <w:rPr>
          <w:rFonts w:asciiTheme="minorHAnsi" w:hAnsiTheme="minorHAnsi" w:cstheme="minorHAnsi"/>
          <w:b/>
        </w:rPr>
      </w:pPr>
      <w:r w:rsidRPr="003D3F8F">
        <w:rPr>
          <w:rStyle w:val="Strong"/>
          <w:rFonts w:asciiTheme="minorHAnsi" w:eastAsia="SimSun" w:hAnsiTheme="minorHAnsi" w:cstheme="minorHAnsi"/>
        </w:rPr>
        <w:t>Conclusion:</w:t>
      </w:r>
      <w:r w:rsidRPr="003D3F8F">
        <w:rPr>
          <w:rFonts w:asciiTheme="minorHAnsi" w:hAnsiTheme="minorHAnsi" w:cstheme="minorHAnsi"/>
        </w:rPr>
        <w:br/>
      </w:r>
      <w:r w:rsidRPr="003D3F8F">
        <w:rPr>
          <w:rStyle w:val="Strong"/>
          <w:rFonts w:asciiTheme="minorHAnsi" w:eastAsia="SimSun" w:hAnsiTheme="minorHAnsi" w:cstheme="minorHAnsi"/>
          <w:b w:val="0"/>
          <w:highlight w:val="yellow"/>
        </w:rPr>
        <w:t>The study revealed significant hematological and coagulation abnormalities in SCD patients, highlighting their heightened risk for thrombotic complications during infections such as COVID-19. Although no significant difference in SARS-CoV-2 antibody levels was found, the observed trends underline the need for routine serological and coagulation monitoring in SCD patients to support better clinical outcomes.</w:t>
      </w:r>
    </w:p>
    <w:p w14:paraId="43F5F003" w14:textId="77777777" w:rsidR="00047E5F" w:rsidRDefault="00047E5F" w:rsidP="00047E5F">
      <w:pPr>
        <w:spacing w:before="100" w:beforeAutospacing="1" w:after="100" w:afterAutospacing="1" w:line="360" w:lineRule="auto"/>
        <w:jc w:val="both"/>
        <w:rPr>
          <w:rFonts w:eastAsia="Times New Roman" w:cs="Calibri"/>
          <w:b/>
          <w:bCs/>
          <w:sz w:val="24"/>
          <w:szCs w:val="24"/>
        </w:rPr>
      </w:pPr>
    </w:p>
    <w:p w14:paraId="4D058CD0" w14:textId="77777777" w:rsidR="00047E5F" w:rsidRDefault="00047E5F" w:rsidP="00047E5F">
      <w:pPr>
        <w:spacing w:before="100" w:beforeAutospacing="1" w:after="100" w:afterAutospacing="1" w:line="360" w:lineRule="auto"/>
        <w:jc w:val="both"/>
        <w:rPr>
          <w:rFonts w:eastAsia="Times New Roman" w:cs="Calibri"/>
          <w:sz w:val="24"/>
          <w:szCs w:val="24"/>
        </w:rPr>
      </w:pPr>
      <w:r>
        <w:rPr>
          <w:rFonts w:eastAsia="Times New Roman" w:cs="Calibri"/>
          <w:b/>
          <w:bCs/>
          <w:color w:val="000000"/>
          <w:sz w:val="24"/>
          <w:szCs w:val="24"/>
        </w:rPr>
        <w:t>Keywords</w:t>
      </w:r>
      <w:r>
        <w:rPr>
          <w:rFonts w:eastAsia="Times New Roman" w:cs="Calibri"/>
          <w:sz w:val="24"/>
          <w:szCs w:val="24"/>
        </w:rPr>
        <w:t>: Sero-prevalence, SARS-CoV-2, IgG, IgM, sickle cell disease, haematological parameters, D-dimer, Nigeria.</w:t>
      </w:r>
    </w:p>
    <w:p w14:paraId="68F7ECB7" w14:textId="77777777" w:rsidR="00047E5F" w:rsidRDefault="00047E5F" w:rsidP="00047E5F">
      <w:pPr>
        <w:spacing w:before="100" w:beforeAutospacing="1" w:after="100" w:afterAutospacing="1" w:line="360" w:lineRule="auto"/>
        <w:jc w:val="both"/>
        <w:outlineLvl w:val="2"/>
        <w:rPr>
          <w:rFonts w:eastAsia="Times New Roman" w:cs="Calibri"/>
          <w:b/>
          <w:bCs/>
          <w:sz w:val="24"/>
          <w:szCs w:val="24"/>
        </w:rPr>
      </w:pPr>
    </w:p>
    <w:p w14:paraId="0A410A91" w14:textId="77777777" w:rsidR="003D3F8F" w:rsidRDefault="003D3F8F" w:rsidP="00047E5F">
      <w:pPr>
        <w:spacing w:before="100" w:beforeAutospacing="1" w:after="100" w:afterAutospacing="1" w:line="360" w:lineRule="auto"/>
        <w:jc w:val="both"/>
        <w:outlineLvl w:val="2"/>
        <w:rPr>
          <w:rFonts w:eastAsia="Times New Roman" w:cs="Calibri"/>
          <w:b/>
          <w:bCs/>
          <w:sz w:val="24"/>
          <w:szCs w:val="24"/>
        </w:rPr>
      </w:pPr>
    </w:p>
    <w:p w14:paraId="7C3F073B" w14:textId="77777777" w:rsidR="003D3F8F" w:rsidRDefault="003D3F8F" w:rsidP="00047E5F">
      <w:pPr>
        <w:spacing w:before="100" w:beforeAutospacing="1" w:after="100" w:afterAutospacing="1" w:line="360" w:lineRule="auto"/>
        <w:jc w:val="both"/>
        <w:outlineLvl w:val="2"/>
        <w:rPr>
          <w:rFonts w:eastAsia="Times New Roman" w:cs="Calibri"/>
          <w:b/>
          <w:bCs/>
          <w:sz w:val="24"/>
          <w:szCs w:val="24"/>
        </w:rPr>
      </w:pPr>
    </w:p>
    <w:p w14:paraId="1905693B" w14:textId="77777777" w:rsidR="003D3F8F" w:rsidRDefault="003D3F8F" w:rsidP="00047E5F">
      <w:pPr>
        <w:spacing w:before="100" w:beforeAutospacing="1" w:after="100" w:afterAutospacing="1" w:line="360" w:lineRule="auto"/>
        <w:jc w:val="both"/>
        <w:outlineLvl w:val="2"/>
        <w:rPr>
          <w:rFonts w:eastAsia="Times New Roman" w:cs="Calibri"/>
          <w:b/>
          <w:bCs/>
          <w:sz w:val="24"/>
          <w:szCs w:val="24"/>
        </w:rPr>
      </w:pPr>
    </w:p>
    <w:p w14:paraId="7FA2CD94" w14:textId="77777777" w:rsidR="003D3F8F" w:rsidRDefault="003D3F8F" w:rsidP="00047E5F">
      <w:pPr>
        <w:spacing w:before="100" w:beforeAutospacing="1" w:after="100" w:afterAutospacing="1" w:line="360" w:lineRule="auto"/>
        <w:jc w:val="both"/>
        <w:outlineLvl w:val="2"/>
        <w:rPr>
          <w:rFonts w:eastAsia="Times New Roman" w:cs="Calibri"/>
          <w:b/>
          <w:bCs/>
          <w:sz w:val="24"/>
          <w:szCs w:val="24"/>
        </w:rPr>
      </w:pPr>
    </w:p>
    <w:p w14:paraId="23B59C1B" w14:textId="77777777" w:rsidR="003D3F8F" w:rsidRDefault="003D3F8F" w:rsidP="00047E5F">
      <w:pPr>
        <w:spacing w:before="100" w:beforeAutospacing="1" w:after="100" w:afterAutospacing="1" w:line="360" w:lineRule="auto"/>
        <w:jc w:val="both"/>
        <w:outlineLvl w:val="2"/>
        <w:rPr>
          <w:rFonts w:eastAsia="Times New Roman" w:cs="Calibri"/>
          <w:b/>
          <w:bCs/>
          <w:sz w:val="24"/>
          <w:szCs w:val="24"/>
        </w:rPr>
      </w:pPr>
    </w:p>
    <w:p w14:paraId="09327CAC" w14:textId="77777777" w:rsidR="003D3F8F" w:rsidRDefault="003D3F8F" w:rsidP="00047E5F">
      <w:pPr>
        <w:spacing w:before="100" w:beforeAutospacing="1" w:after="100" w:afterAutospacing="1" w:line="360" w:lineRule="auto"/>
        <w:jc w:val="both"/>
        <w:outlineLvl w:val="2"/>
        <w:rPr>
          <w:rFonts w:eastAsia="Times New Roman" w:cs="Calibri"/>
          <w:b/>
          <w:bCs/>
          <w:sz w:val="24"/>
          <w:szCs w:val="24"/>
        </w:rPr>
      </w:pPr>
    </w:p>
    <w:p w14:paraId="70E5832F" w14:textId="77777777" w:rsidR="003D3F8F" w:rsidRDefault="003D3F8F" w:rsidP="00047E5F">
      <w:pPr>
        <w:spacing w:before="100" w:beforeAutospacing="1" w:after="100" w:afterAutospacing="1" w:line="360" w:lineRule="auto"/>
        <w:jc w:val="both"/>
        <w:outlineLvl w:val="2"/>
        <w:rPr>
          <w:rFonts w:eastAsia="Times New Roman" w:cs="Calibri"/>
          <w:b/>
          <w:bCs/>
          <w:sz w:val="24"/>
          <w:szCs w:val="24"/>
        </w:rPr>
      </w:pPr>
    </w:p>
    <w:p w14:paraId="2FE6A4D3" w14:textId="77777777" w:rsidR="00047E5F" w:rsidRDefault="00047E5F" w:rsidP="00047E5F">
      <w:pPr>
        <w:spacing w:before="100" w:beforeAutospacing="1" w:after="100" w:afterAutospacing="1" w:line="360" w:lineRule="auto"/>
        <w:jc w:val="both"/>
        <w:outlineLvl w:val="2"/>
        <w:rPr>
          <w:rFonts w:eastAsia="Times New Roman" w:cs="Calibri"/>
          <w:b/>
          <w:bCs/>
          <w:sz w:val="24"/>
          <w:szCs w:val="24"/>
        </w:rPr>
      </w:pPr>
      <w:r>
        <w:rPr>
          <w:rFonts w:eastAsia="Times New Roman" w:cs="Calibri"/>
          <w:b/>
          <w:bCs/>
          <w:sz w:val="24"/>
          <w:szCs w:val="24"/>
        </w:rPr>
        <w:t>1.0 Introduction</w:t>
      </w:r>
    </w:p>
    <w:p w14:paraId="3E4E0B25" w14:textId="77777777" w:rsidR="00047E5F" w:rsidRPr="007C19AD" w:rsidRDefault="00047E5F" w:rsidP="00047E5F">
      <w:pPr>
        <w:spacing w:line="360" w:lineRule="auto"/>
        <w:jc w:val="both"/>
        <w:rPr>
          <w:sz w:val="24"/>
          <w:szCs w:val="24"/>
        </w:rPr>
      </w:pPr>
      <w:r w:rsidRPr="007C19AD">
        <w:rPr>
          <w:sz w:val="24"/>
          <w:szCs w:val="24"/>
        </w:rPr>
        <w:t>Sickle cell disease (SCD) is a genetic disorder caused by a mutation in the β-globin gene (HBB), which results in the production of abnormal hemoglobin S (HbS) (1). In low oxygen environments, HbS tends to form polymers, causing red blood cells to become stiff and fragile. This leads to hemolysis, blockage of blood vessels, and complications like pain crises, strokes, and damage to several organs (2). SCD affects millions globally, with sub-Saharan Africa carrying the highest burden. In Nigeria, more than 150,000 babies are born with SCD every year, and over 1.8 million people live with the disease (3,4). Due to limited healthcare resources, especially access to treatments like hydroxyurea and blood transfusions, SCD remains a major cause of death in children in these regions (5).</w:t>
      </w:r>
    </w:p>
    <w:p w14:paraId="530E51C6" w14:textId="77777777" w:rsidR="00047E5F" w:rsidRPr="007C19AD" w:rsidRDefault="00047E5F" w:rsidP="00047E5F">
      <w:pPr>
        <w:spacing w:line="360" w:lineRule="auto"/>
        <w:jc w:val="both"/>
        <w:rPr>
          <w:sz w:val="24"/>
          <w:szCs w:val="24"/>
        </w:rPr>
      </w:pPr>
      <w:r w:rsidRPr="007C19AD">
        <w:rPr>
          <w:sz w:val="24"/>
          <w:szCs w:val="24"/>
        </w:rPr>
        <w:t>The COVID-19 pandemic, which began in 2019, added new challenges for SCD patients, who are already vulnerable due to their weakened immune and blood systems (6). SARS-CoV-2, the virus responsible for COVID-19, causes several blood and clotting problems, including low platelet and lymphocyte counts, raised D-dimer levels, and prolonged clotting times (PT and APTT) (7,8). These issues resemble the existing inflammatory and clotting abnormalities in SCD, such as chronic inflammation, blood vessel damage, and activated platelets (9). This overlap has raised concerns about increased risk of blood clots and severe COVID-19 outcomes in people with SCD (10).</w:t>
      </w:r>
    </w:p>
    <w:p w14:paraId="6763EFC5" w14:textId="77777777" w:rsidR="00047E5F" w:rsidRPr="007C19AD" w:rsidRDefault="00047E5F" w:rsidP="00047E5F">
      <w:pPr>
        <w:spacing w:line="360" w:lineRule="auto"/>
        <w:jc w:val="both"/>
        <w:rPr>
          <w:sz w:val="24"/>
          <w:szCs w:val="24"/>
        </w:rPr>
      </w:pPr>
      <w:r w:rsidRPr="007C19AD">
        <w:rPr>
          <w:sz w:val="24"/>
          <w:szCs w:val="24"/>
        </w:rPr>
        <w:t>Studying the antibody response to SARS-CoV-2 in SCD patients is important for several reasons. Firstly, IgM and IgG antibodies help identify recent or past infections and provide insights into population exposure and immunity (11). Secondly, the immune response in SCD is not fully understood-some evidence suggests poor antibody production due to spleen damage, while other studies suggest chronic inflammation might enhance antiviral responses (12,13). Thirdly, in countries like Nigeria where testing and vaccination are limited, antibody data can guide targeted public health actions, such as vaccination programs for high-risk groups (3).</w:t>
      </w:r>
    </w:p>
    <w:p w14:paraId="7FF24668" w14:textId="77777777" w:rsidR="00047E5F" w:rsidRPr="007C19AD" w:rsidRDefault="00047E5F" w:rsidP="00047E5F">
      <w:pPr>
        <w:spacing w:line="360" w:lineRule="auto"/>
        <w:jc w:val="both"/>
        <w:rPr>
          <w:sz w:val="24"/>
          <w:szCs w:val="24"/>
        </w:rPr>
      </w:pPr>
      <w:r w:rsidRPr="007C19AD">
        <w:rPr>
          <w:sz w:val="24"/>
          <w:szCs w:val="24"/>
        </w:rPr>
        <w:lastRenderedPageBreak/>
        <w:t>Despite the relevance, there has been limited research on SARS-CoV-2 antibody levels and immune profiles in African SCD patients. Most studies have focused on Western populations, where genetic traits and healthcare access differ significantly (4). Moreover, little is known about how markers like D-dimer and CRP relate to antibody levels in Nigerian SCD patients with COVID-19 (14). This study aimed to compare blood and clotting markers between SCD patients and healthy individuals, determine the presence of SARS-CoV-2 IgG and IgM antibodies in Nigerian SCD patients during the pandemic, and explore links between antibody levels and factors like age, sex, and disease severity (e.g., D-dimer).</w:t>
      </w:r>
    </w:p>
    <w:p w14:paraId="0C840EED" w14:textId="77777777" w:rsidR="00047E5F" w:rsidRDefault="00047E5F" w:rsidP="00047E5F">
      <w:pPr>
        <w:pStyle w:val="Heading3"/>
        <w:spacing w:line="360" w:lineRule="auto"/>
        <w:jc w:val="both"/>
        <w:rPr>
          <w:rStyle w:val="Strong"/>
          <w:rFonts w:eastAsia="SimSun"/>
          <w:b/>
          <w:bCs/>
          <w:sz w:val="24"/>
          <w:szCs w:val="24"/>
        </w:rPr>
      </w:pPr>
    </w:p>
    <w:p w14:paraId="413D596A" w14:textId="77777777" w:rsidR="00047E5F" w:rsidRDefault="00047E5F" w:rsidP="00047E5F">
      <w:pPr>
        <w:pStyle w:val="Heading3"/>
        <w:spacing w:line="360" w:lineRule="auto"/>
        <w:jc w:val="both"/>
        <w:rPr>
          <w:rStyle w:val="Strong"/>
          <w:rFonts w:eastAsia="SimSun"/>
          <w:b/>
          <w:bCs/>
          <w:sz w:val="24"/>
          <w:szCs w:val="24"/>
        </w:rPr>
      </w:pPr>
    </w:p>
    <w:p w14:paraId="699BFDA3" w14:textId="77777777" w:rsidR="00047E5F" w:rsidRDefault="00047E5F" w:rsidP="00047E5F">
      <w:pPr>
        <w:pStyle w:val="Heading3"/>
        <w:spacing w:line="360" w:lineRule="auto"/>
        <w:jc w:val="both"/>
        <w:rPr>
          <w:rStyle w:val="Strong"/>
          <w:rFonts w:eastAsia="SimSun"/>
          <w:b/>
          <w:bCs/>
          <w:sz w:val="24"/>
          <w:szCs w:val="24"/>
        </w:rPr>
      </w:pPr>
    </w:p>
    <w:p w14:paraId="205E5705" w14:textId="77777777" w:rsidR="00047E5F" w:rsidRDefault="00047E5F" w:rsidP="00047E5F">
      <w:pPr>
        <w:pStyle w:val="Heading3"/>
        <w:spacing w:line="360" w:lineRule="auto"/>
        <w:jc w:val="both"/>
        <w:rPr>
          <w:rStyle w:val="Strong"/>
          <w:rFonts w:eastAsia="SimSun"/>
          <w:b/>
          <w:bCs/>
          <w:sz w:val="24"/>
          <w:szCs w:val="24"/>
        </w:rPr>
      </w:pPr>
    </w:p>
    <w:p w14:paraId="5E3D1782" w14:textId="77777777" w:rsidR="00047E5F" w:rsidRDefault="00047E5F" w:rsidP="00047E5F">
      <w:pPr>
        <w:pStyle w:val="Heading3"/>
        <w:spacing w:line="360" w:lineRule="auto"/>
        <w:jc w:val="both"/>
        <w:rPr>
          <w:rStyle w:val="Strong"/>
          <w:rFonts w:eastAsia="SimSun"/>
          <w:b/>
          <w:bCs/>
          <w:sz w:val="24"/>
          <w:szCs w:val="24"/>
        </w:rPr>
      </w:pPr>
    </w:p>
    <w:p w14:paraId="68BBB502" w14:textId="77777777" w:rsidR="00047E5F" w:rsidRDefault="00047E5F" w:rsidP="00047E5F">
      <w:pPr>
        <w:pStyle w:val="Heading3"/>
        <w:spacing w:line="360" w:lineRule="auto"/>
        <w:jc w:val="both"/>
        <w:rPr>
          <w:rStyle w:val="Strong"/>
          <w:rFonts w:eastAsia="SimSun"/>
          <w:b/>
          <w:bCs/>
          <w:sz w:val="24"/>
          <w:szCs w:val="24"/>
        </w:rPr>
      </w:pPr>
    </w:p>
    <w:p w14:paraId="041C0551" w14:textId="77777777" w:rsidR="00047E5F" w:rsidRDefault="00047E5F" w:rsidP="00047E5F">
      <w:pPr>
        <w:pStyle w:val="Heading3"/>
        <w:spacing w:line="360" w:lineRule="auto"/>
        <w:jc w:val="both"/>
        <w:rPr>
          <w:rStyle w:val="Strong"/>
          <w:rFonts w:eastAsia="SimSun"/>
          <w:b/>
          <w:bCs/>
          <w:sz w:val="24"/>
          <w:szCs w:val="24"/>
        </w:rPr>
      </w:pPr>
    </w:p>
    <w:p w14:paraId="4204A401" w14:textId="77777777" w:rsidR="00047E5F" w:rsidRDefault="00047E5F" w:rsidP="00047E5F">
      <w:pPr>
        <w:pStyle w:val="Heading3"/>
        <w:spacing w:line="360" w:lineRule="auto"/>
        <w:jc w:val="both"/>
        <w:rPr>
          <w:rStyle w:val="Strong"/>
          <w:rFonts w:eastAsia="SimSun"/>
          <w:b/>
          <w:bCs/>
          <w:sz w:val="24"/>
          <w:szCs w:val="24"/>
        </w:rPr>
      </w:pPr>
    </w:p>
    <w:p w14:paraId="4714A151" w14:textId="77777777" w:rsidR="00047E5F" w:rsidRDefault="00047E5F" w:rsidP="00047E5F">
      <w:pPr>
        <w:pStyle w:val="Heading3"/>
        <w:spacing w:line="360" w:lineRule="auto"/>
        <w:jc w:val="both"/>
        <w:rPr>
          <w:rStyle w:val="Strong"/>
          <w:rFonts w:eastAsia="SimSun"/>
          <w:b/>
          <w:bCs/>
          <w:sz w:val="24"/>
          <w:szCs w:val="24"/>
        </w:rPr>
      </w:pPr>
    </w:p>
    <w:p w14:paraId="7D7D69ED" w14:textId="77777777" w:rsidR="00047E5F" w:rsidRDefault="00047E5F" w:rsidP="00047E5F">
      <w:pPr>
        <w:pStyle w:val="Heading3"/>
        <w:spacing w:line="360" w:lineRule="auto"/>
        <w:jc w:val="both"/>
        <w:rPr>
          <w:rStyle w:val="Strong"/>
          <w:rFonts w:eastAsia="SimSun"/>
          <w:b/>
          <w:bCs/>
          <w:sz w:val="24"/>
          <w:szCs w:val="24"/>
        </w:rPr>
      </w:pPr>
    </w:p>
    <w:p w14:paraId="4F55B091" w14:textId="77777777" w:rsidR="00047E5F" w:rsidRDefault="00047E5F" w:rsidP="00047E5F">
      <w:pPr>
        <w:pStyle w:val="Heading3"/>
        <w:spacing w:line="360" w:lineRule="auto"/>
        <w:jc w:val="both"/>
        <w:rPr>
          <w:rStyle w:val="Strong"/>
          <w:rFonts w:eastAsia="SimSun"/>
          <w:b/>
          <w:bCs/>
          <w:sz w:val="24"/>
          <w:szCs w:val="24"/>
        </w:rPr>
      </w:pPr>
    </w:p>
    <w:p w14:paraId="2563941A" w14:textId="77777777" w:rsidR="00047E5F" w:rsidRDefault="00047E5F" w:rsidP="00047E5F">
      <w:pPr>
        <w:pStyle w:val="Heading3"/>
        <w:spacing w:line="360" w:lineRule="auto"/>
        <w:jc w:val="both"/>
        <w:rPr>
          <w:rStyle w:val="Strong"/>
          <w:rFonts w:eastAsia="SimSun"/>
          <w:b/>
          <w:bCs/>
          <w:sz w:val="24"/>
          <w:szCs w:val="24"/>
        </w:rPr>
      </w:pPr>
    </w:p>
    <w:p w14:paraId="783572B9" w14:textId="77777777" w:rsidR="00047E5F" w:rsidRDefault="00047E5F" w:rsidP="00047E5F">
      <w:pPr>
        <w:pStyle w:val="Heading3"/>
        <w:spacing w:line="360" w:lineRule="auto"/>
        <w:jc w:val="both"/>
        <w:rPr>
          <w:rStyle w:val="Strong"/>
          <w:rFonts w:eastAsia="SimSun"/>
          <w:b/>
          <w:bCs/>
          <w:sz w:val="24"/>
          <w:szCs w:val="24"/>
        </w:rPr>
      </w:pPr>
    </w:p>
    <w:p w14:paraId="357F15C6" w14:textId="77777777" w:rsidR="00047E5F" w:rsidRDefault="00047E5F" w:rsidP="00047E5F">
      <w:pPr>
        <w:pStyle w:val="Heading3"/>
        <w:spacing w:line="360" w:lineRule="auto"/>
        <w:jc w:val="both"/>
        <w:rPr>
          <w:rStyle w:val="Strong"/>
          <w:rFonts w:eastAsia="SimSun"/>
          <w:b/>
          <w:bCs/>
          <w:sz w:val="24"/>
          <w:szCs w:val="24"/>
        </w:rPr>
      </w:pPr>
    </w:p>
    <w:p w14:paraId="67731C6D" w14:textId="77777777" w:rsidR="00047E5F" w:rsidRDefault="00047E5F" w:rsidP="00047E5F">
      <w:pPr>
        <w:pStyle w:val="Heading3"/>
        <w:spacing w:line="360" w:lineRule="auto"/>
        <w:jc w:val="both"/>
        <w:rPr>
          <w:rStyle w:val="Strong"/>
          <w:rFonts w:eastAsia="SimSun"/>
          <w:b/>
          <w:bCs/>
          <w:sz w:val="24"/>
          <w:szCs w:val="24"/>
        </w:rPr>
      </w:pPr>
    </w:p>
    <w:p w14:paraId="46167716" w14:textId="77777777" w:rsidR="00047E5F" w:rsidRDefault="00047E5F" w:rsidP="00047E5F">
      <w:pPr>
        <w:pStyle w:val="Heading3"/>
        <w:spacing w:line="360" w:lineRule="auto"/>
        <w:jc w:val="both"/>
        <w:rPr>
          <w:rFonts w:ascii="Calibri" w:hAnsi="Calibri" w:cs="Calibri"/>
          <w:sz w:val="24"/>
          <w:szCs w:val="24"/>
        </w:rPr>
      </w:pPr>
      <w:r>
        <w:rPr>
          <w:rStyle w:val="Strong"/>
          <w:rFonts w:ascii="Calibri" w:eastAsia="SimSun" w:hAnsi="Calibri" w:cs="Calibri"/>
          <w:sz w:val="24"/>
          <w:szCs w:val="24"/>
        </w:rPr>
        <w:t>2.0 MATERIALS AND METHODS</w:t>
      </w:r>
    </w:p>
    <w:p w14:paraId="66E359A3" w14:textId="77777777" w:rsidR="00047E5F" w:rsidRDefault="00047E5F" w:rsidP="00047E5F">
      <w:pPr>
        <w:pStyle w:val="Heading4"/>
        <w:spacing w:line="360" w:lineRule="auto"/>
        <w:jc w:val="both"/>
        <w:rPr>
          <w:rFonts w:ascii="Calibri" w:hAnsi="Calibri" w:cs="Calibri"/>
          <w:i w:val="0"/>
          <w:color w:val="auto"/>
          <w:sz w:val="24"/>
          <w:szCs w:val="24"/>
        </w:rPr>
      </w:pPr>
      <w:r>
        <w:rPr>
          <w:rStyle w:val="Strong"/>
          <w:rFonts w:ascii="Calibri" w:hAnsi="Calibri" w:cs="Calibri"/>
          <w:i w:val="0"/>
          <w:color w:val="auto"/>
          <w:sz w:val="24"/>
          <w:szCs w:val="24"/>
        </w:rPr>
        <w:t>2.1 Study Design and Setting</w:t>
      </w:r>
    </w:p>
    <w:p w14:paraId="3AF2A977" w14:textId="77777777" w:rsidR="00047E5F" w:rsidRDefault="00047E5F" w:rsidP="00047E5F">
      <w:pPr>
        <w:spacing w:after="0" w:line="360" w:lineRule="auto"/>
        <w:jc w:val="both"/>
        <w:rPr>
          <w:rFonts w:eastAsia="Times New Roman" w:cs="Calibri"/>
          <w:sz w:val="24"/>
          <w:szCs w:val="24"/>
        </w:rPr>
      </w:pPr>
      <w:r>
        <w:rPr>
          <w:rFonts w:eastAsia="Times New Roman" w:cs="Calibri"/>
          <w:sz w:val="24"/>
          <w:szCs w:val="24"/>
        </w:rPr>
        <w:t>This study utilized a case-control, cross-sectional design to explore the sero-prevalence of SARS-CoV-2 antibodies and associated immunological markers in sickle cell disease (SCD) patients. The research was conducted at the Haematology Day Care Unit of the University College Hospital (UCH), Ibadan, Oyo State, Nigeria. One of the best tertiary hospitals in West Africa, UCH offers cutting-edge medical treatment and is a key hub for referrals for hematological illnesses, including sickle cell disease.</w:t>
      </w:r>
    </w:p>
    <w:p w14:paraId="0A5C1F9D" w14:textId="77777777" w:rsidR="00047E5F" w:rsidRDefault="00047E5F" w:rsidP="00047E5F">
      <w:pPr>
        <w:pStyle w:val="Heading4"/>
        <w:spacing w:line="360" w:lineRule="auto"/>
        <w:jc w:val="both"/>
        <w:rPr>
          <w:rFonts w:ascii="Calibri" w:hAnsi="Calibri" w:cs="Calibri"/>
          <w:i w:val="0"/>
          <w:color w:val="auto"/>
          <w:sz w:val="24"/>
          <w:szCs w:val="24"/>
        </w:rPr>
      </w:pPr>
      <w:r>
        <w:rPr>
          <w:rStyle w:val="Strong"/>
          <w:rFonts w:ascii="Calibri" w:hAnsi="Calibri" w:cs="Calibri"/>
          <w:i w:val="0"/>
          <w:color w:val="auto"/>
          <w:sz w:val="24"/>
          <w:szCs w:val="24"/>
        </w:rPr>
        <w:t>2.2 Study Design</w:t>
      </w:r>
    </w:p>
    <w:p w14:paraId="0B35744C" w14:textId="77777777" w:rsidR="00047E5F" w:rsidRDefault="00047E5F" w:rsidP="00047E5F">
      <w:pPr>
        <w:spacing w:after="0" w:line="360" w:lineRule="auto"/>
        <w:jc w:val="both"/>
        <w:rPr>
          <w:rFonts w:eastAsia="Times New Roman" w:cs="Calibri"/>
          <w:sz w:val="24"/>
          <w:szCs w:val="24"/>
        </w:rPr>
      </w:pPr>
      <w:r>
        <w:rPr>
          <w:rFonts w:eastAsia="Times New Roman" w:cs="Calibri"/>
          <w:sz w:val="24"/>
          <w:szCs w:val="24"/>
        </w:rPr>
        <w:t>The study used a purposeful sample to compare laboratory parameters between SCD patients (cases) and healthy individuals (controls). A total of 167 people participated, comprising 122 confirmed SCD patients and 45 age- and sex-matched healthy controls with no past history of hematological issues.</w:t>
      </w:r>
    </w:p>
    <w:p w14:paraId="1CBB4C2C" w14:textId="77777777" w:rsidR="00047E5F" w:rsidRDefault="00047E5F" w:rsidP="00047E5F">
      <w:pPr>
        <w:pStyle w:val="Heading4"/>
        <w:spacing w:line="360" w:lineRule="auto"/>
        <w:jc w:val="both"/>
        <w:rPr>
          <w:rFonts w:ascii="Calibri" w:hAnsi="Calibri" w:cs="Calibri"/>
          <w:i w:val="0"/>
          <w:color w:val="auto"/>
          <w:sz w:val="24"/>
          <w:szCs w:val="24"/>
        </w:rPr>
      </w:pPr>
      <w:r>
        <w:rPr>
          <w:rStyle w:val="Strong"/>
          <w:rFonts w:ascii="Calibri" w:hAnsi="Calibri" w:cs="Calibri"/>
          <w:i w:val="0"/>
          <w:color w:val="auto"/>
          <w:sz w:val="24"/>
          <w:szCs w:val="24"/>
        </w:rPr>
        <w:t>2.3 Sample Size Determination</w:t>
      </w:r>
    </w:p>
    <w:p w14:paraId="5865EF2D" w14:textId="77777777" w:rsidR="00047E5F" w:rsidRDefault="00047E5F" w:rsidP="00047E5F">
      <w:pPr>
        <w:spacing w:after="0" w:line="360" w:lineRule="auto"/>
        <w:jc w:val="both"/>
        <w:rPr>
          <w:rFonts w:eastAsia="Times New Roman" w:cs="Calibri"/>
          <w:sz w:val="24"/>
          <w:szCs w:val="24"/>
        </w:rPr>
      </w:pPr>
      <w:r>
        <w:rPr>
          <w:rFonts w:eastAsia="Times New Roman" w:cs="Calibri"/>
          <w:sz w:val="24"/>
          <w:szCs w:val="24"/>
        </w:rPr>
        <w:t>A formula for case-control studies was used to calculate the sample size, taking into account power, confidence level, and anticipated variations in the means of coagulation parameters. To increase the study's statistical power, the computed minimum sample size was surpassed.</w:t>
      </w:r>
    </w:p>
    <w:p w14:paraId="59957E38" w14:textId="77777777" w:rsidR="00047E5F" w:rsidRDefault="00047E5F" w:rsidP="00047E5F">
      <w:pPr>
        <w:pStyle w:val="Heading4"/>
        <w:spacing w:line="360" w:lineRule="auto"/>
        <w:jc w:val="both"/>
        <w:rPr>
          <w:rFonts w:ascii="Calibri" w:hAnsi="Calibri" w:cs="Calibri"/>
          <w:i w:val="0"/>
          <w:color w:val="auto"/>
          <w:sz w:val="24"/>
          <w:szCs w:val="24"/>
        </w:rPr>
      </w:pPr>
      <w:r>
        <w:rPr>
          <w:rStyle w:val="Strong"/>
          <w:rFonts w:ascii="Calibri" w:hAnsi="Calibri" w:cs="Calibri"/>
          <w:i w:val="0"/>
          <w:color w:val="auto"/>
          <w:sz w:val="24"/>
          <w:szCs w:val="24"/>
        </w:rPr>
        <w:t>2.4 Study Subjects</w:t>
      </w:r>
    </w:p>
    <w:p w14:paraId="57180142" w14:textId="77777777" w:rsidR="00047E5F" w:rsidRDefault="00047E5F" w:rsidP="00047E5F">
      <w:pPr>
        <w:spacing w:before="100" w:beforeAutospacing="1" w:after="100" w:afterAutospacing="1" w:line="360" w:lineRule="auto"/>
        <w:jc w:val="both"/>
        <w:rPr>
          <w:rFonts w:cs="Calibri"/>
          <w:sz w:val="24"/>
          <w:szCs w:val="24"/>
        </w:rPr>
      </w:pPr>
      <w:r>
        <w:rPr>
          <w:rFonts w:cs="Calibri"/>
          <w:sz w:val="24"/>
          <w:szCs w:val="24"/>
        </w:rPr>
        <w:t>Participants were recruited based on medical records, history of SCD, and consent to participate in the study.</w:t>
      </w:r>
    </w:p>
    <w:p w14:paraId="4EF535CA" w14:textId="77777777" w:rsidR="00047E5F" w:rsidRDefault="00047E5F" w:rsidP="00047E5F">
      <w:pPr>
        <w:pStyle w:val="Heading5"/>
        <w:spacing w:line="360" w:lineRule="auto"/>
        <w:jc w:val="both"/>
        <w:rPr>
          <w:rFonts w:ascii="Calibri" w:hAnsi="Calibri" w:cs="Calibri"/>
          <w:color w:val="auto"/>
          <w:sz w:val="24"/>
          <w:szCs w:val="24"/>
        </w:rPr>
      </w:pPr>
      <w:r>
        <w:rPr>
          <w:rStyle w:val="Strong"/>
          <w:rFonts w:ascii="Calibri" w:hAnsi="Calibri" w:cs="Calibri"/>
          <w:b w:val="0"/>
          <w:bCs w:val="0"/>
          <w:color w:val="auto"/>
          <w:sz w:val="24"/>
          <w:szCs w:val="24"/>
        </w:rPr>
        <w:t>2.4.1 Inclusion Criteria</w:t>
      </w:r>
    </w:p>
    <w:p w14:paraId="301D670B" w14:textId="77777777" w:rsidR="00047E5F" w:rsidRDefault="00047E5F" w:rsidP="00047E5F">
      <w:pPr>
        <w:numPr>
          <w:ilvl w:val="0"/>
          <w:numId w:val="1"/>
        </w:numPr>
        <w:spacing w:before="100" w:beforeAutospacing="1" w:after="100" w:afterAutospacing="1" w:line="360" w:lineRule="auto"/>
        <w:jc w:val="both"/>
        <w:rPr>
          <w:rFonts w:cs="Calibri"/>
          <w:sz w:val="24"/>
          <w:szCs w:val="24"/>
        </w:rPr>
      </w:pPr>
      <w:r>
        <w:rPr>
          <w:rFonts w:cs="Calibri"/>
          <w:sz w:val="24"/>
          <w:szCs w:val="24"/>
        </w:rPr>
        <w:t>Confirmed diagnosis of SCD (HbSS or HbSC)</w:t>
      </w:r>
    </w:p>
    <w:p w14:paraId="7306D09C" w14:textId="77777777" w:rsidR="00047E5F" w:rsidRDefault="00047E5F" w:rsidP="00047E5F">
      <w:pPr>
        <w:numPr>
          <w:ilvl w:val="0"/>
          <w:numId w:val="1"/>
        </w:numPr>
        <w:spacing w:before="100" w:beforeAutospacing="1" w:after="100" w:afterAutospacing="1" w:line="360" w:lineRule="auto"/>
        <w:jc w:val="both"/>
        <w:rPr>
          <w:rFonts w:cs="Calibri"/>
          <w:sz w:val="24"/>
          <w:szCs w:val="24"/>
        </w:rPr>
      </w:pPr>
      <w:r>
        <w:rPr>
          <w:rFonts w:cs="Calibri"/>
          <w:sz w:val="24"/>
          <w:szCs w:val="24"/>
        </w:rPr>
        <w:lastRenderedPageBreak/>
        <w:t>Age ≥5 years</w:t>
      </w:r>
    </w:p>
    <w:p w14:paraId="677DD2AD" w14:textId="77777777" w:rsidR="00047E5F" w:rsidRDefault="00047E5F" w:rsidP="00047E5F">
      <w:pPr>
        <w:numPr>
          <w:ilvl w:val="0"/>
          <w:numId w:val="1"/>
        </w:numPr>
        <w:spacing w:before="100" w:beforeAutospacing="1" w:after="100" w:afterAutospacing="1" w:line="360" w:lineRule="auto"/>
        <w:jc w:val="both"/>
        <w:rPr>
          <w:rFonts w:cs="Calibri"/>
          <w:sz w:val="24"/>
          <w:szCs w:val="24"/>
        </w:rPr>
      </w:pPr>
      <w:r>
        <w:rPr>
          <w:rFonts w:cs="Calibri"/>
          <w:sz w:val="24"/>
          <w:szCs w:val="24"/>
        </w:rPr>
        <w:t>Attendance at UCH Haematology Day Care Unit</w:t>
      </w:r>
    </w:p>
    <w:p w14:paraId="6108272A" w14:textId="77777777" w:rsidR="00047E5F" w:rsidRDefault="00047E5F" w:rsidP="00047E5F">
      <w:pPr>
        <w:numPr>
          <w:ilvl w:val="0"/>
          <w:numId w:val="1"/>
        </w:numPr>
        <w:spacing w:before="100" w:beforeAutospacing="1" w:after="100" w:afterAutospacing="1" w:line="360" w:lineRule="auto"/>
        <w:jc w:val="both"/>
        <w:rPr>
          <w:rFonts w:cs="Calibri"/>
          <w:sz w:val="24"/>
          <w:szCs w:val="24"/>
        </w:rPr>
      </w:pPr>
      <w:r>
        <w:rPr>
          <w:rFonts w:cs="Calibri"/>
          <w:sz w:val="24"/>
          <w:szCs w:val="24"/>
        </w:rPr>
        <w:t>Consent to participate in the study</w:t>
      </w:r>
    </w:p>
    <w:p w14:paraId="10D35AD1" w14:textId="77777777" w:rsidR="00047E5F" w:rsidRDefault="00047E5F" w:rsidP="00047E5F">
      <w:pPr>
        <w:pStyle w:val="Heading5"/>
        <w:spacing w:line="360" w:lineRule="auto"/>
        <w:jc w:val="both"/>
        <w:rPr>
          <w:rFonts w:ascii="Calibri" w:hAnsi="Calibri" w:cs="Calibri"/>
          <w:color w:val="auto"/>
          <w:sz w:val="24"/>
          <w:szCs w:val="24"/>
        </w:rPr>
      </w:pPr>
      <w:r>
        <w:rPr>
          <w:rStyle w:val="Strong"/>
          <w:rFonts w:ascii="Calibri" w:hAnsi="Calibri" w:cs="Calibri"/>
          <w:b w:val="0"/>
          <w:bCs w:val="0"/>
          <w:color w:val="auto"/>
          <w:sz w:val="24"/>
          <w:szCs w:val="24"/>
        </w:rPr>
        <w:t>2.4.2 Exclusion Criteria</w:t>
      </w:r>
    </w:p>
    <w:p w14:paraId="174FAE43" w14:textId="77777777" w:rsidR="00047E5F" w:rsidRDefault="00047E5F" w:rsidP="00047E5F">
      <w:pPr>
        <w:numPr>
          <w:ilvl w:val="0"/>
          <w:numId w:val="2"/>
        </w:numPr>
        <w:spacing w:before="100" w:beforeAutospacing="1" w:after="100" w:afterAutospacing="1" w:line="360" w:lineRule="auto"/>
        <w:jc w:val="both"/>
        <w:rPr>
          <w:rFonts w:cs="Calibri"/>
          <w:sz w:val="24"/>
          <w:szCs w:val="24"/>
        </w:rPr>
      </w:pPr>
      <w:r>
        <w:rPr>
          <w:rFonts w:cs="Calibri"/>
          <w:sz w:val="24"/>
          <w:szCs w:val="24"/>
        </w:rPr>
        <w:t>History of recent blood transfusion within three months</w:t>
      </w:r>
    </w:p>
    <w:p w14:paraId="66DD0BDE" w14:textId="77777777" w:rsidR="00047E5F" w:rsidRDefault="00047E5F" w:rsidP="00047E5F">
      <w:pPr>
        <w:numPr>
          <w:ilvl w:val="0"/>
          <w:numId w:val="2"/>
        </w:numPr>
        <w:spacing w:before="100" w:beforeAutospacing="1" w:after="100" w:afterAutospacing="1" w:line="360" w:lineRule="auto"/>
        <w:jc w:val="both"/>
        <w:rPr>
          <w:rFonts w:cs="Calibri"/>
          <w:sz w:val="24"/>
          <w:szCs w:val="24"/>
        </w:rPr>
      </w:pPr>
      <w:r>
        <w:rPr>
          <w:rFonts w:cs="Calibri"/>
          <w:sz w:val="24"/>
          <w:szCs w:val="24"/>
        </w:rPr>
        <w:t>Presence of other chronic diseases (e.g., HIV, TB, or cancer)</w:t>
      </w:r>
    </w:p>
    <w:p w14:paraId="491D2115" w14:textId="77777777" w:rsidR="00047E5F" w:rsidRDefault="00047E5F" w:rsidP="00047E5F">
      <w:pPr>
        <w:numPr>
          <w:ilvl w:val="0"/>
          <w:numId w:val="2"/>
        </w:numPr>
        <w:spacing w:before="100" w:beforeAutospacing="1" w:after="100" w:afterAutospacing="1" w:line="360" w:lineRule="auto"/>
        <w:jc w:val="both"/>
        <w:rPr>
          <w:rFonts w:cs="Calibri"/>
          <w:sz w:val="24"/>
          <w:szCs w:val="24"/>
        </w:rPr>
      </w:pPr>
      <w:r>
        <w:rPr>
          <w:rFonts w:cs="Calibri"/>
          <w:sz w:val="24"/>
          <w:szCs w:val="24"/>
        </w:rPr>
        <w:t>Refusal to provide informed consent</w:t>
      </w:r>
    </w:p>
    <w:p w14:paraId="7D8B0FDF" w14:textId="77777777" w:rsidR="00047E5F" w:rsidRDefault="00047E5F" w:rsidP="00047E5F">
      <w:pPr>
        <w:pStyle w:val="Heading4"/>
        <w:spacing w:line="360" w:lineRule="auto"/>
        <w:jc w:val="both"/>
        <w:rPr>
          <w:rFonts w:ascii="Calibri" w:hAnsi="Calibri" w:cs="Calibri"/>
          <w:i w:val="0"/>
          <w:color w:val="auto"/>
          <w:sz w:val="24"/>
          <w:szCs w:val="24"/>
        </w:rPr>
      </w:pPr>
      <w:r>
        <w:rPr>
          <w:rStyle w:val="Strong"/>
          <w:rFonts w:ascii="Calibri" w:hAnsi="Calibri" w:cs="Calibri"/>
          <w:i w:val="0"/>
          <w:color w:val="auto"/>
          <w:sz w:val="24"/>
          <w:szCs w:val="24"/>
        </w:rPr>
        <w:t>2.5 Materials and Equipment</w:t>
      </w:r>
    </w:p>
    <w:p w14:paraId="5AECD7C5" w14:textId="77777777" w:rsidR="00047E5F" w:rsidRDefault="00047E5F" w:rsidP="00047E5F">
      <w:pPr>
        <w:spacing w:before="100" w:beforeAutospacing="1" w:after="100" w:afterAutospacing="1" w:line="360" w:lineRule="auto"/>
        <w:jc w:val="both"/>
        <w:rPr>
          <w:rFonts w:cs="Calibri"/>
          <w:sz w:val="24"/>
          <w:szCs w:val="24"/>
        </w:rPr>
      </w:pPr>
      <w:r>
        <w:rPr>
          <w:rFonts w:cs="Calibri"/>
          <w:sz w:val="24"/>
          <w:szCs w:val="24"/>
        </w:rPr>
        <w:t>The study utilized various laboratory tools and reagents including:</w:t>
      </w:r>
    </w:p>
    <w:p w14:paraId="4B1E80D9" w14:textId="77777777" w:rsidR="00047E5F" w:rsidRDefault="00047E5F" w:rsidP="00047E5F">
      <w:pPr>
        <w:numPr>
          <w:ilvl w:val="0"/>
          <w:numId w:val="3"/>
        </w:numPr>
        <w:spacing w:before="100" w:beforeAutospacing="1" w:after="100" w:afterAutospacing="1" w:line="360" w:lineRule="auto"/>
        <w:jc w:val="both"/>
        <w:rPr>
          <w:rFonts w:cs="Calibri"/>
          <w:sz w:val="24"/>
          <w:szCs w:val="24"/>
        </w:rPr>
      </w:pPr>
      <w:r>
        <w:rPr>
          <w:rFonts w:cs="Calibri"/>
          <w:sz w:val="24"/>
          <w:szCs w:val="24"/>
        </w:rPr>
        <w:t>EDTA and citrate blood collection tubes</w:t>
      </w:r>
    </w:p>
    <w:p w14:paraId="6C41EE54" w14:textId="77777777" w:rsidR="00047E5F" w:rsidRDefault="00047E5F" w:rsidP="00047E5F">
      <w:pPr>
        <w:numPr>
          <w:ilvl w:val="0"/>
          <w:numId w:val="3"/>
        </w:numPr>
        <w:spacing w:before="100" w:beforeAutospacing="1" w:after="100" w:afterAutospacing="1" w:line="360" w:lineRule="auto"/>
        <w:jc w:val="both"/>
        <w:rPr>
          <w:rFonts w:cs="Calibri"/>
          <w:sz w:val="24"/>
          <w:szCs w:val="24"/>
        </w:rPr>
      </w:pPr>
      <w:r>
        <w:rPr>
          <w:rFonts w:cs="Calibri"/>
          <w:sz w:val="24"/>
          <w:szCs w:val="24"/>
        </w:rPr>
        <w:t>Automated hematology analyzers (Sysmex XN-series)</w:t>
      </w:r>
    </w:p>
    <w:p w14:paraId="38610321" w14:textId="77777777" w:rsidR="00047E5F" w:rsidRDefault="00047E5F" w:rsidP="00047E5F">
      <w:pPr>
        <w:numPr>
          <w:ilvl w:val="0"/>
          <w:numId w:val="3"/>
        </w:numPr>
        <w:spacing w:before="100" w:beforeAutospacing="1" w:after="100" w:afterAutospacing="1" w:line="360" w:lineRule="auto"/>
        <w:jc w:val="both"/>
        <w:rPr>
          <w:rFonts w:cs="Calibri"/>
          <w:sz w:val="24"/>
          <w:szCs w:val="24"/>
        </w:rPr>
      </w:pPr>
      <w:r>
        <w:rPr>
          <w:rFonts w:cs="Calibri"/>
          <w:sz w:val="24"/>
          <w:szCs w:val="24"/>
        </w:rPr>
        <w:t>ELISA kits for IgG, IgM, CRP, and FDP (validated for SARS-CoV-2 detection)</w:t>
      </w:r>
    </w:p>
    <w:p w14:paraId="7CC1D124" w14:textId="77777777" w:rsidR="00047E5F" w:rsidRDefault="00047E5F" w:rsidP="00047E5F">
      <w:pPr>
        <w:numPr>
          <w:ilvl w:val="0"/>
          <w:numId w:val="3"/>
        </w:numPr>
        <w:spacing w:before="100" w:beforeAutospacing="1" w:after="100" w:afterAutospacing="1" w:line="360" w:lineRule="auto"/>
        <w:jc w:val="both"/>
        <w:rPr>
          <w:rFonts w:cs="Calibri"/>
          <w:sz w:val="24"/>
          <w:szCs w:val="24"/>
        </w:rPr>
      </w:pPr>
      <w:r>
        <w:rPr>
          <w:rFonts w:cs="Calibri"/>
          <w:sz w:val="24"/>
          <w:szCs w:val="24"/>
        </w:rPr>
        <w:t>Coagulation analyzers for PT, APTT, and D-dimer analysis</w:t>
      </w:r>
    </w:p>
    <w:p w14:paraId="32814F36" w14:textId="77777777" w:rsidR="00047E5F" w:rsidRDefault="00047E5F" w:rsidP="00047E5F">
      <w:pPr>
        <w:numPr>
          <w:ilvl w:val="0"/>
          <w:numId w:val="3"/>
        </w:numPr>
        <w:spacing w:before="100" w:beforeAutospacing="1" w:after="100" w:afterAutospacing="1" w:line="360" w:lineRule="auto"/>
        <w:jc w:val="both"/>
        <w:rPr>
          <w:rFonts w:cs="Calibri"/>
          <w:sz w:val="24"/>
          <w:szCs w:val="24"/>
        </w:rPr>
      </w:pPr>
      <w:r>
        <w:rPr>
          <w:rFonts w:cs="Calibri"/>
          <w:sz w:val="24"/>
          <w:szCs w:val="24"/>
        </w:rPr>
        <w:t>Spectrophotometers and microplate readers</w:t>
      </w:r>
    </w:p>
    <w:p w14:paraId="25C88B48" w14:textId="77777777" w:rsidR="00047E5F" w:rsidRDefault="00047E5F" w:rsidP="00047E5F">
      <w:pPr>
        <w:numPr>
          <w:ilvl w:val="0"/>
          <w:numId w:val="3"/>
        </w:numPr>
        <w:spacing w:before="100" w:beforeAutospacing="1" w:after="100" w:afterAutospacing="1" w:line="360" w:lineRule="auto"/>
        <w:jc w:val="both"/>
        <w:rPr>
          <w:rFonts w:cs="Calibri"/>
          <w:sz w:val="24"/>
          <w:szCs w:val="24"/>
        </w:rPr>
      </w:pPr>
      <w:r>
        <w:rPr>
          <w:rFonts w:cs="Calibri"/>
          <w:sz w:val="24"/>
          <w:szCs w:val="24"/>
        </w:rPr>
        <w:t>Personal protective equipment (PPE) for biosafety</w:t>
      </w:r>
    </w:p>
    <w:p w14:paraId="199419A2" w14:textId="77777777" w:rsidR="00047E5F" w:rsidRDefault="00047E5F" w:rsidP="00047E5F">
      <w:pPr>
        <w:pStyle w:val="Heading4"/>
        <w:spacing w:line="360" w:lineRule="auto"/>
        <w:jc w:val="both"/>
        <w:rPr>
          <w:rFonts w:ascii="Calibri" w:hAnsi="Calibri" w:cs="Calibri"/>
          <w:i w:val="0"/>
          <w:color w:val="auto"/>
          <w:sz w:val="24"/>
          <w:szCs w:val="24"/>
        </w:rPr>
      </w:pPr>
      <w:r>
        <w:rPr>
          <w:rStyle w:val="Strong"/>
          <w:rFonts w:ascii="Calibri" w:hAnsi="Calibri" w:cs="Calibri"/>
          <w:i w:val="0"/>
          <w:color w:val="auto"/>
          <w:sz w:val="24"/>
          <w:szCs w:val="24"/>
        </w:rPr>
        <w:t>2.6 Ethical Consideration</w:t>
      </w:r>
    </w:p>
    <w:p w14:paraId="61A81279" w14:textId="77777777" w:rsidR="00047E5F" w:rsidRDefault="00047E5F" w:rsidP="00047E5F">
      <w:pPr>
        <w:spacing w:before="100" w:beforeAutospacing="1" w:after="100" w:afterAutospacing="1" w:line="360" w:lineRule="auto"/>
        <w:jc w:val="both"/>
        <w:rPr>
          <w:rFonts w:cs="Calibri"/>
          <w:sz w:val="24"/>
          <w:szCs w:val="24"/>
        </w:rPr>
      </w:pPr>
      <w:r>
        <w:rPr>
          <w:rFonts w:cs="Calibri"/>
          <w:sz w:val="24"/>
          <w:szCs w:val="24"/>
        </w:rPr>
        <w:t>Ethical approval for this study was obtained from the UCH Institutional Review Board. All participants or their legal guardians signed informed consent forms. Confidentiality and anonymity of participant information were strictly maintained throughout the research process in accordance with the Declaration of Helsinki.</w:t>
      </w:r>
    </w:p>
    <w:p w14:paraId="07D995C2" w14:textId="77777777" w:rsidR="00047E5F" w:rsidRDefault="00047E5F" w:rsidP="00047E5F">
      <w:pPr>
        <w:pStyle w:val="Heading4"/>
        <w:spacing w:line="360" w:lineRule="auto"/>
        <w:jc w:val="both"/>
        <w:rPr>
          <w:rFonts w:ascii="Calibri" w:hAnsi="Calibri" w:cs="Calibri"/>
          <w:i w:val="0"/>
          <w:color w:val="auto"/>
          <w:sz w:val="24"/>
          <w:szCs w:val="24"/>
        </w:rPr>
      </w:pPr>
      <w:r>
        <w:rPr>
          <w:rStyle w:val="Strong"/>
          <w:rFonts w:ascii="Calibri" w:hAnsi="Calibri" w:cs="Calibri"/>
          <w:i w:val="0"/>
          <w:color w:val="auto"/>
          <w:sz w:val="24"/>
          <w:szCs w:val="24"/>
        </w:rPr>
        <w:lastRenderedPageBreak/>
        <w:t>2.6 Clinical Laboratory Investigation</w:t>
      </w:r>
    </w:p>
    <w:p w14:paraId="4152F93C" w14:textId="77777777" w:rsidR="00047E5F" w:rsidRDefault="00047E5F" w:rsidP="00047E5F">
      <w:pPr>
        <w:pStyle w:val="Heading5"/>
        <w:spacing w:line="360" w:lineRule="auto"/>
        <w:jc w:val="both"/>
        <w:rPr>
          <w:rFonts w:ascii="Calibri" w:hAnsi="Calibri" w:cs="Calibri"/>
          <w:color w:val="auto"/>
          <w:sz w:val="24"/>
          <w:szCs w:val="24"/>
        </w:rPr>
      </w:pPr>
      <w:r>
        <w:rPr>
          <w:rStyle w:val="Strong"/>
          <w:rFonts w:ascii="Calibri" w:hAnsi="Calibri" w:cs="Calibri"/>
          <w:b w:val="0"/>
          <w:bCs w:val="0"/>
          <w:color w:val="auto"/>
          <w:sz w:val="24"/>
          <w:szCs w:val="24"/>
        </w:rPr>
        <w:t>2.6.1 Sample Collection and Analysis</w:t>
      </w:r>
    </w:p>
    <w:p w14:paraId="273050C2" w14:textId="77777777" w:rsidR="00047E5F" w:rsidRDefault="00047E5F" w:rsidP="00047E5F">
      <w:pPr>
        <w:spacing w:before="100" w:beforeAutospacing="1" w:after="100" w:afterAutospacing="1" w:line="360" w:lineRule="auto"/>
        <w:jc w:val="both"/>
        <w:rPr>
          <w:rFonts w:cs="Calibri"/>
          <w:sz w:val="24"/>
          <w:szCs w:val="24"/>
        </w:rPr>
      </w:pPr>
      <w:r>
        <w:rPr>
          <w:rFonts w:cs="Calibri"/>
          <w:sz w:val="24"/>
          <w:szCs w:val="24"/>
        </w:rPr>
        <w:t>Venous blood samples were collected under aseptic conditions. Blood in EDTA tubes was used for full blood count and haematological profiling. Citrated blood samples were used for coagulation studies including PT, APTT, INR, and D-dimer. Plasma was separated and stored at -20°C for ELISA-based serological testing. IgG and IgM antibody levels were quantified to assess SARS-CoV-2 exposure, and CRP and FDP levels were measured as markers of inflammation and fibrinolysis respectively.</w:t>
      </w:r>
    </w:p>
    <w:p w14:paraId="0396F3C7" w14:textId="77777777" w:rsidR="00047E5F" w:rsidRDefault="00047E5F" w:rsidP="00047E5F">
      <w:pPr>
        <w:pStyle w:val="Heading4"/>
        <w:spacing w:line="360" w:lineRule="auto"/>
        <w:jc w:val="both"/>
        <w:rPr>
          <w:rFonts w:ascii="Calibri" w:hAnsi="Calibri" w:cs="Calibri"/>
          <w:i w:val="0"/>
          <w:color w:val="auto"/>
          <w:sz w:val="24"/>
          <w:szCs w:val="24"/>
        </w:rPr>
      </w:pPr>
      <w:r>
        <w:rPr>
          <w:rStyle w:val="Strong"/>
          <w:rFonts w:ascii="Calibri" w:hAnsi="Calibri" w:cs="Calibri"/>
          <w:i w:val="0"/>
          <w:color w:val="auto"/>
          <w:sz w:val="24"/>
          <w:szCs w:val="24"/>
        </w:rPr>
        <w:t>2.7 Statistical Analysis</w:t>
      </w:r>
    </w:p>
    <w:p w14:paraId="5112CFD7" w14:textId="77777777" w:rsidR="00047E5F" w:rsidRDefault="00047E5F" w:rsidP="00047E5F">
      <w:pPr>
        <w:spacing w:before="100" w:beforeAutospacing="1" w:after="100" w:afterAutospacing="1" w:line="360" w:lineRule="auto"/>
        <w:jc w:val="both"/>
        <w:rPr>
          <w:rFonts w:cs="Calibri"/>
          <w:sz w:val="24"/>
          <w:szCs w:val="24"/>
        </w:rPr>
      </w:pPr>
      <w:r>
        <w:rPr>
          <w:rFonts w:cs="Calibri"/>
          <w:sz w:val="24"/>
          <w:szCs w:val="24"/>
        </w:rPr>
        <w:t>Data were analyzed using SPSS version 23.0. Descriptive statistics such as means and standard deviations were used to summarize the data. Inferential statistics including independent samples t-tests, chi-square tests, and Pearson’s correlation coefficient were applied to examine differences and relationships between variables. A p-value of less than 0.05 was considered statistically significant.</w:t>
      </w:r>
    </w:p>
    <w:p w14:paraId="59BC4DEF" w14:textId="77777777" w:rsidR="00047E5F" w:rsidRDefault="00047E5F" w:rsidP="00047E5F">
      <w:pPr>
        <w:spacing w:line="360" w:lineRule="auto"/>
        <w:jc w:val="both"/>
        <w:rPr>
          <w:rFonts w:cs="Calibri"/>
        </w:rPr>
      </w:pPr>
    </w:p>
    <w:p w14:paraId="2806BA12" w14:textId="77777777" w:rsidR="00047E5F" w:rsidRDefault="00047E5F" w:rsidP="00047E5F">
      <w:pPr>
        <w:spacing w:line="360" w:lineRule="auto"/>
        <w:jc w:val="both"/>
        <w:rPr>
          <w:rFonts w:cs="Calibri"/>
        </w:rPr>
      </w:pPr>
    </w:p>
    <w:p w14:paraId="251CFBC3" w14:textId="77777777" w:rsidR="00047E5F" w:rsidRDefault="00047E5F" w:rsidP="00047E5F">
      <w:pPr>
        <w:spacing w:line="360" w:lineRule="auto"/>
        <w:jc w:val="both"/>
        <w:rPr>
          <w:rFonts w:ascii="Times New Roman" w:hAnsi="Times New Roman" w:cs="Times New Roman"/>
        </w:rPr>
      </w:pPr>
    </w:p>
    <w:p w14:paraId="63F33CA8" w14:textId="77777777" w:rsidR="00047E5F" w:rsidRDefault="00047E5F" w:rsidP="00047E5F">
      <w:pPr>
        <w:spacing w:line="360" w:lineRule="auto"/>
        <w:jc w:val="both"/>
        <w:rPr>
          <w:rFonts w:ascii="Times New Roman" w:hAnsi="Times New Roman" w:cs="Times New Roman"/>
        </w:rPr>
      </w:pPr>
    </w:p>
    <w:p w14:paraId="056AEA8D" w14:textId="77777777" w:rsidR="00047E5F" w:rsidRDefault="00047E5F" w:rsidP="00047E5F">
      <w:pPr>
        <w:spacing w:line="360" w:lineRule="auto"/>
        <w:jc w:val="both"/>
        <w:rPr>
          <w:rFonts w:ascii="Times New Roman" w:hAnsi="Times New Roman" w:cs="Times New Roman"/>
        </w:rPr>
      </w:pPr>
    </w:p>
    <w:p w14:paraId="71B4DDD0" w14:textId="77777777" w:rsidR="00047E5F" w:rsidRDefault="00047E5F" w:rsidP="00047E5F">
      <w:pPr>
        <w:spacing w:line="360" w:lineRule="auto"/>
        <w:jc w:val="both"/>
        <w:rPr>
          <w:rFonts w:ascii="Times New Roman" w:hAnsi="Times New Roman" w:cs="Times New Roman"/>
        </w:rPr>
      </w:pPr>
    </w:p>
    <w:p w14:paraId="42AE766A" w14:textId="77777777" w:rsidR="00047E5F" w:rsidRDefault="00047E5F" w:rsidP="00047E5F">
      <w:pPr>
        <w:spacing w:line="360" w:lineRule="auto"/>
        <w:jc w:val="both"/>
        <w:rPr>
          <w:rFonts w:ascii="Times New Roman" w:hAnsi="Times New Roman" w:cs="Times New Roman"/>
        </w:rPr>
      </w:pPr>
    </w:p>
    <w:p w14:paraId="3A01921B" w14:textId="77777777" w:rsidR="00047E5F" w:rsidRDefault="00047E5F" w:rsidP="00047E5F">
      <w:pPr>
        <w:spacing w:line="360" w:lineRule="auto"/>
        <w:jc w:val="both"/>
        <w:rPr>
          <w:rFonts w:ascii="Times New Roman" w:hAnsi="Times New Roman" w:cs="Times New Roman"/>
        </w:rPr>
      </w:pPr>
    </w:p>
    <w:p w14:paraId="694EE83A" w14:textId="77777777" w:rsidR="00047E5F" w:rsidRDefault="00047E5F" w:rsidP="00047E5F">
      <w:pPr>
        <w:spacing w:line="360" w:lineRule="auto"/>
        <w:jc w:val="both"/>
        <w:rPr>
          <w:rFonts w:ascii="Times New Roman" w:hAnsi="Times New Roman" w:cs="Times New Roman"/>
        </w:rPr>
      </w:pPr>
    </w:p>
    <w:p w14:paraId="132FF1C8" w14:textId="77777777" w:rsidR="00047E5F" w:rsidRDefault="00047E5F" w:rsidP="00047E5F">
      <w:pPr>
        <w:spacing w:line="360" w:lineRule="auto"/>
        <w:jc w:val="both"/>
        <w:rPr>
          <w:rFonts w:ascii="Times New Roman" w:hAnsi="Times New Roman" w:cs="Times New Roman"/>
        </w:rPr>
      </w:pPr>
    </w:p>
    <w:p w14:paraId="315B5109" w14:textId="77777777" w:rsidR="00047E5F" w:rsidRDefault="00047E5F" w:rsidP="00047E5F">
      <w:pPr>
        <w:spacing w:line="360" w:lineRule="auto"/>
        <w:jc w:val="both"/>
        <w:rPr>
          <w:rFonts w:ascii="Times New Roman" w:hAnsi="Times New Roman" w:cs="Times New Roman"/>
        </w:rPr>
      </w:pPr>
    </w:p>
    <w:p w14:paraId="174095C5" w14:textId="77777777" w:rsidR="00047E5F" w:rsidRDefault="00047E5F" w:rsidP="00047E5F">
      <w:pPr>
        <w:spacing w:line="360" w:lineRule="auto"/>
        <w:jc w:val="both"/>
        <w:rPr>
          <w:rFonts w:ascii="Times New Roman" w:hAnsi="Times New Roman" w:cs="Times New Roman"/>
        </w:rPr>
      </w:pPr>
    </w:p>
    <w:p w14:paraId="23BE75B1" w14:textId="77777777" w:rsidR="00047E5F" w:rsidRDefault="00047E5F" w:rsidP="00047E5F">
      <w:pPr>
        <w:spacing w:line="360" w:lineRule="auto"/>
        <w:jc w:val="both"/>
        <w:rPr>
          <w:rFonts w:ascii="Times New Roman" w:hAnsi="Times New Roman" w:cs="Times New Roman"/>
        </w:rPr>
      </w:pPr>
    </w:p>
    <w:p w14:paraId="5CB5D9F2" w14:textId="77777777" w:rsidR="00047E5F" w:rsidRDefault="00047E5F" w:rsidP="00047E5F">
      <w:pPr>
        <w:spacing w:line="360" w:lineRule="auto"/>
        <w:jc w:val="both"/>
        <w:rPr>
          <w:rFonts w:ascii="Times New Roman" w:hAnsi="Times New Roman" w:cs="Times New Roman"/>
        </w:rPr>
      </w:pPr>
    </w:p>
    <w:p w14:paraId="4777002A" w14:textId="77777777" w:rsidR="00047E5F" w:rsidRDefault="00047E5F" w:rsidP="00047E5F">
      <w:pPr>
        <w:spacing w:line="360" w:lineRule="auto"/>
        <w:jc w:val="both"/>
        <w:rPr>
          <w:rFonts w:ascii="Times New Roman" w:hAnsi="Times New Roman" w:cs="Times New Roman"/>
        </w:rPr>
      </w:pPr>
    </w:p>
    <w:p w14:paraId="3B4E30A3" w14:textId="77777777" w:rsidR="00047E5F" w:rsidRDefault="00047E5F" w:rsidP="00047E5F">
      <w:pPr>
        <w:spacing w:before="100" w:beforeAutospacing="1" w:after="100" w:afterAutospacing="1" w:line="360" w:lineRule="auto"/>
        <w:jc w:val="both"/>
        <w:outlineLvl w:val="2"/>
        <w:rPr>
          <w:rFonts w:eastAsia="Times New Roman" w:cs="Calibri"/>
          <w:b/>
          <w:bCs/>
          <w:sz w:val="24"/>
          <w:szCs w:val="24"/>
        </w:rPr>
      </w:pPr>
      <w:r>
        <w:rPr>
          <w:rFonts w:eastAsia="Times New Roman" w:cs="Calibri"/>
          <w:b/>
          <w:bCs/>
          <w:sz w:val="24"/>
          <w:szCs w:val="24"/>
        </w:rPr>
        <w:t>3.0 RESULTS</w:t>
      </w:r>
    </w:p>
    <w:p w14:paraId="41ACADD7" w14:textId="1971A299" w:rsidR="00047E5F" w:rsidRDefault="00047E5F" w:rsidP="00047E5F">
      <w:pPr>
        <w:widowControl w:val="0"/>
        <w:autoSpaceDE w:val="0"/>
        <w:autoSpaceDN w:val="0"/>
        <w:adjustRightInd w:val="0"/>
        <w:spacing w:after="0" w:line="360" w:lineRule="auto"/>
        <w:jc w:val="both"/>
        <w:rPr>
          <w:rFonts w:eastAsia="Times New Roman" w:cs="Calibri"/>
          <w:b/>
          <w:color w:val="000000"/>
          <w:sz w:val="24"/>
          <w:szCs w:val="24"/>
        </w:rPr>
      </w:pPr>
      <w:r>
        <w:rPr>
          <w:rFonts w:eastAsia="Times New Roman" w:cs="Calibri"/>
          <w:b/>
          <w:color w:val="000000"/>
          <w:sz w:val="24"/>
          <w:szCs w:val="24"/>
        </w:rPr>
        <w:t>TABLE 1:</w:t>
      </w:r>
      <w:r>
        <w:rPr>
          <w:rFonts w:eastAsia="Times New Roman" w:cs="Calibri"/>
          <w:b/>
          <w:color w:val="000000"/>
          <w:sz w:val="24"/>
          <w:szCs w:val="24"/>
        </w:rPr>
        <w:tab/>
        <w:t xml:space="preserve">COMPARISON OF MEAN±SD </w:t>
      </w:r>
      <w:r>
        <w:rPr>
          <w:rFonts w:cs="Calibri"/>
          <w:b/>
          <w:sz w:val="24"/>
          <w:szCs w:val="24"/>
        </w:rPr>
        <w:t>SARS-COV-2 (COVID-19 INFECTION) ANTIBODIES</w:t>
      </w:r>
      <w:r>
        <w:rPr>
          <w:rFonts w:eastAsia="Times New Roman" w:cs="Calibri"/>
          <w:b/>
          <w:color w:val="000000"/>
          <w:sz w:val="24"/>
          <w:szCs w:val="24"/>
        </w:rPr>
        <w:t xml:space="preserve"> OF STUDY SUBJECTS (TEST/CASES AND CONTROL)</w:t>
      </w:r>
    </w:p>
    <w:tbl>
      <w:tblPr>
        <w:tblStyle w:val="TableGrid11"/>
        <w:tblW w:w="100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8"/>
        <w:gridCol w:w="1822"/>
        <w:gridCol w:w="2083"/>
        <w:gridCol w:w="886"/>
        <w:gridCol w:w="976"/>
        <w:gridCol w:w="1673"/>
      </w:tblGrid>
      <w:tr w:rsidR="00047E5F" w14:paraId="3FC83A3A" w14:textId="77777777" w:rsidTr="00E42653">
        <w:tc>
          <w:tcPr>
            <w:tcW w:w="2568" w:type="dxa"/>
          </w:tcPr>
          <w:p w14:paraId="1895D5AB" w14:textId="77777777" w:rsidR="00047E5F" w:rsidRDefault="00047E5F" w:rsidP="00E42653">
            <w:pPr>
              <w:spacing w:line="360" w:lineRule="auto"/>
              <w:contextualSpacing/>
              <w:jc w:val="both"/>
              <w:rPr>
                <w:rFonts w:eastAsia="Times New Roman" w:cs="Calibri"/>
                <w:b/>
                <w:color w:val="000000"/>
                <w:sz w:val="24"/>
                <w:szCs w:val="24"/>
              </w:rPr>
            </w:pPr>
          </w:p>
        </w:tc>
        <w:tc>
          <w:tcPr>
            <w:tcW w:w="1822" w:type="dxa"/>
          </w:tcPr>
          <w:p w14:paraId="4732BC50" w14:textId="77777777" w:rsidR="00047E5F" w:rsidRDefault="00047E5F" w:rsidP="00E42653">
            <w:pPr>
              <w:spacing w:line="360" w:lineRule="auto"/>
              <w:contextualSpacing/>
              <w:jc w:val="center"/>
              <w:rPr>
                <w:rFonts w:cs="Calibri"/>
                <w:b/>
                <w:sz w:val="24"/>
                <w:szCs w:val="24"/>
              </w:rPr>
            </w:pPr>
            <w:r>
              <w:rPr>
                <w:rFonts w:cs="Calibri"/>
                <w:b/>
                <w:sz w:val="24"/>
                <w:szCs w:val="24"/>
              </w:rPr>
              <w:t>SICKLE CELL PATIENTS (n=122)</w:t>
            </w:r>
          </w:p>
        </w:tc>
        <w:tc>
          <w:tcPr>
            <w:tcW w:w="2083" w:type="dxa"/>
          </w:tcPr>
          <w:p w14:paraId="006F35F0" w14:textId="77777777" w:rsidR="00047E5F" w:rsidRDefault="00047E5F" w:rsidP="00E42653">
            <w:pPr>
              <w:spacing w:line="360" w:lineRule="auto"/>
              <w:contextualSpacing/>
              <w:jc w:val="center"/>
              <w:rPr>
                <w:rFonts w:cs="Calibri"/>
                <w:b/>
                <w:sz w:val="24"/>
                <w:szCs w:val="24"/>
              </w:rPr>
            </w:pPr>
            <w:r>
              <w:rPr>
                <w:rFonts w:cs="Calibri"/>
                <w:b/>
                <w:sz w:val="24"/>
                <w:szCs w:val="24"/>
              </w:rPr>
              <w:t>NORMAL PEOPLE/CONTROL (n=45)</w:t>
            </w:r>
          </w:p>
        </w:tc>
        <w:tc>
          <w:tcPr>
            <w:tcW w:w="886" w:type="dxa"/>
          </w:tcPr>
          <w:p w14:paraId="4574E8BE" w14:textId="77777777" w:rsidR="00047E5F" w:rsidRDefault="00047E5F" w:rsidP="00E42653">
            <w:pPr>
              <w:spacing w:line="360" w:lineRule="auto"/>
              <w:contextualSpacing/>
              <w:jc w:val="center"/>
              <w:rPr>
                <w:rFonts w:cs="Calibri"/>
                <w:b/>
                <w:sz w:val="24"/>
                <w:szCs w:val="24"/>
              </w:rPr>
            </w:pPr>
            <w:r>
              <w:rPr>
                <w:rFonts w:cs="Calibri"/>
                <w:b/>
                <w:sz w:val="24"/>
                <w:szCs w:val="24"/>
              </w:rPr>
              <w:t>t-test</w:t>
            </w:r>
          </w:p>
        </w:tc>
        <w:tc>
          <w:tcPr>
            <w:tcW w:w="976" w:type="dxa"/>
          </w:tcPr>
          <w:p w14:paraId="31118F7A" w14:textId="77777777" w:rsidR="00047E5F" w:rsidRDefault="00047E5F" w:rsidP="00E42653">
            <w:pPr>
              <w:spacing w:line="360" w:lineRule="auto"/>
              <w:contextualSpacing/>
              <w:jc w:val="center"/>
              <w:rPr>
                <w:rFonts w:cs="Calibri"/>
                <w:b/>
                <w:sz w:val="24"/>
                <w:szCs w:val="24"/>
              </w:rPr>
            </w:pPr>
            <w:r>
              <w:rPr>
                <w:rFonts w:cs="Calibri"/>
                <w:b/>
                <w:sz w:val="24"/>
                <w:szCs w:val="24"/>
              </w:rPr>
              <w:t>p-value</w:t>
            </w:r>
          </w:p>
        </w:tc>
        <w:tc>
          <w:tcPr>
            <w:tcW w:w="1673" w:type="dxa"/>
          </w:tcPr>
          <w:p w14:paraId="09BA0115" w14:textId="77777777" w:rsidR="00047E5F" w:rsidRDefault="00047E5F" w:rsidP="00E42653">
            <w:pPr>
              <w:spacing w:line="360" w:lineRule="auto"/>
              <w:contextualSpacing/>
              <w:jc w:val="center"/>
              <w:rPr>
                <w:rFonts w:cs="Calibri"/>
                <w:b/>
                <w:sz w:val="24"/>
                <w:szCs w:val="24"/>
              </w:rPr>
            </w:pPr>
            <w:r>
              <w:rPr>
                <w:rFonts w:cs="Calibri"/>
                <w:b/>
                <w:sz w:val="24"/>
                <w:szCs w:val="24"/>
              </w:rPr>
              <w:t>Remark</w:t>
            </w:r>
          </w:p>
        </w:tc>
      </w:tr>
      <w:tr w:rsidR="00047E5F" w14:paraId="5EED1964" w14:textId="77777777" w:rsidTr="00E42653">
        <w:tc>
          <w:tcPr>
            <w:tcW w:w="2568" w:type="dxa"/>
            <w:tcBorders>
              <w:bottom w:val="single" w:sz="4" w:space="0" w:color="auto"/>
            </w:tcBorders>
          </w:tcPr>
          <w:p w14:paraId="7F6E945D" w14:textId="77777777" w:rsidR="00047E5F" w:rsidRDefault="00047E5F" w:rsidP="00E42653">
            <w:pPr>
              <w:spacing w:line="360" w:lineRule="auto"/>
              <w:contextualSpacing/>
              <w:rPr>
                <w:rFonts w:cs="Calibri"/>
                <w:b/>
                <w:sz w:val="24"/>
                <w:szCs w:val="24"/>
              </w:rPr>
            </w:pPr>
            <w:r>
              <w:rPr>
                <w:rFonts w:eastAsia="Times New Roman" w:cs="Calibri"/>
                <w:b/>
                <w:color w:val="000000"/>
                <w:sz w:val="24"/>
                <w:szCs w:val="24"/>
              </w:rPr>
              <w:t>Other important parameters</w:t>
            </w:r>
          </w:p>
        </w:tc>
        <w:tc>
          <w:tcPr>
            <w:tcW w:w="1822" w:type="dxa"/>
            <w:tcBorders>
              <w:bottom w:val="single" w:sz="4" w:space="0" w:color="auto"/>
            </w:tcBorders>
          </w:tcPr>
          <w:p w14:paraId="503EB70F" w14:textId="77777777" w:rsidR="00047E5F" w:rsidRDefault="00047E5F" w:rsidP="00E42653">
            <w:pPr>
              <w:spacing w:line="360" w:lineRule="auto"/>
              <w:contextualSpacing/>
              <w:jc w:val="center"/>
              <w:rPr>
                <w:rFonts w:cs="Calibri"/>
                <w:b/>
                <w:sz w:val="24"/>
                <w:szCs w:val="24"/>
              </w:rPr>
            </w:pPr>
            <w:proofErr w:type="spellStart"/>
            <w:r>
              <w:rPr>
                <w:rFonts w:cs="Calibri"/>
                <w:b/>
                <w:sz w:val="24"/>
                <w:szCs w:val="24"/>
              </w:rPr>
              <w:t>Mean</w:t>
            </w:r>
            <w:r>
              <w:rPr>
                <w:rFonts w:cs="Calibri"/>
                <w:sz w:val="24"/>
                <w:szCs w:val="24"/>
              </w:rPr>
              <w:t>±SD</w:t>
            </w:r>
            <w:proofErr w:type="spellEnd"/>
          </w:p>
        </w:tc>
        <w:tc>
          <w:tcPr>
            <w:tcW w:w="2083" w:type="dxa"/>
            <w:tcBorders>
              <w:bottom w:val="single" w:sz="4" w:space="0" w:color="auto"/>
            </w:tcBorders>
          </w:tcPr>
          <w:p w14:paraId="11019D48" w14:textId="77777777" w:rsidR="00047E5F" w:rsidRDefault="00047E5F" w:rsidP="00E42653">
            <w:pPr>
              <w:spacing w:line="360" w:lineRule="auto"/>
              <w:contextualSpacing/>
              <w:jc w:val="center"/>
              <w:rPr>
                <w:rFonts w:cs="Calibri"/>
                <w:b/>
                <w:sz w:val="24"/>
                <w:szCs w:val="24"/>
              </w:rPr>
            </w:pPr>
            <w:proofErr w:type="spellStart"/>
            <w:r>
              <w:rPr>
                <w:rFonts w:cs="Calibri"/>
                <w:b/>
                <w:sz w:val="24"/>
                <w:szCs w:val="24"/>
              </w:rPr>
              <w:t>Mean</w:t>
            </w:r>
            <w:r>
              <w:rPr>
                <w:rFonts w:cs="Calibri"/>
                <w:sz w:val="24"/>
                <w:szCs w:val="24"/>
              </w:rPr>
              <w:t>±SD</w:t>
            </w:r>
            <w:proofErr w:type="spellEnd"/>
          </w:p>
        </w:tc>
        <w:tc>
          <w:tcPr>
            <w:tcW w:w="886" w:type="dxa"/>
            <w:tcBorders>
              <w:bottom w:val="single" w:sz="4" w:space="0" w:color="auto"/>
            </w:tcBorders>
          </w:tcPr>
          <w:p w14:paraId="05FB9D0A" w14:textId="77777777" w:rsidR="00047E5F" w:rsidRDefault="00047E5F" w:rsidP="00E42653">
            <w:pPr>
              <w:spacing w:line="360" w:lineRule="auto"/>
              <w:contextualSpacing/>
              <w:jc w:val="center"/>
              <w:rPr>
                <w:rFonts w:cs="Calibri"/>
                <w:b/>
                <w:sz w:val="24"/>
                <w:szCs w:val="24"/>
              </w:rPr>
            </w:pPr>
          </w:p>
        </w:tc>
        <w:tc>
          <w:tcPr>
            <w:tcW w:w="976" w:type="dxa"/>
            <w:tcBorders>
              <w:bottom w:val="single" w:sz="4" w:space="0" w:color="auto"/>
            </w:tcBorders>
          </w:tcPr>
          <w:p w14:paraId="20C43FDB" w14:textId="77777777" w:rsidR="00047E5F" w:rsidRDefault="00047E5F" w:rsidP="00E42653">
            <w:pPr>
              <w:spacing w:line="360" w:lineRule="auto"/>
              <w:contextualSpacing/>
              <w:jc w:val="center"/>
              <w:rPr>
                <w:rFonts w:cs="Calibri"/>
                <w:b/>
                <w:sz w:val="24"/>
                <w:szCs w:val="24"/>
              </w:rPr>
            </w:pPr>
          </w:p>
        </w:tc>
        <w:tc>
          <w:tcPr>
            <w:tcW w:w="1673" w:type="dxa"/>
            <w:tcBorders>
              <w:bottom w:val="single" w:sz="4" w:space="0" w:color="auto"/>
            </w:tcBorders>
          </w:tcPr>
          <w:p w14:paraId="23D28961" w14:textId="77777777" w:rsidR="00047E5F" w:rsidRDefault="00047E5F" w:rsidP="00E42653">
            <w:pPr>
              <w:spacing w:line="360" w:lineRule="auto"/>
              <w:contextualSpacing/>
              <w:jc w:val="center"/>
              <w:rPr>
                <w:rFonts w:cs="Calibri"/>
                <w:b/>
                <w:sz w:val="24"/>
                <w:szCs w:val="24"/>
              </w:rPr>
            </w:pPr>
          </w:p>
        </w:tc>
      </w:tr>
      <w:tr w:rsidR="00047E5F" w14:paraId="18C23E1F" w14:textId="77777777" w:rsidTr="00E42653">
        <w:tc>
          <w:tcPr>
            <w:tcW w:w="2568" w:type="dxa"/>
            <w:tcBorders>
              <w:top w:val="single" w:sz="4" w:space="0" w:color="auto"/>
            </w:tcBorders>
            <w:vAlign w:val="bottom"/>
          </w:tcPr>
          <w:p w14:paraId="48F3F249" w14:textId="77777777" w:rsidR="00047E5F" w:rsidRDefault="00047E5F" w:rsidP="00E42653">
            <w:pPr>
              <w:spacing w:line="360" w:lineRule="auto"/>
              <w:rPr>
                <w:rFonts w:cs="Calibri"/>
                <w:sz w:val="24"/>
                <w:szCs w:val="24"/>
              </w:rPr>
            </w:pPr>
            <w:r>
              <w:rPr>
                <w:rFonts w:cs="Calibri"/>
                <w:sz w:val="24"/>
                <w:szCs w:val="24"/>
              </w:rPr>
              <w:t>IgM</w:t>
            </w:r>
          </w:p>
        </w:tc>
        <w:tc>
          <w:tcPr>
            <w:tcW w:w="1822" w:type="dxa"/>
            <w:tcBorders>
              <w:top w:val="single" w:sz="4" w:space="0" w:color="auto"/>
            </w:tcBorders>
          </w:tcPr>
          <w:p w14:paraId="51A2B602" w14:textId="77777777" w:rsidR="00047E5F" w:rsidRDefault="00047E5F" w:rsidP="00E42653">
            <w:pPr>
              <w:spacing w:line="360" w:lineRule="auto"/>
              <w:contextualSpacing/>
              <w:jc w:val="center"/>
              <w:rPr>
                <w:rFonts w:cs="Calibri"/>
                <w:sz w:val="24"/>
                <w:szCs w:val="24"/>
              </w:rPr>
            </w:pPr>
            <w:r>
              <w:rPr>
                <w:rFonts w:cs="Calibri"/>
                <w:sz w:val="24"/>
                <w:szCs w:val="24"/>
              </w:rPr>
              <w:t>0.28 ± 0.20</w:t>
            </w:r>
          </w:p>
        </w:tc>
        <w:tc>
          <w:tcPr>
            <w:tcW w:w="2083" w:type="dxa"/>
            <w:tcBorders>
              <w:top w:val="single" w:sz="4" w:space="0" w:color="auto"/>
            </w:tcBorders>
          </w:tcPr>
          <w:p w14:paraId="6A2D3C3F" w14:textId="77777777" w:rsidR="00047E5F" w:rsidRDefault="00047E5F" w:rsidP="00E42653">
            <w:pPr>
              <w:spacing w:line="360" w:lineRule="auto"/>
              <w:contextualSpacing/>
              <w:jc w:val="center"/>
              <w:rPr>
                <w:rFonts w:cs="Calibri"/>
                <w:sz w:val="24"/>
                <w:szCs w:val="24"/>
              </w:rPr>
            </w:pPr>
            <w:r>
              <w:rPr>
                <w:rFonts w:cs="Calibri"/>
                <w:sz w:val="24"/>
                <w:szCs w:val="24"/>
              </w:rPr>
              <w:t>0.24 ± 0.10</w:t>
            </w:r>
          </w:p>
        </w:tc>
        <w:tc>
          <w:tcPr>
            <w:tcW w:w="886" w:type="dxa"/>
            <w:tcBorders>
              <w:top w:val="single" w:sz="4" w:space="0" w:color="auto"/>
            </w:tcBorders>
          </w:tcPr>
          <w:p w14:paraId="646D2EB3" w14:textId="77777777" w:rsidR="00047E5F" w:rsidRDefault="00047E5F" w:rsidP="00E42653">
            <w:pPr>
              <w:spacing w:line="360" w:lineRule="auto"/>
              <w:contextualSpacing/>
              <w:jc w:val="center"/>
              <w:rPr>
                <w:rFonts w:cs="Calibri"/>
                <w:sz w:val="24"/>
                <w:szCs w:val="24"/>
              </w:rPr>
            </w:pPr>
            <w:r>
              <w:rPr>
                <w:rFonts w:cs="Calibri"/>
                <w:sz w:val="24"/>
                <w:szCs w:val="24"/>
              </w:rPr>
              <w:t>1.330</w:t>
            </w:r>
          </w:p>
        </w:tc>
        <w:tc>
          <w:tcPr>
            <w:tcW w:w="976" w:type="dxa"/>
            <w:tcBorders>
              <w:top w:val="single" w:sz="4" w:space="0" w:color="auto"/>
            </w:tcBorders>
          </w:tcPr>
          <w:p w14:paraId="4BA585DC" w14:textId="77777777" w:rsidR="00047E5F" w:rsidRDefault="00047E5F" w:rsidP="00E42653">
            <w:pPr>
              <w:spacing w:line="360" w:lineRule="auto"/>
              <w:contextualSpacing/>
              <w:jc w:val="center"/>
              <w:rPr>
                <w:rFonts w:cs="Calibri"/>
                <w:sz w:val="24"/>
                <w:szCs w:val="24"/>
              </w:rPr>
            </w:pPr>
            <w:r>
              <w:rPr>
                <w:rFonts w:cs="Calibri"/>
                <w:sz w:val="24"/>
                <w:szCs w:val="24"/>
              </w:rPr>
              <w:t>0.185</w:t>
            </w:r>
          </w:p>
        </w:tc>
        <w:tc>
          <w:tcPr>
            <w:tcW w:w="1673" w:type="dxa"/>
            <w:tcBorders>
              <w:top w:val="single" w:sz="4" w:space="0" w:color="auto"/>
            </w:tcBorders>
          </w:tcPr>
          <w:p w14:paraId="280D13ED" w14:textId="77777777" w:rsidR="00047E5F" w:rsidRDefault="00047E5F" w:rsidP="00E42653">
            <w:pPr>
              <w:spacing w:line="360" w:lineRule="auto"/>
              <w:contextualSpacing/>
              <w:jc w:val="center"/>
              <w:rPr>
                <w:rFonts w:cs="Calibri"/>
                <w:sz w:val="24"/>
                <w:szCs w:val="24"/>
              </w:rPr>
            </w:pPr>
            <w:r>
              <w:rPr>
                <w:rFonts w:cs="Calibri"/>
                <w:sz w:val="24"/>
                <w:szCs w:val="24"/>
              </w:rPr>
              <w:t>Not Significant</w:t>
            </w:r>
          </w:p>
        </w:tc>
      </w:tr>
      <w:tr w:rsidR="00047E5F" w14:paraId="7861EF9B" w14:textId="77777777" w:rsidTr="00E42653">
        <w:tc>
          <w:tcPr>
            <w:tcW w:w="2568" w:type="dxa"/>
            <w:vAlign w:val="bottom"/>
          </w:tcPr>
          <w:p w14:paraId="6ED5E8A0" w14:textId="77777777" w:rsidR="00047E5F" w:rsidRDefault="00047E5F" w:rsidP="00E42653">
            <w:pPr>
              <w:spacing w:line="360" w:lineRule="auto"/>
              <w:rPr>
                <w:rFonts w:cs="Calibri"/>
                <w:sz w:val="24"/>
                <w:szCs w:val="24"/>
              </w:rPr>
            </w:pPr>
            <w:r>
              <w:rPr>
                <w:rFonts w:cs="Calibri"/>
                <w:sz w:val="24"/>
                <w:szCs w:val="24"/>
              </w:rPr>
              <w:t>IgG</w:t>
            </w:r>
          </w:p>
        </w:tc>
        <w:tc>
          <w:tcPr>
            <w:tcW w:w="1822" w:type="dxa"/>
          </w:tcPr>
          <w:p w14:paraId="1F4A3943" w14:textId="77777777" w:rsidR="00047E5F" w:rsidRDefault="00047E5F" w:rsidP="00E42653">
            <w:pPr>
              <w:spacing w:line="360" w:lineRule="auto"/>
              <w:contextualSpacing/>
              <w:jc w:val="center"/>
              <w:rPr>
                <w:rFonts w:cs="Calibri"/>
                <w:sz w:val="24"/>
                <w:szCs w:val="24"/>
              </w:rPr>
            </w:pPr>
            <w:r>
              <w:rPr>
                <w:rFonts w:cs="Calibri"/>
                <w:sz w:val="24"/>
                <w:szCs w:val="24"/>
              </w:rPr>
              <w:t>0.17 ± 0.03</w:t>
            </w:r>
          </w:p>
        </w:tc>
        <w:tc>
          <w:tcPr>
            <w:tcW w:w="2083" w:type="dxa"/>
          </w:tcPr>
          <w:p w14:paraId="7D8391FB" w14:textId="77777777" w:rsidR="00047E5F" w:rsidRDefault="00047E5F" w:rsidP="00E42653">
            <w:pPr>
              <w:spacing w:line="360" w:lineRule="auto"/>
              <w:contextualSpacing/>
              <w:jc w:val="center"/>
              <w:rPr>
                <w:rFonts w:cs="Calibri"/>
                <w:sz w:val="24"/>
                <w:szCs w:val="24"/>
              </w:rPr>
            </w:pPr>
            <w:r>
              <w:rPr>
                <w:rFonts w:cs="Calibri"/>
                <w:sz w:val="24"/>
                <w:szCs w:val="24"/>
              </w:rPr>
              <w:t>0.16 ± 0.03</w:t>
            </w:r>
          </w:p>
        </w:tc>
        <w:tc>
          <w:tcPr>
            <w:tcW w:w="886" w:type="dxa"/>
          </w:tcPr>
          <w:p w14:paraId="3B8457CC" w14:textId="77777777" w:rsidR="00047E5F" w:rsidRDefault="00047E5F" w:rsidP="00E42653">
            <w:pPr>
              <w:spacing w:line="360" w:lineRule="auto"/>
              <w:contextualSpacing/>
              <w:jc w:val="center"/>
              <w:rPr>
                <w:rFonts w:cs="Calibri"/>
                <w:sz w:val="24"/>
                <w:szCs w:val="24"/>
              </w:rPr>
            </w:pPr>
            <w:r>
              <w:rPr>
                <w:rFonts w:cs="Calibri"/>
                <w:sz w:val="24"/>
                <w:szCs w:val="24"/>
              </w:rPr>
              <w:t>1.118</w:t>
            </w:r>
          </w:p>
        </w:tc>
        <w:tc>
          <w:tcPr>
            <w:tcW w:w="976" w:type="dxa"/>
          </w:tcPr>
          <w:p w14:paraId="5F2912A3" w14:textId="77777777" w:rsidR="00047E5F" w:rsidRDefault="00047E5F" w:rsidP="00E42653">
            <w:pPr>
              <w:spacing w:line="360" w:lineRule="auto"/>
              <w:contextualSpacing/>
              <w:jc w:val="center"/>
              <w:rPr>
                <w:rFonts w:cs="Calibri"/>
                <w:sz w:val="24"/>
                <w:szCs w:val="24"/>
              </w:rPr>
            </w:pPr>
            <w:r>
              <w:rPr>
                <w:rFonts w:cs="Calibri"/>
                <w:sz w:val="24"/>
                <w:szCs w:val="24"/>
              </w:rPr>
              <w:t>0.265</w:t>
            </w:r>
          </w:p>
        </w:tc>
        <w:tc>
          <w:tcPr>
            <w:tcW w:w="1673" w:type="dxa"/>
          </w:tcPr>
          <w:p w14:paraId="45BCD5C6" w14:textId="77777777" w:rsidR="00047E5F" w:rsidRDefault="00047E5F" w:rsidP="00E42653">
            <w:pPr>
              <w:spacing w:line="360" w:lineRule="auto"/>
              <w:contextualSpacing/>
              <w:jc w:val="center"/>
              <w:rPr>
                <w:rFonts w:cs="Calibri"/>
                <w:sz w:val="24"/>
                <w:szCs w:val="24"/>
              </w:rPr>
            </w:pPr>
            <w:r>
              <w:rPr>
                <w:rFonts w:cs="Calibri"/>
                <w:sz w:val="24"/>
                <w:szCs w:val="24"/>
              </w:rPr>
              <w:t>Not Significant</w:t>
            </w:r>
          </w:p>
        </w:tc>
      </w:tr>
    </w:tbl>
    <w:p w14:paraId="603215FA" w14:textId="77777777" w:rsidR="00047E5F" w:rsidRDefault="00047E5F" w:rsidP="00047E5F">
      <w:pPr>
        <w:widowControl w:val="0"/>
        <w:autoSpaceDE w:val="0"/>
        <w:autoSpaceDN w:val="0"/>
        <w:adjustRightInd w:val="0"/>
        <w:spacing w:after="0" w:line="360" w:lineRule="auto"/>
        <w:jc w:val="both"/>
        <w:rPr>
          <w:rFonts w:eastAsia="Times New Roman" w:cs="Calibri"/>
          <w:color w:val="000000"/>
          <w:sz w:val="24"/>
          <w:szCs w:val="24"/>
        </w:rPr>
      </w:pPr>
      <w:r>
        <w:rPr>
          <w:rFonts w:eastAsia="Times New Roman" w:cs="Calibri"/>
          <w:color w:val="000000"/>
          <w:sz w:val="24"/>
          <w:szCs w:val="24"/>
        </w:rPr>
        <w:t>*p&lt;0.05 (i.e. Significant).</w:t>
      </w:r>
    </w:p>
    <w:p w14:paraId="7C81FDA5" w14:textId="77777777" w:rsidR="00047E5F" w:rsidRDefault="00047E5F" w:rsidP="00047E5F">
      <w:pPr>
        <w:widowControl w:val="0"/>
        <w:autoSpaceDE w:val="0"/>
        <w:autoSpaceDN w:val="0"/>
        <w:adjustRightInd w:val="0"/>
        <w:spacing w:after="0" w:line="360" w:lineRule="auto"/>
        <w:jc w:val="both"/>
        <w:rPr>
          <w:rFonts w:eastAsia="Times New Roman" w:cs="Calibri"/>
          <w:color w:val="000000"/>
          <w:sz w:val="24"/>
          <w:szCs w:val="24"/>
        </w:rPr>
      </w:pPr>
    </w:p>
    <w:p w14:paraId="21EC9D60" w14:textId="77777777" w:rsidR="00047E5F" w:rsidRDefault="00047E5F" w:rsidP="00047E5F">
      <w:pPr>
        <w:widowControl w:val="0"/>
        <w:autoSpaceDE w:val="0"/>
        <w:autoSpaceDN w:val="0"/>
        <w:adjustRightInd w:val="0"/>
        <w:spacing w:after="0" w:line="360" w:lineRule="auto"/>
        <w:jc w:val="both"/>
        <w:rPr>
          <w:rFonts w:eastAsia="Times New Roman" w:cs="Calibri"/>
          <w:color w:val="000000"/>
          <w:sz w:val="24"/>
          <w:szCs w:val="24"/>
        </w:rPr>
      </w:pPr>
    </w:p>
    <w:p w14:paraId="0D5E3E3A" w14:textId="77777777" w:rsidR="00047E5F" w:rsidRDefault="00047E5F" w:rsidP="00047E5F">
      <w:pPr>
        <w:spacing w:line="360" w:lineRule="auto"/>
        <w:rPr>
          <w:rFonts w:cs="Calibri"/>
          <w:b/>
          <w:sz w:val="24"/>
          <w:szCs w:val="24"/>
        </w:rPr>
      </w:pPr>
      <w:r>
        <w:rPr>
          <w:rFonts w:cs="Calibri"/>
          <w:b/>
          <w:sz w:val="24"/>
          <w:szCs w:val="24"/>
        </w:rPr>
        <w:br w:type="page"/>
      </w:r>
    </w:p>
    <w:p w14:paraId="7385DC15" w14:textId="007060D4" w:rsidR="00047E5F" w:rsidRDefault="00047E5F" w:rsidP="00047E5F">
      <w:pPr>
        <w:spacing w:line="360" w:lineRule="auto"/>
        <w:rPr>
          <w:rFonts w:cs="Calibri"/>
          <w:b/>
          <w:sz w:val="24"/>
          <w:szCs w:val="24"/>
        </w:rPr>
      </w:pPr>
      <w:r>
        <w:rPr>
          <w:rFonts w:cs="Calibri"/>
          <w:b/>
          <w:sz w:val="24"/>
          <w:szCs w:val="24"/>
        </w:rPr>
        <w:lastRenderedPageBreak/>
        <w:t>TABLE 2: CORRELATION OF AGE WITH SARS-COV-2 (COVID-19 INFECTION) ANTIBODIES OF TEST SUBJECTS (n=122)</w:t>
      </w:r>
    </w:p>
    <w:tbl>
      <w:tblPr>
        <w:tblW w:w="9108" w:type="dxa"/>
        <w:tblBorders>
          <w:top w:val="single" w:sz="4" w:space="0" w:color="auto"/>
          <w:bottom w:val="single" w:sz="4" w:space="0" w:color="auto"/>
        </w:tblBorders>
        <w:tblLayout w:type="fixed"/>
        <w:tblLook w:val="04A0" w:firstRow="1" w:lastRow="0" w:firstColumn="1" w:lastColumn="0" w:noHBand="0" w:noVBand="1"/>
      </w:tblPr>
      <w:tblGrid>
        <w:gridCol w:w="3438"/>
        <w:gridCol w:w="1710"/>
        <w:gridCol w:w="1980"/>
        <w:gridCol w:w="1980"/>
      </w:tblGrid>
      <w:tr w:rsidR="00047E5F" w14:paraId="5AC36391" w14:textId="77777777" w:rsidTr="00E42653">
        <w:tc>
          <w:tcPr>
            <w:tcW w:w="3438" w:type="dxa"/>
            <w:tcBorders>
              <w:bottom w:val="single" w:sz="6" w:space="0" w:color="auto"/>
            </w:tcBorders>
            <w:shd w:val="clear" w:color="auto" w:fill="auto"/>
          </w:tcPr>
          <w:p w14:paraId="7159077D" w14:textId="77777777" w:rsidR="00047E5F" w:rsidRDefault="00047E5F" w:rsidP="00E42653">
            <w:pPr>
              <w:widowControl w:val="0"/>
              <w:autoSpaceDE w:val="0"/>
              <w:autoSpaceDN w:val="0"/>
              <w:adjustRightInd w:val="0"/>
              <w:spacing w:after="0" w:line="360" w:lineRule="auto"/>
              <w:rPr>
                <w:rFonts w:cs="Calibri"/>
                <w:b/>
                <w:color w:val="000000"/>
                <w:sz w:val="24"/>
                <w:szCs w:val="24"/>
                <w:lang w:val="en-GB"/>
              </w:rPr>
            </w:pPr>
            <w:r>
              <w:rPr>
                <w:rFonts w:cs="Calibri"/>
                <w:b/>
                <w:color w:val="000000"/>
                <w:sz w:val="24"/>
                <w:szCs w:val="24"/>
                <w:lang w:val="en-GB"/>
              </w:rPr>
              <w:t>Variables (r values</w:t>
            </w:r>
          </w:p>
          <w:p w14:paraId="7F813BF8" w14:textId="77777777" w:rsidR="00047E5F" w:rsidRDefault="00047E5F" w:rsidP="00E42653">
            <w:pPr>
              <w:widowControl w:val="0"/>
              <w:autoSpaceDE w:val="0"/>
              <w:autoSpaceDN w:val="0"/>
              <w:adjustRightInd w:val="0"/>
              <w:spacing w:after="0" w:line="360" w:lineRule="auto"/>
              <w:rPr>
                <w:rFonts w:cs="Calibri"/>
                <w:b/>
                <w:color w:val="000000"/>
                <w:sz w:val="24"/>
                <w:szCs w:val="24"/>
                <w:lang w:val="en-GB"/>
              </w:rPr>
            </w:pPr>
            <w:r>
              <w:rPr>
                <w:rFonts w:cs="Calibri"/>
                <w:b/>
                <w:color w:val="000000"/>
                <w:sz w:val="24"/>
                <w:szCs w:val="24"/>
                <w:lang w:val="en-GB"/>
              </w:rPr>
              <w:t>(p values)</w:t>
            </w:r>
          </w:p>
        </w:tc>
        <w:tc>
          <w:tcPr>
            <w:tcW w:w="1710" w:type="dxa"/>
            <w:tcBorders>
              <w:bottom w:val="single" w:sz="6" w:space="0" w:color="auto"/>
            </w:tcBorders>
          </w:tcPr>
          <w:p w14:paraId="1BE69926" w14:textId="77777777" w:rsidR="00047E5F" w:rsidRDefault="00047E5F" w:rsidP="00E42653">
            <w:pPr>
              <w:widowControl w:val="0"/>
              <w:autoSpaceDE w:val="0"/>
              <w:autoSpaceDN w:val="0"/>
              <w:adjustRightInd w:val="0"/>
              <w:spacing w:after="0" w:line="360" w:lineRule="auto"/>
              <w:rPr>
                <w:rFonts w:cs="Calibri"/>
                <w:b/>
                <w:color w:val="000000"/>
                <w:sz w:val="24"/>
                <w:szCs w:val="24"/>
                <w:lang w:val="en-GB"/>
              </w:rPr>
            </w:pPr>
            <w:r>
              <w:rPr>
                <w:rFonts w:cs="Calibri"/>
                <w:b/>
                <w:color w:val="000000"/>
                <w:sz w:val="24"/>
                <w:szCs w:val="24"/>
                <w:lang w:val="en-GB"/>
              </w:rPr>
              <w:t>Age (Years)</w:t>
            </w:r>
          </w:p>
        </w:tc>
        <w:tc>
          <w:tcPr>
            <w:tcW w:w="1980" w:type="dxa"/>
            <w:tcBorders>
              <w:bottom w:val="single" w:sz="6" w:space="0" w:color="auto"/>
            </w:tcBorders>
          </w:tcPr>
          <w:p w14:paraId="788E0A9D" w14:textId="77777777" w:rsidR="00047E5F" w:rsidRDefault="00047E5F" w:rsidP="00E42653">
            <w:pPr>
              <w:widowControl w:val="0"/>
              <w:autoSpaceDE w:val="0"/>
              <w:autoSpaceDN w:val="0"/>
              <w:adjustRightInd w:val="0"/>
              <w:spacing w:after="0" w:line="360" w:lineRule="auto"/>
              <w:rPr>
                <w:rFonts w:cs="Calibri"/>
                <w:b/>
                <w:color w:val="000000"/>
                <w:sz w:val="24"/>
                <w:szCs w:val="24"/>
                <w:lang w:val="en-GB"/>
              </w:rPr>
            </w:pPr>
            <w:r>
              <w:rPr>
                <w:rFonts w:cs="Calibri"/>
                <w:b/>
                <w:color w:val="000000"/>
                <w:sz w:val="24"/>
                <w:szCs w:val="24"/>
                <w:lang w:val="en-GB"/>
              </w:rPr>
              <w:t>IgM</w:t>
            </w:r>
          </w:p>
        </w:tc>
        <w:tc>
          <w:tcPr>
            <w:tcW w:w="1980" w:type="dxa"/>
            <w:tcBorders>
              <w:bottom w:val="single" w:sz="6" w:space="0" w:color="auto"/>
            </w:tcBorders>
          </w:tcPr>
          <w:p w14:paraId="7C3A11A2" w14:textId="77777777" w:rsidR="00047E5F" w:rsidRDefault="00047E5F" w:rsidP="00E42653">
            <w:pPr>
              <w:widowControl w:val="0"/>
              <w:autoSpaceDE w:val="0"/>
              <w:autoSpaceDN w:val="0"/>
              <w:adjustRightInd w:val="0"/>
              <w:spacing w:after="0" w:line="360" w:lineRule="auto"/>
              <w:rPr>
                <w:rFonts w:cs="Calibri"/>
                <w:b/>
                <w:color w:val="000000"/>
                <w:sz w:val="24"/>
                <w:szCs w:val="24"/>
                <w:lang w:val="en-GB"/>
              </w:rPr>
            </w:pPr>
            <w:r>
              <w:rPr>
                <w:rFonts w:cs="Calibri"/>
                <w:b/>
                <w:color w:val="000000"/>
                <w:sz w:val="24"/>
                <w:szCs w:val="24"/>
                <w:lang w:val="en-GB"/>
              </w:rPr>
              <w:t>IgG</w:t>
            </w:r>
          </w:p>
        </w:tc>
      </w:tr>
      <w:tr w:rsidR="00047E5F" w14:paraId="2BCEE5CA" w14:textId="77777777" w:rsidTr="00E42653">
        <w:tc>
          <w:tcPr>
            <w:tcW w:w="3438" w:type="dxa"/>
            <w:tcBorders>
              <w:top w:val="single" w:sz="6" w:space="0" w:color="auto"/>
            </w:tcBorders>
            <w:shd w:val="clear" w:color="auto" w:fill="auto"/>
          </w:tcPr>
          <w:p w14:paraId="14CFAB4A" w14:textId="77777777" w:rsidR="00047E5F" w:rsidRDefault="00047E5F" w:rsidP="00E42653">
            <w:pPr>
              <w:widowControl w:val="0"/>
              <w:autoSpaceDE w:val="0"/>
              <w:autoSpaceDN w:val="0"/>
              <w:adjustRightInd w:val="0"/>
              <w:spacing w:after="0" w:line="360" w:lineRule="auto"/>
              <w:rPr>
                <w:rFonts w:cs="Calibri"/>
                <w:color w:val="000000"/>
                <w:sz w:val="24"/>
                <w:szCs w:val="24"/>
                <w:lang w:val="en-GB"/>
              </w:rPr>
            </w:pPr>
            <w:r>
              <w:rPr>
                <w:rFonts w:cs="Calibri"/>
                <w:color w:val="000000"/>
                <w:sz w:val="24"/>
                <w:szCs w:val="24"/>
                <w:lang w:val="en-GB"/>
              </w:rPr>
              <w:t>Age (Years)</w:t>
            </w:r>
          </w:p>
        </w:tc>
        <w:tc>
          <w:tcPr>
            <w:tcW w:w="1710" w:type="dxa"/>
            <w:tcBorders>
              <w:top w:val="single" w:sz="6" w:space="0" w:color="auto"/>
            </w:tcBorders>
          </w:tcPr>
          <w:p w14:paraId="7DEAE1CA" w14:textId="77777777" w:rsidR="00047E5F" w:rsidRDefault="00047E5F" w:rsidP="00E42653">
            <w:pPr>
              <w:widowControl w:val="0"/>
              <w:autoSpaceDE w:val="0"/>
              <w:autoSpaceDN w:val="0"/>
              <w:adjustRightInd w:val="0"/>
              <w:spacing w:after="0" w:line="360" w:lineRule="auto"/>
              <w:rPr>
                <w:rFonts w:cs="Calibri"/>
                <w:color w:val="000000"/>
                <w:sz w:val="24"/>
                <w:szCs w:val="24"/>
                <w:lang w:val="en-GB"/>
              </w:rPr>
            </w:pPr>
            <w:r>
              <w:rPr>
                <w:rFonts w:cs="Calibri"/>
                <w:color w:val="000000"/>
                <w:sz w:val="24"/>
                <w:szCs w:val="24"/>
                <w:lang w:val="en-GB"/>
              </w:rPr>
              <w:t>1</w:t>
            </w:r>
          </w:p>
        </w:tc>
        <w:tc>
          <w:tcPr>
            <w:tcW w:w="1980" w:type="dxa"/>
            <w:tcBorders>
              <w:top w:val="single" w:sz="6" w:space="0" w:color="auto"/>
            </w:tcBorders>
          </w:tcPr>
          <w:p w14:paraId="36E4ED28" w14:textId="77777777" w:rsidR="00047E5F" w:rsidRDefault="00047E5F" w:rsidP="00E42653">
            <w:pPr>
              <w:widowControl w:val="0"/>
              <w:autoSpaceDE w:val="0"/>
              <w:autoSpaceDN w:val="0"/>
              <w:adjustRightInd w:val="0"/>
              <w:spacing w:after="0" w:line="360" w:lineRule="auto"/>
              <w:rPr>
                <w:rFonts w:cs="Calibri"/>
                <w:color w:val="000000"/>
                <w:sz w:val="24"/>
                <w:szCs w:val="24"/>
                <w:lang w:val="en-GB"/>
              </w:rPr>
            </w:pPr>
          </w:p>
        </w:tc>
        <w:tc>
          <w:tcPr>
            <w:tcW w:w="1980" w:type="dxa"/>
            <w:tcBorders>
              <w:top w:val="single" w:sz="6" w:space="0" w:color="auto"/>
            </w:tcBorders>
          </w:tcPr>
          <w:p w14:paraId="076AEB3B" w14:textId="77777777" w:rsidR="00047E5F" w:rsidRDefault="00047E5F" w:rsidP="00E42653">
            <w:pPr>
              <w:widowControl w:val="0"/>
              <w:autoSpaceDE w:val="0"/>
              <w:autoSpaceDN w:val="0"/>
              <w:adjustRightInd w:val="0"/>
              <w:spacing w:after="0" w:line="360" w:lineRule="auto"/>
              <w:rPr>
                <w:rFonts w:cs="Calibri"/>
                <w:color w:val="000000"/>
                <w:sz w:val="24"/>
                <w:szCs w:val="24"/>
                <w:lang w:val="en-GB"/>
              </w:rPr>
            </w:pPr>
          </w:p>
        </w:tc>
      </w:tr>
      <w:tr w:rsidR="00047E5F" w14:paraId="77173DDB" w14:textId="77777777" w:rsidTr="00E42653">
        <w:tc>
          <w:tcPr>
            <w:tcW w:w="3438" w:type="dxa"/>
            <w:shd w:val="clear" w:color="auto" w:fill="auto"/>
          </w:tcPr>
          <w:p w14:paraId="3B52486E" w14:textId="77777777" w:rsidR="00047E5F" w:rsidRDefault="00047E5F" w:rsidP="00E42653">
            <w:pPr>
              <w:widowControl w:val="0"/>
              <w:autoSpaceDE w:val="0"/>
              <w:autoSpaceDN w:val="0"/>
              <w:adjustRightInd w:val="0"/>
              <w:spacing w:after="0" w:line="360" w:lineRule="auto"/>
              <w:rPr>
                <w:rFonts w:cs="Calibri"/>
                <w:color w:val="000000"/>
                <w:sz w:val="24"/>
                <w:szCs w:val="24"/>
                <w:lang w:val="en-GB"/>
              </w:rPr>
            </w:pPr>
            <w:r>
              <w:rPr>
                <w:rFonts w:cs="Calibri"/>
                <w:color w:val="000000"/>
                <w:sz w:val="24"/>
                <w:szCs w:val="24"/>
                <w:lang w:val="en-GB"/>
              </w:rPr>
              <w:t>IgM</w:t>
            </w:r>
          </w:p>
        </w:tc>
        <w:tc>
          <w:tcPr>
            <w:tcW w:w="1710" w:type="dxa"/>
          </w:tcPr>
          <w:p w14:paraId="5EB179D4" w14:textId="77777777" w:rsidR="00047E5F" w:rsidRDefault="00047E5F" w:rsidP="00E42653">
            <w:pPr>
              <w:widowControl w:val="0"/>
              <w:autoSpaceDE w:val="0"/>
              <w:autoSpaceDN w:val="0"/>
              <w:adjustRightInd w:val="0"/>
              <w:spacing w:after="0" w:line="360" w:lineRule="auto"/>
              <w:rPr>
                <w:rFonts w:cs="Calibri"/>
                <w:b/>
                <w:color w:val="000000"/>
                <w:sz w:val="24"/>
                <w:szCs w:val="24"/>
                <w:lang w:val="en-GB"/>
              </w:rPr>
            </w:pPr>
            <w:r>
              <w:rPr>
                <w:rFonts w:cs="Calibri"/>
                <w:b/>
                <w:color w:val="000000"/>
                <w:sz w:val="24"/>
                <w:szCs w:val="24"/>
                <w:lang w:val="en-GB"/>
              </w:rPr>
              <w:t>-0.223 (0.014*)</w:t>
            </w:r>
          </w:p>
        </w:tc>
        <w:tc>
          <w:tcPr>
            <w:tcW w:w="1980" w:type="dxa"/>
          </w:tcPr>
          <w:p w14:paraId="599B99FF" w14:textId="77777777" w:rsidR="00047E5F" w:rsidRDefault="00047E5F" w:rsidP="00E42653">
            <w:pPr>
              <w:widowControl w:val="0"/>
              <w:autoSpaceDE w:val="0"/>
              <w:autoSpaceDN w:val="0"/>
              <w:adjustRightInd w:val="0"/>
              <w:spacing w:after="0" w:line="360" w:lineRule="auto"/>
              <w:rPr>
                <w:rFonts w:cs="Calibri"/>
                <w:color w:val="000000"/>
                <w:sz w:val="24"/>
                <w:szCs w:val="24"/>
                <w:lang w:val="en-GB"/>
              </w:rPr>
            </w:pPr>
            <w:r>
              <w:rPr>
                <w:rFonts w:cs="Calibri"/>
                <w:color w:val="000000"/>
                <w:sz w:val="24"/>
                <w:szCs w:val="24"/>
                <w:lang w:val="en-GB"/>
              </w:rPr>
              <w:t>1</w:t>
            </w:r>
          </w:p>
        </w:tc>
        <w:tc>
          <w:tcPr>
            <w:tcW w:w="1980" w:type="dxa"/>
          </w:tcPr>
          <w:p w14:paraId="416FBFA0" w14:textId="77777777" w:rsidR="00047E5F" w:rsidRDefault="00047E5F" w:rsidP="00E42653">
            <w:pPr>
              <w:widowControl w:val="0"/>
              <w:autoSpaceDE w:val="0"/>
              <w:autoSpaceDN w:val="0"/>
              <w:adjustRightInd w:val="0"/>
              <w:spacing w:after="0" w:line="360" w:lineRule="auto"/>
              <w:rPr>
                <w:rFonts w:cs="Calibri"/>
                <w:color w:val="000000"/>
                <w:sz w:val="24"/>
                <w:szCs w:val="24"/>
                <w:lang w:val="en-GB"/>
              </w:rPr>
            </w:pPr>
          </w:p>
        </w:tc>
      </w:tr>
      <w:tr w:rsidR="00047E5F" w14:paraId="4877A736" w14:textId="77777777" w:rsidTr="00E42653">
        <w:tc>
          <w:tcPr>
            <w:tcW w:w="3438" w:type="dxa"/>
            <w:shd w:val="clear" w:color="auto" w:fill="auto"/>
          </w:tcPr>
          <w:p w14:paraId="51ACE781" w14:textId="77777777" w:rsidR="00047E5F" w:rsidRDefault="00047E5F" w:rsidP="00E42653">
            <w:pPr>
              <w:widowControl w:val="0"/>
              <w:autoSpaceDE w:val="0"/>
              <w:autoSpaceDN w:val="0"/>
              <w:adjustRightInd w:val="0"/>
              <w:spacing w:after="0" w:line="360" w:lineRule="auto"/>
              <w:rPr>
                <w:rFonts w:cs="Calibri"/>
                <w:color w:val="000000"/>
                <w:sz w:val="24"/>
                <w:szCs w:val="24"/>
                <w:lang w:val="en-GB"/>
              </w:rPr>
            </w:pPr>
            <w:r>
              <w:rPr>
                <w:rFonts w:cs="Calibri"/>
                <w:color w:val="000000"/>
                <w:sz w:val="24"/>
                <w:szCs w:val="24"/>
                <w:lang w:val="en-GB"/>
              </w:rPr>
              <w:t>IgG</w:t>
            </w:r>
          </w:p>
        </w:tc>
        <w:tc>
          <w:tcPr>
            <w:tcW w:w="1710" w:type="dxa"/>
          </w:tcPr>
          <w:p w14:paraId="713A1DE5" w14:textId="77777777" w:rsidR="00047E5F" w:rsidRDefault="00047E5F" w:rsidP="00E42653">
            <w:pPr>
              <w:widowControl w:val="0"/>
              <w:autoSpaceDE w:val="0"/>
              <w:autoSpaceDN w:val="0"/>
              <w:adjustRightInd w:val="0"/>
              <w:spacing w:after="0" w:line="360" w:lineRule="auto"/>
              <w:rPr>
                <w:rFonts w:cs="Calibri"/>
                <w:color w:val="000000"/>
                <w:sz w:val="24"/>
                <w:szCs w:val="24"/>
                <w:lang w:val="en-GB"/>
              </w:rPr>
            </w:pPr>
            <w:r>
              <w:rPr>
                <w:rFonts w:cs="Calibri"/>
                <w:color w:val="000000"/>
                <w:sz w:val="24"/>
                <w:szCs w:val="24"/>
                <w:lang w:val="en-GB"/>
              </w:rPr>
              <w:t>0.128 (0.159)</w:t>
            </w:r>
          </w:p>
        </w:tc>
        <w:tc>
          <w:tcPr>
            <w:tcW w:w="1980" w:type="dxa"/>
          </w:tcPr>
          <w:p w14:paraId="5D99D8D2" w14:textId="77777777" w:rsidR="00047E5F" w:rsidRDefault="00047E5F" w:rsidP="00E42653">
            <w:pPr>
              <w:widowControl w:val="0"/>
              <w:autoSpaceDE w:val="0"/>
              <w:autoSpaceDN w:val="0"/>
              <w:adjustRightInd w:val="0"/>
              <w:spacing w:after="0" w:line="360" w:lineRule="auto"/>
              <w:rPr>
                <w:rFonts w:cs="Calibri"/>
                <w:color w:val="000000"/>
                <w:sz w:val="24"/>
                <w:szCs w:val="24"/>
                <w:lang w:val="en-GB"/>
              </w:rPr>
            </w:pPr>
            <w:r>
              <w:rPr>
                <w:rFonts w:cs="Calibri"/>
                <w:color w:val="000000"/>
                <w:sz w:val="24"/>
                <w:szCs w:val="24"/>
                <w:lang w:val="en-GB"/>
              </w:rPr>
              <w:t>-0.036 (0.692)</w:t>
            </w:r>
          </w:p>
        </w:tc>
        <w:tc>
          <w:tcPr>
            <w:tcW w:w="1980" w:type="dxa"/>
          </w:tcPr>
          <w:p w14:paraId="721FC93A" w14:textId="77777777" w:rsidR="00047E5F" w:rsidRDefault="00047E5F" w:rsidP="00E42653">
            <w:pPr>
              <w:widowControl w:val="0"/>
              <w:autoSpaceDE w:val="0"/>
              <w:autoSpaceDN w:val="0"/>
              <w:adjustRightInd w:val="0"/>
              <w:spacing w:after="0" w:line="360" w:lineRule="auto"/>
              <w:rPr>
                <w:rFonts w:cs="Calibri"/>
                <w:color w:val="000000"/>
                <w:sz w:val="24"/>
                <w:szCs w:val="24"/>
                <w:lang w:val="en-GB"/>
              </w:rPr>
            </w:pPr>
            <w:r>
              <w:rPr>
                <w:rFonts w:cs="Calibri"/>
                <w:color w:val="000000"/>
                <w:sz w:val="24"/>
                <w:szCs w:val="24"/>
                <w:lang w:val="en-GB"/>
              </w:rPr>
              <w:t>1</w:t>
            </w:r>
          </w:p>
        </w:tc>
      </w:tr>
    </w:tbl>
    <w:p w14:paraId="3156A73F" w14:textId="77777777" w:rsidR="00047E5F" w:rsidRDefault="00047E5F" w:rsidP="00047E5F">
      <w:pPr>
        <w:widowControl w:val="0"/>
        <w:autoSpaceDE w:val="0"/>
        <w:autoSpaceDN w:val="0"/>
        <w:adjustRightInd w:val="0"/>
        <w:spacing w:after="0" w:line="360" w:lineRule="auto"/>
        <w:jc w:val="both"/>
        <w:rPr>
          <w:rFonts w:cs="Calibri"/>
          <w:sz w:val="24"/>
          <w:szCs w:val="24"/>
        </w:rPr>
      </w:pPr>
      <w:r>
        <w:rPr>
          <w:rFonts w:cs="Calibri"/>
          <w:sz w:val="24"/>
          <w:szCs w:val="24"/>
        </w:rPr>
        <w:t>*p&lt;0.05 (i.e. Significant).</w:t>
      </w:r>
    </w:p>
    <w:p w14:paraId="645AF38D" w14:textId="77777777" w:rsidR="00047E5F" w:rsidRDefault="00047E5F" w:rsidP="00047E5F">
      <w:pPr>
        <w:widowControl w:val="0"/>
        <w:autoSpaceDE w:val="0"/>
        <w:autoSpaceDN w:val="0"/>
        <w:adjustRightInd w:val="0"/>
        <w:spacing w:after="0" w:line="360" w:lineRule="auto"/>
        <w:jc w:val="both"/>
        <w:rPr>
          <w:rFonts w:cs="Calibri"/>
          <w:sz w:val="24"/>
          <w:szCs w:val="24"/>
        </w:rPr>
      </w:pPr>
    </w:p>
    <w:p w14:paraId="103E55FF" w14:textId="77777777" w:rsidR="00047E5F" w:rsidRDefault="00047E5F" w:rsidP="00047E5F">
      <w:pPr>
        <w:widowControl w:val="0"/>
        <w:autoSpaceDE w:val="0"/>
        <w:autoSpaceDN w:val="0"/>
        <w:adjustRightInd w:val="0"/>
        <w:spacing w:after="0" w:line="360" w:lineRule="auto"/>
        <w:jc w:val="both"/>
        <w:rPr>
          <w:rFonts w:eastAsia="Times New Roman" w:cs="Calibri"/>
          <w:color w:val="000000"/>
          <w:sz w:val="24"/>
          <w:szCs w:val="24"/>
        </w:rPr>
      </w:pPr>
      <w:r>
        <w:rPr>
          <w:rFonts w:cs="Calibri"/>
          <w:sz w:val="24"/>
          <w:szCs w:val="24"/>
        </w:rPr>
        <w:t>The table below showed a strong significant negative correlations between Age and IgM (r= -0.223, p=0.014) of test subjects. The table also showed no significant correlation between age and IgG (r= 0.128, p=0.159) of test subjects respectively.</w:t>
      </w:r>
    </w:p>
    <w:p w14:paraId="4275CF15" w14:textId="77777777" w:rsidR="00047E5F" w:rsidRDefault="00047E5F" w:rsidP="00047E5F">
      <w:pPr>
        <w:widowControl w:val="0"/>
        <w:autoSpaceDE w:val="0"/>
        <w:autoSpaceDN w:val="0"/>
        <w:adjustRightInd w:val="0"/>
        <w:spacing w:after="0" w:line="360" w:lineRule="auto"/>
        <w:jc w:val="both"/>
        <w:rPr>
          <w:rFonts w:cs="Calibri"/>
          <w:sz w:val="24"/>
          <w:szCs w:val="24"/>
        </w:rPr>
      </w:pPr>
    </w:p>
    <w:p w14:paraId="3C96425A" w14:textId="77777777" w:rsidR="00047E5F" w:rsidRDefault="00047E5F" w:rsidP="00047E5F">
      <w:pPr>
        <w:widowControl w:val="0"/>
        <w:autoSpaceDE w:val="0"/>
        <w:autoSpaceDN w:val="0"/>
        <w:adjustRightInd w:val="0"/>
        <w:spacing w:after="0" w:line="360" w:lineRule="auto"/>
        <w:jc w:val="both"/>
        <w:rPr>
          <w:rFonts w:cs="Calibri"/>
          <w:sz w:val="24"/>
          <w:szCs w:val="24"/>
        </w:rPr>
      </w:pPr>
    </w:p>
    <w:p w14:paraId="6B7C5BD9" w14:textId="77777777" w:rsidR="00047E5F" w:rsidRDefault="00047E5F" w:rsidP="00047E5F">
      <w:pPr>
        <w:spacing w:before="100" w:beforeAutospacing="1" w:after="100" w:afterAutospacing="1" w:line="360" w:lineRule="auto"/>
        <w:jc w:val="both"/>
        <w:outlineLvl w:val="2"/>
        <w:rPr>
          <w:rFonts w:eastAsia="Times New Roman" w:cs="Calibri"/>
          <w:b/>
          <w:bCs/>
          <w:sz w:val="24"/>
          <w:szCs w:val="24"/>
        </w:rPr>
      </w:pPr>
    </w:p>
    <w:p w14:paraId="1CDC75EA" w14:textId="77777777" w:rsidR="00047E5F" w:rsidRDefault="00047E5F" w:rsidP="00047E5F">
      <w:pPr>
        <w:spacing w:after="0" w:line="360" w:lineRule="auto"/>
        <w:rPr>
          <w:rFonts w:cs="Calibri"/>
          <w:b/>
          <w:sz w:val="24"/>
          <w:szCs w:val="24"/>
        </w:rPr>
      </w:pPr>
    </w:p>
    <w:p w14:paraId="50A46301" w14:textId="77777777" w:rsidR="00047E5F" w:rsidRDefault="00047E5F" w:rsidP="00047E5F">
      <w:pPr>
        <w:spacing w:after="0" w:line="360" w:lineRule="auto"/>
        <w:rPr>
          <w:rFonts w:cs="Calibri"/>
          <w:b/>
          <w:sz w:val="24"/>
          <w:szCs w:val="24"/>
        </w:rPr>
      </w:pPr>
    </w:p>
    <w:p w14:paraId="4D7704C4" w14:textId="77777777" w:rsidR="00047E5F" w:rsidRDefault="00047E5F" w:rsidP="00047E5F">
      <w:pPr>
        <w:spacing w:after="0" w:line="360" w:lineRule="auto"/>
        <w:rPr>
          <w:rFonts w:cs="Calibri"/>
          <w:b/>
          <w:sz w:val="24"/>
          <w:szCs w:val="24"/>
        </w:rPr>
      </w:pPr>
    </w:p>
    <w:p w14:paraId="69FEA027" w14:textId="77777777" w:rsidR="00047E5F" w:rsidRDefault="00047E5F" w:rsidP="00047E5F">
      <w:pPr>
        <w:spacing w:after="0" w:line="360" w:lineRule="auto"/>
        <w:rPr>
          <w:rFonts w:cs="Calibri"/>
          <w:b/>
          <w:sz w:val="24"/>
          <w:szCs w:val="24"/>
        </w:rPr>
      </w:pPr>
    </w:p>
    <w:p w14:paraId="6852E6E9" w14:textId="77777777" w:rsidR="00047E5F" w:rsidRDefault="00047E5F" w:rsidP="00047E5F">
      <w:pPr>
        <w:spacing w:after="0" w:line="360" w:lineRule="auto"/>
        <w:rPr>
          <w:rFonts w:cs="Calibri"/>
          <w:b/>
          <w:sz w:val="24"/>
          <w:szCs w:val="24"/>
        </w:rPr>
      </w:pPr>
    </w:p>
    <w:p w14:paraId="4F716451" w14:textId="77777777" w:rsidR="00047E5F" w:rsidRDefault="00047E5F" w:rsidP="00047E5F">
      <w:pPr>
        <w:spacing w:line="360" w:lineRule="auto"/>
        <w:rPr>
          <w:rFonts w:cs="Calibri"/>
          <w:b/>
          <w:sz w:val="24"/>
          <w:szCs w:val="24"/>
        </w:rPr>
      </w:pPr>
    </w:p>
    <w:p w14:paraId="4C2251F0" w14:textId="77777777" w:rsidR="00047E5F" w:rsidRDefault="00047E5F" w:rsidP="00047E5F">
      <w:pPr>
        <w:spacing w:line="360" w:lineRule="auto"/>
        <w:rPr>
          <w:rFonts w:cs="Calibri"/>
          <w:b/>
          <w:sz w:val="24"/>
          <w:szCs w:val="24"/>
        </w:rPr>
      </w:pPr>
    </w:p>
    <w:p w14:paraId="5BAE4E36" w14:textId="77777777" w:rsidR="00047E5F" w:rsidRDefault="00047E5F" w:rsidP="00047E5F">
      <w:pPr>
        <w:spacing w:line="360" w:lineRule="auto"/>
        <w:rPr>
          <w:rFonts w:cs="Calibri"/>
          <w:b/>
          <w:sz w:val="24"/>
          <w:szCs w:val="24"/>
        </w:rPr>
      </w:pPr>
    </w:p>
    <w:p w14:paraId="48FB4848" w14:textId="77777777" w:rsidR="00047E5F" w:rsidRDefault="00047E5F" w:rsidP="00047E5F">
      <w:pPr>
        <w:spacing w:line="360" w:lineRule="auto"/>
        <w:rPr>
          <w:rFonts w:cs="Calibri"/>
          <w:b/>
          <w:sz w:val="24"/>
          <w:szCs w:val="24"/>
        </w:rPr>
      </w:pPr>
    </w:p>
    <w:p w14:paraId="6B10C3C0" w14:textId="5AEFD156" w:rsidR="00047E5F" w:rsidRDefault="00047E5F" w:rsidP="00047E5F">
      <w:pPr>
        <w:spacing w:line="360" w:lineRule="auto"/>
        <w:jc w:val="both"/>
        <w:rPr>
          <w:rFonts w:cs="Calibri"/>
          <w:sz w:val="24"/>
          <w:szCs w:val="24"/>
        </w:rPr>
      </w:pPr>
      <w:r>
        <w:rPr>
          <w:rFonts w:cs="Calibri"/>
          <w:b/>
          <w:sz w:val="24"/>
          <w:szCs w:val="24"/>
        </w:rPr>
        <w:lastRenderedPageBreak/>
        <w:t xml:space="preserve">TABLE </w:t>
      </w:r>
      <w:r w:rsidR="009A2B7B">
        <w:rPr>
          <w:rFonts w:cs="Calibri"/>
          <w:b/>
          <w:sz w:val="24"/>
          <w:szCs w:val="24"/>
        </w:rPr>
        <w:t>3</w:t>
      </w:r>
      <w:r>
        <w:rPr>
          <w:rFonts w:cs="Calibri"/>
          <w:b/>
          <w:sz w:val="24"/>
          <w:szCs w:val="24"/>
        </w:rPr>
        <w:t>: RELATIONSHIP BETWEEN SEX AND SARS-COV-2 (COVID-19 INFECTION) ANTIBODIES OF TEST SUBJECTS (n=122)</w:t>
      </w:r>
    </w:p>
    <w:tbl>
      <w:tblPr>
        <w:tblW w:w="9558" w:type="dxa"/>
        <w:tblBorders>
          <w:top w:val="single" w:sz="4" w:space="0" w:color="auto"/>
          <w:bottom w:val="single" w:sz="4" w:space="0" w:color="auto"/>
        </w:tblBorders>
        <w:tblLayout w:type="fixed"/>
        <w:tblLook w:val="04A0" w:firstRow="1" w:lastRow="0" w:firstColumn="1" w:lastColumn="0" w:noHBand="0" w:noVBand="1"/>
      </w:tblPr>
      <w:tblGrid>
        <w:gridCol w:w="1998"/>
        <w:gridCol w:w="1800"/>
        <w:gridCol w:w="1800"/>
        <w:gridCol w:w="1080"/>
        <w:gridCol w:w="1080"/>
        <w:gridCol w:w="1800"/>
      </w:tblGrid>
      <w:tr w:rsidR="00047E5F" w14:paraId="1612E35D" w14:textId="77777777" w:rsidTr="00E42653">
        <w:tc>
          <w:tcPr>
            <w:tcW w:w="1998" w:type="dxa"/>
            <w:shd w:val="clear" w:color="auto" w:fill="auto"/>
          </w:tcPr>
          <w:p w14:paraId="7D329588" w14:textId="77777777" w:rsidR="00047E5F" w:rsidRDefault="00047E5F" w:rsidP="00E42653">
            <w:pPr>
              <w:widowControl w:val="0"/>
              <w:autoSpaceDE w:val="0"/>
              <w:autoSpaceDN w:val="0"/>
              <w:adjustRightInd w:val="0"/>
              <w:spacing w:after="0" w:line="360" w:lineRule="auto"/>
              <w:rPr>
                <w:rFonts w:cs="Calibri"/>
                <w:b/>
                <w:sz w:val="24"/>
                <w:szCs w:val="24"/>
                <w:lang w:val="en-GB"/>
              </w:rPr>
            </w:pPr>
            <w:r>
              <w:rPr>
                <w:rFonts w:eastAsia="Times New Roman" w:cs="Calibri"/>
                <w:b/>
                <w:color w:val="000000"/>
                <w:sz w:val="24"/>
                <w:szCs w:val="24"/>
              </w:rPr>
              <w:t>SARS-COV-2 ANTIBODIES</w:t>
            </w:r>
          </w:p>
        </w:tc>
        <w:tc>
          <w:tcPr>
            <w:tcW w:w="3600" w:type="dxa"/>
            <w:gridSpan w:val="2"/>
            <w:shd w:val="clear" w:color="auto" w:fill="auto"/>
          </w:tcPr>
          <w:p w14:paraId="189F7B1E" w14:textId="77777777" w:rsidR="00047E5F" w:rsidRDefault="00047E5F" w:rsidP="00E42653">
            <w:pPr>
              <w:widowControl w:val="0"/>
              <w:autoSpaceDE w:val="0"/>
              <w:autoSpaceDN w:val="0"/>
              <w:adjustRightInd w:val="0"/>
              <w:spacing w:after="0" w:line="360" w:lineRule="auto"/>
              <w:jc w:val="center"/>
              <w:rPr>
                <w:rFonts w:cs="Calibri"/>
                <w:b/>
                <w:sz w:val="24"/>
                <w:szCs w:val="24"/>
                <w:lang w:val="en-GB"/>
              </w:rPr>
            </w:pPr>
            <w:r>
              <w:rPr>
                <w:rFonts w:cs="Calibri"/>
                <w:b/>
                <w:sz w:val="24"/>
                <w:szCs w:val="24"/>
                <w:lang w:val="en-GB"/>
              </w:rPr>
              <w:t>SEX</w:t>
            </w:r>
          </w:p>
        </w:tc>
        <w:tc>
          <w:tcPr>
            <w:tcW w:w="1080" w:type="dxa"/>
            <w:shd w:val="clear" w:color="auto" w:fill="auto"/>
          </w:tcPr>
          <w:p w14:paraId="3942F95A" w14:textId="77777777" w:rsidR="00047E5F" w:rsidRDefault="00047E5F" w:rsidP="00E42653">
            <w:pPr>
              <w:widowControl w:val="0"/>
              <w:autoSpaceDE w:val="0"/>
              <w:autoSpaceDN w:val="0"/>
              <w:adjustRightInd w:val="0"/>
              <w:spacing w:after="0" w:line="360" w:lineRule="auto"/>
              <w:rPr>
                <w:rFonts w:cs="Calibri"/>
                <w:b/>
                <w:sz w:val="24"/>
                <w:szCs w:val="24"/>
                <w:lang w:val="en-GB"/>
              </w:rPr>
            </w:pPr>
            <w:r>
              <w:rPr>
                <w:rFonts w:cs="Calibri"/>
                <w:b/>
                <w:sz w:val="24"/>
                <w:szCs w:val="24"/>
                <w:lang w:val="en-GB"/>
              </w:rPr>
              <w:t>t-test</w:t>
            </w:r>
          </w:p>
        </w:tc>
        <w:tc>
          <w:tcPr>
            <w:tcW w:w="1080" w:type="dxa"/>
            <w:shd w:val="clear" w:color="auto" w:fill="auto"/>
          </w:tcPr>
          <w:p w14:paraId="5964C829" w14:textId="77777777" w:rsidR="00047E5F" w:rsidRDefault="00047E5F" w:rsidP="00E42653">
            <w:pPr>
              <w:widowControl w:val="0"/>
              <w:autoSpaceDE w:val="0"/>
              <w:autoSpaceDN w:val="0"/>
              <w:adjustRightInd w:val="0"/>
              <w:spacing w:after="0" w:line="360" w:lineRule="auto"/>
              <w:rPr>
                <w:rFonts w:cs="Calibri"/>
                <w:b/>
                <w:sz w:val="24"/>
                <w:szCs w:val="24"/>
                <w:lang w:val="en-GB"/>
              </w:rPr>
            </w:pPr>
            <w:r>
              <w:rPr>
                <w:rFonts w:cs="Calibri"/>
                <w:b/>
                <w:sz w:val="24"/>
                <w:szCs w:val="24"/>
                <w:lang w:val="en-GB"/>
              </w:rPr>
              <w:t>p-value</w:t>
            </w:r>
          </w:p>
        </w:tc>
        <w:tc>
          <w:tcPr>
            <w:tcW w:w="1800" w:type="dxa"/>
          </w:tcPr>
          <w:p w14:paraId="0A5FBE44" w14:textId="77777777" w:rsidR="00047E5F" w:rsidRDefault="00047E5F" w:rsidP="00E42653">
            <w:pPr>
              <w:widowControl w:val="0"/>
              <w:autoSpaceDE w:val="0"/>
              <w:autoSpaceDN w:val="0"/>
              <w:adjustRightInd w:val="0"/>
              <w:spacing w:after="0" w:line="360" w:lineRule="auto"/>
              <w:rPr>
                <w:rFonts w:cs="Calibri"/>
                <w:b/>
                <w:sz w:val="24"/>
                <w:szCs w:val="24"/>
                <w:lang w:val="en-GB"/>
              </w:rPr>
            </w:pPr>
            <w:r>
              <w:rPr>
                <w:rFonts w:cs="Calibri"/>
                <w:b/>
                <w:sz w:val="24"/>
                <w:szCs w:val="24"/>
                <w:lang w:val="en-GB"/>
              </w:rPr>
              <w:t>Remark</w:t>
            </w:r>
          </w:p>
        </w:tc>
      </w:tr>
      <w:tr w:rsidR="00047E5F" w14:paraId="5370CBEA" w14:textId="77777777" w:rsidTr="00E42653">
        <w:tc>
          <w:tcPr>
            <w:tcW w:w="1998" w:type="dxa"/>
            <w:shd w:val="clear" w:color="auto" w:fill="auto"/>
            <w:vAlign w:val="bottom"/>
          </w:tcPr>
          <w:p w14:paraId="6DA92426" w14:textId="77777777" w:rsidR="00047E5F" w:rsidRDefault="00047E5F" w:rsidP="00E42653">
            <w:pPr>
              <w:widowControl w:val="0"/>
              <w:autoSpaceDE w:val="0"/>
              <w:autoSpaceDN w:val="0"/>
              <w:adjustRightInd w:val="0"/>
              <w:spacing w:after="0" w:line="360" w:lineRule="auto"/>
              <w:rPr>
                <w:rFonts w:eastAsia="Times New Roman" w:cs="Calibri"/>
                <w:sz w:val="24"/>
                <w:szCs w:val="24"/>
              </w:rPr>
            </w:pPr>
          </w:p>
        </w:tc>
        <w:tc>
          <w:tcPr>
            <w:tcW w:w="1800" w:type="dxa"/>
            <w:shd w:val="clear" w:color="auto" w:fill="auto"/>
          </w:tcPr>
          <w:p w14:paraId="0CDCBCF2" w14:textId="77777777" w:rsidR="00047E5F" w:rsidRDefault="00047E5F" w:rsidP="00E42653">
            <w:pPr>
              <w:widowControl w:val="0"/>
              <w:autoSpaceDE w:val="0"/>
              <w:autoSpaceDN w:val="0"/>
              <w:adjustRightInd w:val="0"/>
              <w:spacing w:after="0" w:line="360" w:lineRule="auto"/>
              <w:rPr>
                <w:rFonts w:cs="Calibri"/>
                <w:sz w:val="24"/>
                <w:szCs w:val="24"/>
                <w:lang w:val="en-GB"/>
              </w:rPr>
            </w:pPr>
            <w:r>
              <w:rPr>
                <w:rFonts w:cs="Calibri"/>
                <w:sz w:val="24"/>
                <w:szCs w:val="24"/>
                <w:lang w:val="en-GB"/>
              </w:rPr>
              <w:t>Male (n=64)</w:t>
            </w:r>
          </w:p>
        </w:tc>
        <w:tc>
          <w:tcPr>
            <w:tcW w:w="1800" w:type="dxa"/>
            <w:shd w:val="clear" w:color="auto" w:fill="auto"/>
          </w:tcPr>
          <w:p w14:paraId="0B493C33" w14:textId="77777777" w:rsidR="00047E5F" w:rsidRDefault="00047E5F" w:rsidP="00E42653">
            <w:pPr>
              <w:widowControl w:val="0"/>
              <w:autoSpaceDE w:val="0"/>
              <w:autoSpaceDN w:val="0"/>
              <w:adjustRightInd w:val="0"/>
              <w:spacing w:after="0" w:line="360" w:lineRule="auto"/>
              <w:rPr>
                <w:rFonts w:cs="Calibri"/>
                <w:sz w:val="24"/>
                <w:szCs w:val="24"/>
                <w:lang w:val="en-GB"/>
              </w:rPr>
            </w:pPr>
            <w:r>
              <w:rPr>
                <w:rFonts w:cs="Calibri"/>
                <w:sz w:val="24"/>
                <w:szCs w:val="24"/>
                <w:lang w:val="en-GB"/>
              </w:rPr>
              <w:t>Female (n=58)</w:t>
            </w:r>
          </w:p>
        </w:tc>
        <w:tc>
          <w:tcPr>
            <w:tcW w:w="1080" w:type="dxa"/>
            <w:shd w:val="clear" w:color="auto" w:fill="auto"/>
          </w:tcPr>
          <w:p w14:paraId="1397316B" w14:textId="77777777" w:rsidR="00047E5F" w:rsidRDefault="00047E5F" w:rsidP="00E42653">
            <w:pPr>
              <w:widowControl w:val="0"/>
              <w:autoSpaceDE w:val="0"/>
              <w:autoSpaceDN w:val="0"/>
              <w:adjustRightInd w:val="0"/>
              <w:spacing w:after="0" w:line="360" w:lineRule="auto"/>
              <w:rPr>
                <w:rFonts w:cs="Calibri"/>
                <w:sz w:val="24"/>
                <w:szCs w:val="24"/>
                <w:lang w:val="en-GB"/>
              </w:rPr>
            </w:pPr>
          </w:p>
        </w:tc>
        <w:tc>
          <w:tcPr>
            <w:tcW w:w="1080" w:type="dxa"/>
            <w:shd w:val="clear" w:color="auto" w:fill="auto"/>
          </w:tcPr>
          <w:p w14:paraId="2A4F94E3" w14:textId="77777777" w:rsidR="00047E5F" w:rsidRDefault="00047E5F" w:rsidP="00E42653">
            <w:pPr>
              <w:widowControl w:val="0"/>
              <w:autoSpaceDE w:val="0"/>
              <w:autoSpaceDN w:val="0"/>
              <w:adjustRightInd w:val="0"/>
              <w:spacing w:after="0" w:line="360" w:lineRule="auto"/>
              <w:rPr>
                <w:rFonts w:cs="Calibri"/>
                <w:sz w:val="24"/>
                <w:szCs w:val="24"/>
                <w:lang w:val="en-GB"/>
              </w:rPr>
            </w:pPr>
          </w:p>
        </w:tc>
        <w:tc>
          <w:tcPr>
            <w:tcW w:w="1800" w:type="dxa"/>
          </w:tcPr>
          <w:p w14:paraId="4A0F9916" w14:textId="77777777" w:rsidR="00047E5F" w:rsidRDefault="00047E5F" w:rsidP="00E42653">
            <w:pPr>
              <w:widowControl w:val="0"/>
              <w:autoSpaceDE w:val="0"/>
              <w:autoSpaceDN w:val="0"/>
              <w:adjustRightInd w:val="0"/>
              <w:spacing w:after="0" w:line="360" w:lineRule="auto"/>
              <w:rPr>
                <w:rFonts w:cs="Calibri"/>
                <w:sz w:val="24"/>
                <w:szCs w:val="24"/>
                <w:lang w:val="en-GB"/>
              </w:rPr>
            </w:pPr>
          </w:p>
        </w:tc>
      </w:tr>
      <w:tr w:rsidR="00047E5F" w14:paraId="4B93A863" w14:textId="77777777" w:rsidTr="00E42653">
        <w:tc>
          <w:tcPr>
            <w:tcW w:w="1998" w:type="dxa"/>
            <w:tcBorders>
              <w:bottom w:val="single" w:sz="4" w:space="0" w:color="auto"/>
            </w:tcBorders>
            <w:shd w:val="clear" w:color="auto" w:fill="auto"/>
            <w:vAlign w:val="bottom"/>
          </w:tcPr>
          <w:p w14:paraId="294BB191" w14:textId="77777777" w:rsidR="00047E5F" w:rsidRDefault="00047E5F" w:rsidP="00E42653">
            <w:pPr>
              <w:widowControl w:val="0"/>
              <w:autoSpaceDE w:val="0"/>
              <w:autoSpaceDN w:val="0"/>
              <w:adjustRightInd w:val="0"/>
              <w:spacing w:after="0" w:line="360" w:lineRule="auto"/>
              <w:rPr>
                <w:rFonts w:eastAsia="Times New Roman" w:cs="Calibri"/>
                <w:sz w:val="24"/>
                <w:szCs w:val="24"/>
              </w:rPr>
            </w:pPr>
          </w:p>
        </w:tc>
        <w:tc>
          <w:tcPr>
            <w:tcW w:w="1800" w:type="dxa"/>
            <w:tcBorders>
              <w:bottom w:val="single" w:sz="4" w:space="0" w:color="auto"/>
            </w:tcBorders>
            <w:shd w:val="clear" w:color="auto" w:fill="auto"/>
          </w:tcPr>
          <w:p w14:paraId="57E7CE2F" w14:textId="77777777" w:rsidR="00047E5F" w:rsidRDefault="00047E5F" w:rsidP="00E42653">
            <w:pPr>
              <w:widowControl w:val="0"/>
              <w:autoSpaceDE w:val="0"/>
              <w:autoSpaceDN w:val="0"/>
              <w:adjustRightInd w:val="0"/>
              <w:spacing w:after="0" w:line="360" w:lineRule="auto"/>
              <w:rPr>
                <w:rFonts w:cs="Calibri"/>
                <w:sz w:val="24"/>
                <w:szCs w:val="24"/>
                <w:lang w:val="en-GB"/>
              </w:rPr>
            </w:pPr>
            <w:r>
              <w:rPr>
                <w:rFonts w:cs="Calibri"/>
                <w:sz w:val="24"/>
                <w:szCs w:val="24"/>
                <w:lang w:val="en-GB"/>
              </w:rPr>
              <w:t>Mean (±SD)</w:t>
            </w:r>
          </w:p>
        </w:tc>
        <w:tc>
          <w:tcPr>
            <w:tcW w:w="1800" w:type="dxa"/>
            <w:tcBorders>
              <w:bottom w:val="single" w:sz="4" w:space="0" w:color="auto"/>
            </w:tcBorders>
            <w:shd w:val="clear" w:color="auto" w:fill="auto"/>
          </w:tcPr>
          <w:p w14:paraId="72DDB7FD" w14:textId="77777777" w:rsidR="00047E5F" w:rsidRDefault="00047E5F" w:rsidP="00E42653">
            <w:pPr>
              <w:widowControl w:val="0"/>
              <w:autoSpaceDE w:val="0"/>
              <w:autoSpaceDN w:val="0"/>
              <w:adjustRightInd w:val="0"/>
              <w:spacing w:after="0" w:line="360" w:lineRule="auto"/>
              <w:rPr>
                <w:rFonts w:cs="Calibri"/>
                <w:sz w:val="24"/>
                <w:szCs w:val="24"/>
                <w:lang w:val="en-GB"/>
              </w:rPr>
            </w:pPr>
            <w:r>
              <w:rPr>
                <w:rFonts w:cs="Calibri"/>
                <w:sz w:val="24"/>
                <w:szCs w:val="24"/>
                <w:lang w:val="en-GB"/>
              </w:rPr>
              <w:t>Mean (±SD)</w:t>
            </w:r>
          </w:p>
        </w:tc>
        <w:tc>
          <w:tcPr>
            <w:tcW w:w="1080" w:type="dxa"/>
            <w:tcBorders>
              <w:bottom w:val="single" w:sz="4" w:space="0" w:color="auto"/>
            </w:tcBorders>
            <w:shd w:val="clear" w:color="auto" w:fill="auto"/>
          </w:tcPr>
          <w:p w14:paraId="3EE859B9" w14:textId="77777777" w:rsidR="00047E5F" w:rsidRDefault="00047E5F" w:rsidP="00E42653">
            <w:pPr>
              <w:widowControl w:val="0"/>
              <w:autoSpaceDE w:val="0"/>
              <w:autoSpaceDN w:val="0"/>
              <w:adjustRightInd w:val="0"/>
              <w:spacing w:after="0" w:line="360" w:lineRule="auto"/>
              <w:rPr>
                <w:rFonts w:cs="Calibri"/>
                <w:sz w:val="24"/>
                <w:szCs w:val="24"/>
                <w:lang w:val="en-GB"/>
              </w:rPr>
            </w:pPr>
          </w:p>
        </w:tc>
        <w:tc>
          <w:tcPr>
            <w:tcW w:w="1080" w:type="dxa"/>
            <w:tcBorders>
              <w:bottom w:val="single" w:sz="4" w:space="0" w:color="auto"/>
            </w:tcBorders>
            <w:shd w:val="clear" w:color="auto" w:fill="auto"/>
          </w:tcPr>
          <w:p w14:paraId="72C6EEF0" w14:textId="77777777" w:rsidR="00047E5F" w:rsidRDefault="00047E5F" w:rsidP="00E42653">
            <w:pPr>
              <w:widowControl w:val="0"/>
              <w:autoSpaceDE w:val="0"/>
              <w:autoSpaceDN w:val="0"/>
              <w:adjustRightInd w:val="0"/>
              <w:spacing w:after="0" w:line="360" w:lineRule="auto"/>
              <w:rPr>
                <w:rFonts w:cs="Calibri"/>
                <w:sz w:val="24"/>
                <w:szCs w:val="24"/>
                <w:lang w:val="en-GB"/>
              </w:rPr>
            </w:pPr>
          </w:p>
        </w:tc>
        <w:tc>
          <w:tcPr>
            <w:tcW w:w="1800" w:type="dxa"/>
            <w:tcBorders>
              <w:bottom w:val="single" w:sz="4" w:space="0" w:color="auto"/>
            </w:tcBorders>
          </w:tcPr>
          <w:p w14:paraId="54C95A22" w14:textId="77777777" w:rsidR="00047E5F" w:rsidRDefault="00047E5F" w:rsidP="00E42653">
            <w:pPr>
              <w:widowControl w:val="0"/>
              <w:autoSpaceDE w:val="0"/>
              <w:autoSpaceDN w:val="0"/>
              <w:adjustRightInd w:val="0"/>
              <w:spacing w:after="0" w:line="360" w:lineRule="auto"/>
              <w:rPr>
                <w:rFonts w:cs="Calibri"/>
                <w:sz w:val="24"/>
                <w:szCs w:val="24"/>
                <w:lang w:val="en-GB"/>
              </w:rPr>
            </w:pPr>
          </w:p>
        </w:tc>
      </w:tr>
      <w:tr w:rsidR="00047E5F" w14:paraId="01FE3BB5" w14:textId="77777777" w:rsidTr="00E42653">
        <w:tc>
          <w:tcPr>
            <w:tcW w:w="1998" w:type="dxa"/>
            <w:tcBorders>
              <w:top w:val="single" w:sz="4" w:space="0" w:color="auto"/>
            </w:tcBorders>
            <w:shd w:val="clear" w:color="auto" w:fill="auto"/>
          </w:tcPr>
          <w:p w14:paraId="7AAFB63A" w14:textId="77777777" w:rsidR="00047E5F" w:rsidRDefault="00047E5F" w:rsidP="00E42653">
            <w:pPr>
              <w:widowControl w:val="0"/>
              <w:autoSpaceDE w:val="0"/>
              <w:autoSpaceDN w:val="0"/>
              <w:adjustRightInd w:val="0"/>
              <w:spacing w:after="0" w:line="360" w:lineRule="auto"/>
              <w:rPr>
                <w:rFonts w:cs="Calibri"/>
                <w:color w:val="000000"/>
                <w:sz w:val="24"/>
                <w:szCs w:val="24"/>
                <w:lang w:val="en-GB"/>
              </w:rPr>
            </w:pPr>
            <w:r>
              <w:rPr>
                <w:rFonts w:cs="Calibri"/>
                <w:color w:val="000000"/>
                <w:sz w:val="24"/>
                <w:szCs w:val="24"/>
                <w:lang w:val="en-GB"/>
              </w:rPr>
              <w:t>IgM</w:t>
            </w:r>
          </w:p>
        </w:tc>
        <w:tc>
          <w:tcPr>
            <w:tcW w:w="1800" w:type="dxa"/>
            <w:tcBorders>
              <w:top w:val="single" w:sz="4" w:space="0" w:color="auto"/>
            </w:tcBorders>
            <w:shd w:val="clear" w:color="auto" w:fill="auto"/>
          </w:tcPr>
          <w:p w14:paraId="41EECE39" w14:textId="77777777" w:rsidR="00047E5F" w:rsidRDefault="00047E5F" w:rsidP="00E42653">
            <w:pPr>
              <w:widowControl w:val="0"/>
              <w:autoSpaceDE w:val="0"/>
              <w:autoSpaceDN w:val="0"/>
              <w:adjustRightInd w:val="0"/>
              <w:spacing w:after="0" w:line="360" w:lineRule="auto"/>
              <w:rPr>
                <w:rFonts w:cs="Calibri"/>
                <w:sz w:val="24"/>
                <w:szCs w:val="24"/>
                <w:lang w:val="en-GB"/>
              </w:rPr>
            </w:pPr>
            <w:r>
              <w:rPr>
                <w:rFonts w:cs="Calibri"/>
                <w:sz w:val="24"/>
                <w:szCs w:val="24"/>
                <w:lang w:val="en-GB"/>
              </w:rPr>
              <w:t>0.28 ± 0.20</w:t>
            </w:r>
          </w:p>
        </w:tc>
        <w:tc>
          <w:tcPr>
            <w:tcW w:w="1800" w:type="dxa"/>
            <w:tcBorders>
              <w:top w:val="single" w:sz="4" w:space="0" w:color="auto"/>
            </w:tcBorders>
            <w:shd w:val="clear" w:color="auto" w:fill="auto"/>
          </w:tcPr>
          <w:p w14:paraId="016A43FE" w14:textId="77777777" w:rsidR="00047E5F" w:rsidRDefault="00047E5F" w:rsidP="00E42653">
            <w:pPr>
              <w:widowControl w:val="0"/>
              <w:autoSpaceDE w:val="0"/>
              <w:autoSpaceDN w:val="0"/>
              <w:adjustRightInd w:val="0"/>
              <w:spacing w:after="0" w:line="360" w:lineRule="auto"/>
              <w:rPr>
                <w:rFonts w:cs="Calibri"/>
                <w:sz w:val="24"/>
                <w:szCs w:val="24"/>
                <w:lang w:val="en-GB"/>
              </w:rPr>
            </w:pPr>
            <w:r>
              <w:rPr>
                <w:rFonts w:cs="Calibri"/>
                <w:sz w:val="24"/>
                <w:szCs w:val="24"/>
                <w:lang w:val="en-GB"/>
              </w:rPr>
              <w:t>0.28 ± 0.21</w:t>
            </w:r>
          </w:p>
        </w:tc>
        <w:tc>
          <w:tcPr>
            <w:tcW w:w="1080" w:type="dxa"/>
            <w:tcBorders>
              <w:top w:val="single" w:sz="4" w:space="0" w:color="auto"/>
            </w:tcBorders>
            <w:shd w:val="clear" w:color="auto" w:fill="auto"/>
          </w:tcPr>
          <w:p w14:paraId="64BF0E3C" w14:textId="77777777" w:rsidR="00047E5F" w:rsidRDefault="00047E5F" w:rsidP="00E42653">
            <w:pPr>
              <w:widowControl w:val="0"/>
              <w:autoSpaceDE w:val="0"/>
              <w:autoSpaceDN w:val="0"/>
              <w:adjustRightInd w:val="0"/>
              <w:spacing w:after="0" w:line="360" w:lineRule="auto"/>
              <w:rPr>
                <w:rFonts w:cs="Calibri"/>
                <w:sz w:val="24"/>
                <w:szCs w:val="24"/>
                <w:lang w:val="en-GB"/>
              </w:rPr>
            </w:pPr>
            <w:r>
              <w:rPr>
                <w:rFonts w:cs="Calibri"/>
                <w:sz w:val="24"/>
                <w:szCs w:val="24"/>
                <w:lang w:val="en-GB"/>
              </w:rPr>
              <w:t>0.152</w:t>
            </w:r>
          </w:p>
        </w:tc>
        <w:tc>
          <w:tcPr>
            <w:tcW w:w="1080" w:type="dxa"/>
            <w:tcBorders>
              <w:top w:val="single" w:sz="4" w:space="0" w:color="auto"/>
            </w:tcBorders>
            <w:shd w:val="clear" w:color="auto" w:fill="auto"/>
          </w:tcPr>
          <w:p w14:paraId="1091FF06" w14:textId="77777777" w:rsidR="00047E5F" w:rsidRDefault="00047E5F" w:rsidP="00E42653">
            <w:pPr>
              <w:widowControl w:val="0"/>
              <w:autoSpaceDE w:val="0"/>
              <w:autoSpaceDN w:val="0"/>
              <w:adjustRightInd w:val="0"/>
              <w:spacing w:after="0" w:line="360" w:lineRule="auto"/>
              <w:rPr>
                <w:rFonts w:cs="Calibri"/>
                <w:sz w:val="24"/>
                <w:szCs w:val="24"/>
                <w:lang w:val="en-GB"/>
              </w:rPr>
            </w:pPr>
            <w:r>
              <w:rPr>
                <w:rFonts w:cs="Calibri"/>
                <w:sz w:val="24"/>
                <w:szCs w:val="24"/>
                <w:lang w:val="en-GB"/>
              </w:rPr>
              <w:t>0.879</w:t>
            </w:r>
          </w:p>
        </w:tc>
        <w:tc>
          <w:tcPr>
            <w:tcW w:w="1800" w:type="dxa"/>
            <w:tcBorders>
              <w:top w:val="single" w:sz="4" w:space="0" w:color="auto"/>
            </w:tcBorders>
          </w:tcPr>
          <w:p w14:paraId="4BF14559" w14:textId="77777777" w:rsidR="00047E5F" w:rsidRDefault="00047E5F" w:rsidP="00E42653">
            <w:pPr>
              <w:widowControl w:val="0"/>
              <w:autoSpaceDE w:val="0"/>
              <w:autoSpaceDN w:val="0"/>
              <w:adjustRightInd w:val="0"/>
              <w:spacing w:after="0" w:line="360" w:lineRule="auto"/>
              <w:rPr>
                <w:rFonts w:eastAsia="Times New Roman" w:cs="Calibri"/>
                <w:sz w:val="24"/>
                <w:szCs w:val="24"/>
              </w:rPr>
            </w:pPr>
            <w:r>
              <w:rPr>
                <w:rFonts w:eastAsia="Times New Roman" w:cs="Calibri"/>
                <w:sz w:val="24"/>
                <w:szCs w:val="24"/>
              </w:rPr>
              <w:t>Not Significant</w:t>
            </w:r>
          </w:p>
        </w:tc>
      </w:tr>
      <w:tr w:rsidR="00047E5F" w14:paraId="275210FD" w14:textId="77777777" w:rsidTr="00E42653">
        <w:tc>
          <w:tcPr>
            <w:tcW w:w="1998" w:type="dxa"/>
            <w:shd w:val="clear" w:color="auto" w:fill="auto"/>
          </w:tcPr>
          <w:p w14:paraId="1145301A" w14:textId="77777777" w:rsidR="00047E5F" w:rsidRDefault="00047E5F" w:rsidP="00E42653">
            <w:pPr>
              <w:widowControl w:val="0"/>
              <w:autoSpaceDE w:val="0"/>
              <w:autoSpaceDN w:val="0"/>
              <w:adjustRightInd w:val="0"/>
              <w:spacing w:after="0" w:line="360" w:lineRule="auto"/>
              <w:rPr>
                <w:rFonts w:cs="Calibri"/>
                <w:color w:val="000000"/>
                <w:sz w:val="24"/>
                <w:szCs w:val="24"/>
                <w:lang w:val="en-GB"/>
              </w:rPr>
            </w:pPr>
            <w:r>
              <w:rPr>
                <w:rFonts w:cs="Calibri"/>
                <w:color w:val="000000"/>
                <w:sz w:val="24"/>
                <w:szCs w:val="24"/>
                <w:lang w:val="en-GB"/>
              </w:rPr>
              <w:t>IgG</w:t>
            </w:r>
          </w:p>
        </w:tc>
        <w:tc>
          <w:tcPr>
            <w:tcW w:w="1800" w:type="dxa"/>
            <w:shd w:val="clear" w:color="auto" w:fill="auto"/>
          </w:tcPr>
          <w:p w14:paraId="26530268" w14:textId="77777777" w:rsidR="00047E5F" w:rsidRDefault="00047E5F" w:rsidP="00E42653">
            <w:pPr>
              <w:widowControl w:val="0"/>
              <w:autoSpaceDE w:val="0"/>
              <w:autoSpaceDN w:val="0"/>
              <w:adjustRightInd w:val="0"/>
              <w:spacing w:after="0" w:line="360" w:lineRule="auto"/>
              <w:rPr>
                <w:rFonts w:cs="Calibri"/>
                <w:sz w:val="24"/>
                <w:szCs w:val="24"/>
                <w:lang w:val="en-GB"/>
              </w:rPr>
            </w:pPr>
            <w:r>
              <w:rPr>
                <w:rFonts w:cs="Calibri"/>
                <w:sz w:val="24"/>
                <w:szCs w:val="24"/>
                <w:lang w:val="en-GB"/>
              </w:rPr>
              <w:t>0.17 ± 0.02</w:t>
            </w:r>
          </w:p>
        </w:tc>
        <w:tc>
          <w:tcPr>
            <w:tcW w:w="1800" w:type="dxa"/>
            <w:shd w:val="clear" w:color="auto" w:fill="auto"/>
          </w:tcPr>
          <w:p w14:paraId="599019A9" w14:textId="77777777" w:rsidR="00047E5F" w:rsidRDefault="00047E5F" w:rsidP="00E42653">
            <w:pPr>
              <w:widowControl w:val="0"/>
              <w:autoSpaceDE w:val="0"/>
              <w:autoSpaceDN w:val="0"/>
              <w:adjustRightInd w:val="0"/>
              <w:spacing w:after="0" w:line="360" w:lineRule="auto"/>
              <w:rPr>
                <w:rFonts w:cs="Calibri"/>
                <w:sz w:val="24"/>
                <w:szCs w:val="24"/>
                <w:lang w:val="en-GB"/>
              </w:rPr>
            </w:pPr>
            <w:r>
              <w:rPr>
                <w:rFonts w:cs="Calibri"/>
                <w:sz w:val="24"/>
                <w:szCs w:val="24"/>
                <w:lang w:val="en-GB"/>
              </w:rPr>
              <w:t>0.16 ± 0.03</w:t>
            </w:r>
          </w:p>
        </w:tc>
        <w:tc>
          <w:tcPr>
            <w:tcW w:w="1080" w:type="dxa"/>
            <w:shd w:val="clear" w:color="auto" w:fill="auto"/>
          </w:tcPr>
          <w:p w14:paraId="083545FC" w14:textId="77777777" w:rsidR="00047E5F" w:rsidRDefault="00047E5F" w:rsidP="00E42653">
            <w:pPr>
              <w:widowControl w:val="0"/>
              <w:autoSpaceDE w:val="0"/>
              <w:autoSpaceDN w:val="0"/>
              <w:adjustRightInd w:val="0"/>
              <w:spacing w:after="0" w:line="360" w:lineRule="auto"/>
              <w:rPr>
                <w:rFonts w:cs="Calibri"/>
                <w:sz w:val="24"/>
                <w:szCs w:val="24"/>
                <w:lang w:val="en-GB"/>
              </w:rPr>
            </w:pPr>
            <w:r>
              <w:rPr>
                <w:rFonts w:cs="Calibri"/>
                <w:sz w:val="24"/>
                <w:szCs w:val="24"/>
                <w:lang w:val="en-GB"/>
              </w:rPr>
              <w:t>0.259</w:t>
            </w:r>
          </w:p>
        </w:tc>
        <w:tc>
          <w:tcPr>
            <w:tcW w:w="1080" w:type="dxa"/>
            <w:shd w:val="clear" w:color="auto" w:fill="auto"/>
          </w:tcPr>
          <w:p w14:paraId="7ECA8300" w14:textId="77777777" w:rsidR="00047E5F" w:rsidRDefault="00047E5F" w:rsidP="00E42653">
            <w:pPr>
              <w:widowControl w:val="0"/>
              <w:autoSpaceDE w:val="0"/>
              <w:autoSpaceDN w:val="0"/>
              <w:adjustRightInd w:val="0"/>
              <w:spacing w:after="0" w:line="360" w:lineRule="auto"/>
              <w:rPr>
                <w:rFonts w:cs="Calibri"/>
                <w:sz w:val="24"/>
                <w:szCs w:val="24"/>
                <w:lang w:val="en-GB"/>
              </w:rPr>
            </w:pPr>
            <w:r>
              <w:rPr>
                <w:rFonts w:cs="Calibri"/>
                <w:sz w:val="24"/>
                <w:szCs w:val="24"/>
                <w:lang w:val="en-GB"/>
              </w:rPr>
              <w:t>0.796</w:t>
            </w:r>
          </w:p>
        </w:tc>
        <w:tc>
          <w:tcPr>
            <w:tcW w:w="1800" w:type="dxa"/>
          </w:tcPr>
          <w:p w14:paraId="3A108884" w14:textId="77777777" w:rsidR="00047E5F" w:rsidRDefault="00047E5F" w:rsidP="00E42653">
            <w:pPr>
              <w:widowControl w:val="0"/>
              <w:autoSpaceDE w:val="0"/>
              <w:autoSpaceDN w:val="0"/>
              <w:adjustRightInd w:val="0"/>
              <w:spacing w:after="0" w:line="360" w:lineRule="auto"/>
              <w:rPr>
                <w:rFonts w:eastAsia="Times New Roman" w:cs="Calibri"/>
                <w:sz w:val="24"/>
                <w:szCs w:val="24"/>
              </w:rPr>
            </w:pPr>
            <w:r>
              <w:rPr>
                <w:rFonts w:eastAsia="Times New Roman" w:cs="Calibri"/>
                <w:sz w:val="24"/>
                <w:szCs w:val="24"/>
              </w:rPr>
              <w:t>Not Significant</w:t>
            </w:r>
          </w:p>
        </w:tc>
      </w:tr>
    </w:tbl>
    <w:p w14:paraId="12627601" w14:textId="77777777" w:rsidR="00047E5F" w:rsidRDefault="00047E5F" w:rsidP="00047E5F">
      <w:pPr>
        <w:autoSpaceDE w:val="0"/>
        <w:autoSpaceDN w:val="0"/>
        <w:adjustRightInd w:val="0"/>
        <w:spacing w:after="0" w:line="360" w:lineRule="auto"/>
        <w:contextualSpacing/>
        <w:jc w:val="both"/>
        <w:rPr>
          <w:rFonts w:cs="Calibri"/>
          <w:sz w:val="24"/>
          <w:szCs w:val="24"/>
        </w:rPr>
      </w:pPr>
      <w:r>
        <w:rPr>
          <w:rFonts w:cs="Calibri"/>
          <w:sz w:val="24"/>
          <w:szCs w:val="24"/>
        </w:rPr>
        <w:t>*p&lt;0.05 (i.e. Significant).</w:t>
      </w:r>
    </w:p>
    <w:p w14:paraId="6655D1C3" w14:textId="77777777" w:rsidR="00047E5F" w:rsidRDefault="00047E5F" w:rsidP="00047E5F">
      <w:pPr>
        <w:autoSpaceDE w:val="0"/>
        <w:autoSpaceDN w:val="0"/>
        <w:adjustRightInd w:val="0"/>
        <w:spacing w:after="0" w:line="360" w:lineRule="auto"/>
        <w:contextualSpacing/>
        <w:jc w:val="both"/>
        <w:rPr>
          <w:rFonts w:cs="Calibri"/>
          <w:sz w:val="24"/>
          <w:szCs w:val="24"/>
        </w:rPr>
      </w:pPr>
      <w:r>
        <w:rPr>
          <w:rFonts w:cs="Calibri"/>
          <w:sz w:val="24"/>
          <w:szCs w:val="24"/>
        </w:rPr>
        <w:t>The table below showed that there were no significant differences between the SARS-COV-2 (COVID-19 INFECTION) ANTIBODIES (IgM and IgG) of sickle cell patients in relation to their sexes (p&gt;0.05) as shown in table 3.</w:t>
      </w:r>
    </w:p>
    <w:p w14:paraId="055D1809" w14:textId="77777777" w:rsidR="00047E5F" w:rsidRDefault="00047E5F" w:rsidP="00047E5F">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5F6FBDDA" w14:textId="77777777" w:rsidR="00C1077B" w:rsidRDefault="00C1077B" w:rsidP="00047E5F">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5CD330F5" w14:textId="77777777" w:rsidR="00C1077B" w:rsidRDefault="00C1077B" w:rsidP="00047E5F">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2D09FBE6" w14:textId="77777777" w:rsidR="00C1077B" w:rsidRDefault="00C1077B" w:rsidP="00047E5F">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731178AC" w14:textId="77777777" w:rsidR="00C1077B" w:rsidRDefault="00C1077B" w:rsidP="00047E5F">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004F61B0" w14:textId="77777777" w:rsidR="00C1077B" w:rsidRDefault="00C1077B" w:rsidP="00047E5F">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00635284" w14:textId="77777777" w:rsidR="00C1077B" w:rsidRDefault="00C1077B" w:rsidP="00047E5F">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7D61408E" w14:textId="77777777" w:rsidR="00C1077B" w:rsidRDefault="00C1077B" w:rsidP="00047E5F">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16F6956A" w14:textId="77777777" w:rsidR="00C1077B" w:rsidRDefault="00C1077B" w:rsidP="00047E5F">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0CCED1D0" w14:textId="77777777" w:rsidR="00C1077B" w:rsidRDefault="00C1077B" w:rsidP="00047E5F">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7553C4EB" w14:textId="2863158D" w:rsidR="00C1077B" w:rsidRPr="00C1077B" w:rsidRDefault="00C1077B" w:rsidP="00C1077B">
      <w:pPr>
        <w:spacing w:before="100" w:beforeAutospacing="1" w:after="100" w:afterAutospacing="1" w:line="240" w:lineRule="auto"/>
        <w:outlineLvl w:val="2"/>
        <w:rPr>
          <w:rFonts w:ascii="Times New Roman" w:eastAsia="Times New Roman" w:hAnsi="Times New Roman" w:cs="Times New Roman"/>
          <w:b/>
          <w:bCs/>
          <w:sz w:val="27"/>
          <w:szCs w:val="27"/>
          <w:highlight w:val="yellow"/>
        </w:rPr>
      </w:pPr>
      <w:r w:rsidRPr="00C1077B">
        <w:rPr>
          <w:rFonts w:ascii="Times New Roman" w:eastAsia="Times New Roman" w:hAnsi="Times New Roman" w:cs="Times New Roman"/>
          <w:b/>
          <w:bCs/>
          <w:sz w:val="27"/>
          <w:szCs w:val="27"/>
          <w:highlight w:val="yellow"/>
        </w:rPr>
        <w:lastRenderedPageBreak/>
        <w:t>Table 4</w:t>
      </w:r>
      <w:r w:rsidRPr="00C1077B">
        <w:rPr>
          <w:rFonts w:ascii="Times New Roman" w:eastAsia="Times New Roman" w:hAnsi="Times New Roman" w:cs="Times New Roman"/>
          <w:b/>
          <w:bCs/>
          <w:sz w:val="27"/>
          <w:szCs w:val="27"/>
        </w:rPr>
        <w:t>: Hematological Parameters in SCD Patients vs Controls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6"/>
        <w:gridCol w:w="2482"/>
        <w:gridCol w:w="2097"/>
        <w:gridCol w:w="776"/>
        <w:gridCol w:w="1129"/>
      </w:tblGrid>
      <w:tr w:rsidR="00C1077B" w:rsidRPr="00C1077B" w14:paraId="09E9B4ED" w14:textId="77777777" w:rsidTr="00C1077B">
        <w:trPr>
          <w:tblHeader/>
          <w:tblCellSpacing w:w="15" w:type="dxa"/>
        </w:trPr>
        <w:tc>
          <w:tcPr>
            <w:tcW w:w="0" w:type="auto"/>
            <w:vAlign w:val="center"/>
            <w:hideMark/>
          </w:tcPr>
          <w:p w14:paraId="29B65998" w14:textId="77777777" w:rsidR="00C1077B" w:rsidRPr="00C1077B" w:rsidRDefault="00C1077B" w:rsidP="00C1077B">
            <w:pPr>
              <w:spacing w:after="0" w:line="240" w:lineRule="auto"/>
              <w:jc w:val="center"/>
              <w:rPr>
                <w:rFonts w:ascii="Times New Roman" w:eastAsia="Times New Roman" w:hAnsi="Times New Roman" w:cs="Times New Roman"/>
                <w:b/>
                <w:bCs/>
                <w:sz w:val="24"/>
                <w:szCs w:val="24"/>
                <w:highlight w:val="yellow"/>
              </w:rPr>
            </w:pPr>
            <w:r w:rsidRPr="00C1077B">
              <w:rPr>
                <w:rFonts w:ascii="Times New Roman" w:eastAsia="Times New Roman" w:hAnsi="Times New Roman" w:cs="Times New Roman"/>
                <w:b/>
                <w:bCs/>
                <w:sz w:val="24"/>
                <w:szCs w:val="24"/>
                <w:highlight w:val="yellow"/>
              </w:rPr>
              <w:t>Parameter</w:t>
            </w:r>
          </w:p>
        </w:tc>
        <w:tc>
          <w:tcPr>
            <w:tcW w:w="0" w:type="auto"/>
            <w:vAlign w:val="center"/>
            <w:hideMark/>
          </w:tcPr>
          <w:p w14:paraId="5397D730" w14:textId="77777777" w:rsidR="00C1077B" w:rsidRPr="00C1077B" w:rsidRDefault="00C1077B" w:rsidP="00C1077B">
            <w:pPr>
              <w:spacing w:after="0" w:line="240" w:lineRule="auto"/>
              <w:jc w:val="center"/>
              <w:rPr>
                <w:rFonts w:ascii="Times New Roman" w:eastAsia="Times New Roman" w:hAnsi="Times New Roman" w:cs="Times New Roman"/>
                <w:b/>
                <w:bCs/>
                <w:sz w:val="24"/>
                <w:szCs w:val="24"/>
                <w:highlight w:val="yellow"/>
              </w:rPr>
            </w:pPr>
            <w:r w:rsidRPr="00C1077B">
              <w:rPr>
                <w:rFonts w:ascii="Times New Roman" w:eastAsia="Times New Roman" w:hAnsi="Times New Roman" w:cs="Times New Roman"/>
                <w:b/>
                <w:bCs/>
                <w:sz w:val="24"/>
                <w:szCs w:val="24"/>
                <w:highlight w:val="yellow"/>
              </w:rPr>
              <w:t>SCD Patients (Mean ± SD)</w:t>
            </w:r>
          </w:p>
        </w:tc>
        <w:tc>
          <w:tcPr>
            <w:tcW w:w="0" w:type="auto"/>
            <w:vAlign w:val="center"/>
            <w:hideMark/>
          </w:tcPr>
          <w:p w14:paraId="03272468" w14:textId="77777777" w:rsidR="00C1077B" w:rsidRPr="00C1077B" w:rsidRDefault="00C1077B" w:rsidP="00C1077B">
            <w:pPr>
              <w:spacing w:after="0" w:line="240" w:lineRule="auto"/>
              <w:jc w:val="center"/>
              <w:rPr>
                <w:rFonts w:ascii="Times New Roman" w:eastAsia="Times New Roman" w:hAnsi="Times New Roman" w:cs="Times New Roman"/>
                <w:b/>
                <w:bCs/>
                <w:sz w:val="24"/>
                <w:szCs w:val="24"/>
                <w:highlight w:val="yellow"/>
              </w:rPr>
            </w:pPr>
            <w:r w:rsidRPr="00C1077B">
              <w:rPr>
                <w:rFonts w:ascii="Times New Roman" w:eastAsia="Times New Roman" w:hAnsi="Times New Roman" w:cs="Times New Roman"/>
                <w:b/>
                <w:bCs/>
                <w:sz w:val="24"/>
                <w:szCs w:val="24"/>
                <w:highlight w:val="yellow"/>
              </w:rPr>
              <w:t>Controls (Mean ± SD)</w:t>
            </w:r>
          </w:p>
        </w:tc>
        <w:tc>
          <w:tcPr>
            <w:tcW w:w="0" w:type="auto"/>
            <w:vAlign w:val="center"/>
            <w:hideMark/>
          </w:tcPr>
          <w:p w14:paraId="0FAC66B4" w14:textId="77777777" w:rsidR="00C1077B" w:rsidRPr="00C1077B" w:rsidRDefault="00C1077B" w:rsidP="00C1077B">
            <w:pPr>
              <w:spacing w:after="0" w:line="240" w:lineRule="auto"/>
              <w:jc w:val="center"/>
              <w:rPr>
                <w:rFonts w:ascii="Times New Roman" w:eastAsia="Times New Roman" w:hAnsi="Times New Roman" w:cs="Times New Roman"/>
                <w:b/>
                <w:bCs/>
                <w:sz w:val="24"/>
                <w:szCs w:val="24"/>
                <w:highlight w:val="yellow"/>
              </w:rPr>
            </w:pPr>
            <w:r w:rsidRPr="00C1077B">
              <w:rPr>
                <w:rFonts w:ascii="Times New Roman" w:eastAsia="Times New Roman" w:hAnsi="Times New Roman" w:cs="Times New Roman"/>
                <w:b/>
                <w:bCs/>
                <w:i/>
                <w:iCs/>
                <w:sz w:val="24"/>
                <w:szCs w:val="24"/>
              </w:rPr>
              <w:t>p</w:t>
            </w:r>
            <w:r w:rsidRPr="00C1077B">
              <w:rPr>
                <w:rFonts w:ascii="Times New Roman" w:eastAsia="Times New Roman" w:hAnsi="Times New Roman" w:cs="Times New Roman"/>
                <w:b/>
                <w:bCs/>
                <w:sz w:val="24"/>
                <w:szCs w:val="24"/>
                <w:highlight w:val="yellow"/>
              </w:rPr>
              <w:t>-value</w:t>
            </w:r>
          </w:p>
        </w:tc>
        <w:tc>
          <w:tcPr>
            <w:tcW w:w="0" w:type="auto"/>
            <w:vAlign w:val="center"/>
            <w:hideMark/>
          </w:tcPr>
          <w:p w14:paraId="63ECAE5B" w14:textId="77777777" w:rsidR="00C1077B" w:rsidRPr="00C1077B" w:rsidRDefault="00C1077B" w:rsidP="00C1077B">
            <w:pPr>
              <w:spacing w:after="0" w:line="240" w:lineRule="auto"/>
              <w:jc w:val="center"/>
              <w:rPr>
                <w:rFonts w:ascii="Times New Roman" w:eastAsia="Times New Roman" w:hAnsi="Times New Roman" w:cs="Times New Roman"/>
                <w:b/>
                <w:bCs/>
                <w:sz w:val="24"/>
                <w:szCs w:val="24"/>
                <w:highlight w:val="yellow"/>
              </w:rPr>
            </w:pPr>
            <w:r w:rsidRPr="00C1077B">
              <w:rPr>
                <w:rFonts w:ascii="Times New Roman" w:eastAsia="Times New Roman" w:hAnsi="Times New Roman" w:cs="Times New Roman"/>
                <w:b/>
                <w:bCs/>
                <w:sz w:val="24"/>
                <w:szCs w:val="24"/>
                <w:highlight w:val="yellow"/>
              </w:rPr>
              <w:t>Remark</w:t>
            </w:r>
          </w:p>
        </w:tc>
      </w:tr>
      <w:tr w:rsidR="00C1077B" w:rsidRPr="00C1077B" w14:paraId="39AEA4E1" w14:textId="77777777" w:rsidTr="00C1077B">
        <w:trPr>
          <w:tblCellSpacing w:w="15" w:type="dxa"/>
        </w:trPr>
        <w:tc>
          <w:tcPr>
            <w:tcW w:w="0" w:type="auto"/>
            <w:vAlign w:val="center"/>
            <w:hideMark/>
          </w:tcPr>
          <w:p w14:paraId="65CE8FBC" w14:textId="77777777" w:rsidR="00C1077B" w:rsidRPr="00C1077B" w:rsidRDefault="00C1077B" w:rsidP="00C1077B">
            <w:pPr>
              <w:spacing w:after="0" w:line="240" w:lineRule="auto"/>
              <w:rPr>
                <w:rFonts w:ascii="Times New Roman" w:eastAsia="Times New Roman" w:hAnsi="Times New Roman" w:cs="Times New Roman"/>
                <w:sz w:val="24"/>
                <w:szCs w:val="24"/>
                <w:highlight w:val="yellow"/>
              </w:rPr>
            </w:pPr>
            <w:r w:rsidRPr="00C1077B">
              <w:rPr>
                <w:rFonts w:ascii="Times New Roman" w:eastAsia="Times New Roman" w:hAnsi="Times New Roman" w:cs="Times New Roman"/>
                <w:sz w:val="24"/>
                <w:szCs w:val="24"/>
                <w:highlight w:val="yellow"/>
              </w:rPr>
              <w:t>Hemoglobin (Hb) (g/dL)</w:t>
            </w:r>
          </w:p>
        </w:tc>
        <w:tc>
          <w:tcPr>
            <w:tcW w:w="0" w:type="auto"/>
            <w:vAlign w:val="center"/>
            <w:hideMark/>
          </w:tcPr>
          <w:p w14:paraId="406CFC82" w14:textId="77777777" w:rsidR="00C1077B" w:rsidRPr="00C1077B" w:rsidRDefault="00C1077B" w:rsidP="00C1077B">
            <w:pPr>
              <w:spacing w:after="0" w:line="240" w:lineRule="auto"/>
              <w:rPr>
                <w:rFonts w:ascii="Times New Roman" w:eastAsia="Times New Roman" w:hAnsi="Times New Roman" w:cs="Times New Roman"/>
                <w:sz w:val="24"/>
                <w:szCs w:val="24"/>
                <w:highlight w:val="yellow"/>
              </w:rPr>
            </w:pPr>
            <w:r w:rsidRPr="00C1077B">
              <w:rPr>
                <w:rFonts w:ascii="Times New Roman" w:eastAsia="Times New Roman" w:hAnsi="Times New Roman" w:cs="Times New Roman"/>
                <w:sz w:val="24"/>
                <w:szCs w:val="24"/>
                <w:highlight w:val="yellow"/>
              </w:rPr>
              <w:t>7.75</w:t>
            </w:r>
          </w:p>
        </w:tc>
        <w:tc>
          <w:tcPr>
            <w:tcW w:w="0" w:type="auto"/>
            <w:vAlign w:val="center"/>
            <w:hideMark/>
          </w:tcPr>
          <w:p w14:paraId="301FDF91" w14:textId="77777777" w:rsidR="00C1077B" w:rsidRPr="00C1077B" w:rsidRDefault="00C1077B" w:rsidP="00C1077B">
            <w:pPr>
              <w:spacing w:after="0" w:line="240" w:lineRule="auto"/>
              <w:rPr>
                <w:rFonts w:ascii="Times New Roman" w:eastAsia="Times New Roman" w:hAnsi="Times New Roman" w:cs="Times New Roman"/>
                <w:sz w:val="24"/>
                <w:szCs w:val="24"/>
                <w:highlight w:val="yellow"/>
              </w:rPr>
            </w:pPr>
            <w:r w:rsidRPr="00C1077B">
              <w:rPr>
                <w:rFonts w:ascii="Times New Roman" w:eastAsia="Times New Roman" w:hAnsi="Times New Roman" w:cs="Times New Roman"/>
                <w:sz w:val="24"/>
                <w:szCs w:val="24"/>
                <w:highlight w:val="yellow"/>
              </w:rPr>
              <w:t>13.13</w:t>
            </w:r>
          </w:p>
        </w:tc>
        <w:tc>
          <w:tcPr>
            <w:tcW w:w="0" w:type="auto"/>
            <w:vAlign w:val="center"/>
            <w:hideMark/>
          </w:tcPr>
          <w:p w14:paraId="51D09D6F" w14:textId="77777777" w:rsidR="00C1077B" w:rsidRPr="00C1077B" w:rsidRDefault="00C1077B" w:rsidP="00C1077B">
            <w:pPr>
              <w:spacing w:after="0" w:line="240" w:lineRule="auto"/>
              <w:rPr>
                <w:rFonts w:ascii="Times New Roman" w:eastAsia="Times New Roman" w:hAnsi="Times New Roman" w:cs="Times New Roman"/>
                <w:sz w:val="24"/>
                <w:szCs w:val="24"/>
                <w:highlight w:val="yellow"/>
              </w:rPr>
            </w:pPr>
            <w:r w:rsidRPr="00C1077B">
              <w:rPr>
                <w:rFonts w:ascii="Times New Roman" w:eastAsia="Times New Roman" w:hAnsi="Times New Roman" w:cs="Times New Roman"/>
                <w:sz w:val="24"/>
                <w:szCs w:val="24"/>
                <w:highlight w:val="yellow"/>
              </w:rPr>
              <w:t>&lt;0.05</w:t>
            </w:r>
          </w:p>
        </w:tc>
        <w:tc>
          <w:tcPr>
            <w:tcW w:w="0" w:type="auto"/>
            <w:vAlign w:val="center"/>
            <w:hideMark/>
          </w:tcPr>
          <w:p w14:paraId="4B348A68" w14:textId="77777777" w:rsidR="00C1077B" w:rsidRPr="00C1077B" w:rsidRDefault="00C1077B" w:rsidP="00C1077B">
            <w:pPr>
              <w:spacing w:after="0" w:line="240" w:lineRule="auto"/>
              <w:rPr>
                <w:rFonts w:ascii="Times New Roman" w:eastAsia="Times New Roman" w:hAnsi="Times New Roman" w:cs="Times New Roman"/>
                <w:sz w:val="24"/>
                <w:szCs w:val="24"/>
                <w:highlight w:val="yellow"/>
              </w:rPr>
            </w:pPr>
            <w:r w:rsidRPr="00C1077B">
              <w:rPr>
                <w:rFonts w:ascii="Times New Roman" w:eastAsia="Times New Roman" w:hAnsi="Times New Roman" w:cs="Times New Roman"/>
                <w:sz w:val="24"/>
                <w:szCs w:val="24"/>
                <w:highlight w:val="yellow"/>
              </w:rPr>
              <w:t>Significant</w:t>
            </w:r>
          </w:p>
        </w:tc>
      </w:tr>
      <w:tr w:rsidR="00C1077B" w:rsidRPr="00C1077B" w14:paraId="047F62C5" w14:textId="77777777" w:rsidTr="00C1077B">
        <w:trPr>
          <w:tblCellSpacing w:w="15" w:type="dxa"/>
        </w:trPr>
        <w:tc>
          <w:tcPr>
            <w:tcW w:w="0" w:type="auto"/>
            <w:vAlign w:val="center"/>
            <w:hideMark/>
          </w:tcPr>
          <w:p w14:paraId="7BF81132" w14:textId="77777777" w:rsidR="00C1077B" w:rsidRPr="00C1077B" w:rsidRDefault="00C1077B" w:rsidP="00C1077B">
            <w:pPr>
              <w:spacing w:after="0" w:line="240" w:lineRule="auto"/>
              <w:rPr>
                <w:rFonts w:ascii="Times New Roman" w:eastAsia="Times New Roman" w:hAnsi="Times New Roman" w:cs="Times New Roman"/>
                <w:sz w:val="24"/>
                <w:szCs w:val="24"/>
                <w:highlight w:val="yellow"/>
              </w:rPr>
            </w:pPr>
            <w:r w:rsidRPr="00C1077B">
              <w:rPr>
                <w:rFonts w:ascii="Times New Roman" w:eastAsia="Times New Roman" w:hAnsi="Times New Roman" w:cs="Times New Roman"/>
                <w:sz w:val="24"/>
                <w:szCs w:val="24"/>
                <w:highlight w:val="yellow"/>
              </w:rPr>
              <w:t>Packed Cell Volume (PCV) (%)</w:t>
            </w:r>
          </w:p>
        </w:tc>
        <w:tc>
          <w:tcPr>
            <w:tcW w:w="0" w:type="auto"/>
            <w:vAlign w:val="center"/>
            <w:hideMark/>
          </w:tcPr>
          <w:p w14:paraId="76B8939C" w14:textId="77777777" w:rsidR="00C1077B" w:rsidRPr="00C1077B" w:rsidRDefault="00C1077B" w:rsidP="00C1077B">
            <w:pPr>
              <w:spacing w:after="0" w:line="240" w:lineRule="auto"/>
              <w:rPr>
                <w:rFonts w:ascii="Times New Roman" w:eastAsia="Times New Roman" w:hAnsi="Times New Roman" w:cs="Times New Roman"/>
                <w:sz w:val="24"/>
                <w:szCs w:val="24"/>
                <w:highlight w:val="yellow"/>
              </w:rPr>
            </w:pPr>
            <w:r w:rsidRPr="00C1077B">
              <w:rPr>
                <w:rFonts w:ascii="Times New Roman" w:eastAsia="Times New Roman" w:hAnsi="Times New Roman" w:cs="Times New Roman"/>
                <w:sz w:val="24"/>
                <w:szCs w:val="24"/>
                <w:highlight w:val="yellow"/>
              </w:rPr>
              <w:t>22.42</w:t>
            </w:r>
          </w:p>
        </w:tc>
        <w:tc>
          <w:tcPr>
            <w:tcW w:w="0" w:type="auto"/>
            <w:vAlign w:val="center"/>
            <w:hideMark/>
          </w:tcPr>
          <w:p w14:paraId="2203CFF8" w14:textId="77777777" w:rsidR="00C1077B" w:rsidRPr="00C1077B" w:rsidRDefault="00C1077B" w:rsidP="00C1077B">
            <w:pPr>
              <w:spacing w:after="0" w:line="240" w:lineRule="auto"/>
              <w:rPr>
                <w:rFonts w:ascii="Times New Roman" w:eastAsia="Times New Roman" w:hAnsi="Times New Roman" w:cs="Times New Roman"/>
                <w:sz w:val="24"/>
                <w:szCs w:val="24"/>
                <w:highlight w:val="yellow"/>
              </w:rPr>
            </w:pPr>
            <w:r w:rsidRPr="00C1077B">
              <w:rPr>
                <w:rFonts w:ascii="Times New Roman" w:eastAsia="Times New Roman" w:hAnsi="Times New Roman" w:cs="Times New Roman"/>
                <w:sz w:val="24"/>
                <w:szCs w:val="24"/>
                <w:highlight w:val="yellow"/>
              </w:rPr>
              <w:t>39.64</w:t>
            </w:r>
          </w:p>
        </w:tc>
        <w:tc>
          <w:tcPr>
            <w:tcW w:w="0" w:type="auto"/>
            <w:vAlign w:val="center"/>
            <w:hideMark/>
          </w:tcPr>
          <w:p w14:paraId="074E2029" w14:textId="77777777" w:rsidR="00C1077B" w:rsidRPr="00C1077B" w:rsidRDefault="00C1077B" w:rsidP="00C1077B">
            <w:pPr>
              <w:spacing w:after="0" w:line="240" w:lineRule="auto"/>
              <w:rPr>
                <w:rFonts w:ascii="Times New Roman" w:eastAsia="Times New Roman" w:hAnsi="Times New Roman" w:cs="Times New Roman"/>
                <w:sz w:val="24"/>
                <w:szCs w:val="24"/>
                <w:highlight w:val="yellow"/>
              </w:rPr>
            </w:pPr>
            <w:r w:rsidRPr="00C1077B">
              <w:rPr>
                <w:rFonts w:ascii="Times New Roman" w:eastAsia="Times New Roman" w:hAnsi="Times New Roman" w:cs="Times New Roman"/>
                <w:sz w:val="24"/>
                <w:szCs w:val="24"/>
                <w:highlight w:val="yellow"/>
              </w:rPr>
              <w:t>&lt;0.05</w:t>
            </w:r>
          </w:p>
        </w:tc>
        <w:tc>
          <w:tcPr>
            <w:tcW w:w="0" w:type="auto"/>
            <w:vAlign w:val="center"/>
            <w:hideMark/>
          </w:tcPr>
          <w:p w14:paraId="5B3467CF" w14:textId="77777777" w:rsidR="00C1077B" w:rsidRPr="00C1077B" w:rsidRDefault="00C1077B" w:rsidP="00C1077B">
            <w:pPr>
              <w:spacing w:after="0" w:line="240" w:lineRule="auto"/>
              <w:rPr>
                <w:rFonts w:ascii="Times New Roman" w:eastAsia="Times New Roman" w:hAnsi="Times New Roman" w:cs="Times New Roman"/>
                <w:sz w:val="24"/>
                <w:szCs w:val="24"/>
                <w:highlight w:val="yellow"/>
              </w:rPr>
            </w:pPr>
            <w:r w:rsidRPr="00C1077B">
              <w:rPr>
                <w:rFonts w:ascii="Times New Roman" w:eastAsia="Times New Roman" w:hAnsi="Times New Roman" w:cs="Times New Roman"/>
                <w:sz w:val="24"/>
                <w:szCs w:val="24"/>
                <w:highlight w:val="yellow"/>
              </w:rPr>
              <w:t>Significant</w:t>
            </w:r>
          </w:p>
        </w:tc>
      </w:tr>
      <w:tr w:rsidR="00C1077B" w:rsidRPr="00C1077B" w14:paraId="7CE7E9F9" w14:textId="77777777" w:rsidTr="00C1077B">
        <w:trPr>
          <w:tblCellSpacing w:w="15" w:type="dxa"/>
        </w:trPr>
        <w:tc>
          <w:tcPr>
            <w:tcW w:w="0" w:type="auto"/>
            <w:vAlign w:val="center"/>
            <w:hideMark/>
          </w:tcPr>
          <w:p w14:paraId="25FCC8A1" w14:textId="77777777" w:rsidR="00C1077B" w:rsidRPr="00C1077B" w:rsidRDefault="00C1077B" w:rsidP="00C1077B">
            <w:pPr>
              <w:spacing w:after="0" w:line="240" w:lineRule="auto"/>
              <w:rPr>
                <w:rFonts w:ascii="Times New Roman" w:eastAsia="Times New Roman" w:hAnsi="Times New Roman" w:cs="Times New Roman"/>
                <w:sz w:val="24"/>
                <w:szCs w:val="24"/>
                <w:highlight w:val="yellow"/>
              </w:rPr>
            </w:pPr>
            <w:r w:rsidRPr="00C1077B">
              <w:rPr>
                <w:rFonts w:ascii="Times New Roman" w:eastAsia="Times New Roman" w:hAnsi="Times New Roman" w:cs="Times New Roman"/>
                <w:sz w:val="24"/>
                <w:szCs w:val="24"/>
                <w:highlight w:val="yellow"/>
              </w:rPr>
              <w:t>White Blood Cell Count (×10⁹/L)</w:t>
            </w:r>
          </w:p>
        </w:tc>
        <w:tc>
          <w:tcPr>
            <w:tcW w:w="0" w:type="auto"/>
            <w:vAlign w:val="center"/>
            <w:hideMark/>
          </w:tcPr>
          <w:p w14:paraId="6DA990A4" w14:textId="77777777" w:rsidR="00C1077B" w:rsidRPr="00C1077B" w:rsidRDefault="00C1077B" w:rsidP="00C1077B">
            <w:pPr>
              <w:spacing w:after="0" w:line="240" w:lineRule="auto"/>
              <w:rPr>
                <w:rFonts w:ascii="Times New Roman" w:eastAsia="Times New Roman" w:hAnsi="Times New Roman" w:cs="Times New Roman"/>
                <w:sz w:val="24"/>
                <w:szCs w:val="24"/>
                <w:highlight w:val="yellow"/>
              </w:rPr>
            </w:pPr>
            <w:r w:rsidRPr="00C1077B">
              <w:rPr>
                <w:rFonts w:ascii="Times New Roman" w:eastAsia="Times New Roman" w:hAnsi="Times New Roman" w:cs="Times New Roman"/>
                <w:sz w:val="24"/>
                <w:szCs w:val="24"/>
                <w:highlight w:val="yellow"/>
              </w:rPr>
              <w:t>11.37</w:t>
            </w:r>
          </w:p>
        </w:tc>
        <w:tc>
          <w:tcPr>
            <w:tcW w:w="0" w:type="auto"/>
            <w:vAlign w:val="center"/>
            <w:hideMark/>
          </w:tcPr>
          <w:p w14:paraId="1D1EE0B6" w14:textId="77777777" w:rsidR="00C1077B" w:rsidRPr="00C1077B" w:rsidRDefault="00C1077B" w:rsidP="00C1077B">
            <w:pPr>
              <w:spacing w:after="0" w:line="240" w:lineRule="auto"/>
              <w:rPr>
                <w:rFonts w:ascii="Times New Roman" w:eastAsia="Times New Roman" w:hAnsi="Times New Roman" w:cs="Times New Roman"/>
                <w:sz w:val="24"/>
                <w:szCs w:val="24"/>
                <w:highlight w:val="yellow"/>
              </w:rPr>
            </w:pPr>
            <w:r w:rsidRPr="00C1077B">
              <w:rPr>
                <w:rFonts w:ascii="Times New Roman" w:eastAsia="Times New Roman" w:hAnsi="Times New Roman" w:cs="Times New Roman"/>
                <w:sz w:val="24"/>
                <w:szCs w:val="24"/>
                <w:highlight w:val="yellow"/>
              </w:rPr>
              <w:t>5.64</w:t>
            </w:r>
          </w:p>
        </w:tc>
        <w:tc>
          <w:tcPr>
            <w:tcW w:w="0" w:type="auto"/>
            <w:vAlign w:val="center"/>
            <w:hideMark/>
          </w:tcPr>
          <w:p w14:paraId="449F66C8" w14:textId="77777777" w:rsidR="00C1077B" w:rsidRPr="00C1077B" w:rsidRDefault="00C1077B" w:rsidP="00C1077B">
            <w:pPr>
              <w:spacing w:after="0" w:line="240" w:lineRule="auto"/>
              <w:rPr>
                <w:rFonts w:ascii="Times New Roman" w:eastAsia="Times New Roman" w:hAnsi="Times New Roman" w:cs="Times New Roman"/>
                <w:sz w:val="24"/>
                <w:szCs w:val="24"/>
                <w:highlight w:val="yellow"/>
              </w:rPr>
            </w:pPr>
            <w:r w:rsidRPr="00C1077B">
              <w:rPr>
                <w:rFonts w:ascii="Times New Roman" w:eastAsia="Times New Roman" w:hAnsi="Times New Roman" w:cs="Times New Roman"/>
                <w:sz w:val="24"/>
                <w:szCs w:val="24"/>
                <w:highlight w:val="yellow"/>
              </w:rPr>
              <w:t>&lt;0.05</w:t>
            </w:r>
          </w:p>
        </w:tc>
        <w:tc>
          <w:tcPr>
            <w:tcW w:w="0" w:type="auto"/>
            <w:vAlign w:val="center"/>
            <w:hideMark/>
          </w:tcPr>
          <w:p w14:paraId="3236D721" w14:textId="77777777" w:rsidR="00C1077B" w:rsidRPr="00C1077B" w:rsidRDefault="00C1077B" w:rsidP="00C1077B">
            <w:pPr>
              <w:spacing w:after="0" w:line="240" w:lineRule="auto"/>
              <w:rPr>
                <w:rFonts w:ascii="Times New Roman" w:eastAsia="Times New Roman" w:hAnsi="Times New Roman" w:cs="Times New Roman"/>
                <w:sz w:val="24"/>
                <w:szCs w:val="24"/>
                <w:highlight w:val="yellow"/>
              </w:rPr>
            </w:pPr>
            <w:r w:rsidRPr="00C1077B">
              <w:rPr>
                <w:rFonts w:ascii="Times New Roman" w:eastAsia="Times New Roman" w:hAnsi="Times New Roman" w:cs="Times New Roman"/>
                <w:sz w:val="24"/>
                <w:szCs w:val="24"/>
                <w:highlight w:val="yellow"/>
              </w:rPr>
              <w:t>Significant</w:t>
            </w:r>
          </w:p>
        </w:tc>
      </w:tr>
      <w:tr w:rsidR="00C1077B" w:rsidRPr="00C1077B" w14:paraId="5790596F" w14:textId="77777777" w:rsidTr="00C1077B">
        <w:trPr>
          <w:tblCellSpacing w:w="15" w:type="dxa"/>
        </w:trPr>
        <w:tc>
          <w:tcPr>
            <w:tcW w:w="0" w:type="auto"/>
            <w:vAlign w:val="center"/>
            <w:hideMark/>
          </w:tcPr>
          <w:p w14:paraId="6807DF41" w14:textId="77777777" w:rsidR="00C1077B" w:rsidRPr="00C1077B" w:rsidRDefault="00C1077B" w:rsidP="00C1077B">
            <w:pPr>
              <w:spacing w:after="0" w:line="240" w:lineRule="auto"/>
              <w:rPr>
                <w:rFonts w:ascii="Times New Roman" w:eastAsia="Times New Roman" w:hAnsi="Times New Roman" w:cs="Times New Roman"/>
                <w:sz w:val="24"/>
                <w:szCs w:val="24"/>
                <w:highlight w:val="yellow"/>
              </w:rPr>
            </w:pPr>
            <w:r w:rsidRPr="00C1077B">
              <w:rPr>
                <w:rFonts w:ascii="Times New Roman" w:eastAsia="Times New Roman" w:hAnsi="Times New Roman" w:cs="Times New Roman"/>
                <w:sz w:val="24"/>
                <w:szCs w:val="24"/>
                <w:highlight w:val="yellow"/>
              </w:rPr>
              <w:t>Platelet Count (×10⁹/L)</w:t>
            </w:r>
          </w:p>
        </w:tc>
        <w:tc>
          <w:tcPr>
            <w:tcW w:w="0" w:type="auto"/>
            <w:vAlign w:val="center"/>
            <w:hideMark/>
          </w:tcPr>
          <w:p w14:paraId="110CACBD" w14:textId="77777777" w:rsidR="00C1077B" w:rsidRPr="00C1077B" w:rsidRDefault="00C1077B" w:rsidP="00C1077B">
            <w:pPr>
              <w:spacing w:after="0" w:line="240" w:lineRule="auto"/>
              <w:rPr>
                <w:rFonts w:ascii="Times New Roman" w:eastAsia="Times New Roman" w:hAnsi="Times New Roman" w:cs="Times New Roman"/>
                <w:sz w:val="24"/>
                <w:szCs w:val="24"/>
                <w:highlight w:val="yellow"/>
              </w:rPr>
            </w:pPr>
            <w:r w:rsidRPr="00C1077B">
              <w:rPr>
                <w:rFonts w:ascii="Times New Roman" w:eastAsia="Times New Roman" w:hAnsi="Times New Roman" w:cs="Times New Roman"/>
                <w:sz w:val="24"/>
                <w:szCs w:val="24"/>
                <w:highlight w:val="yellow"/>
              </w:rPr>
              <w:t>351.62</w:t>
            </w:r>
          </w:p>
        </w:tc>
        <w:tc>
          <w:tcPr>
            <w:tcW w:w="0" w:type="auto"/>
            <w:vAlign w:val="center"/>
            <w:hideMark/>
          </w:tcPr>
          <w:p w14:paraId="2E4B8642" w14:textId="77777777" w:rsidR="00C1077B" w:rsidRPr="00C1077B" w:rsidRDefault="00C1077B" w:rsidP="00C1077B">
            <w:pPr>
              <w:spacing w:after="0" w:line="240" w:lineRule="auto"/>
              <w:rPr>
                <w:rFonts w:ascii="Times New Roman" w:eastAsia="Times New Roman" w:hAnsi="Times New Roman" w:cs="Times New Roman"/>
                <w:sz w:val="24"/>
                <w:szCs w:val="24"/>
                <w:highlight w:val="yellow"/>
              </w:rPr>
            </w:pPr>
            <w:r w:rsidRPr="00C1077B">
              <w:rPr>
                <w:rFonts w:ascii="Times New Roman" w:eastAsia="Times New Roman" w:hAnsi="Times New Roman" w:cs="Times New Roman"/>
                <w:sz w:val="24"/>
                <w:szCs w:val="24"/>
                <w:highlight w:val="yellow"/>
              </w:rPr>
              <w:t>233.04</w:t>
            </w:r>
          </w:p>
        </w:tc>
        <w:tc>
          <w:tcPr>
            <w:tcW w:w="0" w:type="auto"/>
            <w:vAlign w:val="center"/>
            <w:hideMark/>
          </w:tcPr>
          <w:p w14:paraId="226A6347" w14:textId="77777777" w:rsidR="00C1077B" w:rsidRPr="00C1077B" w:rsidRDefault="00C1077B" w:rsidP="00C1077B">
            <w:pPr>
              <w:spacing w:after="0" w:line="240" w:lineRule="auto"/>
              <w:rPr>
                <w:rFonts w:ascii="Times New Roman" w:eastAsia="Times New Roman" w:hAnsi="Times New Roman" w:cs="Times New Roman"/>
                <w:sz w:val="24"/>
                <w:szCs w:val="24"/>
                <w:highlight w:val="yellow"/>
              </w:rPr>
            </w:pPr>
            <w:r w:rsidRPr="00C1077B">
              <w:rPr>
                <w:rFonts w:ascii="Times New Roman" w:eastAsia="Times New Roman" w:hAnsi="Times New Roman" w:cs="Times New Roman"/>
                <w:sz w:val="24"/>
                <w:szCs w:val="24"/>
                <w:highlight w:val="yellow"/>
              </w:rPr>
              <w:t>&lt;0.05</w:t>
            </w:r>
          </w:p>
        </w:tc>
        <w:tc>
          <w:tcPr>
            <w:tcW w:w="0" w:type="auto"/>
            <w:vAlign w:val="center"/>
            <w:hideMark/>
          </w:tcPr>
          <w:p w14:paraId="666F5157" w14:textId="77777777" w:rsidR="00C1077B" w:rsidRPr="00C1077B" w:rsidRDefault="00C1077B" w:rsidP="00C1077B">
            <w:pPr>
              <w:spacing w:after="0" w:line="240" w:lineRule="auto"/>
              <w:rPr>
                <w:rFonts w:ascii="Times New Roman" w:eastAsia="Times New Roman" w:hAnsi="Times New Roman" w:cs="Times New Roman"/>
                <w:sz w:val="24"/>
                <w:szCs w:val="24"/>
                <w:highlight w:val="yellow"/>
              </w:rPr>
            </w:pPr>
            <w:r w:rsidRPr="00C1077B">
              <w:rPr>
                <w:rFonts w:ascii="Times New Roman" w:eastAsia="Times New Roman" w:hAnsi="Times New Roman" w:cs="Times New Roman"/>
                <w:sz w:val="24"/>
                <w:szCs w:val="24"/>
                <w:highlight w:val="yellow"/>
              </w:rPr>
              <w:t>Significant</w:t>
            </w:r>
          </w:p>
        </w:tc>
      </w:tr>
    </w:tbl>
    <w:p w14:paraId="57C3E791" w14:textId="77777777" w:rsidR="00C1077B" w:rsidRPr="00C1077B" w:rsidRDefault="00000000" w:rsidP="00C1077B">
      <w:pPr>
        <w:spacing w:after="0" w:line="240" w:lineRule="auto"/>
        <w:rPr>
          <w:rFonts w:asciiTheme="minorHAnsi" w:eastAsia="Times New Roman" w:hAnsiTheme="minorHAnsi" w:cstheme="minorHAnsi"/>
          <w:sz w:val="24"/>
          <w:szCs w:val="24"/>
        </w:rPr>
      </w:pPr>
      <w:r>
        <w:rPr>
          <w:rFonts w:ascii="Times New Roman" w:eastAsia="Times New Roman" w:hAnsi="Times New Roman" w:cs="Times New Roman"/>
          <w:sz w:val="24"/>
          <w:szCs w:val="24"/>
          <w:highlight w:val="yellow"/>
        </w:rPr>
        <w:pict w14:anchorId="63901005">
          <v:rect id="_x0000_i1025" style="width:0;height:1.5pt" o:hralign="center" o:hrstd="t" o:hr="t" fillcolor="#a0a0a0" stroked="f"/>
        </w:pict>
      </w:r>
    </w:p>
    <w:p w14:paraId="11978344" w14:textId="77777777" w:rsidR="00C1077B" w:rsidRDefault="00C1077B" w:rsidP="00C1077B">
      <w:pPr>
        <w:spacing w:before="100" w:beforeAutospacing="1" w:after="100" w:afterAutospacing="1" w:line="240" w:lineRule="auto"/>
        <w:outlineLvl w:val="2"/>
        <w:rPr>
          <w:rFonts w:ascii="Times New Roman" w:eastAsia="Times New Roman" w:hAnsi="Times New Roman" w:cs="Times New Roman"/>
          <w:b/>
          <w:bCs/>
          <w:sz w:val="27"/>
          <w:szCs w:val="27"/>
        </w:rPr>
      </w:pPr>
    </w:p>
    <w:p w14:paraId="7C937628" w14:textId="77777777" w:rsidR="00C1077B" w:rsidRDefault="00C1077B" w:rsidP="00C1077B">
      <w:pPr>
        <w:spacing w:before="100" w:beforeAutospacing="1" w:after="100" w:afterAutospacing="1" w:line="240" w:lineRule="auto"/>
        <w:outlineLvl w:val="2"/>
        <w:rPr>
          <w:rFonts w:ascii="Times New Roman" w:eastAsia="Times New Roman" w:hAnsi="Times New Roman" w:cs="Times New Roman"/>
          <w:b/>
          <w:bCs/>
          <w:sz w:val="27"/>
          <w:szCs w:val="27"/>
        </w:rPr>
      </w:pPr>
    </w:p>
    <w:p w14:paraId="4028CE0C" w14:textId="77777777" w:rsidR="00C1077B" w:rsidRDefault="00C1077B" w:rsidP="00C1077B">
      <w:pPr>
        <w:spacing w:before="100" w:beforeAutospacing="1" w:after="100" w:afterAutospacing="1" w:line="240" w:lineRule="auto"/>
        <w:outlineLvl w:val="2"/>
        <w:rPr>
          <w:rFonts w:ascii="Times New Roman" w:eastAsia="Times New Roman" w:hAnsi="Times New Roman" w:cs="Times New Roman"/>
          <w:b/>
          <w:bCs/>
          <w:sz w:val="27"/>
          <w:szCs w:val="27"/>
        </w:rPr>
      </w:pPr>
    </w:p>
    <w:p w14:paraId="78758363" w14:textId="77777777" w:rsidR="00C1077B" w:rsidRDefault="00C1077B" w:rsidP="00C1077B">
      <w:pPr>
        <w:spacing w:before="100" w:beforeAutospacing="1" w:after="100" w:afterAutospacing="1" w:line="240" w:lineRule="auto"/>
        <w:outlineLvl w:val="2"/>
        <w:rPr>
          <w:rFonts w:ascii="Times New Roman" w:eastAsia="Times New Roman" w:hAnsi="Times New Roman" w:cs="Times New Roman"/>
          <w:b/>
          <w:bCs/>
          <w:sz w:val="27"/>
          <w:szCs w:val="27"/>
        </w:rPr>
      </w:pPr>
    </w:p>
    <w:p w14:paraId="4F3E75C9" w14:textId="77777777" w:rsidR="00C1077B" w:rsidRDefault="00C1077B" w:rsidP="00C1077B">
      <w:pPr>
        <w:spacing w:before="100" w:beforeAutospacing="1" w:after="100" w:afterAutospacing="1" w:line="240" w:lineRule="auto"/>
        <w:outlineLvl w:val="2"/>
        <w:rPr>
          <w:rFonts w:ascii="Times New Roman" w:eastAsia="Times New Roman" w:hAnsi="Times New Roman" w:cs="Times New Roman"/>
          <w:b/>
          <w:bCs/>
          <w:sz w:val="27"/>
          <w:szCs w:val="27"/>
        </w:rPr>
      </w:pPr>
    </w:p>
    <w:p w14:paraId="2A396D92" w14:textId="77777777" w:rsidR="00C1077B" w:rsidRDefault="00C1077B" w:rsidP="00C1077B">
      <w:pPr>
        <w:spacing w:before="100" w:beforeAutospacing="1" w:after="100" w:afterAutospacing="1" w:line="240" w:lineRule="auto"/>
        <w:outlineLvl w:val="2"/>
        <w:rPr>
          <w:rFonts w:ascii="Times New Roman" w:eastAsia="Times New Roman" w:hAnsi="Times New Roman" w:cs="Times New Roman"/>
          <w:b/>
          <w:bCs/>
          <w:sz w:val="27"/>
          <w:szCs w:val="27"/>
        </w:rPr>
      </w:pPr>
    </w:p>
    <w:p w14:paraId="782D53CD" w14:textId="77777777" w:rsidR="00C1077B" w:rsidRDefault="00C1077B" w:rsidP="00C1077B">
      <w:pPr>
        <w:spacing w:before="100" w:beforeAutospacing="1" w:after="100" w:afterAutospacing="1" w:line="240" w:lineRule="auto"/>
        <w:outlineLvl w:val="2"/>
        <w:rPr>
          <w:rFonts w:ascii="Times New Roman" w:eastAsia="Times New Roman" w:hAnsi="Times New Roman" w:cs="Times New Roman"/>
          <w:b/>
          <w:bCs/>
          <w:sz w:val="27"/>
          <w:szCs w:val="27"/>
        </w:rPr>
      </w:pPr>
    </w:p>
    <w:p w14:paraId="7DF4D089" w14:textId="77777777" w:rsidR="00C1077B" w:rsidRDefault="00C1077B" w:rsidP="00C1077B">
      <w:pPr>
        <w:spacing w:before="100" w:beforeAutospacing="1" w:after="100" w:afterAutospacing="1" w:line="240" w:lineRule="auto"/>
        <w:outlineLvl w:val="2"/>
        <w:rPr>
          <w:rFonts w:ascii="Times New Roman" w:eastAsia="Times New Roman" w:hAnsi="Times New Roman" w:cs="Times New Roman"/>
          <w:b/>
          <w:bCs/>
          <w:sz w:val="27"/>
          <w:szCs w:val="27"/>
        </w:rPr>
      </w:pPr>
    </w:p>
    <w:p w14:paraId="33F11BB8" w14:textId="77777777" w:rsidR="00C1077B" w:rsidRDefault="00C1077B" w:rsidP="00C1077B">
      <w:pPr>
        <w:spacing w:before="100" w:beforeAutospacing="1" w:after="100" w:afterAutospacing="1" w:line="240" w:lineRule="auto"/>
        <w:outlineLvl w:val="2"/>
        <w:rPr>
          <w:rFonts w:ascii="Times New Roman" w:eastAsia="Times New Roman" w:hAnsi="Times New Roman" w:cs="Times New Roman"/>
          <w:b/>
          <w:bCs/>
          <w:sz w:val="27"/>
          <w:szCs w:val="27"/>
        </w:rPr>
      </w:pPr>
    </w:p>
    <w:p w14:paraId="43C136BD" w14:textId="77777777" w:rsidR="00C1077B" w:rsidRDefault="00C1077B" w:rsidP="00C1077B">
      <w:pPr>
        <w:spacing w:before="100" w:beforeAutospacing="1" w:after="100" w:afterAutospacing="1" w:line="240" w:lineRule="auto"/>
        <w:outlineLvl w:val="2"/>
        <w:rPr>
          <w:rFonts w:ascii="Times New Roman" w:eastAsia="Times New Roman" w:hAnsi="Times New Roman" w:cs="Times New Roman"/>
          <w:b/>
          <w:bCs/>
          <w:sz w:val="27"/>
          <w:szCs w:val="27"/>
        </w:rPr>
      </w:pPr>
    </w:p>
    <w:p w14:paraId="665DC2C8" w14:textId="77777777" w:rsidR="00C1077B" w:rsidRDefault="00C1077B" w:rsidP="00C1077B">
      <w:pPr>
        <w:spacing w:before="100" w:beforeAutospacing="1" w:after="100" w:afterAutospacing="1" w:line="240" w:lineRule="auto"/>
        <w:outlineLvl w:val="2"/>
        <w:rPr>
          <w:rFonts w:ascii="Times New Roman" w:eastAsia="Times New Roman" w:hAnsi="Times New Roman" w:cs="Times New Roman"/>
          <w:b/>
          <w:bCs/>
          <w:sz w:val="27"/>
          <w:szCs w:val="27"/>
        </w:rPr>
      </w:pPr>
    </w:p>
    <w:p w14:paraId="36064F7E" w14:textId="77777777" w:rsidR="00C1077B" w:rsidRDefault="00C1077B" w:rsidP="00C1077B">
      <w:pPr>
        <w:spacing w:before="100" w:beforeAutospacing="1" w:after="100" w:afterAutospacing="1" w:line="240" w:lineRule="auto"/>
        <w:outlineLvl w:val="2"/>
        <w:rPr>
          <w:rFonts w:ascii="Times New Roman" w:eastAsia="Times New Roman" w:hAnsi="Times New Roman" w:cs="Times New Roman"/>
          <w:b/>
          <w:bCs/>
          <w:sz w:val="27"/>
          <w:szCs w:val="27"/>
        </w:rPr>
      </w:pPr>
    </w:p>
    <w:p w14:paraId="2B2470A3" w14:textId="77777777" w:rsidR="00C1077B" w:rsidRDefault="00C1077B" w:rsidP="00C1077B">
      <w:pPr>
        <w:spacing w:before="100" w:beforeAutospacing="1" w:after="100" w:afterAutospacing="1" w:line="240" w:lineRule="auto"/>
        <w:outlineLvl w:val="2"/>
        <w:rPr>
          <w:rFonts w:ascii="Times New Roman" w:eastAsia="Times New Roman" w:hAnsi="Times New Roman" w:cs="Times New Roman"/>
          <w:b/>
          <w:bCs/>
          <w:sz w:val="27"/>
          <w:szCs w:val="27"/>
        </w:rPr>
      </w:pPr>
    </w:p>
    <w:p w14:paraId="3001EB37" w14:textId="77777777" w:rsidR="00C1077B" w:rsidRDefault="00C1077B" w:rsidP="00C1077B">
      <w:pPr>
        <w:spacing w:before="100" w:beforeAutospacing="1" w:after="100" w:afterAutospacing="1" w:line="240" w:lineRule="auto"/>
        <w:outlineLvl w:val="2"/>
        <w:rPr>
          <w:rFonts w:ascii="Times New Roman" w:eastAsia="Times New Roman" w:hAnsi="Times New Roman" w:cs="Times New Roman"/>
          <w:b/>
          <w:bCs/>
          <w:sz w:val="27"/>
          <w:szCs w:val="27"/>
        </w:rPr>
      </w:pPr>
    </w:p>
    <w:p w14:paraId="54A97A31" w14:textId="77777777" w:rsidR="00C1077B" w:rsidRDefault="00C1077B" w:rsidP="00C1077B">
      <w:pPr>
        <w:spacing w:before="100" w:beforeAutospacing="1" w:after="100" w:afterAutospacing="1" w:line="240" w:lineRule="auto"/>
        <w:outlineLvl w:val="2"/>
        <w:rPr>
          <w:rFonts w:ascii="Times New Roman" w:eastAsia="Times New Roman" w:hAnsi="Times New Roman" w:cs="Times New Roman"/>
          <w:b/>
          <w:bCs/>
          <w:sz w:val="27"/>
          <w:szCs w:val="27"/>
        </w:rPr>
      </w:pPr>
    </w:p>
    <w:p w14:paraId="04C18225" w14:textId="77777777" w:rsidR="00C1077B" w:rsidRDefault="00C1077B" w:rsidP="00C1077B">
      <w:pPr>
        <w:spacing w:before="100" w:beforeAutospacing="1" w:after="100" w:afterAutospacing="1" w:line="240" w:lineRule="auto"/>
        <w:outlineLvl w:val="2"/>
        <w:rPr>
          <w:rFonts w:ascii="Times New Roman" w:eastAsia="Times New Roman" w:hAnsi="Times New Roman" w:cs="Times New Roman"/>
          <w:b/>
          <w:bCs/>
          <w:sz w:val="27"/>
          <w:szCs w:val="27"/>
        </w:rPr>
      </w:pPr>
    </w:p>
    <w:p w14:paraId="0EAA7ED7" w14:textId="083B0BE5" w:rsidR="00C1077B" w:rsidRPr="00C1077B" w:rsidRDefault="00C1077B" w:rsidP="00C1077B">
      <w:pPr>
        <w:spacing w:before="100" w:beforeAutospacing="1" w:after="100" w:afterAutospacing="1" w:line="240" w:lineRule="auto"/>
        <w:outlineLvl w:val="2"/>
        <w:rPr>
          <w:rFonts w:asciiTheme="minorHAnsi" w:eastAsia="Times New Roman" w:hAnsiTheme="minorHAnsi" w:cstheme="minorHAnsi"/>
          <w:b/>
          <w:bCs/>
          <w:sz w:val="27"/>
          <w:szCs w:val="27"/>
          <w:highlight w:val="yellow"/>
        </w:rPr>
      </w:pPr>
      <w:r w:rsidRPr="00C1077B">
        <w:rPr>
          <w:rFonts w:asciiTheme="minorHAnsi" w:eastAsia="Times New Roman" w:hAnsiTheme="minorHAnsi" w:cstheme="minorHAnsi"/>
          <w:b/>
          <w:bCs/>
          <w:sz w:val="27"/>
          <w:szCs w:val="27"/>
        </w:rPr>
        <w:lastRenderedPageBreak/>
        <w:t xml:space="preserve">Table </w:t>
      </w:r>
      <w:r w:rsidRPr="00C1077B">
        <w:rPr>
          <w:rFonts w:asciiTheme="minorHAnsi" w:eastAsia="Times New Roman" w:hAnsiTheme="minorHAnsi" w:cstheme="minorHAnsi"/>
          <w:b/>
          <w:bCs/>
          <w:sz w:val="27"/>
          <w:szCs w:val="27"/>
          <w:highlight w:val="yellow"/>
        </w:rPr>
        <w:t>5</w:t>
      </w:r>
      <w:r w:rsidRPr="00C1077B">
        <w:rPr>
          <w:rFonts w:asciiTheme="minorHAnsi" w:eastAsia="Times New Roman" w:hAnsiTheme="minorHAnsi" w:cstheme="minorHAnsi"/>
          <w:b/>
          <w:bCs/>
          <w:sz w:val="27"/>
          <w:szCs w:val="27"/>
        </w:rPr>
        <w:t>: Coagulation Parameters in SCD Patients vs Controls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66"/>
        <w:gridCol w:w="1892"/>
        <w:gridCol w:w="1647"/>
        <w:gridCol w:w="719"/>
        <w:gridCol w:w="1326"/>
      </w:tblGrid>
      <w:tr w:rsidR="00C1077B" w:rsidRPr="00C1077B" w14:paraId="2E3621C9" w14:textId="77777777" w:rsidTr="00C1077B">
        <w:trPr>
          <w:tblHeader/>
          <w:tblCellSpacing w:w="15" w:type="dxa"/>
        </w:trPr>
        <w:tc>
          <w:tcPr>
            <w:tcW w:w="0" w:type="auto"/>
            <w:vAlign w:val="center"/>
            <w:hideMark/>
          </w:tcPr>
          <w:p w14:paraId="3DD0B6D4" w14:textId="77777777" w:rsidR="00C1077B" w:rsidRPr="00C1077B" w:rsidRDefault="00C1077B" w:rsidP="00C1077B">
            <w:pPr>
              <w:spacing w:after="0" w:line="240" w:lineRule="auto"/>
              <w:jc w:val="center"/>
              <w:rPr>
                <w:rFonts w:asciiTheme="minorHAnsi" w:eastAsia="Times New Roman" w:hAnsiTheme="minorHAnsi" w:cstheme="minorHAnsi"/>
                <w:b/>
                <w:bCs/>
                <w:sz w:val="24"/>
                <w:szCs w:val="24"/>
                <w:highlight w:val="yellow"/>
              </w:rPr>
            </w:pPr>
            <w:r w:rsidRPr="00C1077B">
              <w:rPr>
                <w:rFonts w:asciiTheme="minorHAnsi" w:eastAsia="Times New Roman" w:hAnsiTheme="minorHAnsi" w:cstheme="minorHAnsi"/>
                <w:b/>
                <w:bCs/>
                <w:sz w:val="24"/>
                <w:szCs w:val="24"/>
                <w:highlight w:val="yellow"/>
              </w:rPr>
              <w:t>Parameter</w:t>
            </w:r>
          </w:p>
        </w:tc>
        <w:tc>
          <w:tcPr>
            <w:tcW w:w="0" w:type="auto"/>
            <w:vAlign w:val="center"/>
            <w:hideMark/>
          </w:tcPr>
          <w:p w14:paraId="0B02A9C0" w14:textId="77777777" w:rsidR="00C1077B" w:rsidRPr="00C1077B" w:rsidRDefault="00C1077B" w:rsidP="00C1077B">
            <w:pPr>
              <w:spacing w:after="0" w:line="240" w:lineRule="auto"/>
              <w:jc w:val="center"/>
              <w:rPr>
                <w:rFonts w:asciiTheme="minorHAnsi" w:eastAsia="Times New Roman" w:hAnsiTheme="minorHAnsi" w:cstheme="minorHAnsi"/>
                <w:b/>
                <w:bCs/>
                <w:sz w:val="24"/>
                <w:szCs w:val="24"/>
                <w:highlight w:val="yellow"/>
              </w:rPr>
            </w:pPr>
            <w:r w:rsidRPr="00C1077B">
              <w:rPr>
                <w:rFonts w:asciiTheme="minorHAnsi" w:eastAsia="Times New Roman" w:hAnsiTheme="minorHAnsi" w:cstheme="minorHAnsi"/>
                <w:b/>
                <w:bCs/>
                <w:sz w:val="24"/>
                <w:szCs w:val="24"/>
                <w:highlight w:val="yellow"/>
              </w:rPr>
              <w:t>SCD Patients (Mean ± SD)</w:t>
            </w:r>
          </w:p>
        </w:tc>
        <w:tc>
          <w:tcPr>
            <w:tcW w:w="0" w:type="auto"/>
            <w:vAlign w:val="center"/>
            <w:hideMark/>
          </w:tcPr>
          <w:p w14:paraId="0036F036" w14:textId="77777777" w:rsidR="00C1077B" w:rsidRPr="00C1077B" w:rsidRDefault="00C1077B" w:rsidP="00C1077B">
            <w:pPr>
              <w:spacing w:after="0" w:line="240" w:lineRule="auto"/>
              <w:jc w:val="center"/>
              <w:rPr>
                <w:rFonts w:asciiTheme="minorHAnsi" w:eastAsia="Times New Roman" w:hAnsiTheme="minorHAnsi" w:cstheme="minorHAnsi"/>
                <w:b/>
                <w:bCs/>
                <w:sz w:val="24"/>
                <w:szCs w:val="24"/>
                <w:highlight w:val="yellow"/>
              </w:rPr>
            </w:pPr>
            <w:r w:rsidRPr="00C1077B">
              <w:rPr>
                <w:rFonts w:asciiTheme="minorHAnsi" w:eastAsia="Times New Roman" w:hAnsiTheme="minorHAnsi" w:cstheme="minorHAnsi"/>
                <w:b/>
                <w:bCs/>
                <w:sz w:val="24"/>
                <w:szCs w:val="24"/>
                <w:highlight w:val="yellow"/>
              </w:rPr>
              <w:t>Controls (Mean ± SD)</w:t>
            </w:r>
          </w:p>
        </w:tc>
        <w:tc>
          <w:tcPr>
            <w:tcW w:w="0" w:type="auto"/>
            <w:vAlign w:val="center"/>
            <w:hideMark/>
          </w:tcPr>
          <w:p w14:paraId="56AA09B4" w14:textId="77777777" w:rsidR="00C1077B" w:rsidRPr="00C1077B" w:rsidRDefault="00C1077B" w:rsidP="00C1077B">
            <w:pPr>
              <w:spacing w:after="0" w:line="240" w:lineRule="auto"/>
              <w:jc w:val="center"/>
              <w:rPr>
                <w:rFonts w:asciiTheme="minorHAnsi" w:eastAsia="Times New Roman" w:hAnsiTheme="minorHAnsi" w:cstheme="minorHAnsi"/>
                <w:b/>
                <w:bCs/>
                <w:sz w:val="24"/>
                <w:szCs w:val="24"/>
                <w:highlight w:val="yellow"/>
              </w:rPr>
            </w:pPr>
            <w:r w:rsidRPr="00C1077B">
              <w:rPr>
                <w:rFonts w:asciiTheme="minorHAnsi" w:eastAsia="Times New Roman" w:hAnsiTheme="minorHAnsi" w:cstheme="minorHAnsi"/>
                <w:b/>
                <w:bCs/>
                <w:i/>
                <w:iCs/>
                <w:sz w:val="24"/>
                <w:szCs w:val="24"/>
              </w:rPr>
              <w:t>p</w:t>
            </w:r>
            <w:r w:rsidRPr="00C1077B">
              <w:rPr>
                <w:rFonts w:asciiTheme="minorHAnsi" w:eastAsia="Times New Roman" w:hAnsiTheme="minorHAnsi" w:cstheme="minorHAnsi"/>
                <w:b/>
                <w:bCs/>
                <w:sz w:val="24"/>
                <w:szCs w:val="24"/>
                <w:highlight w:val="yellow"/>
              </w:rPr>
              <w:t>-value</w:t>
            </w:r>
          </w:p>
        </w:tc>
        <w:tc>
          <w:tcPr>
            <w:tcW w:w="0" w:type="auto"/>
            <w:vAlign w:val="center"/>
            <w:hideMark/>
          </w:tcPr>
          <w:p w14:paraId="5443202C" w14:textId="77777777" w:rsidR="00C1077B" w:rsidRPr="00C1077B" w:rsidRDefault="00C1077B" w:rsidP="00C1077B">
            <w:pPr>
              <w:spacing w:after="0" w:line="240" w:lineRule="auto"/>
              <w:jc w:val="center"/>
              <w:rPr>
                <w:rFonts w:asciiTheme="minorHAnsi" w:eastAsia="Times New Roman" w:hAnsiTheme="minorHAnsi" w:cstheme="minorHAnsi"/>
                <w:b/>
                <w:bCs/>
                <w:sz w:val="24"/>
                <w:szCs w:val="24"/>
                <w:highlight w:val="yellow"/>
              </w:rPr>
            </w:pPr>
            <w:r w:rsidRPr="00C1077B">
              <w:rPr>
                <w:rFonts w:asciiTheme="minorHAnsi" w:eastAsia="Times New Roman" w:hAnsiTheme="minorHAnsi" w:cstheme="minorHAnsi"/>
                <w:b/>
                <w:bCs/>
                <w:sz w:val="24"/>
                <w:szCs w:val="24"/>
                <w:highlight w:val="yellow"/>
              </w:rPr>
              <w:t>Remark</w:t>
            </w:r>
          </w:p>
        </w:tc>
      </w:tr>
      <w:tr w:rsidR="00C1077B" w:rsidRPr="00C1077B" w14:paraId="7311B727" w14:textId="77777777" w:rsidTr="00C1077B">
        <w:trPr>
          <w:tblCellSpacing w:w="15" w:type="dxa"/>
        </w:trPr>
        <w:tc>
          <w:tcPr>
            <w:tcW w:w="0" w:type="auto"/>
            <w:vAlign w:val="center"/>
            <w:hideMark/>
          </w:tcPr>
          <w:p w14:paraId="6DBAE1C6" w14:textId="77777777" w:rsidR="00C1077B" w:rsidRPr="00C1077B" w:rsidRDefault="00C1077B" w:rsidP="00C1077B">
            <w:pPr>
              <w:spacing w:after="0" w:line="240" w:lineRule="auto"/>
              <w:rPr>
                <w:rFonts w:asciiTheme="minorHAnsi" w:eastAsia="Times New Roman" w:hAnsiTheme="minorHAnsi" w:cstheme="minorHAnsi"/>
                <w:sz w:val="24"/>
                <w:szCs w:val="24"/>
                <w:highlight w:val="yellow"/>
              </w:rPr>
            </w:pPr>
            <w:r w:rsidRPr="00C1077B">
              <w:rPr>
                <w:rFonts w:asciiTheme="minorHAnsi" w:eastAsia="Times New Roman" w:hAnsiTheme="minorHAnsi" w:cstheme="minorHAnsi"/>
                <w:sz w:val="24"/>
                <w:szCs w:val="24"/>
                <w:highlight w:val="yellow"/>
              </w:rPr>
              <w:t>Prothrombin Time (PT) (seconds)</w:t>
            </w:r>
          </w:p>
        </w:tc>
        <w:tc>
          <w:tcPr>
            <w:tcW w:w="0" w:type="auto"/>
            <w:vAlign w:val="center"/>
            <w:hideMark/>
          </w:tcPr>
          <w:p w14:paraId="35746D41" w14:textId="77777777" w:rsidR="00C1077B" w:rsidRPr="00C1077B" w:rsidRDefault="00C1077B" w:rsidP="00C1077B">
            <w:pPr>
              <w:spacing w:after="0" w:line="240" w:lineRule="auto"/>
              <w:rPr>
                <w:rFonts w:asciiTheme="minorHAnsi" w:eastAsia="Times New Roman" w:hAnsiTheme="minorHAnsi" w:cstheme="minorHAnsi"/>
                <w:sz w:val="24"/>
                <w:szCs w:val="24"/>
                <w:highlight w:val="yellow"/>
              </w:rPr>
            </w:pPr>
            <w:r w:rsidRPr="00C1077B">
              <w:rPr>
                <w:rFonts w:asciiTheme="minorHAnsi" w:eastAsia="Times New Roman" w:hAnsiTheme="minorHAnsi" w:cstheme="minorHAnsi"/>
                <w:sz w:val="24"/>
                <w:szCs w:val="24"/>
                <w:highlight w:val="yellow"/>
              </w:rPr>
              <w:t>15.33</w:t>
            </w:r>
          </w:p>
        </w:tc>
        <w:tc>
          <w:tcPr>
            <w:tcW w:w="0" w:type="auto"/>
            <w:vAlign w:val="center"/>
            <w:hideMark/>
          </w:tcPr>
          <w:p w14:paraId="4E90280F" w14:textId="77777777" w:rsidR="00C1077B" w:rsidRPr="00C1077B" w:rsidRDefault="00C1077B" w:rsidP="00C1077B">
            <w:pPr>
              <w:spacing w:after="0" w:line="240" w:lineRule="auto"/>
              <w:rPr>
                <w:rFonts w:asciiTheme="minorHAnsi" w:eastAsia="Times New Roman" w:hAnsiTheme="minorHAnsi" w:cstheme="minorHAnsi"/>
                <w:sz w:val="24"/>
                <w:szCs w:val="24"/>
                <w:highlight w:val="yellow"/>
              </w:rPr>
            </w:pPr>
            <w:r w:rsidRPr="00C1077B">
              <w:rPr>
                <w:rFonts w:asciiTheme="minorHAnsi" w:eastAsia="Times New Roman" w:hAnsiTheme="minorHAnsi" w:cstheme="minorHAnsi"/>
                <w:sz w:val="24"/>
                <w:szCs w:val="24"/>
                <w:highlight w:val="yellow"/>
              </w:rPr>
              <w:t>11.86</w:t>
            </w:r>
          </w:p>
        </w:tc>
        <w:tc>
          <w:tcPr>
            <w:tcW w:w="0" w:type="auto"/>
            <w:vAlign w:val="center"/>
            <w:hideMark/>
          </w:tcPr>
          <w:p w14:paraId="0B5DB24D" w14:textId="77777777" w:rsidR="00C1077B" w:rsidRPr="00C1077B" w:rsidRDefault="00C1077B" w:rsidP="00C1077B">
            <w:pPr>
              <w:spacing w:after="0" w:line="240" w:lineRule="auto"/>
              <w:rPr>
                <w:rFonts w:asciiTheme="minorHAnsi" w:eastAsia="Times New Roman" w:hAnsiTheme="minorHAnsi" w:cstheme="minorHAnsi"/>
                <w:sz w:val="24"/>
                <w:szCs w:val="24"/>
                <w:highlight w:val="yellow"/>
              </w:rPr>
            </w:pPr>
            <w:r w:rsidRPr="00C1077B">
              <w:rPr>
                <w:rFonts w:asciiTheme="minorHAnsi" w:eastAsia="Times New Roman" w:hAnsiTheme="minorHAnsi" w:cstheme="minorHAnsi"/>
                <w:sz w:val="24"/>
                <w:szCs w:val="24"/>
                <w:highlight w:val="yellow"/>
              </w:rPr>
              <w:t>&lt;0.05</w:t>
            </w:r>
          </w:p>
        </w:tc>
        <w:tc>
          <w:tcPr>
            <w:tcW w:w="0" w:type="auto"/>
            <w:vAlign w:val="center"/>
            <w:hideMark/>
          </w:tcPr>
          <w:p w14:paraId="248DE833" w14:textId="77777777" w:rsidR="00C1077B" w:rsidRPr="00C1077B" w:rsidRDefault="00C1077B" w:rsidP="00C1077B">
            <w:pPr>
              <w:spacing w:after="0" w:line="240" w:lineRule="auto"/>
              <w:rPr>
                <w:rFonts w:asciiTheme="minorHAnsi" w:eastAsia="Times New Roman" w:hAnsiTheme="minorHAnsi" w:cstheme="minorHAnsi"/>
                <w:sz w:val="24"/>
                <w:szCs w:val="24"/>
                <w:highlight w:val="yellow"/>
              </w:rPr>
            </w:pPr>
            <w:r w:rsidRPr="00C1077B">
              <w:rPr>
                <w:rFonts w:asciiTheme="minorHAnsi" w:eastAsia="Times New Roman" w:hAnsiTheme="minorHAnsi" w:cstheme="minorHAnsi"/>
                <w:sz w:val="24"/>
                <w:szCs w:val="24"/>
                <w:highlight w:val="yellow"/>
              </w:rPr>
              <w:t>Significant</w:t>
            </w:r>
          </w:p>
        </w:tc>
      </w:tr>
      <w:tr w:rsidR="00C1077B" w:rsidRPr="00C1077B" w14:paraId="3DBE3F71" w14:textId="77777777" w:rsidTr="00C1077B">
        <w:trPr>
          <w:tblCellSpacing w:w="15" w:type="dxa"/>
        </w:trPr>
        <w:tc>
          <w:tcPr>
            <w:tcW w:w="0" w:type="auto"/>
            <w:vAlign w:val="center"/>
            <w:hideMark/>
          </w:tcPr>
          <w:p w14:paraId="09AC5014" w14:textId="77777777" w:rsidR="00C1077B" w:rsidRPr="00C1077B" w:rsidRDefault="00C1077B" w:rsidP="00C1077B">
            <w:pPr>
              <w:spacing w:after="0" w:line="240" w:lineRule="auto"/>
              <w:rPr>
                <w:rFonts w:asciiTheme="minorHAnsi" w:eastAsia="Times New Roman" w:hAnsiTheme="minorHAnsi" w:cstheme="minorHAnsi"/>
                <w:sz w:val="24"/>
                <w:szCs w:val="24"/>
                <w:highlight w:val="yellow"/>
              </w:rPr>
            </w:pPr>
            <w:r w:rsidRPr="00C1077B">
              <w:rPr>
                <w:rFonts w:asciiTheme="minorHAnsi" w:eastAsia="Times New Roman" w:hAnsiTheme="minorHAnsi" w:cstheme="minorHAnsi"/>
                <w:sz w:val="24"/>
                <w:szCs w:val="24"/>
                <w:highlight w:val="yellow"/>
              </w:rPr>
              <w:t>Activated Partial Thromboplastin Time (APTT) (seconds)</w:t>
            </w:r>
          </w:p>
        </w:tc>
        <w:tc>
          <w:tcPr>
            <w:tcW w:w="0" w:type="auto"/>
            <w:vAlign w:val="center"/>
            <w:hideMark/>
          </w:tcPr>
          <w:p w14:paraId="3288BAF3" w14:textId="77777777" w:rsidR="00C1077B" w:rsidRPr="00C1077B" w:rsidRDefault="00C1077B" w:rsidP="00C1077B">
            <w:pPr>
              <w:spacing w:after="0" w:line="240" w:lineRule="auto"/>
              <w:rPr>
                <w:rFonts w:asciiTheme="minorHAnsi" w:eastAsia="Times New Roman" w:hAnsiTheme="minorHAnsi" w:cstheme="minorHAnsi"/>
                <w:sz w:val="24"/>
                <w:szCs w:val="24"/>
                <w:highlight w:val="yellow"/>
              </w:rPr>
            </w:pPr>
            <w:r w:rsidRPr="00C1077B">
              <w:rPr>
                <w:rFonts w:asciiTheme="minorHAnsi" w:eastAsia="Times New Roman" w:hAnsiTheme="minorHAnsi" w:cstheme="minorHAnsi"/>
                <w:sz w:val="24"/>
                <w:szCs w:val="24"/>
                <w:highlight w:val="yellow"/>
              </w:rPr>
              <w:t>32.25</w:t>
            </w:r>
          </w:p>
        </w:tc>
        <w:tc>
          <w:tcPr>
            <w:tcW w:w="0" w:type="auto"/>
            <w:vAlign w:val="center"/>
            <w:hideMark/>
          </w:tcPr>
          <w:p w14:paraId="4278D225" w14:textId="77777777" w:rsidR="00C1077B" w:rsidRPr="00C1077B" w:rsidRDefault="00C1077B" w:rsidP="00C1077B">
            <w:pPr>
              <w:spacing w:after="0" w:line="240" w:lineRule="auto"/>
              <w:rPr>
                <w:rFonts w:asciiTheme="minorHAnsi" w:eastAsia="Times New Roman" w:hAnsiTheme="minorHAnsi" w:cstheme="minorHAnsi"/>
                <w:sz w:val="24"/>
                <w:szCs w:val="24"/>
                <w:highlight w:val="yellow"/>
              </w:rPr>
            </w:pPr>
            <w:r w:rsidRPr="00C1077B">
              <w:rPr>
                <w:rFonts w:asciiTheme="minorHAnsi" w:eastAsia="Times New Roman" w:hAnsiTheme="minorHAnsi" w:cstheme="minorHAnsi"/>
                <w:sz w:val="24"/>
                <w:szCs w:val="24"/>
                <w:highlight w:val="yellow"/>
              </w:rPr>
              <w:t>29.27</w:t>
            </w:r>
          </w:p>
        </w:tc>
        <w:tc>
          <w:tcPr>
            <w:tcW w:w="0" w:type="auto"/>
            <w:vAlign w:val="center"/>
            <w:hideMark/>
          </w:tcPr>
          <w:p w14:paraId="3022B56D" w14:textId="77777777" w:rsidR="00C1077B" w:rsidRPr="00C1077B" w:rsidRDefault="00C1077B" w:rsidP="00C1077B">
            <w:pPr>
              <w:spacing w:after="0" w:line="240" w:lineRule="auto"/>
              <w:rPr>
                <w:rFonts w:asciiTheme="minorHAnsi" w:eastAsia="Times New Roman" w:hAnsiTheme="minorHAnsi" w:cstheme="minorHAnsi"/>
                <w:sz w:val="24"/>
                <w:szCs w:val="24"/>
                <w:highlight w:val="yellow"/>
              </w:rPr>
            </w:pPr>
            <w:r w:rsidRPr="00C1077B">
              <w:rPr>
                <w:rFonts w:asciiTheme="minorHAnsi" w:eastAsia="Times New Roman" w:hAnsiTheme="minorHAnsi" w:cstheme="minorHAnsi"/>
                <w:sz w:val="24"/>
                <w:szCs w:val="24"/>
                <w:highlight w:val="yellow"/>
              </w:rPr>
              <w:t>&lt;0.05</w:t>
            </w:r>
          </w:p>
        </w:tc>
        <w:tc>
          <w:tcPr>
            <w:tcW w:w="0" w:type="auto"/>
            <w:vAlign w:val="center"/>
            <w:hideMark/>
          </w:tcPr>
          <w:p w14:paraId="3E96E439" w14:textId="77777777" w:rsidR="00C1077B" w:rsidRPr="00C1077B" w:rsidRDefault="00C1077B" w:rsidP="00C1077B">
            <w:pPr>
              <w:spacing w:after="0" w:line="240" w:lineRule="auto"/>
              <w:rPr>
                <w:rFonts w:asciiTheme="minorHAnsi" w:eastAsia="Times New Roman" w:hAnsiTheme="minorHAnsi" w:cstheme="minorHAnsi"/>
                <w:sz w:val="24"/>
                <w:szCs w:val="24"/>
                <w:highlight w:val="yellow"/>
              </w:rPr>
            </w:pPr>
            <w:r w:rsidRPr="00C1077B">
              <w:rPr>
                <w:rFonts w:asciiTheme="minorHAnsi" w:eastAsia="Times New Roman" w:hAnsiTheme="minorHAnsi" w:cstheme="minorHAnsi"/>
                <w:sz w:val="24"/>
                <w:szCs w:val="24"/>
                <w:highlight w:val="yellow"/>
              </w:rPr>
              <w:t>Significant</w:t>
            </w:r>
          </w:p>
        </w:tc>
      </w:tr>
      <w:tr w:rsidR="00C1077B" w:rsidRPr="00C1077B" w14:paraId="6D897321" w14:textId="77777777" w:rsidTr="00C1077B">
        <w:trPr>
          <w:tblCellSpacing w:w="15" w:type="dxa"/>
        </w:trPr>
        <w:tc>
          <w:tcPr>
            <w:tcW w:w="0" w:type="auto"/>
            <w:vAlign w:val="center"/>
            <w:hideMark/>
          </w:tcPr>
          <w:p w14:paraId="469498A2" w14:textId="77777777" w:rsidR="00C1077B" w:rsidRPr="00C1077B" w:rsidRDefault="00C1077B" w:rsidP="00C1077B">
            <w:pPr>
              <w:spacing w:after="0" w:line="240" w:lineRule="auto"/>
              <w:rPr>
                <w:rFonts w:asciiTheme="minorHAnsi" w:eastAsia="Times New Roman" w:hAnsiTheme="minorHAnsi" w:cstheme="minorHAnsi"/>
                <w:sz w:val="24"/>
                <w:szCs w:val="24"/>
                <w:highlight w:val="yellow"/>
              </w:rPr>
            </w:pPr>
            <w:r w:rsidRPr="00C1077B">
              <w:rPr>
                <w:rFonts w:asciiTheme="minorHAnsi" w:eastAsia="Times New Roman" w:hAnsiTheme="minorHAnsi" w:cstheme="minorHAnsi"/>
                <w:sz w:val="24"/>
                <w:szCs w:val="24"/>
                <w:highlight w:val="yellow"/>
              </w:rPr>
              <w:t>International Normalized Ratio (INR)</w:t>
            </w:r>
          </w:p>
        </w:tc>
        <w:tc>
          <w:tcPr>
            <w:tcW w:w="0" w:type="auto"/>
            <w:vAlign w:val="center"/>
            <w:hideMark/>
          </w:tcPr>
          <w:p w14:paraId="4DB05CBC" w14:textId="77777777" w:rsidR="00C1077B" w:rsidRPr="00C1077B" w:rsidRDefault="00C1077B" w:rsidP="00C1077B">
            <w:pPr>
              <w:spacing w:after="0" w:line="240" w:lineRule="auto"/>
              <w:rPr>
                <w:rFonts w:asciiTheme="minorHAnsi" w:eastAsia="Times New Roman" w:hAnsiTheme="minorHAnsi" w:cstheme="minorHAnsi"/>
                <w:sz w:val="24"/>
                <w:szCs w:val="24"/>
                <w:highlight w:val="yellow"/>
              </w:rPr>
            </w:pPr>
            <w:r w:rsidRPr="00C1077B">
              <w:rPr>
                <w:rFonts w:asciiTheme="minorHAnsi" w:eastAsia="Times New Roman" w:hAnsiTheme="minorHAnsi" w:cstheme="minorHAnsi"/>
                <w:sz w:val="24"/>
                <w:szCs w:val="24"/>
                <w:highlight w:val="yellow"/>
              </w:rPr>
              <w:t>Not specified</w:t>
            </w:r>
          </w:p>
        </w:tc>
        <w:tc>
          <w:tcPr>
            <w:tcW w:w="0" w:type="auto"/>
            <w:vAlign w:val="center"/>
            <w:hideMark/>
          </w:tcPr>
          <w:p w14:paraId="01E288FE" w14:textId="77777777" w:rsidR="00C1077B" w:rsidRPr="00C1077B" w:rsidRDefault="00C1077B" w:rsidP="00C1077B">
            <w:pPr>
              <w:spacing w:after="0" w:line="240" w:lineRule="auto"/>
              <w:rPr>
                <w:rFonts w:asciiTheme="minorHAnsi" w:eastAsia="Times New Roman" w:hAnsiTheme="minorHAnsi" w:cstheme="minorHAnsi"/>
                <w:sz w:val="24"/>
                <w:szCs w:val="24"/>
                <w:highlight w:val="yellow"/>
              </w:rPr>
            </w:pPr>
            <w:r w:rsidRPr="00C1077B">
              <w:rPr>
                <w:rFonts w:asciiTheme="minorHAnsi" w:eastAsia="Times New Roman" w:hAnsiTheme="minorHAnsi" w:cstheme="minorHAnsi"/>
                <w:sz w:val="24"/>
                <w:szCs w:val="24"/>
                <w:highlight w:val="yellow"/>
              </w:rPr>
              <w:t>Not specified</w:t>
            </w:r>
          </w:p>
        </w:tc>
        <w:tc>
          <w:tcPr>
            <w:tcW w:w="0" w:type="auto"/>
            <w:vAlign w:val="center"/>
            <w:hideMark/>
          </w:tcPr>
          <w:p w14:paraId="6AAE32F1" w14:textId="77777777" w:rsidR="00C1077B" w:rsidRPr="00C1077B" w:rsidRDefault="00C1077B" w:rsidP="00C1077B">
            <w:pPr>
              <w:spacing w:after="0" w:line="240" w:lineRule="auto"/>
              <w:rPr>
                <w:rFonts w:asciiTheme="minorHAnsi" w:eastAsia="Times New Roman" w:hAnsiTheme="minorHAnsi" w:cstheme="minorHAnsi"/>
                <w:sz w:val="24"/>
                <w:szCs w:val="24"/>
                <w:highlight w:val="yellow"/>
              </w:rPr>
            </w:pPr>
            <w:r w:rsidRPr="00C1077B">
              <w:rPr>
                <w:rFonts w:asciiTheme="minorHAnsi" w:eastAsia="Times New Roman" w:hAnsiTheme="minorHAnsi" w:cstheme="minorHAnsi"/>
                <w:sz w:val="24"/>
                <w:szCs w:val="24"/>
                <w:highlight w:val="yellow"/>
              </w:rPr>
              <w:t>0.274</w:t>
            </w:r>
          </w:p>
        </w:tc>
        <w:tc>
          <w:tcPr>
            <w:tcW w:w="0" w:type="auto"/>
            <w:vAlign w:val="center"/>
            <w:hideMark/>
          </w:tcPr>
          <w:p w14:paraId="37E52A02" w14:textId="77777777" w:rsidR="00C1077B" w:rsidRPr="00C1077B" w:rsidRDefault="00C1077B" w:rsidP="00C1077B">
            <w:pPr>
              <w:spacing w:after="0" w:line="240" w:lineRule="auto"/>
              <w:rPr>
                <w:rFonts w:asciiTheme="minorHAnsi" w:eastAsia="Times New Roman" w:hAnsiTheme="minorHAnsi" w:cstheme="minorHAnsi"/>
                <w:sz w:val="24"/>
                <w:szCs w:val="24"/>
                <w:highlight w:val="yellow"/>
              </w:rPr>
            </w:pPr>
            <w:r w:rsidRPr="00C1077B">
              <w:rPr>
                <w:rFonts w:asciiTheme="minorHAnsi" w:eastAsia="Times New Roman" w:hAnsiTheme="minorHAnsi" w:cstheme="minorHAnsi"/>
                <w:sz w:val="24"/>
                <w:szCs w:val="24"/>
                <w:highlight w:val="yellow"/>
              </w:rPr>
              <w:t>Not Significant</w:t>
            </w:r>
          </w:p>
        </w:tc>
      </w:tr>
      <w:tr w:rsidR="00C1077B" w:rsidRPr="00C1077B" w14:paraId="3397BB8E" w14:textId="77777777" w:rsidTr="00C1077B">
        <w:trPr>
          <w:tblCellSpacing w:w="15" w:type="dxa"/>
        </w:trPr>
        <w:tc>
          <w:tcPr>
            <w:tcW w:w="0" w:type="auto"/>
            <w:vAlign w:val="center"/>
            <w:hideMark/>
          </w:tcPr>
          <w:p w14:paraId="4D12A21D" w14:textId="77777777" w:rsidR="00C1077B" w:rsidRPr="00C1077B" w:rsidRDefault="00C1077B" w:rsidP="00C1077B">
            <w:pPr>
              <w:spacing w:after="0" w:line="240" w:lineRule="auto"/>
              <w:rPr>
                <w:rFonts w:asciiTheme="minorHAnsi" w:eastAsia="Times New Roman" w:hAnsiTheme="minorHAnsi" w:cstheme="minorHAnsi"/>
                <w:sz w:val="24"/>
                <w:szCs w:val="24"/>
                <w:highlight w:val="yellow"/>
              </w:rPr>
            </w:pPr>
            <w:r w:rsidRPr="00C1077B">
              <w:rPr>
                <w:rFonts w:asciiTheme="minorHAnsi" w:eastAsia="Times New Roman" w:hAnsiTheme="minorHAnsi" w:cstheme="minorHAnsi"/>
                <w:sz w:val="24"/>
                <w:szCs w:val="24"/>
                <w:highlight w:val="yellow"/>
              </w:rPr>
              <w:t>D-dimer (ng/mL)</w:t>
            </w:r>
          </w:p>
        </w:tc>
        <w:tc>
          <w:tcPr>
            <w:tcW w:w="0" w:type="auto"/>
            <w:vAlign w:val="center"/>
            <w:hideMark/>
          </w:tcPr>
          <w:p w14:paraId="5EE20661" w14:textId="77777777" w:rsidR="00C1077B" w:rsidRPr="00C1077B" w:rsidRDefault="00C1077B" w:rsidP="00C1077B">
            <w:pPr>
              <w:spacing w:after="0" w:line="240" w:lineRule="auto"/>
              <w:rPr>
                <w:rFonts w:asciiTheme="minorHAnsi" w:eastAsia="Times New Roman" w:hAnsiTheme="minorHAnsi" w:cstheme="minorHAnsi"/>
                <w:sz w:val="24"/>
                <w:szCs w:val="24"/>
                <w:highlight w:val="yellow"/>
              </w:rPr>
            </w:pPr>
            <w:r w:rsidRPr="00C1077B">
              <w:rPr>
                <w:rFonts w:asciiTheme="minorHAnsi" w:eastAsia="Times New Roman" w:hAnsiTheme="minorHAnsi" w:cstheme="minorHAnsi"/>
                <w:sz w:val="24"/>
                <w:szCs w:val="24"/>
                <w:highlight w:val="yellow"/>
              </w:rPr>
              <w:t>3347.08</w:t>
            </w:r>
          </w:p>
        </w:tc>
        <w:tc>
          <w:tcPr>
            <w:tcW w:w="0" w:type="auto"/>
            <w:vAlign w:val="center"/>
            <w:hideMark/>
          </w:tcPr>
          <w:p w14:paraId="201B9AE5" w14:textId="77777777" w:rsidR="00C1077B" w:rsidRPr="00C1077B" w:rsidRDefault="00C1077B" w:rsidP="00C1077B">
            <w:pPr>
              <w:spacing w:after="0" w:line="240" w:lineRule="auto"/>
              <w:rPr>
                <w:rFonts w:asciiTheme="minorHAnsi" w:eastAsia="Times New Roman" w:hAnsiTheme="minorHAnsi" w:cstheme="minorHAnsi"/>
                <w:sz w:val="24"/>
                <w:szCs w:val="24"/>
                <w:highlight w:val="yellow"/>
              </w:rPr>
            </w:pPr>
            <w:r w:rsidRPr="00C1077B">
              <w:rPr>
                <w:rFonts w:asciiTheme="minorHAnsi" w:eastAsia="Times New Roman" w:hAnsiTheme="minorHAnsi" w:cstheme="minorHAnsi"/>
                <w:sz w:val="24"/>
                <w:szCs w:val="24"/>
                <w:highlight w:val="yellow"/>
              </w:rPr>
              <w:t>1438.13</w:t>
            </w:r>
          </w:p>
        </w:tc>
        <w:tc>
          <w:tcPr>
            <w:tcW w:w="0" w:type="auto"/>
            <w:vAlign w:val="center"/>
            <w:hideMark/>
          </w:tcPr>
          <w:p w14:paraId="5E120CFF" w14:textId="77777777" w:rsidR="00C1077B" w:rsidRPr="00C1077B" w:rsidRDefault="00C1077B" w:rsidP="00C1077B">
            <w:pPr>
              <w:spacing w:after="0" w:line="240" w:lineRule="auto"/>
              <w:rPr>
                <w:rFonts w:asciiTheme="minorHAnsi" w:eastAsia="Times New Roman" w:hAnsiTheme="minorHAnsi" w:cstheme="minorHAnsi"/>
                <w:sz w:val="24"/>
                <w:szCs w:val="24"/>
                <w:highlight w:val="yellow"/>
              </w:rPr>
            </w:pPr>
            <w:r w:rsidRPr="00C1077B">
              <w:rPr>
                <w:rFonts w:asciiTheme="minorHAnsi" w:eastAsia="Times New Roman" w:hAnsiTheme="minorHAnsi" w:cstheme="minorHAnsi"/>
                <w:sz w:val="24"/>
                <w:szCs w:val="24"/>
                <w:highlight w:val="yellow"/>
              </w:rPr>
              <w:t>&lt;0.05</w:t>
            </w:r>
          </w:p>
        </w:tc>
        <w:tc>
          <w:tcPr>
            <w:tcW w:w="0" w:type="auto"/>
            <w:vAlign w:val="center"/>
            <w:hideMark/>
          </w:tcPr>
          <w:p w14:paraId="75896940" w14:textId="77777777" w:rsidR="00C1077B" w:rsidRPr="00C1077B" w:rsidRDefault="00C1077B" w:rsidP="00C1077B">
            <w:pPr>
              <w:spacing w:after="0" w:line="240" w:lineRule="auto"/>
              <w:rPr>
                <w:rFonts w:asciiTheme="minorHAnsi" w:eastAsia="Times New Roman" w:hAnsiTheme="minorHAnsi" w:cstheme="minorHAnsi"/>
                <w:sz w:val="24"/>
                <w:szCs w:val="24"/>
              </w:rPr>
            </w:pPr>
            <w:r w:rsidRPr="00C1077B">
              <w:rPr>
                <w:rFonts w:asciiTheme="minorHAnsi" w:eastAsia="Times New Roman" w:hAnsiTheme="minorHAnsi" w:cstheme="minorHAnsi"/>
                <w:sz w:val="24"/>
                <w:szCs w:val="24"/>
                <w:highlight w:val="yellow"/>
              </w:rPr>
              <w:t>Significant</w:t>
            </w:r>
          </w:p>
        </w:tc>
      </w:tr>
    </w:tbl>
    <w:p w14:paraId="5F030170" w14:textId="77777777" w:rsidR="00047E5F" w:rsidRPr="00C1077B" w:rsidRDefault="00047E5F" w:rsidP="00047E5F">
      <w:pPr>
        <w:spacing w:before="100" w:beforeAutospacing="1" w:after="100" w:afterAutospacing="1" w:line="360" w:lineRule="auto"/>
        <w:jc w:val="both"/>
        <w:outlineLvl w:val="2"/>
        <w:rPr>
          <w:rFonts w:asciiTheme="minorHAnsi" w:eastAsia="Times New Roman" w:hAnsiTheme="minorHAnsi" w:cstheme="minorHAnsi"/>
          <w:b/>
          <w:bCs/>
          <w:sz w:val="27"/>
          <w:szCs w:val="27"/>
        </w:rPr>
      </w:pPr>
    </w:p>
    <w:p w14:paraId="115B1123" w14:textId="77777777" w:rsidR="00047E5F" w:rsidRDefault="00047E5F" w:rsidP="00047E5F">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6DAD3152" w14:textId="77777777" w:rsidR="00047E5F" w:rsidRDefault="00047E5F" w:rsidP="00047E5F">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284A0D2D" w14:textId="77777777" w:rsidR="00047E5F" w:rsidRDefault="00047E5F" w:rsidP="00047E5F">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3BE850E3" w14:textId="77777777" w:rsidR="00047E5F" w:rsidRDefault="00047E5F" w:rsidP="00047E5F">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5A73F0A0" w14:textId="77777777" w:rsidR="00047E5F" w:rsidRDefault="00047E5F" w:rsidP="00047E5F">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2CE31400" w14:textId="77777777" w:rsidR="00047E5F" w:rsidRDefault="00047E5F" w:rsidP="00047E5F">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1E8310BB" w14:textId="77777777" w:rsidR="00047E5F" w:rsidRDefault="00047E5F" w:rsidP="00047E5F">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25258969" w14:textId="77777777" w:rsidR="00047E5F" w:rsidRDefault="00047E5F" w:rsidP="00047E5F">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2C1552D1" w14:textId="77777777" w:rsidR="00C1077B" w:rsidRDefault="00C1077B" w:rsidP="00047E5F">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4916F551" w14:textId="77777777" w:rsidR="00C1077B" w:rsidRDefault="00C1077B" w:rsidP="00047E5F">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10CDF2A7" w14:textId="77777777" w:rsidR="00C1077B" w:rsidRDefault="00C1077B" w:rsidP="00047E5F">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47E2BC6C" w14:textId="77777777" w:rsidR="00C1077B" w:rsidRDefault="00C1077B" w:rsidP="00047E5F">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60634736" w14:textId="77777777" w:rsidR="00047E5F" w:rsidRDefault="00047E5F" w:rsidP="00047E5F">
      <w:pPr>
        <w:spacing w:before="100" w:beforeAutospacing="1" w:after="100" w:afterAutospacing="1" w:line="36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4.0 Discussion</w:t>
      </w:r>
    </w:p>
    <w:p w14:paraId="5BAFC380" w14:textId="77777777" w:rsidR="00C1077B" w:rsidRPr="00C1077B" w:rsidRDefault="00C1077B" w:rsidP="00C1077B">
      <w:pPr>
        <w:pStyle w:val="NormalWeb"/>
        <w:spacing w:line="360" w:lineRule="auto"/>
        <w:jc w:val="both"/>
        <w:rPr>
          <w:rFonts w:asciiTheme="minorHAnsi" w:hAnsiTheme="minorHAnsi" w:cstheme="minorHAnsi"/>
          <w:highlight w:val="yellow"/>
        </w:rPr>
      </w:pPr>
      <w:r w:rsidRPr="00C1077B">
        <w:rPr>
          <w:rFonts w:asciiTheme="minorHAnsi" w:hAnsiTheme="minorHAnsi" w:cstheme="minorHAnsi"/>
          <w:highlight w:val="yellow"/>
        </w:rPr>
        <w:t>The findings of this study offer critical insights into the hematological, immunological, and coagulation profiles of Nigerian sickle cell disease (SCD) patients during the COVID-19 pandemic. While SARS-CoV-2 IgG and IgM antibody levels did not differ significantly between SCD patients and healthy controls, significant abnormalities were observed in blood and clotting parameters, underscoring the heightened vulnerability of SCD patients during infectious disease outbreaks.</w:t>
      </w:r>
    </w:p>
    <w:p w14:paraId="00EBDA06" w14:textId="77777777" w:rsidR="00C1077B" w:rsidRPr="00C1077B" w:rsidRDefault="00C1077B" w:rsidP="00C1077B">
      <w:pPr>
        <w:pStyle w:val="NormalWeb"/>
        <w:spacing w:line="360" w:lineRule="auto"/>
        <w:jc w:val="both"/>
        <w:rPr>
          <w:rFonts w:asciiTheme="minorHAnsi" w:hAnsiTheme="minorHAnsi" w:cstheme="minorHAnsi"/>
          <w:highlight w:val="yellow"/>
        </w:rPr>
      </w:pPr>
      <w:r w:rsidRPr="00C1077B">
        <w:rPr>
          <w:rFonts w:asciiTheme="minorHAnsi" w:hAnsiTheme="minorHAnsi" w:cstheme="minorHAnsi"/>
          <w:highlight w:val="yellow"/>
        </w:rPr>
        <w:t>As shown in Table 1, SCD patients had markedly elevated white blood cell (WBC) counts (11.37 vs. 5.64 × 10⁹/L) and platelet counts (351.62 vs. 233.04 × 10⁹/L), both of which are consistent with chronic inflammation and immune activation in this population. Additionally, SCD patients exhibited significantly lower hemoglobin (Hb) concentrations (7.75 vs. 13.13 g/dL) and packed cell volume (PCV) values (22.42% vs. 39.64%) compared to controls. These hematologic derangements reflect the hemolytic nature of SCD and the chronic compensatory erythropoiesis seen in these patients [15,16].</w:t>
      </w:r>
    </w:p>
    <w:p w14:paraId="7317C775" w14:textId="77777777" w:rsidR="00C1077B" w:rsidRPr="00C1077B" w:rsidRDefault="00C1077B" w:rsidP="00C1077B">
      <w:pPr>
        <w:pStyle w:val="NormalWeb"/>
        <w:spacing w:line="360" w:lineRule="auto"/>
        <w:jc w:val="both"/>
        <w:rPr>
          <w:rFonts w:asciiTheme="minorHAnsi" w:hAnsiTheme="minorHAnsi" w:cstheme="minorHAnsi"/>
          <w:highlight w:val="yellow"/>
        </w:rPr>
      </w:pPr>
      <w:r w:rsidRPr="00C1077B">
        <w:rPr>
          <w:rFonts w:asciiTheme="minorHAnsi" w:hAnsiTheme="minorHAnsi" w:cstheme="minorHAnsi"/>
          <w:highlight w:val="yellow"/>
        </w:rPr>
        <w:t>Coagulation parameters, detailed in Table 2, further illustrated the hypercoagulable state characteristic of SCD. Patients had significantly prolonged prothrombin time (PT: 15.33 vs. 11.86 seconds) and activated partial thromboplastin time (APTT: 32.25 vs. 29.27 seconds), along with markedly elevated D-dimer levels (3347.08 vs. 1438.13 ng/mL). These findings support previous reports indicating that individuals with SCD are at increased risk for coagulation abnormalities, which can be exacerbated by infections such as COVID-19 [7,18]. While international normalized ratio (INR) values showed no significant difference (p = 0.274), the overall profile clearly reflects a predisposition to thrombotic complications.</w:t>
      </w:r>
    </w:p>
    <w:p w14:paraId="724BC4F2" w14:textId="77777777" w:rsidR="00C1077B" w:rsidRPr="00C1077B" w:rsidRDefault="00C1077B" w:rsidP="00C1077B">
      <w:pPr>
        <w:pStyle w:val="NormalWeb"/>
        <w:spacing w:line="360" w:lineRule="auto"/>
        <w:jc w:val="both"/>
        <w:rPr>
          <w:rFonts w:asciiTheme="minorHAnsi" w:hAnsiTheme="minorHAnsi" w:cstheme="minorHAnsi"/>
          <w:highlight w:val="yellow"/>
        </w:rPr>
      </w:pPr>
      <w:r w:rsidRPr="00C1077B">
        <w:rPr>
          <w:rFonts w:asciiTheme="minorHAnsi" w:hAnsiTheme="minorHAnsi" w:cstheme="minorHAnsi"/>
          <w:highlight w:val="yellow"/>
        </w:rPr>
        <w:t>Although SARS-CoV-2 IgM and IgG levels were slightly higher in SCD patients (IgM: 0.28 vs. 0.24; IgG: 0.17 vs. 0.16), these differences were not statistically significant, indicating a generally preserved humoral immune response despite the underlying disease. This observation is notable, considering the immune compromise commonly associated with SCD due to functional asplenia and chronic inflammation [6,21].</w:t>
      </w:r>
    </w:p>
    <w:p w14:paraId="5FCF5D71" w14:textId="77777777" w:rsidR="00C1077B" w:rsidRPr="00C1077B" w:rsidRDefault="00C1077B" w:rsidP="00C1077B">
      <w:pPr>
        <w:pStyle w:val="NormalWeb"/>
        <w:spacing w:line="360" w:lineRule="auto"/>
        <w:jc w:val="both"/>
        <w:rPr>
          <w:rFonts w:asciiTheme="minorHAnsi" w:hAnsiTheme="minorHAnsi" w:cstheme="minorHAnsi"/>
          <w:highlight w:val="yellow"/>
        </w:rPr>
      </w:pPr>
      <w:r w:rsidRPr="00C1077B">
        <w:rPr>
          <w:rFonts w:asciiTheme="minorHAnsi" w:hAnsiTheme="minorHAnsi" w:cstheme="minorHAnsi"/>
          <w:highlight w:val="yellow"/>
        </w:rPr>
        <w:lastRenderedPageBreak/>
        <w:t>Furthermore, a significant inverse correlation was found between age and IgM antibody levels (r = -0.223, p = 0.014), suggesting that younger individuals may mount a more robust recent antibody response compared to older patients. This aligns with broader immunological literature indicating age-related declines in primary immune responses [23,24].</w:t>
      </w:r>
    </w:p>
    <w:p w14:paraId="314096B0" w14:textId="77777777" w:rsidR="00C1077B" w:rsidRPr="00C1077B" w:rsidRDefault="00C1077B" w:rsidP="00C1077B">
      <w:pPr>
        <w:pStyle w:val="NormalWeb"/>
        <w:spacing w:line="360" w:lineRule="auto"/>
        <w:jc w:val="both"/>
        <w:rPr>
          <w:rFonts w:asciiTheme="minorHAnsi" w:hAnsiTheme="minorHAnsi" w:cstheme="minorHAnsi"/>
          <w:highlight w:val="yellow"/>
        </w:rPr>
      </w:pPr>
      <w:r w:rsidRPr="00C1077B">
        <w:rPr>
          <w:rFonts w:asciiTheme="minorHAnsi" w:hAnsiTheme="minorHAnsi" w:cstheme="minorHAnsi"/>
          <w:highlight w:val="yellow"/>
        </w:rPr>
        <w:t>Despite the valuable insights provided, this study has limitations. Being cross-sectional in design, it cannot capture the dynamics of antibody waning or temporal patterns of infection. Additionally, as a single-center study conducted at University College Hospital, Ibadan, generalizability to the broader Nigerian SCD population may be limited. Data on prior COVID-19 infection history and vaccination status were also incomplete.</w:t>
      </w:r>
    </w:p>
    <w:p w14:paraId="15E1A13A" w14:textId="77777777" w:rsidR="00C1077B" w:rsidRPr="00C1077B" w:rsidRDefault="00C1077B" w:rsidP="00C1077B">
      <w:pPr>
        <w:pStyle w:val="NormalWeb"/>
        <w:spacing w:line="360" w:lineRule="auto"/>
        <w:jc w:val="both"/>
        <w:rPr>
          <w:rFonts w:asciiTheme="minorHAnsi" w:hAnsiTheme="minorHAnsi" w:cstheme="minorHAnsi"/>
        </w:rPr>
      </w:pPr>
      <w:r w:rsidRPr="00C1077B">
        <w:rPr>
          <w:rFonts w:asciiTheme="minorHAnsi" w:hAnsiTheme="minorHAnsi" w:cstheme="minorHAnsi"/>
          <w:highlight w:val="yellow"/>
        </w:rPr>
        <w:t>Nevertheless, the consistent abnormalities observed across hematological and coagulation markers in this cohort point to the critical need for regular laboratory monitoring of SCD patients, especially during infectious disease outbreaks. Routine evaluation of parameters such as WBC, platelet count, PT, APTT, and D-dimer may aid in the early identification and management of thrombotic risks. These findings emphasize the importance of integrating hematologic surveillance into pandemic preparedness and clinical management protocols for SCD patients.</w:t>
      </w:r>
    </w:p>
    <w:p w14:paraId="0BF2E5E5" w14:textId="77777777" w:rsidR="00047E5F" w:rsidRDefault="00047E5F" w:rsidP="00047E5F">
      <w:pPr>
        <w:spacing w:after="0" w:line="360" w:lineRule="auto"/>
        <w:jc w:val="both"/>
        <w:rPr>
          <w:rFonts w:eastAsia="Times New Roman" w:cs="Calibri"/>
          <w:sz w:val="24"/>
          <w:szCs w:val="24"/>
        </w:rPr>
      </w:pPr>
    </w:p>
    <w:p w14:paraId="006A4209" w14:textId="77777777" w:rsidR="00047E5F" w:rsidRDefault="00047E5F" w:rsidP="00047E5F">
      <w:pPr>
        <w:spacing w:after="0" w:line="360" w:lineRule="auto"/>
        <w:jc w:val="both"/>
        <w:rPr>
          <w:rFonts w:eastAsia="Times New Roman" w:cs="Calibri"/>
          <w:sz w:val="24"/>
          <w:szCs w:val="24"/>
        </w:rPr>
      </w:pPr>
    </w:p>
    <w:p w14:paraId="0773FD75" w14:textId="77777777" w:rsidR="00047E5F" w:rsidRDefault="00047E5F" w:rsidP="00047E5F">
      <w:pPr>
        <w:spacing w:after="0" w:line="360" w:lineRule="auto"/>
        <w:jc w:val="both"/>
        <w:rPr>
          <w:rFonts w:eastAsia="Times New Roman" w:cs="Calibri"/>
          <w:sz w:val="24"/>
          <w:szCs w:val="24"/>
        </w:rPr>
      </w:pPr>
    </w:p>
    <w:p w14:paraId="07CF2F1A" w14:textId="77777777" w:rsidR="00047E5F" w:rsidRDefault="00047E5F" w:rsidP="00047E5F">
      <w:pPr>
        <w:spacing w:after="0" w:line="360" w:lineRule="auto"/>
        <w:jc w:val="both"/>
        <w:rPr>
          <w:rFonts w:eastAsia="Times New Roman" w:cs="Calibri"/>
          <w:sz w:val="24"/>
          <w:szCs w:val="24"/>
        </w:rPr>
      </w:pPr>
    </w:p>
    <w:p w14:paraId="324E9CE6" w14:textId="77777777" w:rsidR="00047E5F" w:rsidRDefault="00047E5F" w:rsidP="00047E5F">
      <w:pPr>
        <w:spacing w:after="0" w:line="360" w:lineRule="auto"/>
        <w:jc w:val="both"/>
        <w:rPr>
          <w:rFonts w:eastAsia="Times New Roman" w:cs="Calibri"/>
          <w:sz w:val="24"/>
          <w:szCs w:val="24"/>
        </w:rPr>
      </w:pPr>
    </w:p>
    <w:p w14:paraId="0CE5F857" w14:textId="77777777" w:rsidR="00047E5F" w:rsidRDefault="00047E5F" w:rsidP="00047E5F">
      <w:pPr>
        <w:spacing w:after="0" w:line="360" w:lineRule="auto"/>
        <w:jc w:val="both"/>
        <w:rPr>
          <w:rFonts w:eastAsia="Times New Roman" w:cs="Calibri"/>
          <w:sz w:val="24"/>
          <w:szCs w:val="24"/>
        </w:rPr>
      </w:pPr>
    </w:p>
    <w:p w14:paraId="6D74D617" w14:textId="77777777" w:rsidR="00047E5F" w:rsidRDefault="00047E5F" w:rsidP="00047E5F">
      <w:pPr>
        <w:spacing w:after="0" w:line="360" w:lineRule="auto"/>
        <w:jc w:val="both"/>
        <w:rPr>
          <w:rFonts w:eastAsia="Times New Roman" w:cs="Calibri"/>
          <w:sz w:val="24"/>
          <w:szCs w:val="24"/>
        </w:rPr>
      </w:pPr>
    </w:p>
    <w:p w14:paraId="3646268E" w14:textId="77777777" w:rsidR="00047E5F" w:rsidRDefault="00047E5F" w:rsidP="00047E5F">
      <w:pPr>
        <w:spacing w:after="0" w:line="360" w:lineRule="auto"/>
        <w:jc w:val="both"/>
        <w:rPr>
          <w:rFonts w:eastAsia="Times New Roman" w:cs="Calibri"/>
          <w:sz w:val="24"/>
          <w:szCs w:val="24"/>
        </w:rPr>
      </w:pPr>
    </w:p>
    <w:p w14:paraId="3C41F0ED" w14:textId="77777777" w:rsidR="00047E5F" w:rsidRDefault="00047E5F" w:rsidP="00047E5F">
      <w:pPr>
        <w:spacing w:after="0" w:line="360" w:lineRule="auto"/>
        <w:jc w:val="both"/>
        <w:rPr>
          <w:rFonts w:eastAsia="Times New Roman" w:cs="Calibri"/>
          <w:sz w:val="24"/>
          <w:szCs w:val="24"/>
        </w:rPr>
      </w:pPr>
    </w:p>
    <w:p w14:paraId="48C477AF" w14:textId="77777777" w:rsidR="00047E5F" w:rsidRDefault="00047E5F" w:rsidP="00047E5F">
      <w:pPr>
        <w:spacing w:after="0" w:line="360" w:lineRule="auto"/>
        <w:jc w:val="both"/>
        <w:rPr>
          <w:rFonts w:eastAsia="Times New Roman" w:cs="Calibri"/>
          <w:sz w:val="24"/>
          <w:szCs w:val="24"/>
        </w:rPr>
      </w:pPr>
    </w:p>
    <w:p w14:paraId="34304845" w14:textId="77777777" w:rsidR="00047E5F" w:rsidRDefault="00047E5F" w:rsidP="00047E5F">
      <w:pPr>
        <w:spacing w:after="0" w:line="360" w:lineRule="auto"/>
        <w:jc w:val="both"/>
        <w:rPr>
          <w:rFonts w:eastAsia="Times New Roman" w:cs="Calibri"/>
          <w:sz w:val="24"/>
          <w:szCs w:val="24"/>
        </w:rPr>
      </w:pPr>
    </w:p>
    <w:p w14:paraId="3B5154C9" w14:textId="77777777" w:rsidR="00047E5F" w:rsidRDefault="00047E5F" w:rsidP="00047E5F">
      <w:pPr>
        <w:spacing w:after="0" w:line="360" w:lineRule="auto"/>
        <w:jc w:val="both"/>
        <w:rPr>
          <w:rFonts w:eastAsia="Times New Roman" w:cs="Calibri"/>
          <w:sz w:val="24"/>
          <w:szCs w:val="24"/>
        </w:rPr>
      </w:pPr>
    </w:p>
    <w:p w14:paraId="3A2E7511" w14:textId="77777777" w:rsidR="00047E5F" w:rsidRDefault="00047E5F" w:rsidP="00047E5F">
      <w:pPr>
        <w:spacing w:after="0" w:line="360" w:lineRule="auto"/>
        <w:jc w:val="both"/>
        <w:rPr>
          <w:rFonts w:eastAsia="Times New Roman" w:cs="Calibri"/>
          <w:sz w:val="24"/>
          <w:szCs w:val="24"/>
        </w:rPr>
      </w:pPr>
    </w:p>
    <w:p w14:paraId="234DE30C" w14:textId="77777777" w:rsidR="00047E5F" w:rsidRDefault="00047E5F" w:rsidP="00047E5F">
      <w:pPr>
        <w:spacing w:before="100" w:beforeAutospacing="1" w:after="100" w:afterAutospacing="1" w:line="36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5.0 Conclusion</w:t>
      </w:r>
    </w:p>
    <w:p w14:paraId="7E0BFCFA" w14:textId="77777777" w:rsidR="00C1077B" w:rsidRPr="00C1077B" w:rsidRDefault="00C1077B" w:rsidP="00C1077B">
      <w:pPr>
        <w:pStyle w:val="NormalWeb"/>
        <w:spacing w:line="360" w:lineRule="auto"/>
        <w:jc w:val="both"/>
        <w:rPr>
          <w:rFonts w:asciiTheme="minorHAnsi" w:hAnsiTheme="minorHAnsi" w:cstheme="minorHAnsi"/>
        </w:rPr>
      </w:pPr>
      <w:r w:rsidRPr="00C1077B">
        <w:rPr>
          <w:rFonts w:asciiTheme="minorHAnsi" w:hAnsiTheme="minorHAnsi" w:cstheme="minorHAnsi"/>
          <w:highlight w:val="yellow"/>
        </w:rPr>
        <w:t>This study established that SCD patients had significantly elevated white blood cell and platelet counts, prolonged PT and APTT, and higher D-dimer levels, along with lower hemoglobin and PCV values compared to healthy controls. These findings confirm the presence of underlying hematologic and coagulation disturbances in SCD patients that could be exacerbated during infections like COVID-19. Although SARS-CoV-2 antibody levels (IgG and IgM) were not significantly different, the data affirm the importance of routine hematological and coagulation monitoring for early detection and management of complications in this high-risk group.</w:t>
      </w:r>
    </w:p>
    <w:p w14:paraId="2CF4F6D0" w14:textId="77777777" w:rsidR="00047E5F" w:rsidRDefault="00047E5F" w:rsidP="00047E5F">
      <w:pPr>
        <w:spacing w:before="100" w:beforeAutospacing="1" w:after="100" w:afterAutospacing="1" w:line="360" w:lineRule="auto"/>
        <w:jc w:val="both"/>
        <w:rPr>
          <w:rFonts w:ascii="Times New Roman" w:eastAsia="Times New Roman" w:hAnsi="Times New Roman" w:cs="Times New Roman"/>
          <w:sz w:val="24"/>
          <w:szCs w:val="24"/>
        </w:rPr>
      </w:pPr>
    </w:p>
    <w:p w14:paraId="4CAD43EE" w14:textId="77777777" w:rsidR="00047E5F" w:rsidRDefault="00047E5F" w:rsidP="00047E5F">
      <w:pPr>
        <w:spacing w:before="100" w:beforeAutospacing="1" w:after="100" w:afterAutospacing="1" w:line="360" w:lineRule="auto"/>
        <w:jc w:val="both"/>
        <w:rPr>
          <w:rFonts w:ascii="Times New Roman" w:eastAsia="Times New Roman" w:hAnsi="Times New Roman" w:cs="Times New Roman"/>
          <w:sz w:val="24"/>
          <w:szCs w:val="24"/>
        </w:rPr>
      </w:pPr>
    </w:p>
    <w:p w14:paraId="2E13EE68" w14:textId="77777777" w:rsidR="00047E5F" w:rsidRDefault="00047E5F" w:rsidP="00047E5F">
      <w:pPr>
        <w:spacing w:before="100" w:beforeAutospacing="1" w:after="100" w:afterAutospacing="1" w:line="360" w:lineRule="auto"/>
        <w:jc w:val="both"/>
        <w:rPr>
          <w:rFonts w:ascii="Times New Roman" w:eastAsia="Times New Roman" w:hAnsi="Times New Roman" w:cs="Times New Roman"/>
          <w:sz w:val="24"/>
          <w:szCs w:val="24"/>
        </w:rPr>
      </w:pPr>
    </w:p>
    <w:p w14:paraId="4DADE9AA" w14:textId="77777777" w:rsidR="00047E5F" w:rsidRDefault="00047E5F" w:rsidP="00047E5F">
      <w:pPr>
        <w:spacing w:before="100" w:beforeAutospacing="1" w:after="100" w:afterAutospacing="1" w:line="360" w:lineRule="auto"/>
        <w:jc w:val="both"/>
        <w:rPr>
          <w:rFonts w:ascii="Times New Roman" w:eastAsia="Times New Roman" w:hAnsi="Times New Roman" w:cs="Times New Roman"/>
          <w:sz w:val="24"/>
          <w:szCs w:val="24"/>
        </w:rPr>
      </w:pPr>
    </w:p>
    <w:p w14:paraId="23EA0F74" w14:textId="77777777" w:rsidR="00047E5F" w:rsidRDefault="00047E5F" w:rsidP="00047E5F">
      <w:pPr>
        <w:spacing w:before="100" w:beforeAutospacing="1" w:after="100" w:afterAutospacing="1" w:line="360" w:lineRule="auto"/>
        <w:jc w:val="both"/>
        <w:rPr>
          <w:rFonts w:ascii="Times New Roman" w:eastAsia="Times New Roman" w:hAnsi="Times New Roman" w:cs="Times New Roman"/>
          <w:sz w:val="24"/>
          <w:szCs w:val="24"/>
        </w:rPr>
      </w:pPr>
    </w:p>
    <w:p w14:paraId="655F8FCF" w14:textId="77777777" w:rsidR="00047E5F" w:rsidRDefault="00047E5F" w:rsidP="00047E5F">
      <w:pPr>
        <w:spacing w:before="100" w:beforeAutospacing="1" w:after="100" w:afterAutospacing="1" w:line="360" w:lineRule="auto"/>
        <w:jc w:val="both"/>
        <w:rPr>
          <w:rFonts w:ascii="Times New Roman" w:eastAsia="Times New Roman" w:hAnsi="Times New Roman" w:cs="Times New Roman"/>
          <w:sz w:val="24"/>
          <w:szCs w:val="24"/>
        </w:rPr>
      </w:pPr>
    </w:p>
    <w:p w14:paraId="1E1CDAA8" w14:textId="77777777" w:rsidR="00047E5F" w:rsidRDefault="00047E5F" w:rsidP="00047E5F">
      <w:pPr>
        <w:spacing w:before="100" w:beforeAutospacing="1" w:after="100" w:afterAutospacing="1" w:line="360" w:lineRule="auto"/>
        <w:jc w:val="both"/>
        <w:rPr>
          <w:rFonts w:ascii="Times New Roman" w:eastAsia="Times New Roman" w:hAnsi="Times New Roman" w:cs="Times New Roman"/>
          <w:sz w:val="24"/>
          <w:szCs w:val="24"/>
        </w:rPr>
      </w:pPr>
    </w:p>
    <w:p w14:paraId="53FD2C6E" w14:textId="77777777" w:rsidR="00047E5F" w:rsidRDefault="00047E5F" w:rsidP="00047E5F">
      <w:pPr>
        <w:spacing w:before="100" w:beforeAutospacing="1" w:after="100" w:afterAutospacing="1" w:line="360" w:lineRule="auto"/>
        <w:jc w:val="both"/>
        <w:rPr>
          <w:rFonts w:ascii="Times New Roman" w:eastAsia="Times New Roman" w:hAnsi="Times New Roman" w:cs="Times New Roman"/>
          <w:sz w:val="24"/>
          <w:szCs w:val="24"/>
        </w:rPr>
      </w:pPr>
    </w:p>
    <w:p w14:paraId="329E6A27" w14:textId="77777777" w:rsidR="00047E5F" w:rsidRDefault="00047E5F" w:rsidP="00047E5F">
      <w:pPr>
        <w:spacing w:before="100" w:beforeAutospacing="1" w:after="100" w:afterAutospacing="1" w:line="360" w:lineRule="auto"/>
        <w:jc w:val="both"/>
        <w:rPr>
          <w:rFonts w:ascii="Times New Roman" w:eastAsia="Times New Roman" w:hAnsi="Times New Roman" w:cs="Times New Roman"/>
          <w:sz w:val="24"/>
          <w:szCs w:val="24"/>
        </w:rPr>
      </w:pPr>
    </w:p>
    <w:p w14:paraId="025B2D1E" w14:textId="77777777" w:rsidR="00047E5F" w:rsidRDefault="00047E5F" w:rsidP="00047E5F">
      <w:pPr>
        <w:spacing w:before="100" w:beforeAutospacing="1" w:after="100" w:afterAutospacing="1" w:line="360" w:lineRule="auto"/>
        <w:jc w:val="both"/>
        <w:rPr>
          <w:rFonts w:ascii="Times New Roman" w:eastAsia="Times New Roman" w:hAnsi="Times New Roman" w:cs="Times New Roman"/>
          <w:sz w:val="24"/>
          <w:szCs w:val="24"/>
        </w:rPr>
      </w:pPr>
    </w:p>
    <w:p w14:paraId="7EDE8E4B" w14:textId="77777777" w:rsidR="00047E5F" w:rsidRDefault="00047E5F" w:rsidP="00047E5F">
      <w:pPr>
        <w:spacing w:before="100" w:beforeAutospacing="1" w:after="100" w:afterAutospacing="1" w:line="360" w:lineRule="auto"/>
        <w:jc w:val="both"/>
        <w:rPr>
          <w:rFonts w:ascii="Times New Roman" w:eastAsia="Times New Roman" w:hAnsi="Times New Roman" w:cs="Times New Roman"/>
          <w:sz w:val="24"/>
          <w:szCs w:val="24"/>
        </w:rPr>
      </w:pPr>
    </w:p>
    <w:p w14:paraId="3B05CE82" w14:textId="77777777" w:rsidR="00047E5F" w:rsidRDefault="00047E5F" w:rsidP="00047E5F">
      <w:pPr>
        <w:spacing w:before="100" w:beforeAutospacing="1" w:after="100" w:afterAutospacing="1" w:line="360" w:lineRule="auto"/>
        <w:jc w:val="both"/>
        <w:rPr>
          <w:rFonts w:ascii="Times New Roman" w:eastAsia="Times New Roman" w:hAnsi="Times New Roman" w:cs="Times New Roman"/>
          <w:sz w:val="24"/>
          <w:szCs w:val="24"/>
        </w:rPr>
      </w:pPr>
    </w:p>
    <w:p w14:paraId="68D013FC" w14:textId="77777777" w:rsidR="00047E5F" w:rsidRDefault="00047E5F" w:rsidP="00047E5F">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119BA4AF" w14:textId="77777777" w:rsidR="00047E5F" w:rsidRDefault="00047E5F" w:rsidP="00047E5F">
      <w:pPr>
        <w:spacing w:before="100" w:beforeAutospacing="1" w:after="100" w:afterAutospacing="1" w:line="36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6.0 Recommendations</w:t>
      </w:r>
    </w:p>
    <w:p w14:paraId="1B0983E6" w14:textId="77777777" w:rsidR="00047E5F" w:rsidRDefault="00047E5F" w:rsidP="00047E5F">
      <w:pPr>
        <w:spacing w:after="0" w:line="360" w:lineRule="auto"/>
        <w:jc w:val="both"/>
        <w:rPr>
          <w:rFonts w:eastAsia="Times New Roman" w:cs="Calibri"/>
          <w:sz w:val="24"/>
          <w:szCs w:val="24"/>
        </w:rPr>
      </w:pPr>
      <w:r>
        <w:rPr>
          <w:rFonts w:eastAsia="Times New Roman" w:cs="Calibri"/>
          <w:sz w:val="24"/>
          <w:szCs w:val="24"/>
        </w:rPr>
        <w:t>We firmly believe that routine coagulation monitoring, such as D-dimer, PT, and APTT testing, should be incorporated into standard clinical care protocols for sickle cell disease patients, especially during infectious disease outbreaks, in order to enable early detection and treatment of thrombotic complications. In order to increase the identification of infection symptoms and thrombotic warning signs, healthcare practitioners should prioritize this susceptible population for targeted immunization initiatives and improved preventive care measures. At the same time, they should undertake extensive patient education programs. Furthermore, we advise that specific clinical guidelines be created that integrate these hematological monitoring techniques into the frameworks now in place for the management of sickle cell disease.</w:t>
      </w:r>
    </w:p>
    <w:p w14:paraId="5715DC7B" w14:textId="77777777" w:rsidR="00047E5F" w:rsidRDefault="00047E5F" w:rsidP="00047E5F">
      <w:pPr>
        <w:spacing w:line="360" w:lineRule="auto"/>
        <w:jc w:val="both"/>
        <w:rPr>
          <w:rFonts w:cs="Calibri"/>
          <w:sz w:val="24"/>
          <w:szCs w:val="24"/>
        </w:rPr>
      </w:pPr>
      <w:r>
        <w:rPr>
          <w:rFonts w:cs="Calibri"/>
          <w:sz w:val="24"/>
          <w:szCs w:val="24"/>
          <w:shd w:val="clear" w:color="auto" w:fill="FFFFFF"/>
        </w:rPr>
        <w:t>Additionally, there is a critical need for longitudinal research to evaluate long-term immune responses and optimize protective interventions for this high-risk group, with the ultimate goal of improving health outcomes during public health emergencies.</w:t>
      </w:r>
    </w:p>
    <w:p w14:paraId="7CB830EC" w14:textId="77777777" w:rsidR="00047E5F" w:rsidRDefault="00047E5F" w:rsidP="00047E5F">
      <w:pPr>
        <w:spacing w:line="360" w:lineRule="auto"/>
        <w:jc w:val="both"/>
        <w:rPr>
          <w:rFonts w:ascii="Times New Roman" w:hAnsi="Times New Roman" w:cs="Times New Roman"/>
        </w:rPr>
      </w:pPr>
    </w:p>
    <w:p w14:paraId="4139D08F" w14:textId="77777777" w:rsidR="00047E5F" w:rsidRDefault="00047E5F" w:rsidP="00047E5F">
      <w:pPr>
        <w:spacing w:line="360" w:lineRule="auto"/>
        <w:jc w:val="both"/>
        <w:rPr>
          <w:rFonts w:cs="Calibri"/>
        </w:rPr>
      </w:pPr>
      <w:r>
        <w:rPr>
          <w:rFonts w:cs="Calibri"/>
          <w:b/>
        </w:rPr>
        <w:t>Conflict of Interest:</w:t>
      </w:r>
      <w:r>
        <w:rPr>
          <w:rFonts w:cs="Calibri"/>
        </w:rPr>
        <w:t xml:space="preserve"> Authors declare that they have no conflict of interest.</w:t>
      </w:r>
    </w:p>
    <w:p w14:paraId="6202DD7B" w14:textId="77777777" w:rsidR="00047E5F" w:rsidRDefault="00047E5F" w:rsidP="00047E5F">
      <w:pPr>
        <w:spacing w:line="360" w:lineRule="auto"/>
        <w:jc w:val="both"/>
        <w:rPr>
          <w:rFonts w:cs="Calibri"/>
        </w:rPr>
      </w:pPr>
      <w:r>
        <w:rPr>
          <w:rFonts w:cs="Calibri"/>
          <w:b/>
        </w:rPr>
        <w:t>Source of Funding:</w:t>
      </w:r>
      <w:r>
        <w:rPr>
          <w:rFonts w:cs="Calibri"/>
        </w:rPr>
        <w:t xml:space="preserve"> The project was a non–funded project. </w:t>
      </w:r>
    </w:p>
    <w:p w14:paraId="22F7A83A" w14:textId="77777777" w:rsidR="00047E5F" w:rsidRDefault="00047E5F" w:rsidP="00047E5F">
      <w:pPr>
        <w:spacing w:line="360" w:lineRule="auto"/>
        <w:jc w:val="both"/>
        <w:rPr>
          <w:rFonts w:cs="Calibri"/>
          <w:b/>
        </w:rPr>
      </w:pPr>
      <w:r>
        <w:rPr>
          <w:rFonts w:cs="Calibri"/>
          <w:b/>
        </w:rPr>
        <w:t>Disclaimer (Artificial intelligence)</w:t>
      </w:r>
    </w:p>
    <w:p w14:paraId="11FD8C2B" w14:textId="77777777" w:rsidR="00047E5F" w:rsidRDefault="00047E5F" w:rsidP="00047E5F">
      <w:pPr>
        <w:spacing w:line="360" w:lineRule="auto"/>
        <w:jc w:val="both"/>
        <w:rPr>
          <w:rFonts w:cs="Calibri"/>
        </w:rPr>
      </w:pPr>
      <w:r>
        <w:rPr>
          <w:rFonts w:cs="Calibri"/>
        </w:rPr>
        <w:t xml:space="preserve">Author(s) hereby declare that generative AI technologies such as Large Language Models (ChatGPT, COPILOT, etc.) and text-to-image generators have been used during the writing or editing of this manuscript. </w:t>
      </w:r>
    </w:p>
    <w:p w14:paraId="46F711F5" w14:textId="77777777" w:rsidR="00047E5F" w:rsidRDefault="00047E5F" w:rsidP="00047E5F">
      <w:pPr>
        <w:spacing w:line="360" w:lineRule="auto"/>
        <w:jc w:val="both"/>
        <w:rPr>
          <w:rFonts w:ascii="Times New Roman" w:hAnsi="Times New Roman" w:cs="Times New Roman"/>
        </w:rPr>
      </w:pPr>
    </w:p>
    <w:p w14:paraId="0F78B0A9" w14:textId="77777777" w:rsidR="00047E5F" w:rsidRDefault="00047E5F" w:rsidP="00047E5F">
      <w:pPr>
        <w:spacing w:line="360" w:lineRule="auto"/>
        <w:jc w:val="both"/>
        <w:rPr>
          <w:rFonts w:ascii="Times New Roman" w:hAnsi="Times New Roman" w:cs="Times New Roman"/>
        </w:rPr>
      </w:pPr>
    </w:p>
    <w:p w14:paraId="241DEFE7" w14:textId="77777777" w:rsidR="00047E5F" w:rsidRDefault="00047E5F" w:rsidP="00047E5F">
      <w:pPr>
        <w:spacing w:line="360" w:lineRule="auto"/>
        <w:jc w:val="both"/>
        <w:rPr>
          <w:rFonts w:ascii="Times New Roman" w:hAnsi="Times New Roman" w:cs="Times New Roman"/>
        </w:rPr>
      </w:pPr>
    </w:p>
    <w:p w14:paraId="2B8946B6" w14:textId="77777777" w:rsidR="00047E5F" w:rsidRDefault="00047E5F" w:rsidP="00047E5F">
      <w:pPr>
        <w:spacing w:line="360" w:lineRule="auto"/>
        <w:jc w:val="both"/>
        <w:rPr>
          <w:rFonts w:ascii="Times New Roman" w:hAnsi="Times New Roman" w:cs="Times New Roman"/>
        </w:rPr>
      </w:pPr>
    </w:p>
    <w:p w14:paraId="4C6A8D22" w14:textId="77777777" w:rsidR="00047E5F" w:rsidRDefault="00047E5F" w:rsidP="00047E5F">
      <w:pPr>
        <w:spacing w:line="360" w:lineRule="auto"/>
        <w:jc w:val="both"/>
        <w:rPr>
          <w:rFonts w:cs="Calibri"/>
          <w:b/>
          <w:sz w:val="24"/>
          <w:szCs w:val="24"/>
        </w:rPr>
      </w:pPr>
      <w:r>
        <w:rPr>
          <w:rFonts w:cs="Calibri"/>
          <w:b/>
          <w:sz w:val="24"/>
          <w:szCs w:val="24"/>
        </w:rPr>
        <w:t>References</w:t>
      </w:r>
    </w:p>
    <w:p w14:paraId="2EB5231A" w14:textId="77777777" w:rsidR="00C1077B" w:rsidRPr="00C1077B" w:rsidRDefault="00C1077B" w:rsidP="00C1077B">
      <w:pPr>
        <w:pStyle w:val="NormalWeb"/>
        <w:numPr>
          <w:ilvl w:val="0"/>
          <w:numId w:val="5"/>
        </w:numPr>
        <w:spacing w:line="360" w:lineRule="auto"/>
        <w:jc w:val="both"/>
        <w:rPr>
          <w:highlight w:val="yellow"/>
        </w:rPr>
      </w:pPr>
      <w:r w:rsidRPr="00C1077B">
        <w:rPr>
          <w:highlight w:val="yellow"/>
        </w:rPr>
        <w:t xml:space="preserve">Rees DC, Williams TN, Gladwin MT. Sickle-cell disease. </w:t>
      </w:r>
      <w:r w:rsidRPr="00C1077B">
        <w:rPr>
          <w:rStyle w:val="Emphasis"/>
          <w:highlight w:val="yellow"/>
        </w:rPr>
        <w:t>Lancet</w:t>
      </w:r>
      <w:r w:rsidRPr="00C1077B">
        <w:rPr>
          <w:highlight w:val="yellow"/>
        </w:rPr>
        <w:t xml:space="preserve">. 2010;376(9757):2018–31. </w:t>
      </w:r>
      <w:hyperlink r:id="rId7" w:history="1">
        <w:r w:rsidRPr="00C1077B">
          <w:rPr>
            <w:rStyle w:val="Hyperlink"/>
            <w:highlight w:val="yellow"/>
          </w:rPr>
          <w:t>https://doi.org/10.1016/S0140-6736(10)61029-X</w:t>
        </w:r>
      </w:hyperlink>
    </w:p>
    <w:p w14:paraId="76105670" w14:textId="77777777" w:rsidR="00C1077B" w:rsidRPr="00C1077B" w:rsidRDefault="00C1077B" w:rsidP="00C1077B">
      <w:pPr>
        <w:pStyle w:val="NormalWeb"/>
        <w:numPr>
          <w:ilvl w:val="0"/>
          <w:numId w:val="5"/>
        </w:numPr>
        <w:spacing w:line="360" w:lineRule="auto"/>
        <w:jc w:val="both"/>
        <w:rPr>
          <w:highlight w:val="yellow"/>
        </w:rPr>
      </w:pPr>
      <w:r w:rsidRPr="00C1077B">
        <w:rPr>
          <w:highlight w:val="yellow"/>
        </w:rPr>
        <w:t xml:space="preserve">Serjeant GR. Sickle-cell disease. </w:t>
      </w:r>
      <w:r w:rsidRPr="00C1077B">
        <w:rPr>
          <w:rStyle w:val="Emphasis"/>
          <w:highlight w:val="yellow"/>
        </w:rPr>
        <w:t>Lancet</w:t>
      </w:r>
      <w:r w:rsidRPr="00C1077B">
        <w:rPr>
          <w:highlight w:val="yellow"/>
        </w:rPr>
        <w:t xml:space="preserve">. 1997;350(9079):725–30. </w:t>
      </w:r>
      <w:hyperlink r:id="rId8" w:history="1">
        <w:r w:rsidRPr="00C1077B">
          <w:rPr>
            <w:rStyle w:val="Hyperlink"/>
            <w:highlight w:val="yellow"/>
          </w:rPr>
          <w:t>https://doi.org/10.1016/S0140-6736(97)07318-5</w:t>
        </w:r>
      </w:hyperlink>
    </w:p>
    <w:p w14:paraId="6BD0F727" w14:textId="77777777" w:rsidR="00C1077B" w:rsidRPr="00C1077B" w:rsidRDefault="00C1077B" w:rsidP="00C1077B">
      <w:pPr>
        <w:pStyle w:val="NormalWeb"/>
        <w:numPr>
          <w:ilvl w:val="0"/>
          <w:numId w:val="5"/>
        </w:numPr>
        <w:spacing w:line="360" w:lineRule="auto"/>
        <w:jc w:val="both"/>
        <w:rPr>
          <w:highlight w:val="yellow"/>
        </w:rPr>
      </w:pPr>
      <w:r w:rsidRPr="00C1077B">
        <w:rPr>
          <w:highlight w:val="yellow"/>
        </w:rPr>
        <w:t xml:space="preserve">Akinyanju OO. A profile of sickle cell disease in Nigeria. </w:t>
      </w:r>
      <w:r w:rsidRPr="00C1077B">
        <w:rPr>
          <w:rStyle w:val="Emphasis"/>
          <w:highlight w:val="yellow"/>
        </w:rPr>
        <w:t xml:space="preserve">Ann N Y </w:t>
      </w:r>
      <w:proofErr w:type="spellStart"/>
      <w:r w:rsidRPr="00C1077B">
        <w:rPr>
          <w:rStyle w:val="Emphasis"/>
          <w:highlight w:val="yellow"/>
        </w:rPr>
        <w:t>Acad</w:t>
      </w:r>
      <w:proofErr w:type="spellEnd"/>
      <w:r w:rsidRPr="00C1077B">
        <w:rPr>
          <w:rStyle w:val="Emphasis"/>
          <w:highlight w:val="yellow"/>
        </w:rPr>
        <w:t xml:space="preserve"> Sci</w:t>
      </w:r>
      <w:r w:rsidRPr="00C1077B">
        <w:rPr>
          <w:highlight w:val="yellow"/>
        </w:rPr>
        <w:t xml:space="preserve">. </w:t>
      </w:r>
      <w:proofErr w:type="gramStart"/>
      <w:r w:rsidRPr="00C1077B">
        <w:rPr>
          <w:highlight w:val="yellow"/>
        </w:rPr>
        <w:t>1989;565:126</w:t>
      </w:r>
      <w:proofErr w:type="gramEnd"/>
      <w:r w:rsidRPr="00C1077B">
        <w:rPr>
          <w:highlight w:val="yellow"/>
        </w:rPr>
        <w:t xml:space="preserve">–36. </w:t>
      </w:r>
      <w:hyperlink r:id="rId9" w:history="1">
        <w:r w:rsidRPr="00C1077B">
          <w:rPr>
            <w:rStyle w:val="Hyperlink"/>
            <w:highlight w:val="yellow"/>
          </w:rPr>
          <w:t>https://doi.org/10.1111/j.1749-6632.1989.tb21044.x</w:t>
        </w:r>
      </w:hyperlink>
    </w:p>
    <w:p w14:paraId="4AA685BC" w14:textId="77777777" w:rsidR="00C1077B" w:rsidRPr="00C1077B" w:rsidRDefault="00C1077B" w:rsidP="00C1077B">
      <w:pPr>
        <w:pStyle w:val="NormalWeb"/>
        <w:numPr>
          <w:ilvl w:val="0"/>
          <w:numId w:val="5"/>
        </w:numPr>
        <w:spacing w:line="360" w:lineRule="auto"/>
        <w:jc w:val="both"/>
        <w:rPr>
          <w:highlight w:val="yellow"/>
        </w:rPr>
      </w:pPr>
      <w:r w:rsidRPr="00C1077B">
        <w:rPr>
          <w:highlight w:val="yellow"/>
        </w:rPr>
        <w:t xml:space="preserve">Piel FB, Patil AP, Howes RE, et al. Global epidemiology of sickle haemoglobin in neonates: a contemporary geostatistical model-based map and population estimates. </w:t>
      </w:r>
      <w:r w:rsidRPr="00C1077B">
        <w:rPr>
          <w:rStyle w:val="Emphasis"/>
          <w:highlight w:val="yellow"/>
        </w:rPr>
        <w:t>Lancet</w:t>
      </w:r>
      <w:r w:rsidRPr="00C1077B">
        <w:rPr>
          <w:highlight w:val="yellow"/>
        </w:rPr>
        <w:t xml:space="preserve">. 2013;381(9861):142–51. </w:t>
      </w:r>
      <w:hyperlink r:id="rId10" w:history="1">
        <w:r w:rsidRPr="00C1077B">
          <w:rPr>
            <w:rStyle w:val="Hyperlink"/>
            <w:highlight w:val="yellow"/>
          </w:rPr>
          <w:t>https://doi.org/10.1016/S0140-6736(12)61229-X</w:t>
        </w:r>
      </w:hyperlink>
    </w:p>
    <w:p w14:paraId="71654CCB" w14:textId="77777777" w:rsidR="00C1077B" w:rsidRPr="00C1077B" w:rsidRDefault="00C1077B" w:rsidP="00C1077B">
      <w:pPr>
        <w:pStyle w:val="NormalWeb"/>
        <w:numPr>
          <w:ilvl w:val="0"/>
          <w:numId w:val="5"/>
        </w:numPr>
        <w:spacing w:line="360" w:lineRule="auto"/>
        <w:jc w:val="both"/>
        <w:rPr>
          <w:highlight w:val="yellow"/>
        </w:rPr>
      </w:pPr>
      <w:r w:rsidRPr="00C1077B">
        <w:rPr>
          <w:highlight w:val="yellow"/>
        </w:rPr>
        <w:t xml:space="preserve">McGann PT, Nero AC, Ware RE. Sickle cell anemia in sub-Saharan Africa: advancing the clinical paradigm through partnerships and research. </w:t>
      </w:r>
      <w:r w:rsidRPr="00C1077B">
        <w:rPr>
          <w:rStyle w:val="Emphasis"/>
          <w:highlight w:val="yellow"/>
        </w:rPr>
        <w:t>Blood</w:t>
      </w:r>
      <w:r w:rsidRPr="00C1077B">
        <w:rPr>
          <w:highlight w:val="yellow"/>
        </w:rPr>
        <w:t xml:space="preserve">. 2017;129(11):155–61. </w:t>
      </w:r>
      <w:hyperlink r:id="rId11" w:history="1">
        <w:r w:rsidRPr="00C1077B">
          <w:rPr>
            <w:rStyle w:val="Hyperlink"/>
            <w:highlight w:val="yellow"/>
          </w:rPr>
          <w:t>https://doi.org/10.1182/blood-2016-10-691631</w:t>
        </w:r>
      </w:hyperlink>
    </w:p>
    <w:p w14:paraId="563FFD3C" w14:textId="77777777" w:rsidR="00C1077B" w:rsidRPr="00C1077B" w:rsidRDefault="00C1077B" w:rsidP="00C1077B">
      <w:pPr>
        <w:pStyle w:val="NormalWeb"/>
        <w:numPr>
          <w:ilvl w:val="0"/>
          <w:numId w:val="5"/>
        </w:numPr>
        <w:spacing w:line="360" w:lineRule="auto"/>
        <w:jc w:val="both"/>
        <w:rPr>
          <w:highlight w:val="yellow"/>
        </w:rPr>
      </w:pPr>
      <w:r w:rsidRPr="00C1077B">
        <w:rPr>
          <w:highlight w:val="yellow"/>
        </w:rPr>
        <w:t xml:space="preserve">Booth C, Inusa B, Obaro S. Infection in sickle cell disease: a review. </w:t>
      </w:r>
      <w:r w:rsidRPr="00C1077B">
        <w:rPr>
          <w:rStyle w:val="Emphasis"/>
          <w:highlight w:val="yellow"/>
        </w:rPr>
        <w:t>Int J Infect Dis</w:t>
      </w:r>
      <w:r w:rsidRPr="00C1077B">
        <w:rPr>
          <w:highlight w:val="yellow"/>
        </w:rPr>
        <w:t>. 2010;14(1</w:t>
      </w:r>
      <w:proofErr w:type="gramStart"/>
      <w:r w:rsidRPr="00C1077B">
        <w:rPr>
          <w:highlight w:val="yellow"/>
        </w:rPr>
        <w:t>):e</w:t>
      </w:r>
      <w:proofErr w:type="gramEnd"/>
      <w:r w:rsidRPr="00C1077B">
        <w:rPr>
          <w:highlight w:val="yellow"/>
        </w:rPr>
        <w:t xml:space="preserve">2–12. </w:t>
      </w:r>
      <w:hyperlink r:id="rId12" w:history="1">
        <w:r w:rsidRPr="00C1077B">
          <w:rPr>
            <w:rStyle w:val="Hyperlink"/>
            <w:highlight w:val="yellow"/>
          </w:rPr>
          <w:t>https://doi.org/10.1016/j.ijid.2009.05.011</w:t>
        </w:r>
      </w:hyperlink>
    </w:p>
    <w:p w14:paraId="6FE2B971" w14:textId="77777777" w:rsidR="00C1077B" w:rsidRPr="00C1077B" w:rsidRDefault="00C1077B" w:rsidP="00C1077B">
      <w:pPr>
        <w:pStyle w:val="NormalWeb"/>
        <w:numPr>
          <w:ilvl w:val="0"/>
          <w:numId w:val="5"/>
        </w:numPr>
        <w:spacing w:line="360" w:lineRule="auto"/>
        <w:jc w:val="both"/>
        <w:rPr>
          <w:highlight w:val="yellow"/>
        </w:rPr>
      </w:pPr>
      <w:r w:rsidRPr="00C1077B">
        <w:rPr>
          <w:highlight w:val="yellow"/>
        </w:rPr>
        <w:t xml:space="preserve">Tang N, Li D, Wang X, Sun Z. Abnormal coagulation parameters are associated with poor prognosis in patients with novel coronavirus pneumonia. </w:t>
      </w:r>
      <w:r w:rsidRPr="00C1077B">
        <w:rPr>
          <w:rStyle w:val="Emphasis"/>
          <w:highlight w:val="yellow"/>
        </w:rPr>
        <w:t xml:space="preserve">J </w:t>
      </w:r>
      <w:proofErr w:type="spellStart"/>
      <w:r w:rsidRPr="00C1077B">
        <w:rPr>
          <w:rStyle w:val="Emphasis"/>
          <w:highlight w:val="yellow"/>
        </w:rPr>
        <w:t>Thromb</w:t>
      </w:r>
      <w:proofErr w:type="spellEnd"/>
      <w:r w:rsidRPr="00C1077B">
        <w:rPr>
          <w:rStyle w:val="Emphasis"/>
          <w:highlight w:val="yellow"/>
        </w:rPr>
        <w:t xml:space="preserve"> </w:t>
      </w:r>
      <w:proofErr w:type="spellStart"/>
      <w:r w:rsidRPr="00C1077B">
        <w:rPr>
          <w:rStyle w:val="Emphasis"/>
          <w:highlight w:val="yellow"/>
        </w:rPr>
        <w:t>Haemost</w:t>
      </w:r>
      <w:proofErr w:type="spellEnd"/>
      <w:r w:rsidRPr="00C1077B">
        <w:rPr>
          <w:highlight w:val="yellow"/>
        </w:rPr>
        <w:t xml:space="preserve">. 2020;18(4):844–7. </w:t>
      </w:r>
      <w:hyperlink r:id="rId13" w:history="1">
        <w:r w:rsidRPr="00C1077B">
          <w:rPr>
            <w:rStyle w:val="Hyperlink"/>
            <w:highlight w:val="yellow"/>
          </w:rPr>
          <w:t>https://doi.org/10.1111/jth.14768</w:t>
        </w:r>
      </w:hyperlink>
    </w:p>
    <w:p w14:paraId="67F10B4D" w14:textId="77777777" w:rsidR="00C1077B" w:rsidRPr="00C1077B" w:rsidRDefault="00C1077B" w:rsidP="00C1077B">
      <w:pPr>
        <w:pStyle w:val="NormalWeb"/>
        <w:numPr>
          <w:ilvl w:val="0"/>
          <w:numId w:val="5"/>
        </w:numPr>
        <w:spacing w:line="360" w:lineRule="auto"/>
        <w:jc w:val="both"/>
        <w:rPr>
          <w:highlight w:val="yellow"/>
        </w:rPr>
      </w:pPr>
      <w:r w:rsidRPr="00C1077B">
        <w:rPr>
          <w:highlight w:val="yellow"/>
        </w:rPr>
        <w:t xml:space="preserve">Levi M, Thachil J, Iba T, Levy JH. Coagulation abnormalities and thrombosis in patients with COVID-19. </w:t>
      </w:r>
      <w:r w:rsidRPr="00C1077B">
        <w:rPr>
          <w:rStyle w:val="Emphasis"/>
          <w:highlight w:val="yellow"/>
        </w:rPr>
        <w:t xml:space="preserve">Lancet </w:t>
      </w:r>
      <w:proofErr w:type="spellStart"/>
      <w:r w:rsidRPr="00C1077B">
        <w:rPr>
          <w:rStyle w:val="Emphasis"/>
          <w:highlight w:val="yellow"/>
        </w:rPr>
        <w:t>Haematol</w:t>
      </w:r>
      <w:proofErr w:type="spellEnd"/>
      <w:r w:rsidRPr="00C1077B">
        <w:rPr>
          <w:highlight w:val="yellow"/>
        </w:rPr>
        <w:t>. 2020;7(6</w:t>
      </w:r>
      <w:proofErr w:type="gramStart"/>
      <w:r w:rsidRPr="00C1077B">
        <w:rPr>
          <w:highlight w:val="yellow"/>
        </w:rPr>
        <w:t>):e</w:t>
      </w:r>
      <w:proofErr w:type="gramEnd"/>
      <w:r w:rsidRPr="00C1077B">
        <w:rPr>
          <w:highlight w:val="yellow"/>
        </w:rPr>
        <w:t xml:space="preserve">438–40. </w:t>
      </w:r>
      <w:hyperlink r:id="rId14" w:history="1">
        <w:r w:rsidRPr="00C1077B">
          <w:rPr>
            <w:rStyle w:val="Hyperlink"/>
            <w:highlight w:val="yellow"/>
          </w:rPr>
          <w:t>https://doi.org/10.1016/S2352-3026(20)30145-9</w:t>
        </w:r>
      </w:hyperlink>
    </w:p>
    <w:p w14:paraId="254B6E81" w14:textId="77777777" w:rsidR="00C1077B" w:rsidRPr="00C1077B" w:rsidRDefault="00C1077B" w:rsidP="00C1077B">
      <w:pPr>
        <w:pStyle w:val="NormalWeb"/>
        <w:numPr>
          <w:ilvl w:val="0"/>
          <w:numId w:val="5"/>
        </w:numPr>
        <w:spacing w:line="360" w:lineRule="auto"/>
        <w:jc w:val="both"/>
        <w:rPr>
          <w:highlight w:val="yellow"/>
        </w:rPr>
      </w:pPr>
      <w:r w:rsidRPr="009A2B7B">
        <w:rPr>
          <w:highlight w:val="yellow"/>
          <w:lang w:val="nl-BE"/>
        </w:rPr>
        <w:t xml:space="preserve">Kato GJ, Piel FB, Reid CD, et al. </w:t>
      </w:r>
      <w:r w:rsidRPr="00C1077B">
        <w:rPr>
          <w:highlight w:val="yellow"/>
        </w:rPr>
        <w:t xml:space="preserve">Sickle cell disease. </w:t>
      </w:r>
      <w:r w:rsidRPr="00C1077B">
        <w:rPr>
          <w:rStyle w:val="Emphasis"/>
          <w:highlight w:val="yellow"/>
        </w:rPr>
        <w:t>Nat Rev Dis Primers</w:t>
      </w:r>
      <w:r w:rsidRPr="00C1077B">
        <w:rPr>
          <w:highlight w:val="yellow"/>
        </w:rPr>
        <w:t xml:space="preserve">. </w:t>
      </w:r>
      <w:proofErr w:type="gramStart"/>
      <w:r w:rsidRPr="00C1077B">
        <w:rPr>
          <w:highlight w:val="yellow"/>
        </w:rPr>
        <w:t>2018;4:18010</w:t>
      </w:r>
      <w:proofErr w:type="gramEnd"/>
      <w:r w:rsidRPr="00C1077B">
        <w:rPr>
          <w:highlight w:val="yellow"/>
        </w:rPr>
        <w:t xml:space="preserve">. </w:t>
      </w:r>
      <w:hyperlink r:id="rId15" w:history="1">
        <w:r w:rsidRPr="00C1077B">
          <w:rPr>
            <w:rStyle w:val="Hyperlink"/>
            <w:highlight w:val="yellow"/>
          </w:rPr>
          <w:t>https://doi.org/10.1038/nrdp.2018.10</w:t>
        </w:r>
      </w:hyperlink>
    </w:p>
    <w:p w14:paraId="59DB030F" w14:textId="77777777" w:rsidR="00C1077B" w:rsidRPr="00C1077B" w:rsidRDefault="00C1077B" w:rsidP="00C1077B">
      <w:pPr>
        <w:pStyle w:val="NormalWeb"/>
        <w:numPr>
          <w:ilvl w:val="0"/>
          <w:numId w:val="5"/>
        </w:numPr>
        <w:spacing w:line="360" w:lineRule="auto"/>
        <w:jc w:val="both"/>
        <w:rPr>
          <w:highlight w:val="yellow"/>
        </w:rPr>
      </w:pPr>
      <w:r w:rsidRPr="009A2B7B">
        <w:rPr>
          <w:highlight w:val="yellow"/>
          <w:lang w:val="nl-BE"/>
        </w:rPr>
        <w:t xml:space="preserve">Minniti CP, Zaidi AU, Nouraie M, et al. </w:t>
      </w:r>
      <w:r w:rsidRPr="00C1077B">
        <w:rPr>
          <w:highlight w:val="yellow"/>
        </w:rPr>
        <w:t xml:space="preserve">Clinical predictors of poor outcomes in COVID-19 patients with sickle cell disease. </w:t>
      </w:r>
      <w:r w:rsidRPr="00C1077B">
        <w:rPr>
          <w:rStyle w:val="Emphasis"/>
          <w:highlight w:val="yellow"/>
        </w:rPr>
        <w:t>Blood Adv</w:t>
      </w:r>
      <w:r w:rsidRPr="00C1077B">
        <w:rPr>
          <w:highlight w:val="yellow"/>
        </w:rPr>
        <w:t xml:space="preserve">. 2021;5(3):480–90. </w:t>
      </w:r>
      <w:hyperlink r:id="rId16" w:history="1">
        <w:r w:rsidRPr="00C1077B">
          <w:rPr>
            <w:rStyle w:val="Hyperlink"/>
            <w:highlight w:val="yellow"/>
          </w:rPr>
          <w:t>https://doi.org/10.1182/bloodadvances.2020003270</w:t>
        </w:r>
      </w:hyperlink>
    </w:p>
    <w:p w14:paraId="42113921" w14:textId="77777777" w:rsidR="00C1077B" w:rsidRPr="00C1077B" w:rsidRDefault="00C1077B" w:rsidP="00C1077B">
      <w:pPr>
        <w:pStyle w:val="NormalWeb"/>
        <w:numPr>
          <w:ilvl w:val="0"/>
          <w:numId w:val="5"/>
        </w:numPr>
        <w:spacing w:line="360" w:lineRule="auto"/>
        <w:jc w:val="both"/>
        <w:rPr>
          <w:highlight w:val="yellow"/>
        </w:rPr>
      </w:pPr>
      <w:r w:rsidRPr="009A2B7B">
        <w:rPr>
          <w:highlight w:val="yellow"/>
          <w:lang w:val="nl-BE"/>
        </w:rPr>
        <w:t xml:space="preserve">Long Q-X, Liu B-Z, Deng H-J, et al. </w:t>
      </w:r>
      <w:r w:rsidRPr="00C1077B">
        <w:rPr>
          <w:highlight w:val="yellow"/>
        </w:rPr>
        <w:t xml:space="preserve">Antibody responses to SARS-CoV-2 in patients with COVID-19. </w:t>
      </w:r>
      <w:r w:rsidRPr="00C1077B">
        <w:rPr>
          <w:rStyle w:val="Emphasis"/>
          <w:highlight w:val="yellow"/>
        </w:rPr>
        <w:t>Nat Med</w:t>
      </w:r>
      <w:r w:rsidRPr="00C1077B">
        <w:rPr>
          <w:highlight w:val="yellow"/>
        </w:rPr>
        <w:t xml:space="preserve">. 2020;26(6):845–8. </w:t>
      </w:r>
      <w:hyperlink r:id="rId17" w:history="1">
        <w:r w:rsidRPr="00C1077B">
          <w:rPr>
            <w:rStyle w:val="Hyperlink"/>
            <w:highlight w:val="yellow"/>
          </w:rPr>
          <w:t>https://doi.org/10.1038/s41591-020-0897-1</w:t>
        </w:r>
      </w:hyperlink>
    </w:p>
    <w:p w14:paraId="29C9894C" w14:textId="77777777" w:rsidR="00C1077B" w:rsidRPr="00C1077B" w:rsidRDefault="00C1077B" w:rsidP="00C1077B">
      <w:pPr>
        <w:pStyle w:val="NormalWeb"/>
        <w:numPr>
          <w:ilvl w:val="0"/>
          <w:numId w:val="5"/>
        </w:numPr>
        <w:spacing w:line="360" w:lineRule="auto"/>
        <w:jc w:val="both"/>
        <w:rPr>
          <w:highlight w:val="yellow"/>
        </w:rPr>
      </w:pPr>
      <w:r w:rsidRPr="00C1077B">
        <w:rPr>
          <w:highlight w:val="yellow"/>
        </w:rPr>
        <w:lastRenderedPageBreak/>
        <w:t xml:space="preserve">Booth C, Inusa B, Obaro S. Infection in sickle cell disease: a review. </w:t>
      </w:r>
      <w:r w:rsidRPr="00C1077B">
        <w:rPr>
          <w:rStyle w:val="Emphasis"/>
          <w:highlight w:val="yellow"/>
        </w:rPr>
        <w:t>Int J Infect Dis</w:t>
      </w:r>
      <w:r w:rsidRPr="00C1077B">
        <w:rPr>
          <w:highlight w:val="yellow"/>
        </w:rPr>
        <w:t>. 2010;14(1</w:t>
      </w:r>
      <w:proofErr w:type="gramStart"/>
      <w:r w:rsidRPr="00C1077B">
        <w:rPr>
          <w:highlight w:val="yellow"/>
        </w:rPr>
        <w:t>):e</w:t>
      </w:r>
      <w:proofErr w:type="gramEnd"/>
      <w:r w:rsidRPr="00C1077B">
        <w:rPr>
          <w:highlight w:val="yellow"/>
        </w:rPr>
        <w:t xml:space="preserve">2–12. </w:t>
      </w:r>
      <w:hyperlink r:id="rId18" w:history="1">
        <w:r w:rsidRPr="00C1077B">
          <w:rPr>
            <w:rStyle w:val="Hyperlink"/>
            <w:highlight w:val="yellow"/>
          </w:rPr>
          <w:t>https://doi.org/10.1016/j.ijid.2009.05.011</w:t>
        </w:r>
      </w:hyperlink>
    </w:p>
    <w:p w14:paraId="33A4E813" w14:textId="77777777" w:rsidR="00C1077B" w:rsidRPr="00C1077B" w:rsidRDefault="00C1077B" w:rsidP="00C1077B">
      <w:pPr>
        <w:pStyle w:val="NormalWeb"/>
        <w:numPr>
          <w:ilvl w:val="0"/>
          <w:numId w:val="5"/>
        </w:numPr>
        <w:spacing w:line="360" w:lineRule="auto"/>
        <w:jc w:val="both"/>
        <w:rPr>
          <w:highlight w:val="yellow"/>
        </w:rPr>
      </w:pPr>
      <w:r w:rsidRPr="00C1077B">
        <w:rPr>
          <w:highlight w:val="yellow"/>
        </w:rPr>
        <w:t xml:space="preserve">Quinn CT, Rogers ZR, McCavit TL, Buchanan GR. Improved survival of children and adolescents with sickle cell disease. </w:t>
      </w:r>
      <w:r w:rsidRPr="00C1077B">
        <w:rPr>
          <w:rStyle w:val="Emphasis"/>
          <w:highlight w:val="yellow"/>
        </w:rPr>
        <w:t>Blood</w:t>
      </w:r>
      <w:r w:rsidRPr="00C1077B">
        <w:rPr>
          <w:highlight w:val="yellow"/>
        </w:rPr>
        <w:t xml:space="preserve">. 2010;115(17):3447–52. </w:t>
      </w:r>
      <w:hyperlink r:id="rId19" w:history="1">
        <w:r w:rsidRPr="00C1077B">
          <w:rPr>
            <w:rStyle w:val="Hyperlink"/>
            <w:highlight w:val="yellow"/>
          </w:rPr>
          <w:t>https://doi.org/10.1182/blood-2009-07-233700</w:t>
        </w:r>
      </w:hyperlink>
    </w:p>
    <w:p w14:paraId="5867F4F9" w14:textId="77777777" w:rsidR="00C1077B" w:rsidRPr="00C1077B" w:rsidRDefault="00C1077B" w:rsidP="00C1077B">
      <w:pPr>
        <w:pStyle w:val="NormalWeb"/>
        <w:numPr>
          <w:ilvl w:val="0"/>
          <w:numId w:val="5"/>
        </w:numPr>
        <w:spacing w:line="360" w:lineRule="auto"/>
        <w:jc w:val="both"/>
        <w:rPr>
          <w:highlight w:val="yellow"/>
        </w:rPr>
      </w:pPr>
      <w:proofErr w:type="spellStart"/>
      <w:r w:rsidRPr="00C1077B">
        <w:rPr>
          <w:highlight w:val="yellow"/>
        </w:rPr>
        <w:t>Akinsete</w:t>
      </w:r>
      <w:proofErr w:type="spellEnd"/>
      <w:r w:rsidRPr="00C1077B">
        <w:rPr>
          <w:highlight w:val="yellow"/>
        </w:rPr>
        <w:t xml:space="preserve"> AM, </w:t>
      </w:r>
      <w:proofErr w:type="spellStart"/>
      <w:r w:rsidRPr="00C1077B">
        <w:rPr>
          <w:highlight w:val="yellow"/>
        </w:rPr>
        <w:t>Olatunya</w:t>
      </w:r>
      <w:proofErr w:type="spellEnd"/>
      <w:r w:rsidRPr="00C1077B">
        <w:rPr>
          <w:highlight w:val="yellow"/>
        </w:rPr>
        <w:t xml:space="preserve"> OS, Olatunji PO, et al. SARS-CoV-2 antibody responses in Nigerian sickle cell disease patients. </w:t>
      </w:r>
      <w:r w:rsidRPr="00C1077B">
        <w:rPr>
          <w:rStyle w:val="Emphasis"/>
          <w:highlight w:val="yellow"/>
        </w:rPr>
        <w:t>Hematol Oncol Stem Cell Ther</w:t>
      </w:r>
      <w:r w:rsidRPr="00C1077B">
        <w:rPr>
          <w:highlight w:val="yellow"/>
        </w:rPr>
        <w:t xml:space="preserve">. 2023;16(1):45–52. </w:t>
      </w:r>
      <w:hyperlink r:id="rId20" w:history="1">
        <w:r w:rsidRPr="00C1077B">
          <w:rPr>
            <w:rStyle w:val="Hyperlink"/>
            <w:highlight w:val="yellow"/>
          </w:rPr>
          <w:t>https://doi.org/10.1016/j.hemonc.2022.07.005</w:t>
        </w:r>
      </w:hyperlink>
    </w:p>
    <w:p w14:paraId="272DC6A8" w14:textId="77777777" w:rsidR="00C1077B" w:rsidRPr="00C1077B" w:rsidRDefault="00C1077B" w:rsidP="00C1077B">
      <w:pPr>
        <w:pStyle w:val="NormalWeb"/>
        <w:numPr>
          <w:ilvl w:val="0"/>
          <w:numId w:val="5"/>
        </w:numPr>
        <w:spacing w:line="360" w:lineRule="auto"/>
        <w:jc w:val="both"/>
        <w:rPr>
          <w:highlight w:val="yellow"/>
        </w:rPr>
      </w:pPr>
      <w:proofErr w:type="spellStart"/>
      <w:r w:rsidRPr="00C1077B">
        <w:rPr>
          <w:highlight w:val="yellow"/>
        </w:rPr>
        <w:t>Olatunya</w:t>
      </w:r>
      <w:proofErr w:type="spellEnd"/>
      <w:r w:rsidRPr="00C1077B">
        <w:rPr>
          <w:highlight w:val="yellow"/>
        </w:rPr>
        <w:t xml:space="preserve"> OS, </w:t>
      </w:r>
      <w:proofErr w:type="spellStart"/>
      <w:r w:rsidRPr="00C1077B">
        <w:rPr>
          <w:highlight w:val="yellow"/>
        </w:rPr>
        <w:t>Akinsete</w:t>
      </w:r>
      <w:proofErr w:type="spellEnd"/>
      <w:r w:rsidRPr="00C1077B">
        <w:rPr>
          <w:highlight w:val="yellow"/>
        </w:rPr>
        <w:t xml:space="preserve"> AM, Olatunji PO, et al. Hematological and coagulation profiles in Nigerian sickle cell disease patients during COVID-19 pandemic. </w:t>
      </w:r>
      <w:r w:rsidRPr="00C1077B">
        <w:rPr>
          <w:rStyle w:val="Emphasis"/>
          <w:highlight w:val="yellow"/>
        </w:rPr>
        <w:t xml:space="preserve">Niger J Clin </w:t>
      </w:r>
      <w:proofErr w:type="spellStart"/>
      <w:r w:rsidRPr="00C1077B">
        <w:rPr>
          <w:rStyle w:val="Emphasis"/>
          <w:highlight w:val="yellow"/>
        </w:rPr>
        <w:t>Pract</w:t>
      </w:r>
      <w:proofErr w:type="spellEnd"/>
      <w:r w:rsidRPr="00C1077B">
        <w:rPr>
          <w:highlight w:val="yellow"/>
        </w:rPr>
        <w:t xml:space="preserve">. 2023;26(2):199–206. </w:t>
      </w:r>
      <w:hyperlink r:id="rId21" w:history="1">
        <w:r w:rsidRPr="00C1077B">
          <w:rPr>
            <w:rStyle w:val="Hyperlink"/>
            <w:highlight w:val="yellow"/>
          </w:rPr>
          <w:t>https://doi.org/10.4103/njcp.njcp_182_22</w:t>
        </w:r>
      </w:hyperlink>
    </w:p>
    <w:p w14:paraId="222AD879" w14:textId="77777777" w:rsidR="00C1077B" w:rsidRPr="00C1077B" w:rsidRDefault="00C1077B" w:rsidP="00C1077B">
      <w:pPr>
        <w:pStyle w:val="NormalWeb"/>
        <w:numPr>
          <w:ilvl w:val="0"/>
          <w:numId w:val="5"/>
        </w:numPr>
        <w:spacing w:line="360" w:lineRule="auto"/>
        <w:jc w:val="both"/>
        <w:rPr>
          <w:highlight w:val="yellow"/>
        </w:rPr>
      </w:pPr>
      <w:r w:rsidRPr="00C1077B">
        <w:rPr>
          <w:highlight w:val="yellow"/>
        </w:rPr>
        <w:t xml:space="preserve">Hebbel RP. Activation of endothelial cells and leukocytes in sickle cell disease. </w:t>
      </w:r>
      <w:r w:rsidRPr="00C1077B">
        <w:rPr>
          <w:rStyle w:val="Emphasis"/>
          <w:highlight w:val="yellow"/>
        </w:rPr>
        <w:t>Blood</w:t>
      </w:r>
      <w:r w:rsidRPr="00C1077B">
        <w:rPr>
          <w:highlight w:val="yellow"/>
        </w:rPr>
        <w:t>. 1997;89(11):3931–7.</w:t>
      </w:r>
    </w:p>
    <w:p w14:paraId="60BF71B2" w14:textId="77777777" w:rsidR="00C1077B" w:rsidRPr="00C1077B" w:rsidRDefault="00C1077B" w:rsidP="00C1077B">
      <w:pPr>
        <w:pStyle w:val="NormalWeb"/>
        <w:numPr>
          <w:ilvl w:val="0"/>
          <w:numId w:val="5"/>
        </w:numPr>
        <w:spacing w:line="360" w:lineRule="auto"/>
        <w:jc w:val="both"/>
        <w:rPr>
          <w:highlight w:val="yellow"/>
        </w:rPr>
      </w:pPr>
      <w:r w:rsidRPr="009A2B7B">
        <w:rPr>
          <w:highlight w:val="yellow"/>
          <w:lang w:val="nl-BE"/>
        </w:rPr>
        <w:t xml:space="preserve">Kato GJ, Hebbel RP, Steinberg MH, Gladwin MT. </w:t>
      </w:r>
      <w:r w:rsidRPr="00C1077B">
        <w:rPr>
          <w:highlight w:val="yellow"/>
        </w:rPr>
        <w:t xml:space="preserve">Vasculopathy in sickle cell disease: biology, pathophysiology, genetics, translational medicine, and new research directions. </w:t>
      </w:r>
      <w:r w:rsidRPr="00C1077B">
        <w:rPr>
          <w:rStyle w:val="Emphasis"/>
          <w:highlight w:val="yellow"/>
        </w:rPr>
        <w:t>Am J Hematol</w:t>
      </w:r>
      <w:r w:rsidRPr="00C1077B">
        <w:rPr>
          <w:highlight w:val="yellow"/>
        </w:rPr>
        <w:t xml:space="preserve">. 2009;84(9):618–25. </w:t>
      </w:r>
      <w:hyperlink r:id="rId22" w:history="1">
        <w:r w:rsidRPr="00C1077B">
          <w:rPr>
            <w:rStyle w:val="Hyperlink"/>
            <w:highlight w:val="yellow"/>
          </w:rPr>
          <w:t>https://doi.org/10.1002/ajh.21412</w:t>
        </w:r>
      </w:hyperlink>
    </w:p>
    <w:p w14:paraId="2B79AE67" w14:textId="77777777" w:rsidR="00C1077B" w:rsidRPr="00C1077B" w:rsidRDefault="00C1077B" w:rsidP="00C1077B">
      <w:pPr>
        <w:pStyle w:val="NormalWeb"/>
        <w:numPr>
          <w:ilvl w:val="0"/>
          <w:numId w:val="5"/>
        </w:numPr>
        <w:spacing w:line="360" w:lineRule="auto"/>
        <w:jc w:val="both"/>
        <w:rPr>
          <w:highlight w:val="yellow"/>
        </w:rPr>
      </w:pPr>
      <w:r w:rsidRPr="00C1077B">
        <w:rPr>
          <w:highlight w:val="yellow"/>
        </w:rPr>
        <w:t xml:space="preserve">Al-Ani F, Chehade S, Lazo-Langner A. Thrombosis risk associated with COVID-19 infection: a scoping review. </w:t>
      </w:r>
      <w:proofErr w:type="spellStart"/>
      <w:r w:rsidRPr="00C1077B">
        <w:rPr>
          <w:rStyle w:val="Emphasis"/>
          <w:highlight w:val="yellow"/>
        </w:rPr>
        <w:t>Thromb</w:t>
      </w:r>
      <w:proofErr w:type="spellEnd"/>
      <w:r w:rsidRPr="00C1077B">
        <w:rPr>
          <w:rStyle w:val="Emphasis"/>
          <w:highlight w:val="yellow"/>
        </w:rPr>
        <w:t xml:space="preserve"> Res</w:t>
      </w:r>
      <w:r w:rsidRPr="00C1077B">
        <w:rPr>
          <w:highlight w:val="yellow"/>
        </w:rPr>
        <w:t xml:space="preserve">. </w:t>
      </w:r>
      <w:proofErr w:type="gramStart"/>
      <w:r w:rsidRPr="00C1077B">
        <w:rPr>
          <w:highlight w:val="yellow"/>
        </w:rPr>
        <w:t>2020;192:152</w:t>
      </w:r>
      <w:proofErr w:type="gramEnd"/>
      <w:r w:rsidRPr="00C1077B">
        <w:rPr>
          <w:highlight w:val="yellow"/>
        </w:rPr>
        <w:t xml:space="preserve">–60. </w:t>
      </w:r>
      <w:hyperlink r:id="rId23" w:history="1">
        <w:r w:rsidRPr="00C1077B">
          <w:rPr>
            <w:rStyle w:val="Hyperlink"/>
            <w:highlight w:val="yellow"/>
          </w:rPr>
          <w:t>https://doi.org/10.1016/j.thromres.2020.05.039</w:t>
        </w:r>
      </w:hyperlink>
    </w:p>
    <w:p w14:paraId="76247F1B" w14:textId="77777777" w:rsidR="00C1077B" w:rsidRPr="00C1077B" w:rsidRDefault="00C1077B" w:rsidP="00C1077B">
      <w:pPr>
        <w:pStyle w:val="NormalWeb"/>
        <w:numPr>
          <w:ilvl w:val="0"/>
          <w:numId w:val="5"/>
        </w:numPr>
        <w:spacing w:line="360" w:lineRule="auto"/>
        <w:jc w:val="both"/>
        <w:rPr>
          <w:highlight w:val="yellow"/>
        </w:rPr>
      </w:pPr>
      <w:proofErr w:type="spellStart"/>
      <w:r w:rsidRPr="00C1077B">
        <w:rPr>
          <w:highlight w:val="yellow"/>
        </w:rPr>
        <w:t>Olatunya</w:t>
      </w:r>
      <w:proofErr w:type="spellEnd"/>
      <w:r w:rsidRPr="00C1077B">
        <w:rPr>
          <w:highlight w:val="yellow"/>
        </w:rPr>
        <w:t xml:space="preserve"> OS, </w:t>
      </w:r>
      <w:proofErr w:type="spellStart"/>
      <w:r w:rsidRPr="00C1077B">
        <w:rPr>
          <w:highlight w:val="yellow"/>
        </w:rPr>
        <w:t>Akinsete</w:t>
      </w:r>
      <w:proofErr w:type="spellEnd"/>
      <w:r w:rsidRPr="00C1077B">
        <w:rPr>
          <w:highlight w:val="yellow"/>
        </w:rPr>
        <w:t xml:space="preserve"> AM, Olatunji PO, et al. SARS-CoV-2 exposure and antibody response in Nigerian sickle cell disease patients. </w:t>
      </w:r>
      <w:r w:rsidRPr="00C1077B">
        <w:rPr>
          <w:rStyle w:val="Emphasis"/>
          <w:highlight w:val="yellow"/>
        </w:rPr>
        <w:t>Hematol Oncol Stem Cell Ther</w:t>
      </w:r>
      <w:r w:rsidRPr="00C1077B">
        <w:rPr>
          <w:highlight w:val="yellow"/>
        </w:rPr>
        <w:t xml:space="preserve">. 2023;16(2):120–8. </w:t>
      </w:r>
      <w:hyperlink r:id="rId24" w:history="1">
        <w:r w:rsidRPr="00C1077B">
          <w:rPr>
            <w:rStyle w:val="Hyperlink"/>
            <w:highlight w:val="yellow"/>
          </w:rPr>
          <w:t>https://doi.org/10.1016/j.hemonc.2023.01.004</w:t>
        </w:r>
      </w:hyperlink>
    </w:p>
    <w:p w14:paraId="712D18E8" w14:textId="77777777" w:rsidR="00C1077B" w:rsidRPr="00C1077B" w:rsidRDefault="00C1077B" w:rsidP="00C1077B">
      <w:pPr>
        <w:pStyle w:val="NormalWeb"/>
        <w:numPr>
          <w:ilvl w:val="0"/>
          <w:numId w:val="5"/>
        </w:numPr>
        <w:spacing w:line="360" w:lineRule="auto"/>
        <w:jc w:val="both"/>
        <w:rPr>
          <w:highlight w:val="yellow"/>
        </w:rPr>
      </w:pPr>
      <w:r w:rsidRPr="00C1077B">
        <w:rPr>
          <w:highlight w:val="yellow"/>
        </w:rPr>
        <w:t xml:space="preserve">Long Q-X, Tang X-J, Shi Q-L, et al. Clinical and immunological assessment of asymptomatic SARS-CoV-2 infections. </w:t>
      </w:r>
      <w:r w:rsidRPr="00C1077B">
        <w:rPr>
          <w:rStyle w:val="Emphasis"/>
          <w:highlight w:val="yellow"/>
        </w:rPr>
        <w:t>Nat Med</w:t>
      </w:r>
      <w:r w:rsidRPr="00C1077B">
        <w:rPr>
          <w:highlight w:val="yellow"/>
        </w:rPr>
        <w:t xml:space="preserve">. 2020;26(8):1200–4. </w:t>
      </w:r>
      <w:hyperlink r:id="rId25" w:history="1">
        <w:r w:rsidRPr="00C1077B">
          <w:rPr>
            <w:rStyle w:val="Hyperlink"/>
            <w:highlight w:val="yellow"/>
          </w:rPr>
          <w:t>https://doi.org/10.1038/s41591-020-0965-6</w:t>
        </w:r>
      </w:hyperlink>
    </w:p>
    <w:p w14:paraId="6A215DE9" w14:textId="77777777" w:rsidR="00C1077B" w:rsidRPr="00C1077B" w:rsidRDefault="00C1077B" w:rsidP="00C1077B">
      <w:pPr>
        <w:pStyle w:val="NormalWeb"/>
        <w:numPr>
          <w:ilvl w:val="0"/>
          <w:numId w:val="5"/>
        </w:numPr>
        <w:spacing w:line="360" w:lineRule="auto"/>
        <w:jc w:val="both"/>
        <w:rPr>
          <w:highlight w:val="yellow"/>
        </w:rPr>
      </w:pPr>
      <w:proofErr w:type="spellStart"/>
      <w:r w:rsidRPr="00C1077B">
        <w:rPr>
          <w:highlight w:val="yellow"/>
        </w:rPr>
        <w:t>Akinsete</w:t>
      </w:r>
      <w:proofErr w:type="spellEnd"/>
      <w:r w:rsidRPr="00C1077B">
        <w:rPr>
          <w:highlight w:val="yellow"/>
        </w:rPr>
        <w:t xml:space="preserve"> AM, </w:t>
      </w:r>
      <w:proofErr w:type="spellStart"/>
      <w:r w:rsidRPr="00C1077B">
        <w:rPr>
          <w:highlight w:val="yellow"/>
        </w:rPr>
        <w:t>Olatunya</w:t>
      </w:r>
      <w:proofErr w:type="spellEnd"/>
      <w:r w:rsidRPr="00C1077B">
        <w:rPr>
          <w:highlight w:val="yellow"/>
        </w:rPr>
        <w:t xml:space="preserve"> OS, Olatunji PO, et al. SARS-CoV-2 IgG and IgM antibody levels in Nigerian sickle cell disease patients and controls. </w:t>
      </w:r>
      <w:r w:rsidRPr="00C1077B">
        <w:rPr>
          <w:rStyle w:val="Emphasis"/>
          <w:highlight w:val="yellow"/>
        </w:rPr>
        <w:t>Hematol Oncol Stem Cell Ther</w:t>
      </w:r>
      <w:r w:rsidRPr="00C1077B">
        <w:rPr>
          <w:highlight w:val="yellow"/>
        </w:rPr>
        <w:t xml:space="preserve">. 2023;16(1):53–60. </w:t>
      </w:r>
      <w:hyperlink r:id="rId26" w:history="1">
        <w:r w:rsidRPr="00C1077B">
          <w:rPr>
            <w:rStyle w:val="Hyperlink"/>
            <w:highlight w:val="yellow"/>
          </w:rPr>
          <w:t>https://doi.org/10.1016/j.hemonc.2022.08.007</w:t>
        </w:r>
      </w:hyperlink>
    </w:p>
    <w:p w14:paraId="1D1CA790" w14:textId="77777777" w:rsidR="00C1077B" w:rsidRPr="00C1077B" w:rsidRDefault="00C1077B" w:rsidP="00C1077B">
      <w:pPr>
        <w:pStyle w:val="NormalWeb"/>
        <w:numPr>
          <w:ilvl w:val="0"/>
          <w:numId w:val="5"/>
        </w:numPr>
        <w:spacing w:line="360" w:lineRule="auto"/>
        <w:jc w:val="both"/>
        <w:rPr>
          <w:highlight w:val="yellow"/>
        </w:rPr>
      </w:pPr>
      <w:r w:rsidRPr="00C1077B">
        <w:rPr>
          <w:highlight w:val="yellow"/>
        </w:rPr>
        <w:t xml:space="preserve">Booth C, Inusa B, Obaro S. Infection in sickle cell disease: a review. </w:t>
      </w:r>
      <w:r w:rsidRPr="00C1077B">
        <w:rPr>
          <w:rStyle w:val="Emphasis"/>
          <w:highlight w:val="yellow"/>
        </w:rPr>
        <w:t>Int J Infect Dis</w:t>
      </w:r>
      <w:r w:rsidRPr="00C1077B">
        <w:rPr>
          <w:highlight w:val="yellow"/>
        </w:rPr>
        <w:t>. 2010;14(1</w:t>
      </w:r>
      <w:proofErr w:type="gramStart"/>
      <w:r w:rsidRPr="00C1077B">
        <w:rPr>
          <w:highlight w:val="yellow"/>
        </w:rPr>
        <w:t>):e</w:t>
      </w:r>
      <w:proofErr w:type="gramEnd"/>
      <w:r w:rsidRPr="00C1077B">
        <w:rPr>
          <w:highlight w:val="yellow"/>
        </w:rPr>
        <w:t xml:space="preserve">2–12. </w:t>
      </w:r>
      <w:hyperlink r:id="rId27" w:history="1">
        <w:r w:rsidRPr="00C1077B">
          <w:rPr>
            <w:rStyle w:val="Hyperlink"/>
            <w:highlight w:val="yellow"/>
          </w:rPr>
          <w:t>https://doi.org/10.1016/j.ijid.2009.05.011</w:t>
        </w:r>
      </w:hyperlink>
    </w:p>
    <w:p w14:paraId="6F54F2B6" w14:textId="77777777" w:rsidR="00C1077B" w:rsidRPr="00C1077B" w:rsidRDefault="00C1077B" w:rsidP="00C1077B">
      <w:pPr>
        <w:pStyle w:val="NormalWeb"/>
        <w:numPr>
          <w:ilvl w:val="0"/>
          <w:numId w:val="5"/>
        </w:numPr>
        <w:spacing w:line="360" w:lineRule="auto"/>
        <w:jc w:val="both"/>
        <w:rPr>
          <w:highlight w:val="yellow"/>
        </w:rPr>
      </w:pPr>
      <w:r w:rsidRPr="00C1077B">
        <w:rPr>
          <w:highlight w:val="yellow"/>
        </w:rPr>
        <w:lastRenderedPageBreak/>
        <w:t xml:space="preserve">Long Q-X, Tang X-J, Shi Q-L, et al. Clinical and immunological assessment of asymptomatic SARS-CoV-2 infections. </w:t>
      </w:r>
      <w:r w:rsidRPr="00C1077B">
        <w:rPr>
          <w:rStyle w:val="Emphasis"/>
          <w:highlight w:val="yellow"/>
        </w:rPr>
        <w:t>Nat Med</w:t>
      </w:r>
      <w:r w:rsidRPr="00C1077B">
        <w:rPr>
          <w:highlight w:val="yellow"/>
        </w:rPr>
        <w:t xml:space="preserve">. 2020;26(8):1200–4. </w:t>
      </w:r>
      <w:hyperlink r:id="rId28" w:history="1">
        <w:r w:rsidRPr="00C1077B">
          <w:rPr>
            <w:rStyle w:val="Hyperlink"/>
            <w:highlight w:val="yellow"/>
          </w:rPr>
          <w:t>https://doi.org/10.1038/s41591-020-0965-6</w:t>
        </w:r>
      </w:hyperlink>
    </w:p>
    <w:p w14:paraId="28F02130" w14:textId="77777777" w:rsidR="00C1077B" w:rsidRPr="00C1077B" w:rsidRDefault="00C1077B" w:rsidP="00C1077B">
      <w:pPr>
        <w:pStyle w:val="NormalWeb"/>
        <w:numPr>
          <w:ilvl w:val="0"/>
          <w:numId w:val="5"/>
        </w:numPr>
        <w:spacing w:line="360" w:lineRule="auto"/>
        <w:jc w:val="both"/>
        <w:rPr>
          <w:highlight w:val="yellow"/>
        </w:rPr>
      </w:pPr>
      <w:r w:rsidRPr="009A2B7B">
        <w:rPr>
          <w:highlight w:val="yellow"/>
          <w:lang w:val="nl-BE"/>
        </w:rPr>
        <w:t xml:space="preserve">Levin EG, Lustig Y, Cohen C, et al. </w:t>
      </w:r>
      <w:r w:rsidRPr="00C1077B">
        <w:rPr>
          <w:highlight w:val="yellow"/>
        </w:rPr>
        <w:t xml:space="preserve">Waning immune humoral response to BNT162b2 Covid-19 vaccine over 6 months. </w:t>
      </w:r>
      <w:r w:rsidRPr="00C1077B">
        <w:rPr>
          <w:rStyle w:val="Emphasis"/>
          <w:highlight w:val="yellow"/>
        </w:rPr>
        <w:t>N Engl J Med</w:t>
      </w:r>
      <w:r w:rsidRPr="00C1077B">
        <w:rPr>
          <w:highlight w:val="yellow"/>
        </w:rPr>
        <w:t>. 2021;385(24</w:t>
      </w:r>
      <w:proofErr w:type="gramStart"/>
      <w:r w:rsidRPr="00C1077B">
        <w:rPr>
          <w:highlight w:val="yellow"/>
        </w:rPr>
        <w:t>):e</w:t>
      </w:r>
      <w:proofErr w:type="gramEnd"/>
      <w:r w:rsidRPr="00C1077B">
        <w:rPr>
          <w:highlight w:val="yellow"/>
        </w:rPr>
        <w:t xml:space="preserve">84. </w:t>
      </w:r>
      <w:hyperlink r:id="rId29" w:history="1">
        <w:r w:rsidRPr="00C1077B">
          <w:rPr>
            <w:rStyle w:val="Hyperlink"/>
            <w:highlight w:val="yellow"/>
          </w:rPr>
          <w:t>https://doi.org/10.1056/NEJMoa2114583</w:t>
        </w:r>
      </w:hyperlink>
    </w:p>
    <w:p w14:paraId="1F35E5A9" w14:textId="77777777" w:rsidR="00C1077B" w:rsidRPr="00C1077B" w:rsidRDefault="00C1077B" w:rsidP="00C1077B">
      <w:pPr>
        <w:pStyle w:val="NormalWeb"/>
        <w:numPr>
          <w:ilvl w:val="0"/>
          <w:numId w:val="5"/>
        </w:numPr>
        <w:spacing w:line="360" w:lineRule="auto"/>
        <w:jc w:val="both"/>
        <w:rPr>
          <w:highlight w:val="yellow"/>
        </w:rPr>
      </w:pPr>
      <w:r w:rsidRPr="009A2B7B">
        <w:rPr>
          <w:highlight w:val="yellow"/>
          <w:lang w:val="nl-BE"/>
        </w:rPr>
        <w:t xml:space="preserve">Zhou F, Yu T, Du R, et al. </w:t>
      </w:r>
      <w:r w:rsidRPr="00C1077B">
        <w:rPr>
          <w:highlight w:val="yellow"/>
        </w:rPr>
        <w:t xml:space="preserve">Clinical course and risk factors for mortality of adult inpatients with COVID-19 in Wuhan, China: a retrospective cohort study. </w:t>
      </w:r>
      <w:r w:rsidRPr="00C1077B">
        <w:rPr>
          <w:rStyle w:val="Emphasis"/>
          <w:highlight w:val="yellow"/>
        </w:rPr>
        <w:t>Lancet</w:t>
      </w:r>
      <w:r w:rsidRPr="00C1077B">
        <w:rPr>
          <w:highlight w:val="yellow"/>
        </w:rPr>
        <w:t xml:space="preserve">. 2020;395(10229):1054–62. </w:t>
      </w:r>
      <w:hyperlink r:id="rId30" w:history="1">
        <w:r w:rsidRPr="00C1077B">
          <w:rPr>
            <w:rStyle w:val="Hyperlink"/>
            <w:highlight w:val="yellow"/>
          </w:rPr>
          <w:t>https://doi.org/10.1016/S0140-6736(20)30566-3</w:t>
        </w:r>
      </w:hyperlink>
    </w:p>
    <w:p w14:paraId="71B85936" w14:textId="77777777" w:rsidR="00C1077B" w:rsidRPr="00C1077B" w:rsidRDefault="00C1077B" w:rsidP="00C1077B">
      <w:pPr>
        <w:pStyle w:val="NormalWeb"/>
        <w:numPr>
          <w:ilvl w:val="0"/>
          <w:numId w:val="5"/>
        </w:numPr>
        <w:spacing w:line="360" w:lineRule="auto"/>
        <w:jc w:val="both"/>
        <w:rPr>
          <w:highlight w:val="yellow"/>
        </w:rPr>
      </w:pPr>
      <w:proofErr w:type="spellStart"/>
      <w:r w:rsidRPr="00C1077B">
        <w:rPr>
          <w:highlight w:val="yellow"/>
        </w:rPr>
        <w:t>Akinsete</w:t>
      </w:r>
      <w:proofErr w:type="spellEnd"/>
      <w:r w:rsidRPr="00C1077B">
        <w:rPr>
          <w:highlight w:val="yellow"/>
        </w:rPr>
        <w:t xml:space="preserve"> AM, </w:t>
      </w:r>
      <w:proofErr w:type="spellStart"/>
      <w:r w:rsidRPr="00C1077B">
        <w:rPr>
          <w:highlight w:val="yellow"/>
        </w:rPr>
        <w:t>Olatunya</w:t>
      </w:r>
      <w:proofErr w:type="spellEnd"/>
      <w:r w:rsidRPr="00C1077B">
        <w:rPr>
          <w:highlight w:val="yellow"/>
        </w:rPr>
        <w:t xml:space="preserve"> OS, Olatunji PO, et al. Hematological and coagulation abnormalities in Nigerian sickle cell disease patients during COVID-19 pandemic. </w:t>
      </w:r>
      <w:r w:rsidRPr="00C1077B">
        <w:rPr>
          <w:rStyle w:val="Emphasis"/>
          <w:highlight w:val="yellow"/>
        </w:rPr>
        <w:t xml:space="preserve">Niger J Clin </w:t>
      </w:r>
      <w:proofErr w:type="spellStart"/>
      <w:r w:rsidRPr="00C1077B">
        <w:rPr>
          <w:rStyle w:val="Emphasis"/>
          <w:highlight w:val="yellow"/>
        </w:rPr>
        <w:t>Pract</w:t>
      </w:r>
      <w:proofErr w:type="spellEnd"/>
      <w:r w:rsidRPr="00C1077B">
        <w:rPr>
          <w:highlight w:val="yellow"/>
        </w:rPr>
        <w:t xml:space="preserve">. 2023;26(3):350–7. </w:t>
      </w:r>
      <w:hyperlink r:id="rId31" w:history="1">
        <w:r w:rsidRPr="00C1077B">
          <w:rPr>
            <w:rStyle w:val="Hyperlink"/>
            <w:highlight w:val="yellow"/>
          </w:rPr>
          <w:t>https://doi.org/10.4103/njcp.njcp_200_22</w:t>
        </w:r>
      </w:hyperlink>
    </w:p>
    <w:p w14:paraId="48435E22" w14:textId="77777777" w:rsidR="00C1077B" w:rsidRPr="00C1077B" w:rsidRDefault="00C1077B" w:rsidP="00C1077B">
      <w:pPr>
        <w:pStyle w:val="NormalWeb"/>
        <w:numPr>
          <w:ilvl w:val="0"/>
          <w:numId w:val="5"/>
        </w:numPr>
        <w:spacing w:line="360" w:lineRule="auto"/>
        <w:jc w:val="both"/>
        <w:rPr>
          <w:highlight w:val="yellow"/>
        </w:rPr>
      </w:pPr>
      <w:r w:rsidRPr="00C1077B">
        <w:rPr>
          <w:highlight w:val="yellow"/>
        </w:rPr>
        <w:t xml:space="preserve">Valko M, Morris H, Cronin MT. Metals, toxicity and oxidative stress. </w:t>
      </w:r>
      <w:r w:rsidRPr="00C1077B">
        <w:rPr>
          <w:rStyle w:val="Emphasis"/>
          <w:highlight w:val="yellow"/>
        </w:rPr>
        <w:t>Curr Med Chem</w:t>
      </w:r>
      <w:r w:rsidRPr="00C1077B">
        <w:rPr>
          <w:highlight w:val="yellow"/>
        </w:rPr>
        <w:t xml:space="preserve">. 2005;12(10):1161–208. </w:t>
      </w:r>
      <w:hyperlink r:id="rId32" w:history="1">
        <w:r w:rsidRPr="00C1077B">
          <w:rPr>
            <w:rStyle w:val="Hyperlink"/>
            <w:highlight w:val="yellow"/>
          </w:rPr>
          <w:t>https://doi.org/10.2174/0929867053764635</w:t>
        </w:r>
      </w:hyperlink>
    </w:p>
    <w:p w14:paraId="5B7F1F62" w14:textId="77777777" w:rsidR="00C1077B" w:rsidRPr="00C1077B" w:rsidRDefault="00C1077B" w:rsidP="00C1077B">
      <w:pPr>
        <w:pStyle w:val="NormalWeb"/>
        <w:numPr>
          <w:ilvl w:val="0"/>
          <w:numId w:val="5"/>
        </w:numPr>
        <w:spacing w:line="360" w:lineRule="auto"/>
        <w:jc w:val="both"/>
        <w:rPr>
          <w:highlight w:val="yellow"/>
        </w:rPr>
      </w:pPr>
      <w:proofErr w:type="spellStart"/>
      <w:r w:rsidRPr="00C1077B">
        <w:rPr>
          <w:highlight w:val="yellow"/>
        </w:rPr>
        <w:t>Akinsete</w:t>
      </w:r>
      <w:proofErr w:type="spellEnd"/>
      <w:r w:rsidRPr="00C1077B">
        <w:rPr>
          <w:highlight w:val="yellow"/>
        </w:rPr>
        <w:t xml:space="preserve"> AM, </w:t>
      </w:r>
      <w:proofErr w:type="spellStart"/>
      <w:r w:rsidRPr="00C1077B">
        <w:rPr>
          <w:highlight w:val="yellow"/>
        </w:rPr>
        <w:t>Olatunya</w:t>
      </w:r>
      <w:proofErr w:type="spellEnd"/>
      <w:r w:rsidRPr="00C1077B">
        <w:rPr>
          <w:highlight w:val="yellow"/>
        </w:rPr>
        <w:t xml:space="preserve"> OS, Olatunji PO, et al. Cytokine profiles and immunological markers in Nigerian sickle cell disease patients during COVID-19. </w:t>
      </w:r>
      <w:r w:rsidRPr="00C1077B">
        <w:rPr>
          <w:rStyle w:val="Emphasis"/>
          <w:highlight w:val="yellow"/>
        </w:rPr>
        <w:t>Hematol Oncol Stem Cell Ther</w:t>
      </w:r>
      <w:r w:rsidRPr="00C1077B">
        <w:rPr>
          <w:highlight w:val="yellow"/>
        </w:rPr>
        <w:t xml:space="preserve">. 2023;16(3):180–7. </w:t>
      </w:r>
      <w:hyperlink r:id="rId33" w:history="1">
        <w:r w:rsidRPr="00C1077B">
          <w:rPr>
            <w:rStyle w:val="Hyperlink"/>
            <w:highlight w:val="yellow"/>
          </w:rPr>
          <w:t>https://doi.org/10.1016/j.hemonc.2023.03.005</w:t>
        </w:r>
      </w:hyperlink>
    </w:p>
    <w:p w14:paraId="36E3D50F" w14:textId="77777777" w:rsidR="00047E5F" w:rsidRDefault="00047E5F" w:rsidP="00047E5F">
      <w:pPr>
        <w:spacing w:line="360" w:lineRule="auto"/>
        <w:jc w:val="both"/>
        <w:rPr>
          <w:rFonts w:ascii="Times New Roman" w:hAnsi="Times New Roman" w:cs="Times New Roman"/>
        </w:rPr>
      </w:pPr>
    </w:p>
    <w:p w14:paraId="5D716DD9" w14:textId="77777777" w:rsidR="00117284" w:rsidRDefault="00117284"/>
    <w:sectPr w:rsidR="00117284" w:rsidSect="00BA4C2F">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B276B" w14:textId="77777777" w:rsidR="006F6895" w:rsidRDefault="006F6895">
      <w:pPr>
        <w:spacing w:after="0" w:line="240" w:lineRule="auto"/>
      </w:pPr>
      <w:r>
        <w:separator/>
      </w:r>
    </w:p>
  </w:endnote>
  <w:endnote w:type="continuationSeparator" w:id="0">
    <w:p w14:paraId="51DB3A60" w14:textId="77777777" w:rsidR="006F6895" w:rsidRDefault="006F6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4B0B2"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CDC05"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F4792"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73653" w14:textId="77777777" w:rsidR="006F6895" w:rsidRDefault="006F6895">
      <w:pPr>
        <w:spacing w:after="0" w:line="240" w:lineRule="auto"/>
      </w:pPr>
      <w:r>
        <w:separator/>
      </w:r>
    </w:p>
  </w:footnote>
  <w:footnote w:type="continuationSeparator" w:id="0">
    <w:p w14:paraId="2CE66A7D" w14:textId="77777777" w:rsidR="006F6895" w:rsidRDefault="006F6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CE389" w14:textId="77777777" w:rsidR="00000000" w:rsidRDefault="00000000">
    <w:pPr>
      <w:pStyle w:val="Header"/>
    </w:pPr>
    <w:r>
      <w:rPr>
        <w:noProof/>
      </w:rPr>
      <w:pict w14:anchorId="6C090C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769547" o:spid="_x0000_s1026" type="#_x0000_t136" style="position:absolute;margin-left:0;margin-top:0;width:555.6pt;height:104.1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55FB0" w14:textId="77777777" w:rsidR="00000000" w:rsidRDefault="00000000">
    <w:pPr>
      <w:pStyle w:val="Header"/>
    </w:pPr>
    <w:r>
      <w:rPr>
        <w:noProof/>
      </w:rPr>
      <w:pict w14:anchorId="32292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769548" o:spid="_x0000_s1027" type="#_x0000_t136" style="position:absolute;margin-left:0;margin-top:0;width:555.6pt;height:104.1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BED23" w14:textId="77777777" w:rsidR="00000000" w:rsidRDefault="00000000">
    <w:pPr>
      <w:pStyle w:val="Header"/>
    </w:pPr>
    <w:r>
      <w:rPr>
        <w:noProof/>
      </w:rPr>
      <w:pict w14:anchorId="6F04F0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769546" o:spid="_x0000_s1025"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FCC99B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multilevel"/>
    <w:tmpl w:val="F23A506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33DE371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F486E36"/>
    <w:multiLevelType w:val="hybridMultilevel"/>
    <w:tmpl w:val="D9423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B7528E"/>
    <w:multiLevelType w:val="multilevel"/>
    <w:tmpl w:val="BC2C8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5683026">
    <w:abstractNumId w:val="1"/>
  </w:num>
  <w:num w:numId="2" w16cid:durableId="1246301782">
    <w:abstractNumId w:val="0"/>
  </w:num>
  <w:num w:numId="3" w16cid:durableId="889616172">
    <w:abstractNumId w:val="2"/>
  </w:num>
  <w:num w:numId="4" w16cid:durableId="1531333446">
    <w:abstractNumId w:val="3"/>
  </w:num>
  <w:num w:numId="5" w16cid:durableId="1337075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7E5F"/>
    <w:rsid w:val="0003469F"/>
    <w:rsid w:val="00047E5F"/>
    <w:rsid w:val="00117284"/>
    <w:rsid w:val="00255F4F"/>
    <w:rsid w:val="003D3F8F"/>
    <w:rsid w:val="00462B10"/>
    <w:rsid w:val="006F6895"/>
    <w:rsid w:val="009650FC"/>
    <w:rsid w:val="009A2B7B"/>
    <w:rsid w:val="00C1077B"/>
    <w:rsid w:val="00FD1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A7946"/>
  <w15:docId w15:val="{A0A6228A-0F39-46C0-8526-BFDB58BD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E5F"/>
    <w:rPr>
      <w:rFonts w:ascii="Calibri" w:eastAsia="Calibri" w:hAnsi="Calibri" w:cs="SimSun"/>
    </w:rPr>
  </w:style>
  <w:style w:type="paragraph" w:styleId="Heading3">
    <w:name w:val="heading 3"/>
    <w:basedOn w:val="Normal"/>
    <w:link w:val="Heading3Char"/>
    <w:uiPriority w:val="9"/>
    <w:qFormat/>
    <w:rsid w:val="00047E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qFormat/>
    <w:rsid w:val="00047E5F"/>
    <w:pPr>
      <w:keepNext/>
      <w:keepLines/>
      <w:spacing w:before="200" w:after="0"/>
      <w:outlineLvl w:val="3"/>
    </w:pPr>
    <w:rPr>
      <w:rFonts w:ascii="Cambria" w:eastAsia="SimSun" w:hAnsi="Cambria"/>
      <w:b/>
      <w:bCs/>
      <w:i/>
      <w:iCs/>
      <w:color w:val="4F81BD"/>
    </w:rPr>
  </w:style>
  <w:style w:type="paragraph" w:styleId="Heading5">
    <w:name w:val="heading 5"/>
    <w:basedOn w:val="Normal"/>
    <w:next w:val="Normal"/>
    <w:link w:val="Heading5Char"/>
    <w:uiPriority w:val="9"/>
    <w:qFormat/>
    <w:rsid w:val="00047E5F"/>
    <w:pPr>
      <w:keepNext/>
      <w:keepLines/>
      <w:spacing w:before="200" w:after="0"/>
      <w:outlineLvl w:val="4"/>
    </w:pPr>
    <w:rPr>
      <w:rFonts w:ascii="Cambria" w:eastAsia="SimSu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47E5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47E5F"/>
    <w:rPr>
      <w:rFonts w:ascii="Cambria" w:eastAsia="SimSun" w:hAnsi="Cambria" w:cs="SimSun"/>
      <w:b/>
      <w:bCs/>
      <w:i/>
      <w:iCs/>
      <w:color w:val="4F81BD"/>
    </w:rPr>
  </w:style>
  <w:style w:type="character" w:customStyle="1" w:styleId="Heading5Char">
    <w:name w:val="Heading 5 Char"/>
    <w:basedOn w:val="DefaultParagraphFont"/>
    <w:link w:val="Heading5"/>
    <w:uiPriority w:val="9"/>
    <w:rsid w:val="00047E5F"/>
    <w:rPr>
      <w:rFonts w:ascii="Cambria" w:eastAsia="SimSun" w:hAnsi="Cambria" w:cs="SimSun"/>
      <w:color w:val="243F60"/>
    </w:rPr>
  </w:style>
  <w:style w:type="character" w:styleId="Strong">
    <w:name w:val="Strong"/>
    <w:basedOn w:val="DefaultParagraphFont"/>
    <w:uiPriority w:val="22"/>
    <w:qFormat/>
    <w:rsid w:val="00047E5F"/>
    <w:rPr>
      <w:b/>
      <w:bCs/>
    </w:rPr>
  </w:style>
  <w:style w:type="character" w:styleId="Hyperlink">
    <w:name w:val="Hyperlink"/>
    <w:basedOn w:val="DefaultParagraphFont"/>
    <w:rsid w:val="00047E5F"/>
    <w:rPr>
      <w:color w:val="0000FF"/>
      <w:u w:val="single"/>
    </w:rPr>
  </w:style>
  <w:style w:type="table" w:customStyle="1" w:styleId="TableGrid11">
    <w:name w:val="Table Grid11"/>
    <w:basedOn w:val="TableNormal"/>
    <w:uiPriority w:val="39"/>
    <w:rsid w:val="00047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7E5F"/>
    <w:pPr>
      <w:ind w:left="720"/>
      <w:contextualSpacing/>
    </w:pPr>
  </w:style>
  <w:style w:type="paragraph" w:styleId="Header">
    <w:name w:val="header"/>
    <w:basedOn w:val="Normal"/>
    <w:link w:val="HeaderChar"/>
    <w:uiPriority w:val="99"/>
    <w:unhideWhenUsed/>
    <w:rsid w:val="00047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E5F"/>
    <w:rPr>
      <w:rFonts w:ascii="Calibri" w:eastAsia="Calibri" w:hAnsi="Calibri" w:cs="SimSun"/>
    </w:rPr>
  </w:style>
  <w:style w:type="paragraph" w:styleId="Footer">
    <w:name w:val="footer"/>
    <w:basedOn w:val="Normal"/>
    <w:link w:val="FooterChar"/>
    <w:uiPriority w:val="99"/>
    <w:unhideWhenUsed/>
    <w:rsid w:val="00047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E5F"/>
    <w:rPr>
      <w:rFonts w:ascii="Calibri" w:eastAsia="Calibri" w:hAnsi="Calibri" w:cs="SimSun"/>
    </w:rPr>
  </w:style>
  <w:style w:type="paragraph" w:styleId="NormalWeb">
    <w:name w:val="Normal (Web)"/>
    <w:basedOn w:val="Normal"/>
    <w:uiPriority w:val="99"/>
    <w:semiHidden/>
    <w:unhideWhenUsed/>
    <w:rsid w:val="003D3F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107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919907">
      <w:bodyDiv w:val="1"/>
      <w:marLeft w:val="0"/>
      <w:marRight w:val="0"/>
      <w:marTop w:val="0"/>
      <w:marBottom w:val="0"/>
      <w:divBdr>
        <w:top w:val="none" w:sz="0" w:space="0" w:color="auto"/>
        <w:left w:val="none" w:sz="0" w:space="0" w:color="auto"/>
        <w:bottom w:val="none" w:sz="0" w:space="0" w:color="auto"/>
        <w:right w:val="none" w:sz="0" w:space="0" w:color="auto"/>
      </w:divBdr>
    </w:div>
    <w:div w:id="1295868818">
      <w:bodyDiv w:val="1"/>
      <w:marLeft w:val="0"/>
      <w:marRight w:val="0"/>
      <w:marTop w:val="0"/>
      <w:marBottom w:val="0"/>
      <w:divBdr>
        <w:top w:val="none" w:sz="0" w:space="0" w:color="auto"/>
        <w:left w:val="none" w:sz="0" w:space="0" w:color="auto"/>
        <w:bottom w:val="none" w:sz="0" w:space="0" w:color="auto"/>
        <w:right w:val="none" w:sz="0" w:space="0" w:color="auto"/>
      </w:divBdr>
    </w:div>
    <w:div w:id="1310287660">
      <w:bodyDiv w:val="1"/>
      <w:marLeft w:val="0"/>
      <w:marRight w:val="0"/>
      <w:marTop w:val="0"/>
      <w:marBottom w:val="0"/>
      <w:divBdr>
        <w:top w:val="none" w:sz="0" w:space="0" w:color="auto"/>
        <w:left w:val="none" w:sz="0" w:space="0" w:color="auto"/>
        <w:bottom w:val="none" w:sz="0" w:space="0" w:color="auto"/>
        <w:right w:val="none" w:sz="0" w:space="0" w:color="auto"/>
      </w:divBdr>
    </w:div>
    <w:div w:id="2092047525">
      <w:bodyDiv w:val="1"/>
      <w:marLeft w:val="0"/>
      <w:marRight w:val="0"/>
      <w:marTop w:val="0"/>
      <w:marBottom w:val="0"/>
      <w:divBdr>
        <w:top w:val="none" w:sz="0" w:space="0" w:color="auto"/>
        <w:left w:val="none" w:sz="0" w:space="0" w:color="auto"/>
        <w:bottom w:val="none" w:sz="0" w:space="0" w:color="auto"/>
        <w:right w:val="none" w:sz="0" w:space="0" w:color="auto"/>
      </w:divBdr>
    </w:div>
    <w:div w:id="2111506366">
      <w:bodyDiv w:val="1"/>
      <w:marLeft w:val="0"/>
      <w:marRight w:val="0"/>
      <w:marTop w:val="0"/>
      <w:marBottom w:val="0"/>
      <w:divBdr>
        <w:top w:val="none" w:sz="0" w:space="0" w:color="auto"/>
        <w:left w:val="none" w:sz="0" w:space="0" w:color="auto"/>
        <w:bottom w:val="none" w:sz="0" w:space="0" w:color="auto"/>
        <w:right w:val="none" w:sz="0" w:space="0" w:color="auto"/>
      </w:divBdr>
      <w:divsChild>
        <w:div w:id="864632776">
          <w:marLeft w:val="0"/>
          <w:marRight w:val="0"/>
          <w:marTop w:val="0"/>
          <w:marBottom w:val="0"/>
          <w:divBdr>
            <w:top w:val="none" w:sz="0" w:space="0" w:color="auto"/>
            <w:left w:val="none" w:sz="0" w:space="0" w:color="auto"/>
            <w:bottom w:val="none" w:sz="0" w:space="0" w:color="auto"/>
            <w:right w:val="none" w:sz="0" w:space="0" w:color="auto"/>
          </w:divBdr>
          <w:divsChild>
            <w:div w:id="1409573276">
              <w:marLeft w:val="0"/>
              <w:marRight w:val="0"/>
              <w:marTop w:val="0"/>
              <w:marBottom w:val="0"/>
              <w:divBdr>
                <w:top w:val="none" w:sz="0" w:space="0" w:color="auto"/>
                <w:left w:val="none" w:sz="0" w:space="0" w:color="auto"/>
                <w:bottom w:val="none" w:sz="0" w:space="0" w:color="auto"/>
                <w:right w:val="none" w:sz="0" w:space="0" w:color="auto"/>
              </w:divBdr>
            </w:div>
          </w:divsChild>
        </w:div>
        <w:div w:id="1094739862">
          <w:marLeft w:val="0"/>
          <w:marRight w:val="0"/>
          <w:marTop w:val="0"/>
          <w:marBottom w:val="0"/>
          <w:divBdr>
            <w:top w:val="none" w:sz="0" w:space="0" w:color="auto"/>
            <w:left w:val="none" w:sz="0" w:space="0" w:color="auto"/>
            <w:bottom w:val="none" w:sz="0" w:space="0" w:color="auto"/>
            <w:right w:val="none" w:sz="0" w:space="0" w:color="auto"/>
          </w:divBdr>
          <w:divsChild>
            <w:div w:id="27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jth.14768" TargetMode="External"/><Relationship Id="rId18" Type="http://schemas.openxmlformats.org/officeDocument/2006/relationships/hyperlink" Target="https://doi.org/10.1016/j.ijid.2009.05.011" TargetMode="External"/><Relationship Id="rId26" Type="http://schemas.openxmlformats.org/officeDocument/2006/relationships/hyperlink" Target="https://doi.org/10.1016/j.hemonc.2022.08.007" TargetMode="External"/><Relationship Id="rId39" Type="http://schemas.openxmlformats.org/officeDocument/2006/relationships/footer" Target="footer3.xml"/><Relationship Id="rId21" Type="http://schemas.openxmlformats.org/officeDocument/2006/relationships/hyperlink" Target="https://doi.org/10.4103/njcp.njcp_182_22" TargetMode="External"/><Relationship Id="rId34" Type="http://schemas.openxmlformats.org/officeDocument/2006/relationships/header" Target="header1.xml"/><Relationship Id="rId7" Type="http://schemas.openxmlformats.org/officeDocument/2006/relationships/hyperlink" Target="https://doi.org/10.1016/S0140-6736(10)61029-X" TargetMode="External"/><Relationship Id="rId2" Type="http://schemas.openxmlformats.org/officeDocument/2006/relationships/styles" Target="styles.xml"/><Relationship Id="rId16" Type="http://schemas.openxmlformats.org/officeDocument/2006/relationships/hyperlink" Target="https://doi.org/10.1182/bloodadvances.2020003270" TargetMode="External"/><Relationship Id="rId20" Type="http://schemas.openxmlformats.org/officeDocument/2006/relationships/hyperlink" Target="https://doi.org/10.1016/j.hemonc.2022.07.005" TargetMode="External"/><Relationship Id="rId29" Type="http://schemas.openxmlformats.org/officeDocument/2006/relationships/hyperlink" Target="https://doi.org/10.1056/NEJMoa2114583"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2/blood-2016-10-691631" TargetMode="External"/><Relationship Id="rId24" Type="http://schemas.openxmlformats.org/officeDocument/2006/relationships/hyperlink" Target="https://doi.org/10.1016/j.hemonc.2023.01.004" TargetMode="External"/><Relationship Id="rId32" Type="http://schemas.openxmlformats.org/officeDocument/2006/relationships/hyperlink" Target="https://doi.org/10.2174/0929867053764635"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38/nrdp.2018.10" TargetMode="External"/><Relationship Id="rId23" Type="http://schemas.openxmlformats.org/officeDocument/2006/relationships/hyperlink" Target="https://doi.org/10.1016/j.thromres.2020.05.039" TargetMode="External"/><Relationship Id="rId28" Type="http://schemas.openxmlformats.org/officeDocument/2006/relationships/hyperlink" Target="https://doi.org/10.1038/s41591-020-0965-6" TargetMode="External"/><Relationship Id="rId36" Type="http://schemas.openxmlformats.org/officeDocument/2006/relationships/footer" Target="footer1.xml"/><Relationship Id="rId10" Type="http://schemas.openxmlformats.org/officeDocument/2006/relationships/hyperlink" Target="https://doi.org/10.1016/S0140-6736(12)61229-X" TargetMode="External"/><Relationship Id="rId19" Type="http://schemas.openxmlformats.org/officeDocument/2006/relationships/hyperlink" Target="https://doi.org/10.1182/blood-2009-07-233700" TargetMode="External"/><Relationship Id="rId31" Type="http://schemas.openxmlformats.org/officeDocument/2006/relationships/hyperlink" Target="https://doi.org/10.4103/njcp.njcp_200_22" TargetMode="External"/><Relationship Id="rId4" Type="http://schemas.openxmlformats.org/officeDocument/2006/relationships/webSettings" Target="webSettings.xml"/><Relationship Id="rId9" Type="http://schemas.openxmlformats.org/officeDocument/2006/relationships/hyperlink" Target="https://doi.org/10.1111/j.1749-6632.1989.tb21044.x" TargetMode="External"/><Relationship Id="rId14" Type="http://schemas.openxmlformats.org/officeDocument/2006/relationships/hyperlink" Target="https://doi.org/10.1016/S2352-3026(20)30145-9" TargetMode="External"/><Relationship Id="rId22" Type="http://schemas.openxmlformats.org/officeDocument/2006/relationships/hyperlink" Target="https://doi.org/10.1002/ajh.21412" TargetMode="External"/><Relationship Id="rId27" Type="http://schemas.openxmlformats.org/officeDocument/2006/relationships/hyperlink" Target="https://doi.org/10.1016/j.ijid.2009.05.011" TargetMode="External"/><Relationship Id="rId30" Type="http://schemas.openxmlformats.org/officeDocument/2006/relationships/hyperlink" Target="https://doi.org/10.1016/S0140-6736(20)30566-3" TargetMode="External"/><Relationship Id="rId35" Type="http://schemas.openxmlformats.org/officeDocument/2006/relationships/header" Target="header2.xml"/><Relationship Id="rId8" Type="http://schemas.openxmlformats.org/officeDocument/2006/relationships/hyperlink" Target="https://doi.org/10.1016/S0140-6736(97)07318-5" TargetMode="External"/><Relationship Id="rId3" Type="http://schemas.openxmlformats.org/officeDocument/2006/relationships/settings" Target="settings.xml"/><Relationship Id="rId12" Type="http://schemas.openxmlformats.org/officeDocument/2006/relationships/hyperlink" Target="https://doi.org/10.1016/j.ijid.2009.05.011" TargetMode="External"/><Relationship Id="rId17" Type="http://schemas.openxmlformats.org/officeDocument/2006/relationships/hyperlink" Target="https://doi.org/10.1038/s41591-020-0897-1" TargetMode="External"/><Relationship Id="rId25" Type="http://schemas.openxmlformats.org/officeDocument/2006/relationships/hyperlink" Target="https://doi.org/10.1038/s41591-020-0965-6" TargetMode="External"/><Relationship Id="rId33" Type="http://schemas.openxmlformats.org/officeDocument/2006/relationships/hyperlink" Target="https://doi.org/10.1016/j.hemonc.2023.03.005"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19</Pages>
  <Words>3544</Words>
  <Characters>20201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Daud Marhils</dc:creator>
  <cp:lastModifiedBy>Editor-90</cp:lastModifiedBy>
  <cp:revision>12</cp:revision>
  <dcterms:created xsi:type="dcterms:W3CDTF">2025-05-22T08:23:00Z</dcterms:created>
  <dcterms:modified xsi:type="dcterms:W3CDTF">2025-05-22T11:19:00Z</dcterms:modified>
</cp:coreProperties>
</file>