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827B5" w14:textId="398291E7" w:rsidR="005D777B" w:rsidRDefault="005D777B" w:rsidP="005D777B">
      <w:pPr>
        <w:spacing w:line="360" w:lineRule="auto"/>
        <w:jc w:val="right"/>
        <w:rPr>
          <w:rFonts w:ascii="Arial" w:hAnsi="Arial" w:cs="Arial"/>
          <w:b/>
          <w:bCs/>
          <w:sz w:val="36"/>
          <w:szCs w:val="36"/>
        </w:rPr>
      </w:pPr>
      <w:r w:rsidRPr="005D777B">
        <w:rPr>
          <w:rFonts w:ascii="Arial" w:hAnsi="Arial" w:cs="Arial"/>
          <w:b/>
          <w:bCs/>
          <w:sz w:val="36"/>
          <w:szCs w:val="36"/>
        </w:rPr>
        <w:t>Glycemic control strategies and management of acute complications in children with type 1 diabetes: a systematic review</w:t>
      </w:r>
    </w:p>
    <w:p w14:paraId="29236F6F" w14:textId="25A8A1E9" w:rsidR="005D777B" w:rsidRPr="00C3608E" w:rsidRDefault="005D777B" w:rsidP="005D777B">
      <w:pPr>
        <w:spacing w:line="360" w:lineRule="auto"/>
        <w:jc w:val="both"/>
        <w:rPr>
          <w:rFonts w:ascii="Arial" w:hAnsi="Arial" w:cs="Arial"/>
        </w:rPr>
      </w:pPr>
      <w:r w:rsidRPr="00C3608E">
        <w:rPr>
          <w:rFonts w:ascii="Arial" w:hAnsi="Arial" w:cs="Arial"/>
          <w:b/>
          <w:bCs/>
        </w:rPr>
        <w:t>ABSTRACT</w:t>
      </w:r>
    </w:p>
    <w:p w14:paraId="366F2678" w14:textId="77777777" w:rsidR="005D777B" w:rsidRP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 xml:space="preserve">Aims: </w:t>
      </w:r>
      <w:r w:rsidRPr="005D777B">
        <w:rPr>
          <w:rFonts w:ascii="Arial" w:hAnsi="Arial" w:cs="Arial"/>
          <w:sz w:val="20"/>
          <w:szCs w:val="20"/>
        </w:rPr>
        <w:t>This review aims to identify and analyze the main strategies for glycemic control and the management of acute complications in children with type 1 diabetes (T1D), focusing on the effectiveness of technologies, nutritional interventions, and structured education.</w:t>
      </w:r>
    </w:p>
    <w:p w14:paraId="61239652" w14:textId="77777777" w:rsidR="005D777B" w:rsidRP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 xml:space="preserve">Study Design: </w:t>
      </w:r>
      <w:r w:rsidRPr="005D777B">
        <w:rPr>
          <w:rFonts w:ascii="Arial" w:hAnsi="Arial" w:cs="Arial"/>
          <w:sz w:val="20"/>
          <w:szCs w:val="20"/>
        </w:rPr>
        <w:t>Systematic literature review.</w:t>
      </w:r>
    </w:p>
    <w:p w14:paraId="2D4AA1A1" w14:textId="77777777" w:rsidR="005D777B" w:rsidRP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 xml:space="preserve">Place and Duration of Study: </w:t>
      </w:r>
      <w:r w:rsidRPr="005D777B">
        <w:rPr>
          <w:rFonts w:ascii="Arial" w:hAnsi="Arial" w:cs="Arial"/>
          <w:sz w:val="20"/>
          <w:szCs w:val="20"/>
        </w:rPr>
        <w:t>Database searches (PubMed, SciELO, LILACS, BVS, and MEDLINE) were conducted between March and April 2025.</w:t>
      </w:r>
    </w:p>
    <w:p w14:paraId="23276F2A" w14:textId="77777777" w:rsidR="005D777B" w:rsidRP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 xml:space="preserve">Methodology: </w:t>
      </w:r>
      <w:r w:rsidRPr="005D777B">
        <w:rPr>
          <w:rFonts w:ascii="Arial" w:hAnsi="Arial" w:cs="Arial"/>
          <w:sz w:val="20"/>
          <w:szCs w:val="20"/>
        </w:rPr>
        <w:t>Studies published in the last 10 years were selected according to inclusion criteria targeting children with T1D. Articles addressing glycemic control (e.g., insulin therapy, continuous glucose monitoring, closed-loop systems), nutritional therapy, diabetes education, and management of acute complications (hypoglycemia and diabetic ketoacidosis) were analyzed. Data extraction was performed independently by two reviewers and thematically organized.</w:t>
      </w:r>
    </w:p>
    <w:p w14:paraId="3AE05149" w14:textId="77777777" w:rsidR="005D777B" w:rsidRP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 xml:space="preserve">Results: </w:t>
      </w:r>
      <w:r w:rsidRPr="005D777B">
        <w:rPr>
          <w:rFonts w:ascii="Arial" w:hAnsi="Arial" w:cs="Arial"/>
          <w:sz w:val="20"/>
          <w:szCs w:val="20"/>
        </w:rPr>
        <w:t>The findings revealed that insulin pumps and continuous glucose monitoring significantly improve glycemic control compared to multiple daily injections. Nutritional therapy with a low glycemic index and structured educational programs enhance adherence and metabolic outcomes. Acute complications such as severe hypoglycemia and diabetic ketoacidosis remain leading causes of hospitalization, especially in settings with limited access to technology. Differences between public and private healthcare systems affect outcomes, and multidisciplinary education is crucial in both hospital and home care.</w:t>
      </w:r>
    </w:p>
    <w:p w14:paraId="4A9B2BBF" w14:textId="77777777" w:rsidR="005D777B" w:rsidRP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 xml:space="preserve">Conclusion: </w:t>
      </w:r>
      <w:r w:rsidRPr="005D777B">
        <w:rPr>
          <w:rFonts w:ascii="Arial" w:hAnsi="Arial" w:cs="Arial"/>
          <w:sz w:val="20"/>
          <w:szCs w:val="20"/>
        </w:rPr>
        <w:t>Glycemic control in children with T1D is more effective when technology, nutrition, and education are integrated. However, disparities in access to care and technologies persist. Healthcare professionals should adopt a comprehensive, individualized approach, and policymakers must ensure equitable access to effective interventions across healthcare systems.</w:t>
      </w:r>
    </w:p>
    <w:p w14:paraId="3DEA0A24" w14:textId="77777777" w:rsidR="005D777B" w:rsidRP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 xml:space="preserve">Keywords: </w:t>
      </w:r>
      <w:r w:rsidRPr="005D777B">
        <w:rPr>
          <w:rFonts w:ascii="Arial" w:hAnsi="Arial" w:cs="Arial"/>
          <w:sz w:val="20"/>
          <w:szCs w:val="20"/>
        </w:rPr>
        <w:t>Type 1 Diabetes, Glycemic Control, Pediatric Diabetes, Diabetic Ketoacidosis, Hypoglycemia, Insulin Pump, Continuous Glucose Monitoring, Diabetes Education.</w:t>
      </w:r>
    </w:p>
    <w:p w14:paraId="650ADC50" w14:textId="77777777" w:rsidR="005D777B" w:rsidRPr="000A75B0" w:rsidRDefault="005D777B" w:rsidP="005D777B">
      <w:pPr>
        <w:spacing w:line="360" w:lineRule="auto"/>
        <w:jc w:val="both"/>
        <w:rPr>
          <w:rFonts w:ascii="Arial" w:hAnsi="Arial" w:cs="Arial"/>
        </w:rPr>
      </w:pPr>
      <w:r w:rsidRPr="000A75B0">
        <w:rPr>
          <w:rFonts w:ascii="Arial" w:hAnsi="Arial" w:cs="Arial"/>
          <w:b/>
          <w:bCs/>
        </w:rPr>
        <w:t>INTRODUCTION</w:t>
      </w:r>
    </w:p>
    <w:p w14:paraId="10A0C522"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 xml:space="preserve">Type 1 diabetes mellitus (T1D) is one of the most prevalent chronic diseases in childhood, with a continuous increase in incidence observed across various regions of the world. Global estimates indicate an average incidence rate of 14.07 per 100,000 person-years among children and adolescents under 20 years old, with wide geographic variation. While Finland reports an </w:t>
      </w:r>
      <w:r w:rsidRPr="005D777B">
        <w:rPr>
          <w:rFonts w:ascii="Arial" w:hAnsi="Arial" w:cs="Arial"/>
          <w:sz w:val="20"/>
          <w:szCs w:val="20"/>
        </w:rPr>
        <w:lastRenderedPageBreak/>
        <w:t>incidence of 56.81 per 100,000, regions in Sub-Saharan Africa show rates below 2 per 100,000 (1). In the United States, T1D accounts for approximately 98% of diabetes cases in children under the age of 10 (2). The clinical relevance of the disease lies in the potential for both acute complications, such as severe hypoglycemia and diabetic ketoacidosis (DKA), and chronic complications, which negatively affect patients’ quality and life expectancy.</w:t>
      </w:r>
    </w:p>
    <w:p w14:paraId="02B76EF7"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The COVID-19 pandemic has also contributed to an increase in the incidence of T1D and DKA episodes in children, suggesting a possible direct or indirect relationship between viral infection and the onset of the disease (3). According to the SEARCH study, in 2009, approximately 167,000 youths in the United States were living with T1D, with an annual incidence of 22 per 100,000 among those under 20 years old (2).</w:t>
      </w:r>
    </w:p>
    <w:p w14:paraId="5228A364"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Glycemic control in children with T1D presents specific challenges, related to neuropsychomotor development, variability in eating behaviors, and dependence on caregivers. A study by Rankin et al. showed that parents face difficulties in maintaining adequate glycemic levels, especially in contexts such as school or activities outside the home, where there is less control over diet and physical activity, along with a recurrent fear of hypoglycemia (4). In a study conducted in Sudan, only 6.2% of children with T1D achieved adequate glycemic control. Contributing factors included lower frequency of self-monitoring, older age, and the presence of family dysfunction (5). These findings highlight the need for continuous educational interventions and psychosocial support to improve disease management.</w:t>
      </w:r>
    </w:p>
    <w:p w14:paraId="7C110CDE"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Acute complications such as hypoglycemia and DKA are common and represent major causes of hospitalization and mortality in children with T1D. Severe hypoglycemia can lead to seizures, loss of consciousness, and long-term neurological impairment. DKA, in turn, is a medical emergency characterized by hyperglycemia, ketonemia, and metabolic acidosis, accounting for a significant portion of pediatric hospitalizations (6). Beyond immediate risks, studies have shown that such events are associated with cognitive impairments, including reductions in intelligence quotient (IQ), psychomotor slowing, and deficits in executive function (7). Neuroimaging evidence further indicates that DKA episodes in childhood may cause structural changes in the brain’s white matter and a reduction in brain volume, affecting neurocognitive development (8).</w:t>
      </w:r>
    </w:p>
    <w:p w14:paraId="352793D0"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Therefore, prioritizing glycemic control and early management of these complications in clinical protocols and educational strategies is essential. Training caregivers, teachers, and healthcare professionals to recognize early signs of decompensation and properly apply therapeutic interventions can significantly reduce morbidity and mortality (9).</w:t>
      </w:r>
    </w:p>
    <w:p w14:paraId="4A5E7372"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In this context, the objective of this systematic review is to analyze evidence published over the past 10 years in the PubMed, SciELO, LILACS, BVS, and MEDLINE databases, regarding the approaches used for glycemic control and the management of acute complications in children with T1D. The aim is to identify effective, safe, and clinically applicable interventions that contribute to improving care and promoting quality of life in this population.</w:t>
      </w:r>
    </w:p>
    <w:p w14:paraId="7ECC76F4" w14:textId="77777777" w:rsidR="005D777B" w:rsidRPr="000A75B0" w:rsidRDefault="005D777B" w:rsidP="005D777B">
      <w:pPr>
        <w:spacing w:line="360" w:lineRule="auto"/>
        <w:jc w:val="both"/>
        <w:rPr>
          <w:rFonts w:ascii="Arial" w:hAnsi="Arial" w:cs="Arial"/>
        </w:rPr>
      </w:pPr>
      <w:r w:rsidRPr="000A75B0">
        <w:rPr>
          <w:rFonts w:ascii="Arial" w:hAnsi="Arial" w:cs="Arial"/>
          <w:b/>
          <w:bCs/>
        </w:rPr>
        <w:t>METHODOLOGY</w:t>
      </w:r>
    </w:p>
    <w:p w14:paraId="28A2DEBD"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lastRenderedPageBreak/>
        <w:t>This is a systematic literature review aimed at identifying the main strategies for glycemic control and the management of acute complications in children with type 1 diabetes mellitus (T1D). The search was conducted between March and April 2025, using the following databases: PubMed, SciELO, LILACS, BVS, and MEDLINE. These databases were selected due to their relevance in the health sciences field and their broad coverage of national and international publications.</w:t>
      </w:r>
    </w:p>
    <w:p w14:paraId="0B47CDB5"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 xml:space="preserve">Controlled descriptors from the MeSH and DeCS vocabularies were used: </w:t>
      </w:r>
      <w:r w:rsidRPr="005D777B">
        <w:rPr>
          <w:rFonts w:ascii="Arial" w:hAnsi="Arial" w:cs="Arial"/>
          <w:i/>
          <w:iCs/>
          <w:sz w:val="20"/>
          <w:szCs w:val="20"/>
        </w:rPr>
        <w:t>"Diabetes Mellitus, Type 1"</w:t>
      </w:r>
      <w:r w:rsidRPr="005D777B">
        <w:rPr>
          <w:rFonts w:ascii="Arial" w:hAnsi="Arial" w:cs="Arial"/>
          <w:sz w:val="20"/>
          <w:szCs w:val="20"/>
        </w:rPr>
        <w:t xml:space="preserve">, </w:t>
      </w:r>
      <w:r w:rsidRPr="005D777B">
        <w:rPr>
          <w:rFonts w:ascii="Arial" w:hAnsi="Arial" w:cs="Arial"/>
          <w:i/>
          <w:iCs/>
          <w:sz w:val="20"/>
          <w:szCs w:val="20"/>
        </w:rPr>
        <w:t>"Child"</w:t>
      </w:r>
      <w:r w:rsidRPr="005D777B">
        <w:rPr>
          <w:rFonts w:ascii="Arial" w:hAnsi="Arial" w:cs="Arial"/>
          <w:sz w:val="20"/>
          <w:szCs w:val="20"/>
        </w:rPr>
        <w:t xml:space="preserve">, </w:t>
      </w:r>
      <w:r w:rsidRPr="005D777B">
        <w:rPr>
          <w:rFonts w:ascii="Arial" w:hAnsi="Arial" w:cs="Arial"/>
          <w:i/>
          <w:iCs/>
          <w:sz w:val="20"/>
          <w:szCs w:val="20"/>
        </w:rPr>
        <w:t>"Blood Glucose"</w:t>
      </w:r>
      <w:r w:rsidRPr="005D777B">
        <w:rPr>
          <w:rFonts w:ascii="Arial" w:hAnsi="Arial" w:cs="Arial"/>
          <w:sz w:val="20"/>
          <w:szCs w:val="20"/>
        </w:rPr>
        <w:t xml:space="preserve">, </w:t>
      </w:r>
      <w:r w:rsidRPr="005D777B">
        <w:rPr>
          <w:rFonts w:ascii="Arial" w:hAnsi="Arial" w:cs="Arial"/>
          <w:i/>
          <w:iCs/>
          <w:sz w:val="20"/>
          <w:szCs w:val="20"/>
        </w:rPr>
        <w:t>"Hypoglycemia"</w:t>
      </w:r>
      <w:r w:rsidRPr="005D777B">
        <w:rPr>
          <w:rFonts w:ascii="Arial" w:hAnsi="Arial" w:cs="Arial"/>
          <w:sz w:val="20"/>
          <w:szCs w:val="20"/>
        </w:rPr>
        <w:t xml:space="preserve">, </w:t>
      </w:r>
      <w:r w:rsidRPr="005D777B">
        <w:rPr>
          <w:rFonts w:ascii="Arial" w:hAnsi="Arial" w:cs="Arial"/>
          <w:i/>
          <w:iCs/>
          <w:sz w:val="20"/>
          <w:szCs w:val="20"/>
        </w:rPr>
        <w:t>"Diabetic Ketoacidosis"</w:t>
      </w:r>
      <w:r w:rsidRPr="005D777B">
        <w:rPr>
          <w:rFonts w:ascii="Arial" w:hAnsi="Arial" w:cs="Arial"/>
          <w:sz w:val="20"/>
          <w:szCs w:val="20"/>
        </w:rPr>
        <w:t xml:space="preserve">, </w:t>
      </w:r>
      <w:r w:rsidRPr="005D777B">
        <w:rPr>
          <w:rFonts w:ascii="Arial" w:hAnsi="Arial" w:cs="Arial"/>
          <w:i/>
          <w:iCs/>
          <w:sz w:val="20"/>
          <w:szCs w:val="20"/>
        </w:rPr>
        <w:t>"Emergencies"</w:t>
      </w:r>
      <w:r w:rsidRPr="005D777B">
        <w:rPr>
          <w:rFonts w:ascii="Arial" w:hAnsi="Arial" w:cs="Arial"/>
          <w:sz w:val="20"/>
          <w:szCs w:val="20"/>
        </w:rPr>
        <w:t xml:space="preserve">, </w:t>
      </w:r>
      <w:r w:rsidRPr="005D777B">
        <w:rPr>
          <w:rFonts w:ascii="Arial" w:hAnsi="Arial" w:cs="Arial"/>
          <w:i/>
          <w:iCs/>
          <w:sz w:val="20"/>
          <w:szCs w:val="20"/>
        </w:rPr>
        <w:t>"Glycemic Control"</w:t>
      </w:r>
      <w:r w:rsidRPr="005D777B">
        <w:rPr>
          <w:rFonts w:ascii="Arial" w:hAnsi="Arial" w:cs="Arial"/>
          <w:sz w:val="20"/>
          <w:szCs w:val="20"/>
        </w:rPr>
        <w:t xml:space="preserve">, </w:t>
      </w:r>
      <w:r w:rsidRPr="005D777B">
        <w:rPr>
          <w:rFonts w:ascii="Arial" w:hAnsi="Arial" w:cs="Arial"/>
          <w:i/>
          <w:iCs/>
          <w:sz w:val="20"/>
          <w:szCs w:val="20"/>
        </w:rPr>
        <w:t>"Insulin Infusion Systems"</w:t>
      </w:r>
      <w:r w:rsidRPr="005D777B">
        <w:rPr>
          <w:rFonts w:ascii="Arial" w:hAnsi="Arial" w:cs="Arial"/>
          <w:sz w:val="20"/>
          <w:szCs w:val="20"/>
        </w:rPr>
        <w:t xml:space="preserve">, and </w:t>
      </w:r>
      <w:r w:rsidRPr="005D777B">
        <w:rPr>
          <w:rFonts w:ascii="Arial" w:hAnsi="Arial" w:cs="Arial"/>
          <w:i/>
          <w:iCs/>
          <w:sz w:val="20"/>
          <w:szCs w:val="20"/>
        </w:rPr>
        <w:t>"Continuous Glucose Monitoring"</w:t>
      </w:r>
      <w:r w:rsidRPr="005D777B">
        <w:rPr>
          <w:rFonts w:ascii="Arial" w:hAnsi="Arial" w:cs="Arial"/>
          <w:sz w:val="20"/>
          <w:szCs w:val="20"/>
        </w:rPr>
        <w:t>. Boolean operators AND and OR were used to combine descriptors, forming search strategies such as:</w:t>
      </w:r>
      <w:r w:rsidRPr="005D777B">
        <w:rPr>
          <w:rFonts w:ascii="Arial" w:hAnsi="Arial" w:cs="Arial"/>
          <w:sz w:val="20"/>
          <w:szCs w:val="20"/>
        </w:rPr>
        <w:br/>
        <w:t>("Diabetes Mellitus, Type 1" AND "Child") AND ("Glycemic Control" OR "Hypoglycemia" OR "Diabetic Ketoacidosis" OR "Emergencies" OR "Insulin Infusion Systems" OR "Continuous Glucose Monitoring").</w:t>
      </w:r>
    </w:p>
    <w:p w14:paraId="5CAB5273"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The time frame included studies published over the last 10 years (from January 2014 to April 2024), in order to ensure the inclusion of recent and relevant evidence. Articles published in Portuguese, English, or Spanish were considered.</w:t>
      </w:r>
    </w:p>
    <w:p w14:paraId="3386DA5F"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Inclusion criteria were: (1) studies addressing children or adolescents with T1D; (2) focus on glycemic control strategies or the management of acute complications such as hypoglycemia and diabetic ketoacidosis; (3) study types including clinical trials, observational studies, systematic reviews, or high-quality narrative reviews. Exclusion criteria included: studies focused exclusively on adults, studies addressing only primary prevention of T1D, case reports, letters to the editor, theses, dissertations, and duplicate publications.</w:t>
      </w:r>
    </w:p>
    <w:p w14:paraId="57744B1F"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Study selection was performed in three stages: title screening, abstract screening, and full-text reading of eligible studies. Data extraction was conducted independently by two reviewers, who collected information regarding study type, country of origin, population, interventions/approaches described, clinical outcomes, and conclusions. The data analysis was performed qualitatively, grouping findings into core themes (glycemic control, acute complications, technologies used, diabetes education, and access to care), allowing the development of a narrative synthesis of results.</w:t>
      </w:r>
    </w:p>
    <w:p w14:paraId="74907D2A" w14:textId="77777777" w:rsidR="005D777B" w:rsidRDefault="005D777B" w:rsidP="005D777B">
      <w:pPr>
        <w:spacing w:line="360" w:lineRule="auto"/>
        <w:ind w:firstLine="708"/>
        <w:jc w:val="both"/>
        <w:rPr>
          <w:rFonts w:ascii="Arial" w:hAnsi="Arial" w:cs="Arial"/>
          <w:sz w:val="20"/>
          <w:szCs w:val="20"/>
        </w:rPr>
      </w:pPr>
    </w:p>
    <w:p w14:paraId="661E9BA8" w14:textId="77777777" w:rsidR="005D777B" w:rsidRDefault="005D777B" w:rsidP="005D777B">
      <w:pPr>
        <w:spacing w:line="360" w:lineRule="auto"/>
        <w:ind w:firstLine="708"/>
        <w:jc w:val="both"/>
        <w:rPr>
          <w:rFonts w:ascii="Arial" w:hAnsi="Arial" w:cs="Arial"/>
          <w:sz w:val="20"/>
          <w:szCs w:val="20"/>
        </w:rPr>
      </w:pPr>
    </w:p>
    <w:p w14:paraId="3F466F59" w14:textId="77777777" w:rsidR="005D777B" w:rsidRDefault="005D777B" w:rsidP="005D777B">
      <w:pPr>
        <w:spacing w:line="360" w:lineRule="auto"/>
        <w:ind w:firstLine="708"/>
        <w:jc w:val="both"/>
        <w:rPr>
          <w:rFonts w:ascii="Arial" w:hAnsi="Arial" w:cs="Arial"/>
          <w:sz w:val="20"/>
          <w:szCs w:val="20"/>
        </w:rPr>
      </w:pPr>
    </w:p>
    <w:p w14:paraId="0C2A71B7" w14:textId="77777777" w:rsidR="005D777B" w:rsidRDefault="005D777B" w:rsidP="005D777B">
      <w:pPr>
        <w:spacing w:line="360" w:lineRule="auto"/>
        <w:ind w:firstLine="708"/>
        <w:jc w:val="both"/>
        <w:rPr>
          <w:rFonts w:ascii="Arial" w:hAnsi="Arial" w:cs="Arial"/>
          <w:sz w:val="20"/>
          <w:szCs w:val="20"/>
        </w:rPr>
      </w:pPr>
    </w:p>
    <w:p w14:paraId="53593ECA" w14:textId="77777777" w:rsidR="005D777B" w:rsidRDefault="005D777B" w:rsidP="005D777B">
      <w:pPr>
        <w:spacing w:line="360" w:lineRule="auto"/>
        <w:ind w:firstLine="708"/>
        <w:jc w:val="both"/>
        <w:rPr>
          <w:rFonts w:ascii="Arial" w:hAnsi="Arial" w:cs="Arial"/>
          <w:sz w:val="20"/>
          <w:szCs w:val="20"/>
        </w:rPr>
      </w:pPr>
    </w:p>
    <w:p w14:paraId="21CAA5E6" w14:textId="77777777" w:rsidR="005D777B" w:rsidRDefault="005D777B" w:rsidP="005D777B">
      <w:pPr>
        <w:spacing w:line="360" w:lineRule="auto"/>
        <w:ind w:firstLine="708"/>
        <w:jc w:val="both"/>
        <w:rPr>
          <w:rFonts w:ascii="Arial" w:hAnsi="Arial" w:cs="Arial"/>
          <w:sz w:val="20"/>
          <w:szCs w:val="20"/>
        </w:rPr>
      </w:pPr>
    </w:p>
    <w:p w14:paraId="764B2C36" w14:textId="77777777" w:rsidR="005D777B" w:rsidRDefault="005D777B" w:rsidP="005D777B">
      <w:pPr>
        <w:spacing w:line="360" w:lineRule="auto"/>
        <w:ind w:firstLine="708"/>
        <w:jc w:val="both"/>
        <w:rPr>
          <w:rFonts w:ascii="Arial" w:hAnsi="Arial" w:cs="Arial"/>
          <w:sz w:val="20"/>
          <w:szCs w:val="20"/>
        </w:rPr>
      </w:pPr>
    </w:p>
    <w:p w14:paraId="1777A4DB" w14:textId="1378393C" w:rsidR="005D777B" w:rsidRDefault="005D777B" w:rsidP="005D777B">
      <w:pPr>
        <w:spacing w:line="360" w:lineRule="auto"/>
        <w:jc w:val="both"/>
        <w:rPr>
          <w:rFonts w:ascii="Arial" w:hAnsi="Arial" w:cs="Arial"/>
          <w:sz w:val="20"/>
          <w:szCs w:val="20"/>
        </w:rPr>
      </w:pPr>
      <w:r>
        <w:rPr>
          <w:rFonts w:ascii="Arial" w:hAnsi="Arial" w:cs="Arial"/>
          <w:b/>
          <w:bCs/>
        </w:rPr>
        <w:t>RESULTS</w:t>
      </w:r>
    </w:p>
    <w:p w14:paraId="6942B823" w14:textId="77777777" w:rsidR="005D777B" w:rsidRDefault="005D777B" w:rsidP="005D777B">
      <w:pPr>
        <w:spacing w:line="360" w:lineRule="auto"/>
        <w:jc w:val="both"/>
        <w:rPr>
          <w:rFonts w:ascii="Arial" w:hAnsi="Arial" w:cs="Arial"/>
          <w:b/>
          <w:bCs/>
          <w:sz w:val="20"/>
          <w:szCs w:val="20"/>
        </w:rPr>
      </w:pPr>
      <w:r>
        <w:rPr>
          <w:rFonts w:ascii="Arial" w:hAnsi="Arial" w:cs="Arial"/>
          <w:b/>
          <w:bCs/>
          <w:sz w:val="20"/>
          <w:szCs w:val="20"/>
        </w:rPr>
        <w:t>E</w:t>
      </w:r>
      <w:r w:rsidRPr="005D777B">
        <w:rPr>
          <w:rFonts w:ascii="Arial" w:hAnsi="Arial" w:cs="Arial"/>
          <w:b/>
          <w:bCs/>
          <w:sz w:val="20"/>
          <w:szCs w:val="20"/>
        </w:rPr>
        <w:t>ffective methods for glycemic control in children with T1D</w:t>
      </w:r>
    </w:p>
    <w:p w14:paraId="2DA629E4" w14:textId="77777777" w:rsid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Optimal glycemic control in children with type 1 diabetes (T1D) involves multiple therapeutic strategies, with the most effective being those that include personalized insulin therapy, psychosocial support, and continuous education. Continuous subcutaneous insulin infusion (CSII), also known as an insulin pump, has shown superiority over multiple daily injection (MDI) regimens, significantly reducing glycated hemoglobin (HbA1c) levels and glycemic variability. A systematic review with meta-analysis published in 2024 found that CSII was associated with a mean HbA1c reduction of 0.48% compared to MDI (95% CI: -0.73 to -0.24; p &lt; 0.01) (10).</w:t>
      </w:r>
    </w:p>
    <w:p w14:paraId="04B03B3B" w14:textId="51651367" w:rsidR="005D777B" w:rsidRPr="005D777B" w:rsidRDefault="005D777B" w:rsidP="005D777B">
      <w:pPr>
        <w:spacing w:line="360" w:lineRule="auto"/>
        <w:ind w:firstLine="708"/>
        <w:jc w:val="both"/>
        <w:rPr>
          <w:rFonts w:ascii="Arial" w:hAnsi="Arial" w:cs="Arial"/>
          <w:b/>
          <w:bCs/>
          <w:sz w:val="20"/>
          <w:szCs w:val="20"/>
        </w:rPr>
      </w:pPr>
      <w:r w:rsidRPr="005D777B">
        <w:rPr>
          <w:rFonts w:ascii="Arial" w:hAnsi="Arial" w:cs="Arial"/>
          <w:sz w:val="20"/>
          <w:szCs w:val="20"/>
        </w:rPr>
        <w:t>In addition to the insulin regimen type, other factors influence glycemic control, such as self-monitoring frequency, family support, an appropriate school environment, and socioeconomic status. Children with lower family support, non-nuclear families, or those in socially vulnerable situations face greater challenges in achieving adequate glycemic targets (10).</w:t>
      </w:r>
    </w:p>
    <w:p w14:paraId="562F1BA7" w14:textId="308EE30F"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 xml:space="preserve">Role of technologies in glycemic control: CGM, insulin pump, and artificial </w:t>
      </w:r>
      <w:r>
        <w:rPr>
          <w:rFonts w:ascii="Arial" w:hAnsi="Arial" w:cs="Arial"/>
          <w:b/>
          <w:bCs/>
          <w:sz w:val="20"/>
          <w:szCs w:val="20"/>
        </w:rPr>
        <w:t>pâncreas</w:t>
      </w:r>
    </w:p>
    <w:p w14:paraId="0A608132"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Technological advancements have played a central role in pediatric T1D management. Continuous glucose monitoring (CGM) allows real-time assessment of glycemic levels, providing alerts and trend data that facilitate immediate clinical decisions. Its use, particularly when combined with automated insulin delivery systems, has shown significant improvement in time-in-range (70–180 mg/dL), HbA1c reduction, and less time in hypoglycemia (11).</w:t>
      </w:r>
    </w:p>
    <w:p w14:paraId="12AFA321"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The insulin pump alone is already an effective option, enabling fine-tuned dosing and programmable basal rates. Studies have demonstrated improvements not only in metabolic control but also in quality of life for both children and their caregivers, with a reduced perceived therapeutic burden (12).</w:t>
      </w:r>
    </w:p>
    <w:p w14:paraId="20A0E216" w14:textId="1505984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 xml:space="preserve">The artificial pancreas—a closed-loop system integrating CGM and an insulin pump with algorithm-based control—is considered the most promising technology to date. A multicenter randomized clinical trial published in the </w:t>
      </w:r>
      <w:r w:rsidRPr="005D777B">
        <w:rPr>
          <w:rFonts w:ascii="Arial" w:hAnsi="Arial" w:cs="Arial"/>
          <w:i/>
          <w:iCs/>
          <w:sz w:val="20"/>
          <w:szCs w:val="20"/>
        </w:rPr>
        <w:t>New England Journal of Medicine</w:t>
      </w:r>
      <w:r w:rsidRPr="005D777B">
        <w:rPr>
          <w:rFonts w:ascii="Arial" w:hAnsi="Arial" w:cs="Arial"/>
          <w:sz w:val="20"/>
          <w:szCs w:val="20"/>
        </w:rPr>
        <w:t xml:space="preserve"> showed that the Control-IQ system significantly increased time-in-range (from 53% to 67% in 13 weeks) and reduced hypoglycemic episodes without increasing adverse effects (13).</w:t>
      </w:r>
    </w:p>
    <w:p w14:paraId="1766F5D5"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Contributions of nutritional therapy and diabetes education to glycemic control</w:t>
      </w:r>
    </w:p>
    <w:p w14:paraId="00BF179F"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Nutritional therapy is a foundational aspect of effective T1D management in children. Low glycemic index (GI) diets are associated with more stable glycemia and fewer postprandial spikes, with evidence showing improved HbA1c levels when adherence is adequate (14). However, dietary adherence is particularly challenging in pediatrics. A balanced intake of foods with varying GIs is recommended, prioritizing low GI foods and limiting moderate and high GI options (15).</w:t>
      </w:r>
      <w:r w:rsidRPr="005D777B">
        <w:rPr>
          <w:rFonts w:ascii="Arial" w:hAnsi="Arial" w:cs="Arial"/>
          <w:sz w:val="20"/>
          <w:szCs w:val="20"/>
        </w:rPr>
        <w:br/>
      </w:r>
      <w:r w:rsidRPr="005D777B">
        <w:rPr>
          <w:rFonts w:ascii="Arial" w:hAnsi="Arial" w:cs="Arial"/>
          <w:sz w:val="20"/>
          <w:szCs w:val="20"/>
        </w:rPr>
        <w:lastRenderedPageBreak/>
        <w:t>Additionally, nutrition education conducted through practical interventions, such as diabetes camps for children, has been shown to improve glycemic control and disease-related knowledge, highlighting the clinical impact of contextualized educational strategies</w:t>
      </w:r>
      <w:r w:rsidRPr="005D777B">
        <w:rPr>
          <w:rFonts w:ascii="Arial" w:hAnsi="Arial" w:cs="Arial"/>
          <w:b/>
          <w:bCs/>
          <w:sz w:val="20"/>
          <w:szCs w:val="20"/>
        </w:rPr>
        <w:t xml:space="preserve"> </w:t>
      </w:r>
      <w:r w:rsidRPr="005D777B">
        <w:rPr>
          <w:rFonts w:ascii="Arial" w:hAnsi="Arial" w:cs="Arial"/>
          <w:sz w:val="20"/>
          <w:szCs w:val="20"/>
        </w:rPr>
        <w:t>(15).</w:t>
      </w:r>
    </w:p>
    <w:p w14:paraId="570E35B7" w14:textId="4B6870E0"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Diabetes education itself is an essential component of pediatric care. A prospective study demonstrated that implementing a structured 1-year education program for children newly diagnosed with T1D resulted in significant HbA1c reduction within the first months and improved caregiver confidence (16). Successful programs integrate health education strategies, parental reinforcement, self-monitoring techniques, and meal management guidance, with an emphasis on developing safe, sustainable routines.</w:t>
      </w:r>
    </w:p>
    <w:p w14:paraId="0B31BD69"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Differences in effectiveness between MDI and CSII</w:t>
      </w:r>
    </w:p>
    <w:p w14:paraId="60E44839"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Several studies have compared the effectiveness of multiple daily injections (MDI) versus continuous subcutaneous insulin infusion (CSII) in children with T1D. CSII has consistently proven more effective in achieving glycemic control, with better HbA1c outcomes and reduced glycemic variability. A recent meta-analysis found that CSII use led to a significant reduction in HbA1c compared to MDI, with a mean difference of -0.30% (p &lt; 0.05), in addition to reducing the risk of severe hypoglycemia and diabetic ketoacidosis (DKA) (17).</w:t>
      </w:r>
    </w:p>
    <w:p w14:paraId="572F9182" w14:textId="318F48B0"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Furthermore, a randomized clinical trial involving newly diagnosed children and adolescents showed that CSII led to greater time-in-range (70–180 mg/dL) and fewer adverse events related to glycemic control when compared to MDI, even in early disease stages (18). These findings support the recommendation that CSII should be considered for pediatric patients, especially those who struggle to achieve adequate control with conventional MDI therapy.</w:t>
      </w:r>
    </w:p>
    <w:p w14:paraId="2D64C758"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Main acute complications in children with T1D: severe hypoglycemia and diabetic ketoacidosis</w:t>
      </w:r>
    </w:p>
    <w:p w14:paraId="0D97B9E7" w14:textId="77777777" w:rsid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The two primary acute complications in children with T1D are severe hypoglycemia and diabetic ketoacidosis (DKA). Severe hypoglycemia is characterized by blood glucose levels below 70 mg/dL and symptoms such as sweating, tachycardia, confusion, seizures, and, in more severe cases, coma. It is a common emergency in pediatric patients and, if recurrent and untreated, may result in irreversible neurological damage (19).</w:t>
      </w:r>
    </w:p>
    <w:p w14:paraId="56EE14DF" w14:textId="54A65F02"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DKA is defined by persistent hyperglycemia, ketonemia, and metabolic acidosis, and remains one of the leading causes of hospitalization and mortality in children with T1D. Clinically, DKA presents with symptoms such as abdominal pain, vomiting, Kussmaul respiration, fruity breath, lethargy, and altered consciousness (20). In addition to the immediate clinical risk, the occurrence of these complications is directly linked to inadequate disease management and thus serves as an important marker of care quality.</w:t>
      </w:r>
    </w:p>
    <w:p w14:paraId="741C1FA2"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Clinical signs and current protocols for managing acute complications</w:t>
      </w:r>
    </w:p>
    <w:p w14:paraId="2D6BE906"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lastRenderedPageBreak/>
        <w:t>Early recognition of clinical signs and adherence to standardized protocols are fundamental for the effective management of acute complications in T1D. In cases of severe hypoglycemia, signs include pallor, sweating, tremors, confusion, and, in more serious situations, seizures or unconsciousness. Treatment must be immediate and depend on the child’s level of consciousness: if conscious, fast-acting oral glucose should be administered; if unconscious, intravenous glucose or subcutaneous/intramuscular glucagon should be given (21,22).</w:t>
      </w:r>
    </w:p>
    <w:p w14:paraId="06A39764" w14:textId="0BED65ED"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DKA management requires intensive care, including fluid resuscitation, correction of electrolyte imbalances, and intravenous insulin administration. Monitoring of electrolytes, blood pH, and capillary glucose should be frequent. Clinicians must also be vigilant for signs of severe complications such as cerebral edema, which is more common in children and may be fatal (20,21). Standardized national and international protocols highlight the importance of continuous training for healthcare teams to ensure timely and effective response to glycemic emergencies.</w:t>
      </w:r>
    </w:p>
    <w:p w14:paraId="2FEE7FB0"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Interventions associated with better clinical outcomes</w:t>
      </w:r>
    </w:p>
    <w:p w14:paraId="4CF38BC7" w14:textId="24962AA3"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Various interventions have demonstrated positive outcomes in glycemic control and the reduction of acute complications in children with T1D. CSII via insulin pump has been linked to lower HbA1c levels, less glycemic variability, and increased time-in-range compared to MDI. CGM use has also proven effective by allowing faster therapeutic adjustments and fewer hypo- and hyperglycemic episodes. Beyond technology, structured educational programs—especially those involving parents and caregivers—have been associated with better treatment adherence, appropriate self-care, and lower hospitalization rates for acute events (23).</w:t>
      </w:r>
    </w:p>
    <w:p w14:paraId="232FAF88"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Differences in management: hospital vs. home setting</w:t>
      </w:r>
    </w:p>
    <w:p w14:paraId="364630D4" w14:textId="425DCA89"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T1D management in children varies substantially between hospital and home environments. In hospitals, care is provided by multiprofessional teams with continuous monitoring, access to lab testing, and immediate insulin and electrolyte adjustments. At home, treatment success relies heavily on the training and preparedness of caregivers and the child regarding insulin administration, glycemic monitoring, nutrition, and early recognition of warning signs. The use of CGM and insulin pumps enhances autonomy and safety in home settings, provided that high-quality education accompanies it. The literature emphasizes that family training programs are directly linked to fewer episodes of decompensation and hospital readmissions (24).</w:t>
      </w:r>
    </w:p>
    <w:p w14:paraId="6C9DF761" w14:textId="77777777" w:rsidR="005D777B" w:rsidRDefault="005D777B" w:rsidP="005D777B">
      <w:pPr>
        <w:spacing w:line="360" w:lineRule="auto"/>
        <w:jc w:val="both"/>
        <w:rPr>
          <w:rFonts w:ascii="Arial" w:hAnsi="Arial" w:cs="Arial"/>
          <w:b/>
          <w:bCs/>
          <w:sz w:val="20"/>
          <w:szCs w:val="20"/>
        </w:rPr>
      </w:pPr>
      <w:r w:rsidRPr="005D777B">
        <w:rPr>
          <w:rFonts w:ascii="Arial" w:hAnsi="Arial" w:cs="Arial"/>
          <w:b/>
          <w:bCs/>
          <w:sz w:val="20"/>
          <w:szCs w:val="20"/>
        </w:rPr>
        <w:t>Impact of glycemic emergencies on pediatric morbidity and mortality</w:t>
      </w:r>
    </w:p>
    <w:p w14:paraId="3DCBFF32" w14:textId="456C73A9"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 xml:space="preserve">Glycemic emergencies such as severe hypoglycemia and diabetic ketoacidosis (DKA) remain major causes of morbidity and mortality in children with T1D. Severe hypoglycemia can cause seizures, coma, and, when recurrent, permanent cognitive deficits. DKA continues to be the leading cause of hospitalization in this population and can be fatal, especially when symptom recognition is delayed. A recent study identified that factors such as infections, missed insulin doses, and lack of awareness of early DKA signs are directly related to hospitalization and worse prognosis. The implementation of continuous education strategies, improved access to care, and </w:t>
      </w:r>
      <w:r w:rsidRPr="005D777B">
        <w:rPr>
          <w:rFonts w:ascii="Arial" w:hAnsi="Arial" w:cs="Arial"/>
          <w:sz w:val="20"/>
          <w:szCs w:val="20"/>
        </w:rPr>
        <w:lastRenderedPageBreak/>
        <w:t>the use of technologies are essential for reducing morbidity and mortality associated with these complications (25).</w:t>
      </w:r>
    </w:p>
    <w:p w14:paraId="1D624FCE" w14:textId="77777777" w:rsidR="005D777B" w:rsidRDefault="005D777B" w:rsidP="005D777B">
      <w:pPr>
        <w:spacing w:line="360" w:lineRule="auto"/>
        <w:jc w:val="both"/>
        <w:rPr>
          <w:rFonts w:ascii="Arial" w:hAnsi="Arial" w:cs="Arial"/>
        </w:rPr>
      </w:pPr>
      <w:r w:rsidRPr="00CD464B">
        <w:rPr>
          <w:rFonts w:ascii="Arial" w:hAnsi="Arial" w:cs="Arial"/>
          <w:b/>
          <w:bCs/>
        </w:rPr>
        <w:t>DISCUSSION</w:t>
      </w:r>
    </w:p>
    <w:p w14:paraId="249D5CF6" w14:textId="77777777" w:rsid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Advances and gaps in pediatric T1D management</w:t>
      </w:r>
    </w:p>
    <w:p w14:paraId="63AECA5F" w14:textId="77777777" w:rsid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In recent decades, significant advances have been observed in the management of type 1 diabetes mellitus (T1D) in children, primarily driven by the development of technologies such as continuous glucose monitoring (CGM), insulin pumps, and artificial pancreas systems. These innovations have led to increased time in target glycemic range, reductions in glycated hemoglobin (HbA1c), and lower frequency of severe hypoglycemic events (26). In addition, structured education strategies involving both parents and children have contributed to improved treatment adherence and metabolic control (27).</w:t>
      </w:r>
    </w:p>
    <w:p w14:paraId="7C605D67" w14:textId="6C5A6A59"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However, important gaps remain. Socioeconomic barriers, unequal access to technology, and psychosocial difficulties directly affect treatment adherence and disease outcomes. Children from low-income families, racial minorities, or those who rely exclusively on public health services tend to experience poorer glycemic outcomes, higher rates of diabetic ketoacidosis (DKA), and limited access to specialized educational support (28). Furthermore, the transition from adolescence to adulthood represents a critical period, with an increased risk of metabolic decompensation and loss of continuity with healthcare services (29).</w:t>
      </w:r>
    </w:p>
    <w:p w14:paraId="33E31BBC" w14:textId="77777777" w:rsid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Comparison between different healthcare settings: SUS versus private systems</w:t>
      </w:r>
    </w:p>
    <w:p w14:paraId="57366264" w14:textId="77777777" w:rsid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Evidence shows significant disparities in T1D management between children followed in public healthcare systems, such as Brazil’s SUS, and those assisted by private insurance or services. In private settings, there is greater access to modern technologies like CGM and insulin pumps, as well as more frequent follow-up with multidisciplinary teams—factors associated with better clinical indicators and fewer acute complications (30). In contrast, although the SUS provides established protocols and important health education initiatives, access to technological devices remains limited, and many patients face logistical and financial barriers to maintaining adequate treatment (31).</w:t>
      </w:r>
    </w:p>
    <w:p w14:paraId="5A98B0DA" w14:textId="1D1F5CC3"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A recent Brazilian study demonstrated that having private health insurance was a positive predictor for CGM use in young children, regardless of baseline glycemic control, reinforcing the impact of healthcare access on treatment equity (30). These disparities highlight the urgent need for public policies that expand access to technologies, medical supplies, and continuous education for all children with T1D, in order to reduce inequalities in clinical outcomes and ensure equitable care.</w:t>
      </w:r>
    </w:p>
    <w:p w14:paraId="1198D065" w14:textId="77777777" w:rsid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Consensus and divergence in pediatric T1D management approaches</w:t>
      </w:r>
    </w:p>
    <w:p w14:paraId="73AFD89D" w14:textId="77777777" w:rsid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 xml:space="preserve">Despite the existence of well-established international guidelines, such as those from the International Society for Pediatric and Adolescent Diabetes (ISPAD), which recommend specific </w:t>
      </w:r>
      <w:r w:rsidRPr="005D777B">
        <w:rPr>
          <w:rFonts w:ascii="Arial" w:hAnsi="Arial" w:cs="Arial"/>
          <w:sz w:val="20"/>
          <w:szCs w:val="20"/>
        </w:rPr>
        <w:lastRenderedPageBreak/>
        <w:t>glycemic targets, the use of technologies like insulin pumps and CGM, and continuous psychosocial support, there is still variation in the clinical implementation of these recommendations (32). These differences are observed both between countries and within national healthcare systems, influenced by factors such as resource availability, training of multidisciplinary teams, and local funding policies.</w:t>
      </w:r>
    </w:p>
    <w:p w14:paraId="6A35B446" w14:textId="66F58302"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A recent study conducted in Germany revealed that even in a universal healthcare system with broad coverage, disparities in the care of children with T1D persist, particularly related to socioeconomic status and adherence to clinical guidelines. This finding suggests that access alone does not guarantee standardized and equitable care (33). In Brazil, this divergence is even more pronounced between users of the public system (SUS) and private networks, as previously discussed, underscoring the urgent need for policies that ensure uniform implementation of best clinical practices.</w:t>
      </w:r>
    </w:p>
    <w:p w14:paraId="15D83081" w14:textId="77777777" w:rsidR="005D777B" w:rsidRDefault="005D777B" w:rsidP="005D777B">
      <w:pPr>
        <w:spacing w:line="360" w:lineRule="auto"/>
        <w:jc w:val="both"/>
        <w:rPr>
          <w:rFonts w:ascii="Arial" w:hAnsi="Arial" w:cs="Arial"/>
          <w:sz w:val="20"/>
          <w:szCs w:val="20"/>
        </w:rPr>
      </w:pPr>
      <w:r w:rsidRPr="005D777B">
        <w:rPr>
          <w:rFonts w:ascii="Arial" w:hAnsi="Arial" w:cs="Arial"/>
          <w:b/>
          <w:bCs/>
          <w:sz w:val="20"/>
          <w:szCs w:val="20"/>
        </w:rPr>
        <w:t>Contributions of the findings to clinical practice and health policy</w:t>
      </w:r>
    </w:p>
    <w:p w14:paraId="613B2A88" w14:textId="77777777" w:rsid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The findings of this systematic review highlight the importance of expanding equitable access to technologies such as CGM, insulin pumps, and closed-loop systems in the management of pediatric T1D. These tools are associated with better glycemic outcomes, fewer hypoglycemic episodes, and lower hospitalization rates due to acute complications, and are recommended by several international guidelines (32). Incorporating these technologies into Brazil’s public healthcare system through national funding policies and acquisition programs may represent a major step toward equity in care.</w:t>
      </w:r>
    </w:p>
    <w:p w14:paraId="416FE1E2" w14:textId="4B5399AC"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Moreover, the data reinforce the need for diabetes education programs targeting children and their families, emphasizing self-care, recognition of complications, and proper use of therapeutic devices. Strategies implemented in school settings—such as the presence of trained health professionals to assist with insulin devices and glucose monitoring—have proven effective in improving glycemic control and reducing school absenteeism and hospitalizations (34). Finally, the continuous training of primary care professionals and interdisciplinary collaboration are essential for translating evidence into effective clinical practice, promoting comprehensive and humanized care.</w:t>
      </w:r>
    </w:p>
    <w:p w14:paraId="7FAF3CC2" w14:textId="77777777" w:rsidR="005D777B" w:rsidRDefault="005D777B" w:rsidP="005D777B">
      <w:pPr>
        <w:spacing w:line="360" w:lineRule="auto"/>
        <w:jc w:val="both"/>
        <w:rPr>
          <w:rFonts w:ascii="Arial" w:hAnsi="Arial" w:cs="Arial"/>
          <w:sz w:val="20"/>
          <w:szCs w:val="20"/>
        </w:rPr>
      </w:pPr>
      <w:r w:rsidRPr="00CD464B">
        <w:rPr>
          <w:rFonts w:ascii="Arial" w:hAnsi="Arial" w:cs="Arial"/>
          <w:b/>
          <w:bCs/>
          <w:sz w:val="20"/>
          <w:szCs w:val="20"/>
        </w:rPr>
        <w:t>CONCLUSION</w:t>
      </w:r>
    </w:p>
    <w:p w14:paraId="3017126D"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This systematic review identified effective strategies for glycemic control and the management of acute complications in children with type 1 diabetes mellitus (T1D). Among the approaches analyzed, continuous subcutaneous insulin infusion (insulin pumps), continuous glucose monitoring (CGM), and hybrid closed-loop systems stood out as superior to multiple daily injection (MDI) regimens in most clinical outcomes. Individualized nutritional therapy and structured diabetes education programs—targeted at both children and their caregivers—also played a key role in improving metabolic control and preventing emergencies such as severe hypoglycemia and diabetic ketoacidosis.</w:t>
      </w:r>
    </w:p>
    <w:p w14:paraId="002AA091"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lastRenderedPageBreak/>
        <w:t>Despite these advances, significant gaps remain. Inequities in access to technology and multidisciplinary follow-up between public and private healthcare settings compromise the equity of care. Additionally, there is a lack of evidence regarding specific interventions for vulnerable populations and the long-term effects of new technologies across different socioeconomic contexts.</w:t>
      </w:r>
    </w:p>
    <w:p w14:paraId="7E5E7A4B" w14:textId="77777777" w:rsidR="005D777B" w:rsidRPr="005D777B" w:rsidRDefault="005D777B" w:rsidP="005D777B">
      <w:pPr>
        <w:spacing w:line="360" w:lineRule="auto"/>
        <w:ind w:firstLine="708"/>
        <w:jc w:val="both"/>
        <w:rPr>
          <w:rFonts w:ascii="Arial" w:hAnsi="Arial" w:cs="Arial"/>
          <w:sz w:val="20"/>
          <w:szCs w:val="20"/>
        </w:rPr>
      </w:pPr>
      <w:r w:rsidRPr="005D777B">
        <w:rPr>
          <w:rFonts w:ascii="Arial" w:hAnsi="Arial" w:cs="Arial"/>
          <w:sz w:val="20"/>
          <w:szCs w:val="20"/>
        </w:rPr>
        <w:t>In light of these findings, healthcare professionals are encouraged to adopt an integrated approach, focusing not only on insulin therapy but also on ongoing education, family support, and psychological care. For policymakers and public health administrators, it is urgent to expand access to glycemic control technologies within public health systems and to strengthen diabetes education strategies, in order to ensure high-quality, equitable, and child-centered care.</w:t>
      </w:r>
    </w:p>
    <w:p w14:paraId="7615254C" w14:textId="77777777" w:rsidR="003709AB" w:rsidRPr="003709AB" w:rsidRDefault="003709AB" w:rsidP="003709AB">
      <w:pPr>
        <w:spacing w:after="200" w:line="276" w:lineRule="auto"/>
        <w:rPr>
          <w:rFonts w:ascii="Calibri" w:eastAsia="Calibri" w:hAnsi="Calibri" w:cs="Times New Roman"/>
          <w:kern w:val="2"/>
          <w:highlight w:val="yellow"/>
          <w:lang w:val="en-US"/>
          <w14:ligatures w14:val="standardContextual"/>
        </w:rPr>
      </w:pPr>
      <w:bookmarkStart w:id="0" w:name="_Hlk190852809"/>
      <w:r w:rsidRPr="003709AB">
        <w:rPr>
          <w:rFonts w:ascii="Calibri" w:eastAsia="Calibri" w:hAnsi="Calibri" w:cs="Times New Roman"/>
          <w:kern w:val="2"/>
          <w:highlight w:val="yellow"/>
          <w:lang w:val="en-US"/>
          <w14:ligatures w14:val="standardContextual"/>
        </w:rPr>
        <w:t>Disclaimer (Artificial intelligence)</w:t>
      </w:r>
    </w:p>
    <w:p w14:paraId="2444C5FA" w14:textId="77777777" w:rsidR="003709AB" w:rsidRPr="003709AB" w:rsidRDefault="003709AB" w:rsidP="003709AB">
      <w:pPr>
        <w:spacing w:after="200" w:line="276" w:lineRule="auto"/>
        <w:rPr>
          <w:rFonts w:ascii="Calibri" w:eastAsia="Calibri" w:hAnsi="Calibri" w:cs="Times New Roman"/>
          <w:kern w:val="2"/>
          <w:highlight w:val="yellow"/>
          <w:lang w:val="en-US"/>
          <w14:ligatures w14:val="standardContextual"/>
        </w:rPr>
      </w:pPr>
      <w:r w:rsidRPr="003709AB">
        <w:rPr>
          <w:rFonts w:ascii="Calibri" w:eastAsia="Calibri" w:hAnsi="Calibri" w:cs="Times New Roman"/>
          <w:kern w:val="2"/>
          <w:highlight w:val="yellow"/>
          <w:lang w:val="en-US"/>
          <w14:ligatures w14:val="standardContextual"/>
        </w:rPr>
        <w:t xml:space="preserve">Option 1: </w:t>
      </w:r>
    </w:p>
    <w:p w14:paraId="7D6BDAEA" w14:textId="77777777" w:rsidR="003709AB" w:rsidRPr="003709AB" w:rsidRDefault="003709AB" w:rsidP="003709AB">
      <w:pPr>
        <w:spacing w:after="200" w:line="276" w:lineRule="auto"/>
        <w:rPr>
          <w:rFonts w:ascii="Calibri" w:eastAsia="Calibri" w:hAnsi="Calibri" w:cs="Times New Roman"/>
          <w:kern w:val="2"/>
          <w:highlight w:val="yellow"/>
          <w:lang w:val="en-US"/>
          <w14:ligatures w14:val="standardContextual"/>
        </w:rPr>
      </w:pPr>
      <w:r w:rsidRPr="003709AB">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3709AB">
        <w:rPr>
          <w:rFonts w:ascii="Calibri" w:eastAsia="Calibri" w:hAnsi="Calibri" w:cs="Times New Roman"/>
          <w:kern w:val="2"/>
          <w:highlight w:val="yellow"/>
          <w:lang w:val="en-US"/>
          <w14:ligatures w14:val="standardContextual"/>
        </w:rPr>
        <w:t>ChatGPT</w:t>
      </w:r>
      <w:proofErr w:type="spellEnd"/>
      <w:r w:rsidRPr="003709AB">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2DBA2DB5" w14:textId="77777777" w:rsidR="003709AB" w:rsidRPr="003709AB" w:rsidRDefault="003709AB" w:rsidP="003709AB">
      <w:pPr>
        <w:spacing w:after="200" w:line="276" w:lineRule="auto"/>
        <w:rPr>
          <w:rFonts w:ascii="Calibri" w:eastAsia="Calibri" w:hAnsi="Calibri" w:cs="Times New Roman"/>
          <w:kern w:val="2"/>
          <w:highlight w:val="yellow"/>
          <w:lang w:val="en-US"/>
          <w14:ligatures w14:val="standardContextual"/>
        </w:rPr>
      </w:pPr>
      <w:r w:rsidRPr="003709AB">
        <w:rPr>
          <w:rFonts w:ascii="Calibri" w:eastAsia="Calibri" w:hAnsi="Calibri" w:cs="Times New Roman"/>
          <w:kern w:val="2"/>
          <w:highlight w:val="yellow"/>
          <w:lang w:val="en-US"/>
          <w14:ligatures w14:val="standardContextual"/>
        </w:rPr>
        <w:t xml:space="preserve">Option 2: </w:t>
      </w:r>
    </w:p>
    <w:p w14:paraId="5A784567" w14:textId="77777777" w:rsidR="003709AB" w:rsidRPr="003709AB" w:rsidRDefault="003709AB" w:rsidP="003709AB">
      <w:pPr>
        <w:spacing w:after="200" w:line="276" w:lineRule="auto"/>
        <w:rPr>
          <w:rFonts w:ascii="Calibri" w:eastAsia="Calibri" w:hAnsi="Calibri" w:cs="Times New Roman"/>
          <w:kern w:val="2"/>
          <w:highlight w:val="yellow"/>
          <w:lang w:val="en-US"/>
          <w14:ligatures w14:val="standardContextual"/>
        </w:rPr>
      </w:pPr>
      <w:r w:rsidRPr="003709AB">
        <w:rPr>
          <w:rFonts w:ascii="Calibri" w:eastAsia="Calibri" w:hAnsi="Calibri" w:cs="Times New Roman"/>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0B79A7" w14:textId="77777777" w:rsidR="003709AB" w:rsidRPr="003709AB" w:rsidRDefault="003709AB" w:rsidP="003709AB">
      <w:pPr>
        <w:spacing w:after="200" w:line="276" w:lineRule="auto"/>
        <w:rPr>
          <w:rFonts w:ascii="Calibri" w:eastAsia="Calibri" w:hAnsi="Calibri" w:cs="Times New Roman"/>
          <w:kern w:val="2"/>
          <w:highlight w:val="yellow"/>
          <w:lang w:val="en-US"/>
          <w14:ligatures w14:val="standardContextual"/>
        </w:rPr>
      </w:pPr>
      <w:r w:rsidRPr="003709AB">
        <w:rPr>
          <w:rFonts w:ascii="Calibri" w:eastAsia="Calibri" w:hAnsi="Calibri" w:cs="Times New Roman"/>
          <w:kern w:val="2"/>
          <w:highlight w:val="yellow"/>
          <w:lang w:val="en-US"/>
          <w14:ligatures w14:val="standardContextual"/>
        </w:rPr>
        <w:t>Details of the AI usage are given below:</w:t>
      </w:r>
    </w:p>
    <w:p w14:paraId="7A46D175" w14:textId="77777777" w:rsidR="003709AB" w:rsidRPr="003709AB" w:rsidRDefault="003709AB" w:rsidP="003709AB">
      <w:pPr>
        <w:spacing w:after="200" w:line="276" w:lineRule="auto"/>
        <w:rPr>
          <w:rFonts w:ascii="Calibri" w:eastAsia="Calibri" w:hAnsi="Calibri" w:cs="Times New Roman"/>
          <w:kern w:val="2"/>
          <w:highlight w:val="yellow"/>
          <w:lang w:val="en-US"/>
          <w14:ligatures w14:val="standardContextual"/>
        </w:rPr>
      </w:pPr>
      <w:r w:rsidRPr="003709AB">
        <w:rPr>
          <w:rFonts w:ascii="Calibri" w:eastAsia="Calibri" w:hAnsi="Calibri" w:cs="Times New Roman"/>
          <w:kern w:val="2"/>
          <w:highlight w:val="yellow"/>
          <w:lang w:val="en-US"/>
          <w14:ligatures w14:val="standardContextual"/>
        </w:rPr>
        <w:t>1.</w:t>
      </w:r>
    </w:p>
    <w:p w14:paraId="09DE74E3" w14:textId="77777777" w:rsidR="003709AB" w:rsidRPr="003709AB" w:rsidRDefault="003709AB" w:rsidP="003709AB">
      <w:pPr>
        <w:spacing w:after="200" w:line="276" w:lineRule="auto"/>
        <w:rPr>
          <w:rFonts w:ascii="Calibri" w:eastAsia="Calibri" w:hAnsi="Calibri" w:cs="Times New Roman"/>
          <w:kern w:val="2"/>
          <w:highlight w:val="yellow"/>
          <w:lang w:val="en-US"/>
          <w14:ligatures w14:val="standardContextual"/>
        </w:rPr>
      </w:pPr>
      <w:r w:rsidRPr="003709AB">
        <w:rPr>
          <w:rFonts w:ascii="Calibri" w:eastAsia="Calibri" w:hAnsi="Calibri" w:cs="Times New Roman"/>
          <w:kern w:val="2"/>
          <w:highlight w:val="yellow"/>
          <w:lang w:val="en-US"/>
          <w14:ligatures w14:val="standardContextual"/>
        </w:rPr>
        <w:t>2.</w:t>
      </w:r>
    </w:p>
    <w:p w14:paraId="3636D3D9" w14:textId="77777777" w:rsidR="003709AB" w:rsidRPr="003709AB" w:rsidRDefault="003709AB" w:rsidP="003709AB">
      <w:pPr>
        <w:spacing w:after="200" w:line="276" w:lineRule="auto"/>
        <w:rPr>
          <w:rFonts w:ascii="Calibri" w:eastAsia="Calibri" w:hAnsi="Calibri" w:cs="Times New Roman"/>
          <w:kern w:val="2"/>
          <w:lang w:val="en-US"/>
          <w14:ligatures w14:val="standardContextual"/>
        </w:rPr>
      </w:pPr>
      <w:r w:rsidRPr="003709AB">
        <w:rPr>
          <w:rFonts w:ascii="Calibri" w:eastAsia="Calibri" w:hAnsi="Calibri" w:cs="Times New Roman"/>
          <w:kern w:val="2"/>
          <w:highlight w:val="yellow"/>
          <w:lang w:val="en-US"/>
          <w14:ligatures w14:val="standardContextual"/>
        </w:rPr>
        <w:t>3.</w:t>
      </w:r>
      <w:bookmarkEnd w:id="0"/>
    </w:p>
    <w:p w14:paraId="2B3F6404" w14:textId="77777777" w:rsidR="008F01E0" w:rsidRDefault="008F01E0" w:rsidP="005D777B">
      <w:pPr>
        <w:spacing w:line="360" w:lineRule="auto"/>
        <w:jc w:val="both"/>
        <w:rPr>
          <w:rFonts w:ascii="Arial" w:hAnsi="Arial" w:cs="Arial"/>
          <w:b/>
          <w:bCs/>
        </w:rPr>
      </w:pPr>
      <w:bookmarkStart w:id="1" w:name="_GoBack"/>
      <w:bookmarkEnd w:id="1"/>
    </w:p>
    <w:p w14:paraId="42B5354A" w14:textId="77777777" w:rsidR="005D777B" w:rsidRPr="008F0437" w:rsidRDefault="005D777B" w:rsidP="005D777B">
      <w:pPr>
        <w:spacing w:line="360" w:lineRule="auto"/>
        <w:jc w:val="both"/>
        <w:rPr>
          <w:rFonts w:ascii="Arial" w:hAnsi="Arial" w:cs="Arial"/>
          <w:b/>
          <w:bCs/>
        </w:rPr>
      </w:pPr>
      <w:r w:rsidRPr="008F0437">
        <w:rPr>
          <w:rFonts w:ascii="Arial" w:hAnsi="Arial" w:cs="Arial"/>
          <w:b/>
          <w:bCs/>
        </w:rPr>
        <w:t>REFERENCES</w:t>
      </w:r>
    </w:p>
    <w:p w14:paraId="3DCE69E2"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Hormazábal-Aguayo, I., Nazar, G., Álvarez, C., &amp; Cárcamo-Oyarzún, J. (2024). Global incidence of type 1 diabetes in children and adolescents: a systematic review and meta-analysis. </w:t>
      </w:r>
      <w:r w:rsidRPr="005D777B">
        <w:rPr>
          <w:rFonts w:ascii="Arial" w:hAnsi="Arial" w:cs="Arial"/>
          <w:i/>
          <w:iCs/>
        </w:rPr>
        <w:t>Rev Med Chil</w:t>
      </w:r>
      <w:r w:rsidRPr="005D777B">
        <w:rPr>
          <w:rFonts w:ascii="Arial" w:hAnsi="Arial" w:cs="Arial"/>
        </w:rPr>
        <w:t>, 152(2), 157–166. https://doi.org/10.4067/S0034-98872024000200157</w:t>
      </w:r>
    </w:p>
    <w:p w14:paraId="32C0E70F"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Mayer-Davis, E. J., Lawrence, J. M., Dabelea, D., Divers, J., Isom, S., Dolan, L., et al. (2017). Incidence trends of type 1 and type 2 diabetes among youths, 2002–</w:t>
      </w:r>
      <w:r w:rsidRPr="005D777B">
        <w:rPr>
          <w:rFonts w:ascii="Arial" w:hAnsi="Arial" w:cs="Arial"/>
        </w:rPr>
        <w:lastRenderedPageBreak/>
        <w:t xml:space="preserve">2012. </w:t>
      </w:r>
      <w:r w:rsidRPr="005D777B">
        <w:rPr>
          <w:rFonts w:ascii="Arial" w:hAnsi="Arial" w:cs="Arial"/>
          <w:i/>
          <w:iCs/>
        </w:rPr>
        <w:t>N Engl J Med</w:t>
      </w:r>
      <w:r w:rsidRPr="005D777B">
        <w:rPr>
          <w:rFonts w:ascii="Arial" w:hAnsi="Arial" w:cs="Arial"/>
        </w:rPr>
        <w:t>, 376(15), 1419–1429. https://doi.org/10.1056/NEJMoa1610187</w:t>
      </w:r>
    </w:p>
    <w:p w14:paraId="2D6CE9C4"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Gottesman, B. L., Yu, J., Tanaka, C., Longhurst, C. A., &amp; Kim, J. J. (2023). Incidence of new-onset type 1 diabetes among US children during the COVID-19 global pandemic. </w:t>
      </w:r>
      <w:r w:rsidRPr="005D777B">
        <w:rPr>
          <w:rFonts w:ascii="Arial" w:hAnsi="Arial" w:cs="Arial"/>
          <w:i/>
          <w:iCs/>
        </w:rPr>
        <w:t>JAMA Pediatr</w:t>
      </w:r>
      <w:r w:rsidRPr="005D777B">
        <w:rPr>
          <w:rFonts w:ascii="Arial" w:hAnsi="Arial" w:cs="Arial"/>
        </w:rPr>
        <w:t>, 177(6), 637–639. https://doi.org/10.1001/jamapediatrics.2023.0102</w:t>
      </w:r>
    </w:p>
    <w:p w14:paraId="4650CA56"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Rankin, D., Harden, J., Waugh, N., Noyes, K., Barnard, K. D., Stephen, J., et al. (2015). Parents' information and support needs when their child is diagnosed with type 1 diabetes: a qualitative study. </w:t>
      </w:r>
      <w:r w:rsidRPr="005D777B">
        <w:rPr>
          <w:rFonts w:ascii="Arial" w:hAnsi="Arial" w:cs="Arial"/>
          <w:i/>
          <w:iCs/>
        </w:rPr>
        <w:t>Health Expect</w:t>
      </w:r>
      <w:r w:rsidRPr="005D777B">
        <w:rPr>
          <w:rFonts w:ascii="Arial" w:hAnsi="Arial" w:cs="Arial"/>
        </w:rPr>
        <w:t>, 18(5), 1095–1105. https://doi.org/10.1111/hex.12086</w:t>
      </w:r>
    </w:p>
    <w:p w14:paraId="246F1FAF"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Ali, M., Musa, T. H., Hussien, F. M., &amp; Elkhidir, I. M. (2024). Predictors of poor glycemic control among children with type 1 diabetes in Sudan. </w:t>
      </w:r>
      <w:r w:rsidRPr="005D777B">
        <w:rPr>
          <w:rFonts w:ascii="Arial" w:hAnsi="Arial" w:cs="Arial"/>
          <w:i/>
          <w:iCs/>
        </w:rPr>
        <w:t>Pediatr Diabetes</w:t>
      </w:r>
      <w:r w:rsidRPr="005D777B">
        <w:rPr>
          <w:rFonts w:ascii="Arial" w:hAnsi="Arial" w:cs="Arial"/>
        </w:rPr>
        <w:t>, 25(1), 45–52. https://doi.org/10.1111/pedi.13502</w:t>
      </w:r>
    </w:p>
    <w:p w14:paraId="561F3944"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Wolfsdorf, J. I., Glaser, N., Agus, M., Fritsch, M., Hanas, R., Rewers, A., et al. (2018). ISPAD Clinical Practice Consensus Guidelines 2018: Diabetic ketoacidosis and hyperglycemic hyperosmolar state. </w:t>
      </w:r>
      <w:r w:rsidRPr="005D777B">
        <w:rPr>
          <w:rFonts w:ascii="Arial" w:hAnsi="Arial" w:cs="Arial"/>
          <w:i/>
          <w:iCs/>
        </w:rPr>
        <w:t>Pediatr Diabetes</w:t>
      </w:r>
      <w:r w:rsidRPr="005D777B">
        <w:rPr>
          <w:rFonts w:ascii="Arial" w:hAnsi="Arial" w:cs="Arial"/>
        </w:rPr>
        <w:t>, 19(Suppl 27), 155–177. https://doi.org/10.1111/pedi.12701</w:t>
      </w:r>
    </w:p>
    <w:p w14:paraId="06E4C47E"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Gaudieri, P. A., Chen, R., Greer, T. F., &amp; Holmes, C. S. (2008). Cognitive function in children with type 1 diabetes: A meta-analysis. </w:t>
      </w:r>
      <w:r w:rsidRPr="005D777B">
        <w:rPr>
          <w:rFonts w:ascii="Arial" w:hAnsi="Arial" w:cs="Arial"/>
          <w:i/>
          <w:iCs/>
        </w:rPr>
        <w:t>Diabetes Care</w:t>
      </w:r>
      <w:r w:rsidRPr="005D777B">
        <w:rPr>
          <w:rFonts w:ascii="Arial" w:hAnsi="Arial" w:cs="Arial"/>
        </w:rPr>
        <w:t>, 31(9), 1892–1897. https://doi.org/10.2337/dc07-2132</w:t>
      </w:r>
    </w:p>
    <w:p w14:paraId="1152C0A3"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Aye, T., Mazaika, P. K., Mauras, N., Marzelli, M. J., Buckingham, B., Wilson, D. M., et al. (2019). Impact of early diabetic ketoacidosis on the developing brain. </w:t>
      </w:r>
      <w:r w:rsidRPr="005D777B">
        <w:rPr>
          <w:rFonts w:ascii="Arial" w:hAnsi="Arial" w:cs="Arial"/>
          <w:i/>
          <w:iCs/>
        </w:rPr>
        <w:t>Diabetes Care</w:t>
      </w:r>
      <w:r w:rsidRPr="005D777B">
        <w:rPr>
          <w:rFonts w:ascii="Arial" w:hAnsi="Arial" w:cs="Arial"/>
        </w:rPr>
        <w:t>, 42(3), 443–449. https://doi.org/10.2337/dc18-1887</w:t>
      </w:r>
    </w:p>
    <w:p w14:paraId="2EB4DCCC"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Alves, C. A., Souza, T. M., Melo, L. P., &amp; Cruz, A. D. (2021). Educação em saúde e empoderamento da criança com diabetes tipo 1: revisão integrativa. </w:t>
      </w:r>
      <w:r w:rsidRPr="005D777B">
        <w:rPr>
          <w:rFonts w:ascii="Arial" w:hAnsi="Arial" w:cs="Arial"/>
          <w:i/>
          <w:iCs/>
        </w:rPr>
        <w:t>Rev Bras Enferm</w:t>
      </w:r>
      <w:r w:rsidRPr="005D777B">
        <w:rPr>
          <w:rFonts w:ascii="Arial" w:hAnsi="Arial" w:cs="Arial"/>
        </w:rPr>
        <w:t>, 74(2), e20200216. https://doi.org/10.1590/0034-7167-2020-0216</w:t>
      </w:r>
    </w:p>
    <w:p w14:paraId="6B873EB2"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Luo, S., Liu, F., Liang, Y., Wen, Q., Du, Q., &amp; Fan, Y. (2024). Glycemic control in children and adolescents with type 1 diabetes: a meta-analysis comparing insulin pump therapy and multiple daily injections. </w:t>
      </w:r>
      <w:r w:rsidRPr="005D777B">
        <w:rPr>
          <w:rFonts w:ascii="Arial" w:hAnsi="Arial" w:cs="Arial"/>
          <w:i/>
          <w:iCs/>
        </w:rPr>
        <w:t>Pediatr Diabetes</w:t>
      </w:r>
      <w:r w:rsidRPr="005D777B">
        <w:rPr>
          <w:rFonts w:ascii="Arial" w:hAnsi="Arial" w:cs="Arial"/>
        </w:rPr>
        <w:t>, 25(2), 85–94. https://doi.org/10.1111/pedi.13545</w:t>
      </w:r>
    </w:p>
    <w:p w14:paraId="3E7D2288"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Foster, N. C., Beck, R. W., Miller, K. M., Clements, M. A., Rickels, M. R., DiMeglio, L. A., et al. (2019). State of type 1 diabetes management and outcomes </w:t>
      </w:r>
      <w:r w:rsidRPr="005D777B">
        <w:rPr>
          <w:rFonts w:ascii="Arial" w:hAnsi="Arial" w:cs="Arial"/>
        </w:rPr>
        <w:lastRenderedPageBreak/>
        <w:t xml:space="preserve">from the T1D Exchange in 2016–2018. </w:t>
      </w:r>
      <w:r w:rsidRPr="005D777B">
        <w:rPr>
          <w:rFonts w:ascii="Arial" w:hAnsi="Arial" w:cs="Arial"/>
          <w:i/>
          <w:iCs/>
        </w:rPr>
        <w:t>Diabetes Technol Ther</w:t>
      </w:r>
      <w:r w:rsidRPr="005D777B">
        <w:rPr>
          <w:rFonts w:ascii="Arial" w:hAnsi="Arial" w:cs="Arial"/>
        </w:rPr>
        <w:t>, 21(2), 66–72. https://doi.org/10.1089/dia.2018.0384</w:t>
      </w:r>
    </w:p>
    <w:p w14:paraId="61A29C96"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Sherr, J. L., Hermann, J. M., Campbell, F., Foster, N. C., Hofer, S. E., Allgrove, J., et al. (2016). Use of insulin pump therapy in children and adolescents with type 1 diabetes and its impact on metabolic control: comparison of results from three large, registry-based studies. </w:t>
      </w:r>
      <w:r w:rsidRPr="005D777B">
        <w:rPr>
          <w:rFonts w:ascii="Arial" w:hAnsi="Arial" w:cs="Arial"/>
          <w:i/>
          <w:iCs/>
        </w:rPr>
        <w:t>Diabetologia</w:t>
      </w:r>
      <w:r w:rsidRPr="005D777B">
        <w:rPr>
          <w:rFonts w:ascii="Arial" w:hAnsi="Arial" w:cs="Arial"/>
        </w:rPr>
        <w:t>, 59(1), 87–91. https://doi.org/10.1007/s00125-015-3790-6</w:t>
      </w:r>
    </w:p>
    <w:p w14:paraId="365E16E3"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Breton, M. D., Kanapka, L. G., Beck, R. W., Ekhlaspour, L., Forlenza, G. P., Cengiz, E., et al. (2020). A randomized trial of closed-loop control in children with type 1 diabetes. </w:t>
      </w:r>
      <w:r w:rsidRPr="005D777B">
        <w:rPr>
          <w:rFonts w:ascii="Arial" w:hAnsi="Arial" w:cs="Arial"/>
          <w:i/>
          <w:iCs/>
        </w:rPr>
        <w:t>N Engl J Med</w:t>
      </w:r>
      <w:r w:rsidRPr="005D777B">
        <w:rPr>
          <w:rFonts w:ascii="Arial" w:hAnsi="Arial" w:cs="Arial"/>
        </w:rPr>
        <w:t>, 383(9), 836–845. https://doi.org/10.1056/NEJMoa2004736</w:t>
      </w:r>
    </w:p>
    <w:p w14:paraId="52A0C79F"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Maffeis, C., Pinelli, L., Brambilla, P., et al. (2023). Diet and glycemic index in children with type 1 diabetes. </w:t>
      </w:r>
      <w:r w:rsidRPr="005D777B">
        <w:rPr>
          <w:rFonts w:ascii="Arial" w:hAnsi="Arial" w:cs="Arial"/>
          <w:i/>
          <w:iCs/>
        </w:rPr>
        <w:t>Nutrients</w:t>
      </w:r>
      <w:r w:rsidRPr="005D777B">
        <w:rPr>
          <w:rFonts w:ascii="Arial" w:hAnsi="Arial" w:cs="Arial"/>
        </w:rPr>
        <w:t>, 15(17), 3338. https://doi.org/10.3390/nu15173338</w:t>
      </w:r>
    </w:p>
    <w:p w14:paraId="7D1711B3"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Kakleas, K., Kandyla, B., Karayianni, C., et al. (2023). Nutrition and glycemic control in children and adolescents with type 1 diabetes: a review of the literature. </w:t>
      </w:r>
      <w:r w:rsidRPr="005D777B">
        <w:rPr>
          <w:rFonts w:ascii="Arial" w:hAnsi="Arial" w:cs="Arial"/>
          <w:i/>
          <w:iCs/>
        </w:rPr>
        <w:t>Nutrients</w:t>
      </w:r>
      <w:r w:rsidRPr="005D777B">
        <w:rPr>
          <w:rFonts w:ascii="Arial" w:hAnsi="Arial" w:cs="Arial"/>
        </w:rPr>
        <w:t>, 15(19), 3338. https://doi.org/10.3390/nu15193338</w:t>
      </w:r>
    </w:p>
    <w:p w14:paraId="790EF24A"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Hawkes, C. P., Willi, S. M., &amp; Murphy, K. M. (2019). A structured 1-year education program for children with newly diagnosed type 1 diabetes improves early glycemic control. </w:t>
      </w:r>
      <w:r w:rsidRPr="005D777B">
        <w:rPr>
          <w:rFonts w:ascii="Arial" w:hAnsi="Arial" w:cs="Arial"/>
          <w:i/>
          <w:iCs/>
        </w:rPr>
        <w:t>Pediatr Diabetes</w:t>
      </w:r>
      <w:r w:rsidRPr="005D777B">
        <w:rPr>
          <w:rFonts w:ascii="Arial" w:hAnsi="Arial" w:cs="Arial"/>
        </w:rPr>
        <w:t>, 20(4), 460–467. https://doi.org/10.1111/pedi.12849</w:t>
      </w:r>
    </w:p>
    <w:p w14:paraId="4D72013C"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Levy-Shraga, Y., Raz, I., Battat, E., et al. (2023). Insulin pump therapy vs multiple daily insulin injections for glycemic control in children and adolescents with type 1 diabetes: a systematic review and meta-analysis. </w:t>
      </w:r>
      <w:r w:rsidRPr="005D777B">
        <w:rPr>
          <w:rFonts w:ascii="Arial" w:hAnsi="Arial" w:cs="Arial"/>
          <w:i/>
          <w:iCs/>
        </w:rPr>
        <w:t>Diabetes Technol Ther</w:t>
      </w:r>
      <w:r w:rsidRPr="005D777B">
        <w:rPr>
          <w:rFonts w:ascii="Arial" w:hAnsi="Arial" w:cs="Arial"/>
        </w:rPr>
        <w:t>, 25(2), 85–94. https://doi.org/10.1089/dia.2022.0384</w:t>
      </w:r>
    </w:p>
    <w:p w14:paraId="29A63A7B"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Blair, J. C., McKay, A., Ridyard, C., et al. (2019). Continuous subcutaneous insulin infusion versus multiple daily injection regimens in children and young people at diagnosis of type 1 diabetes: pragmatic randomised controlled trial and economic evaluation. </w:t>
      </w:r>
      <w:r w:rsidRPr="005D777B">
        <w:rPr>
          <w:rFonts w:ascii="Arial" w:hAnsi="Arial" w:cs="Arial"/>
          <w:i/>
          <w:iCs/>
        </w:rPr>
        <w:t>BMJ</w:t>
      </w:r>
      <w:r w:rsidRPr="005D777B">
        <w:rPr>
          <w:rFonts w:ascii="Arial" w:hAnsi="Arial" w:cs="Arial"/>
        </w:rPr>
        <w:t>, 365, l1226. https://doi.org/10.1136/bmj.l1226</w:t>
      </w:r>
    </w:p>
    <w:p w14:paraId="691E58CC"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Sparapani, V. C., Pina, J. C., Anders, J. C., &amp; Lee, J. V. S. (2023). What children know about diabetes acute complications? Insights for diabetes education. </w:t>
      </w:r>
      <w:r w:rsidRPr="005D777B">
        <w:rPr>
          <w:rFonts w:ascii="Arial" w:hAnsi="Arial" w:cs="Arial"/>
          <w:i/>
          <w:iCs/>
        </w:rPr>
        <w:t>J Nurs Health</w:t>
      </w:r>
      <w:r w:rsidRPr="005D777B">
        <w:rPr>
          <w:rFonts w:ascii="Arial" w:hAnsi="Arial" w:cs="Arial"/>
        </w:rPr>
        <w:t>, 13(1), e1316623. https://doi.org/10.15210/jonah.v13i1.6623</w:t>
      </w:r>
    </w:p>
    <w:p w14:paraId="4C417B53"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lastRenderedPageBreak/>
        <w:t xml:space="preserve">Borges, M. A. P. (2022). Cetoacidose diabética em crianças e adolescentes com diabetes mellitus tipo 1: revisão integrativa. </w:t>
      </w:r>
      <w:r w:rsidRPr="005D777B">
        <w:rPr>
          <w:rFonts w:ascii="Arial" w:hAnsi="Arial" w:cs="Arial"/>
          <w:i/>
          <w:iCs/>
        </w:rPr>
        <w:t>Rev Enferm UFSM</w:t>
      </w:r>
      <w:r w:rsidRPr="005D777B">
        <w:rPr>
          <w:rFonts w:ascii="Arial" w:hAnsi="Arial" w:cs="Arial"/>
        </w:rPr>
        <w:t xml:space="preserve">, 12, e89. </w:t>
      </w:r>
      <w:hyperlink r:id="rId7" w:tgtFrame="_new" w:history="1">
        <w:r w:rsidRPr="005D777B">
          <w:rPr>
            <w:rStyle w:val="Hyperlink"/>
            <w:rFonts w:ascii="Arial" w:hAnsi="Arial" w:cs="Arial"/>
          </w:rPr>
          <w:t>https://fi-admin.bvsalud.org/document/view/bfxez</w:t>
        </w:r>
      </w:hyperlink>
    </w:p>
    <w:p w14:paraId="07250A9A"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Sociedade Brasileira de Diabetes. (2022). </w:t>
      </w:r>
      <w:r w:rsidRPr="005D777B">
        <w:rPr>
          <w:rFonts w:ascii="Arial" w:hAnsi="Arial" w:cs="Arial"/>
          <w:i/>
          <w:iCs/>
        </w:rPr>
        <w:t>Diretrizes da Sociedade Brasileira de Diabetes 2022-2023</w:t>
      </w:r>
      <w:r w:rsidRPr="005D777B">
        <w:rPr>
          <w:rFonts w:ascii="Arial" w:hAnsi="Arial" w:cs="Arial"/>
        </w:rPr>
        <w:t>. São Paulo: Clannad.</w:t>
      </w:r>
    </w:p>
    <w:p w14:paraId="33147B8E"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Ministério da Saúde (BR). (2016). </w:t>
      </w:r>
      <w:r w:rsidRPr="005D777B">
        <w:rPr>
          <w:rFonts w:ascii="Arial" w:hAnsi="Arial" w:cs="Arial"/>
          <w:i/>
          <w:iCs/>
        </w:rPr>
        <w:t>Protocolo de Suporte Avançado de Vida: Emergências Clínicas</w:t>
      </w:r>
      <w:r w:rsidRPr="005D777B">
        <w:rPr>
          <w:rFonts w:ascii="Arial" w:hAnsi="Arial" w:cs="Arial"/>
        </w:rPr>
        <w:t xml:space="preserve">. Brasília: Ministério da Saúde. </w:t>
      </w:r>
      <w:hyperlink r:id="rId8" w:tgtFrame="_new" w:history="1">
        <w:r w:rsidRPr="005D777B">
          <w:rPr>
            <w:rStyle w:val="Hyperlink"/>
            <w:rFonts w:ascii="Arial" w:hAnsi="Arial" w:cs="Arial"/>
          </w:rPr>
          <w:t>https://docs.bvsalud.org/biblioref/2023/06/859921/protocolo-de-suporte-avancado-de-vida-1.pdf</w:t>
        </w:r>
      </w:hyperlink>
    </w:p>
    <w:p w14:paraId="33D4C69C"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Ortiz, L. O. M., Damião, E. B. C., Rossato, L. M., &amp; Alves, R. C. P. (2017). Melhores práticas de enfermagem em educação em diabetes à criança hospitalizada: uma revisão integrativa. </w:t>
      </w:r>
      <w:r w:rsidRPr="005D777B">
        <w:rPr>
          <w:rFonts w:ascii="Arial" w:hAnsi="Arial" w:cs="Arial"/>
          <w:i/>
          <w:iCs/>
        </w:rPr>
        <w:t>Rev Eletr Enf</w:t>
      </w:r>
      <w:r w:rsidRPr="005D777B">
        <w:rPr>
          <w:rFonts w:ascii="Arial" w:hAnsi="Arial" w:cs="Arial"/>
        </w:rPr>
        <w:t>, 19, a56. https://doi.org/10.5216/ree.v19.44370</w:t>
      </w:r>
    </w:p>
    <w:p w14:paraId="04D42837"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Oliveira, S. M., Reichert, A. P. S., Araújo, Y. B., &amp; Collet, N. (2016). Contextos de cuidado à criança/adolescente com diabetes mellitus: uma abordagem socioambiental. </w:t>
      </w:r>
      <w:r w:rsidRPr="005D777B">
        <w:rPr>
          <w:rFonts w:ascii="Arial" w:hAnsi="Arial" w:cs="Arial"/>
          <w:i/>
          <w:iCs/>
        </w:rPr>
        <w:t>Rev Rene</w:t>
      </w:r>
      <w:r w:rsidRPr="005D777B">
        <w:rPr>
          <w:rFonts w:ascii="Arial" w:hAnsi="Arial" w:cs="Arial"/>
        </w:rPr>
        <w:t>, 17(1), 42–49. https://doi.org/10.15253/2175-6783.2016000100006</w:t>
      </w:r>
    </w:p>
    <w:p w14:paraId="5A177BC7"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Ramos, T. T. O., Soares, M. M., Oliveira, V. C., Vieira, M. A., &amp; Collet, N. (2022). Cetoacidose diabética em crianças e adolescentes com diabetes mellitus tipo 1 e fatores de risco associados. </w:t>
      </w:r>
      <w:r w:rsidRPr="005D777B">
        <w:rPr>
          <w:rFonts w:ascii="Arial" w:hAnsi="Arial" w:cs="Arial"/>
          <w:i/>
          <w:iCs/>
        </w:rPr>
        <w:t>Cogitare Enferm</w:t>
      </w:r>
      <w:r w:rsidRPr="005D777B">
        <w:rPr>
          <w:rFonts w:ascii="Arial" w:hAnsi="Arial" w:cs="Arial"/>
        </w:rPr>
        <w:t>, 27, e82388. https://doi.org/10.5380/ce.v27i0.82388</w:t>
      </w:r>
    </w:p>
    <w:p w14:paraId="51F46B2A"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Breton, M. D., Kanapka, L. G., Beck, R. W., Ekhlaspour, L., Forlenza, G. P., Cengiz, E., et al. (2020). A randomized trial of closed-loop control in children with type 1 diabetes. </w:t>
      </w:r>
      <w:r w:rsidRPr="005D777B">
        <w:rPr>
          <w:rFonts w:ascii="Arial" w:hAnsi="Arial" w:cs="Arial"/>
          <w:i/>
          <w:iCs/>
        </w:rPr>
        <w:t>N Engl J Med</w:t>
      </w:r>
      <w:r w:rsidRPr="005D777B">
        <w:rPr>
          <w:rFonts w:ascii="Arial" w:hAnsi="Arial" w:cs="Arial"/>
        </w:rPr>
        <w:t>, 383(9), 836–845. https://doi.org/10.1056/NEJMoa2004736</w:t>
      </w:r>
    </w:p>
    <w:p w14:paraId="28C01D59"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Hawkes, C. P., Willi, S. M., &amp; Murphy, K. M. (2019). A structured 1-year education program for children with newly diagnosed type 1 diabetes improves early glycemic control. </w:t>
      </w:r>
      <w:r w:rsidRPr="005D777B">
        <w:rPr>
          <w:rFonts w:ascii="Arial" w:hAnsi="Arial" w:cs="Arial"/>
          <w:i/>
          <w:iCs/>
        </w:rPr>
        <w:t>Pediatr Diabetes</w:t>
      </w:r>
      <w:r w:rsidRPr="005D777B">
        <w:rPr>
          <w:rFonts w:ascii="Arial" w:hAnsi="Arial" w:cs="Arial"/>
        </w:rPr>
        <w:t>, 20(4), 460–467. https://doi.org/10.1111/pedi.12849</w:t>
      </w:r>
    </w:p>
    <w:p w14:paraId="6D32B92B"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Valenzuela, J. M., Seid, M., Waitzfelder, B., Anderson, A. M., Beavers, D. P., Dabelea, D., et al. (2014). Prevalence of and disparities in barriers to care experienced by youth with type 1 diabetes. </w:t>
      </w:r>
      <w:r w:rsidRPr="005D777B">
        <w:rPr>
          <w:rFonts w:ascii="Arial" w:hAnsi="Arial" w:cs="Arial"/>
          <w:i/>
          <w:iCs/>
        </w:rPr>
        <w:t>J Pediatr</w:t>
      </w:r>
      <w:r w:rsidRPr="005D777B">
        <w:rPr>
          <w:rFonts w:ascii="Arial" w:hAnsi="Arial" w:cs="Arial"/>
        </w:rPr>
        <w:t>, 164(6), 1369–1375.e1. https://doi.org/10.1016/j.jpeds.2013.12.015</w:t>
      </w:r>
    </w:p>
    <w:p w14:paraId="4DF69EA8"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lastRenderedPageBreak/>
        <w:t xml:space="preserve">Garvey, K. C., Markowitz, J. T., &amp; Laffel, L. M. (2012). Transition to adult care for youth with type 1 diabetes. </w:t>
      </w:r>
      <w:r w:rsidRPr="005D777B">
        <w:rPr>
          <w:rFonts w:ascii="Arial" w:hAnsi="Arial" w:cs="Arial"/>
          <w:i/>
          <w:iCs/>
        </w:rPr>
        <w:t>Curr Diab Rep</w:t>
      </w:r>
      <w:r w:rsidRPr="005D777B">
        <w:rPr>
          <w:rFonts w:ascii="Arial" w:hAnsi="Arial" w:cs="Arial"/>
        </w:rPr>
        <w:t>, 12(5), 533–541. https://doi.org/10.1007/s11892-012-0311-6</w:t>
      </w:r>
    </w:p>
    <w:p w14:paraId="09316C93"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Sinisterra, M., Anderson, B. J., Katz, M. L., et al. (2021). Private insurance determines CGM use by young children with type 1 diabetes. </w:t>
      </w:r>
      <w:r w:rsidRPr="005D777B">
        <w:rPr>
          <w:rFonts w:ascii="Arial" w:hAnsi="Arial" w:cs="Arial"/>
          <w:i/>
          <w:iCs/>
        </w:rPr>
        <w:t>Diabetes Technol Ther</w:t>
      </w:r>
      <w:r w:rsidRPr="005D777B">
        <w:rPr>
          <w:rFonts w:ascii="Arial" w:hAnsi="Arial" w:cs="Arial"/>
        </w:rPr>
        <w:t>, 23(10), 685–692. https://doi.org/10.1089/dia.2021.0183</w:t>
      </w:r>
    </w:p>
    <w:p w14:paraId="481EF933"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Ministério da Saúde (BR). (2013). </w:t>
      </w:r>
      <w:r w:rsidRPr="005D777B">
        <w:rPr>
          <w:rFonts w:ascii="Arial" w:hAnsi="Arial" w:cs="Arial"/>
          <w:i/>
          <w:iCs/>
        </w:rPr>
        <w:t>Diretrizes para o cuidado da pessoa com doença crônica: diabetes mellitus</w:t>
      </w:r>
      <w:r w:rsidRPr="005D777B">
        <w:rPr>
          <w:rFonts w:ascii="Arial" w:hAnsi="Arial" w:cs="Arial"/>
        </w:rPr>
        <w:t>. Brasília: Ministério da Saúde. (Cadernos de Atenção Básica; n. 36).</w:t>
      </w:r>
    </w:p>
    <w:p w14:paraId="674B0366"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Wolfsdorf, J. I., Glaser, N., &amp; Sperling, M. A. (2022). ISPAD Clinical Practice Consensus Guidelines 2022: Diabetes in children and adolescents. </w:t>
      </w:r>
      <w:r w:rsidRPr="005D777B">
        <w:rPr>
          <w:rFonts w:ascii="Arial" w:hAnsi="Arial" w:cs="Arial"/>
          <w:i/>
          <w:iCs/>
        </w:rPr>
        <w:t>Pediatr Diabetes</w:t>
      </w:r>
      <w:r w:rsidRPr="005D777B">
        <w:rPr>
          <w:rFonts w:ascii="Arial" w:hAnsi="Arial" w:cs="Arial"/>
        </w:rPr>
        <w:t>, 23(Suppl 27), 5–46. https://doi.org/10.1111/pedi.13428</w:t>
      </w:r>
    </w:p>
    <w:p w14:paraId="43CE5325" w14:textId="77777777" w:rsidR="005D777B"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Schwandt, A., Hermann, J. M., Rosenbauer, J., et al. (2024). Longitudinal assessment of adherence to clinical guidelines in pediatric type 1 diabetes: influence of socioeconomic status in a universal healthcare system. </w:t>
      </w:r>
      <w:r w:rsidRPr="005D777B">
        <w:rPr>
          <w:rFonts w:ascii="Arial" w:hAnsi="Arial" w:cs="Arial"/>
          <w:i/>
          <w:iCs/>
        </w:rPr>
        <w:t>Pediatr Diabetes</w:t>
      </w:r>
      <w:r w:rsidRPr="005D777B">
        <w:rPr>
          <w:rFonts w:ascii="Arial" w:hAnsi="Arial" w:cs="Arial"/>
        </w:rPr>
        <w:t>, 25(3), 456–464. https://doi.org/10.1111/pedi.13567</w:t>
      </w:r>
    </w:p>
    <w:p w14:paraId="519D78B9" w14:textId="351A5BB3" w:rsidR="002C5E03" w:rsidRPr="005D777B" w:rsidRDefault="005D777B" w:rsidP="005D777B">
      <w:pPr>
        <w:numPr>
          <w:ilvl w:val="0"/>
          <w:numId w:val="1"/>
        </w:numPr>
        <w:spacing w:line="360" w:lineRule="auto"/>
        <w:jc w:val="both"/>
        <w:rPr>
          <w:rFonts w:ascii="Arial" w:hAnsi="Arial" w:cs="Arial"/>
        </w:rPr>
      </w:pPr>
      <w:r w:rsidRPr="005D777B">
        <w:rPr>
          <w:rFonts w:ascii="Arial" w:hAnsi="Arial" w:cs="Arial"/>
        </w:rPr>
        <w:t xml:space="preserve">Mastromatteo, M., Smith, D., Romano, C., et al. (2022). Impact of school nurse involvement in the management of children with type 1 diabetes using insulin pumps and continuous glucose monitoring in educational settings. </w:t>
      </w:r>
      <w:r w:rsidRPr="005D777B">
        <w:rPr>
          <w:rFonts w:ascii="Arial" w:hAnsi="Arial" w:cs="Arial"/>
          <w:i/>
          <w:iCs/>
        </w:rPr>
        <w:t>Diseases</w:t>
      </w:r>
      <w:r w:rsidRPr="005D777B">
        <w:rPr>
          <w:rFonts w:ascii="Arial" w:hAnsi="Arial" w:cs="Arial"/>
        </w:rPr>
        <w:t>, 10(3), 173. https://doi.org/10.3390/diseases10030173</w:t>
      </w:r>
    </w:p>
    <w:sectPr w:rsidR="002C5E03" w:rsidRPr="005D777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E57EB" w14:textId="77777777" w:rsidR="009970A1" w:rsidRDefault="009970A1" w:rsidP="009E4CA9">
      <w:pPr>
        <w:spacing w:after="0" w:line="240" w:lineRule="auto"/>
      </w:pPr>
      <w:r>
        <w:separator/>
      </w:r>
    </w:p>
  </w:endnote>
  <w:endnote w:type="continuationSeparator" w:id="0">
    <w:p w14:paraId="16429F58" w14:textId="77777777" w:rsidR="009970A1" w:rsidRDefault="009970A1" w:rsidP="009E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1645" w14:textId="77777777" w:rsidR="009E4CA9" w:rsidRDefault="009E4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A267B" w14:textId="77777777" w:rsidR="009E4CA9" w:rsidRDefault="009E4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CCF46" w14:textId="77777777" w:rsidR="009E4CA9" w:rsidRDefault="009E4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37ADA" w14:textId="77777777" w:rsidR="009970A1" w:rsidRDefault="009970A1" w:rsidP="009E4CA9">
      <w:pPr>
        <w:spacing w:after="0" w:line="240" w:lineRule="auto"/>
      </w:pPr>
      <w:r>
        <w:separator/>
      </w:r>
    </w:p>
  </w:footnote>
  <w:footnote w:type="continuationSeparator" w:id="0">
    <w:p w14:paraId="24F72E09" w14:textId="77777777" w:rsidR="009970A1" w:rsidRDefault="009970A1" w:rsidP="009E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01C2F" w14:textId="2B3798A8" w:rsidR="009E4CA9" w:rsidRDefault="009970A1">
    <w:pPr>
      <w:pStyle w:val="Header"/>
    </w:pPr>
    <w:r>
      <w:rPr>
        <w:noProof/>
      </w:rPr>
      <w:pict w14:anchorId="74884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8028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65690" w14:textId="247F67E9" w:rsidR="009E4CA9" w:rsidRDefault="009970A1">
    <w:pPr>
      <w:pStyle w:val="Header"/>
    </w:pPr>
    <w:r>
      <w:rPr>
        <w:noProof/>
      </w:rPr>
      <w:pict w14:anchorId="2A269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8028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1831" w14:textId="667CC2B2" w:rsidR="009E4CA9" w:rsidRDefault="009970A1">
    <w:pPr>
      <w:pStyle w:val="Header"/>
    </w:pPr>
    <w:r>
      <w:rPr>
        <w:noProof/>
      </w:rPr>
      <w:pict w14:anchorId="3289A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8028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014F7"/>
    <w:multiLevelType w:val="multilevel"/>
    <w:tmpl w:val="DC9A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34655E"/>
    <w:multiLevelType w:val="multilevel"/>
    <w:tmpl w:val="1C02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03"/>
    <w:rsid w:val="00163694"/>
    <w:rsid w:val="002977E1"/>
    <w:rsid w:val="002C5E03"/>
    <w:rsid w:val="003709AB"/>
    <w:rsid w:val="003C72C2"/>
    <w:rsid w:val="005C2DF4"/>
    <w:rsid w:val="005D777B"/>
    <w:rsid w:val="006371D4"/>
    <w:rsid w:val="008F01E0"/>
    <w:rsid w:val="009970A1"/>
    <w:rsid w:val="009E4CA9"/>
    <w:rsid w:val="00AD518D"/>
    <w:rsid w:val="00C733DE"/>
    <w:rsid w:val="00CA34A3"/>
    <w:rsid w:val="00EB1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56CBF0"/>
  <w15:chartTrackingRefBased/>
  <w15:docId w15:val="{D1C8BF41-8F28-4A3E-8BC5-CB9BEAA3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77B"/>
  </w:style>
  <w:style w:type="paragraph" w:styleId="Heading2">
    <w:name w:val="heading 2"/>
    <w:basedOn w:val="Normal"/>
    <w:next w:val="Normal"/>
    <w:link w:val="Heading2Char"/>
    <w:uiPriority w:val="9"/>
    <w:semiHidden/>
    <w:unhideWhenUsed/>
    <w:qFormat/>
    <w:rsid w:val="005D77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D777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5D777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777B"/>
    <w:rPr>
      <w:color w:val="0563C1" w:themeColor="hyperlink"/>
      <w:u w:val="single"/>
    </w:rPr>
  </w:style>
  <w:style w:type="character" w:styleId="UnresolvedMention">
    <w:name w:val="Unresolved Mention"/>
    <w:basedOn w:val="DefaultParagraphFont"/>
    <w:uiPriority w:val="99"/>
    <w:semiHidden/>
    <w:unhideWhenUsed/>
    <w:rsid w:val="005D777B"/>
    <w:rPr>
      <w:color w:val="605E5C"/>
      <w:shd w:val="clear" w:color="auto" w:fill="E1DFDD"/>
    </w:rPr>
  </w:style>
  <w:style w:type="paragraph" w:styleId="Header">
    <w:name w:val="header"/>
    <w:basedOn w:val="Normal"/>
    <w:link w:val="HeaderChar"/>
    <w:uiPriority w:val="99"/>
    <w:unhideWhenUsed/>
    <w:rsid w:val="009E4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CA9"/>
  </w:style>
  <w:style w:type="paragraph" w:styleId="Footer">
    <w:name w:val="footer"/>
    <w:basedOn w:val="Normal"/>
    <w:link w:val="FooterChar"/>
    <w:uiPriority w:val="99"/>
    <w:unhideWhenUsed/>
    <w:rsid w:val="009E4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2414">
      <w:bodyDiv w:val="1"/>
      <w:marLeft w:val="0"/>
      <w:marRight w:val="0"/>
      <w:marTop w:val="0"/>
      <w:marBottom w:val="0"/>
      <w:divBdr>
        <w:top w:val="none" w:sz="0" w:space="0" w:color="auto"/>
        <w:left w:val="none" w:sz="0" w:space="0" w:color="auto"/>
        <w:bottom w:val="none" w:sz="0" w:space="0" w:color="auto"/>
        <w:right w:val="none" w:sz="0" w:space="0" w:color="auto"/>
      </w:divBdr>
    </w:div>
    <w:div w:id="201483394">
      <w:bodyDiv w:val="1"/>
      <w:marLeft w:val="0"/>
      <w:marRight w:val="0"/>
      <w:marTop w:val="0"/>
      <w:marBottom w:val="0"/>
      <w:divBdr>
        <w:top w:val="none" w:sz="0" w:space="0" w:color="auto"/>
        <w:left w:val="none" w:sz="0" w:space="0" w:color="auto"/>
        <w:bottom w:val="none" w:sz="0" w:space="0" w:color="auto"/>
        <w:right w:val="none" w:sz="0" w:space="0" w:color="auto"/>
      </w:divBdr>
    </w:div>
    <w:div w:id="246767341">
      <w:bodyDiv w:val="1"/>
      <w:marLeft w:val="0"/>
      <w:marRight w:val="0"/>
      <w:marTop w:val="0"/>
      <w:marBottom w:val="0"/>
      <w:divBdr>
        <w:top w:val="none" w:sz="0" w:space="0" w:color="auto"/>
        <w:left w:val="none" w:sz="0" w:space="0" w:color="auto"/>
        <w:bottom w:val="none" w:sz="0" w:space="0" w:color="auto"/>
        <w:right w:val="none" w:sz="0" w:space="0" w:color="auto"/>
      </w:divBdr>
    </w:div>
    <w:div w:id="291332192">
      <w:bodyDiv w:val="1"/>
      <w:marLeft w:val="0"/>
      <w:marRight w:val="0"/>
      <w:marTop w:val="0"/>
      <w:marBottom w:val="0"/>
      <w:divBdr>
        <w:top w:val="none" w:sz="0" w:space="0" w:color="auto"/>
        <w:left w:val="none" w:sz="0" w:space="0" w:color="auto"/>
        <w:bottom w:val="none" w:sz="0" w:space="0" w:color="auto"/>
        <w:right w:val="none" w:sz="0" w:space="0" w:color="auto"/>
      </w:divBdr>
    </w:div>
    <w:div w:id="1068188513">
      <w:bodyDiv w:val="1"/>
      <w:marLeft w:val="0"/>
      <w:marRight w:val="0"/>
      <w:marTop w:val="0"/>
      <w:marBottom w:val="0"/>
      <w:divBdr>
        <w:top w:val="none" w:sz="0" w:space="0" w:color="auto"/>
        <w:left w:val="none" w:sz="0" w:space="0" w:color="auto"/>
        <w:bottom w:val="none" w:sz="0" w:space="0" w:color="auto"/>
        <w:right w:val="none" w:sz="0" w:space="0" w:color="auto"/>
      </w:divBdr>
    </w:div>
    <w:div w:id="1188830573">
      <w:bodyDiv w:val="1"/>
      <w:marLeft w:val="0"/>
      <w:marRight w:val="0"/>
      <w:marTop w:val="0"/>
      <w:marBottom w:val="0"/>
      <w:divBdr>
        <w:top w:val="none" w:sz="0" w:space="0" w:color="auto"/>
        <w:left w:val="none" w:sz="0" w:space="0" w:color="auto"/>
        <w:bottom w:val="none" w:sz="0" w:space="0" w:color="auto"/>
        <w:right w:val="none" w:sz="0" w:space="0" w:color="auto"/>
      </w:divBdr>
    </w:div>
    <w:div w:id="1253660434">
      <w:bodyDiv w:val="1"/>
      <w:marLeft w:val="0"/>
      <w:marRight w:val="0"/>
      <w:marTop w:val="0"/>
      <w:marBottom w:val="0"/>
      <w:divBdr>
        <w:top w:val="none" w:sz="0" w:space="0" w:color="auto"/>
        <w:left w:val="none" w:sz="0" w:space="0" w:color="auto"/>
        <w:bottom w:val="none" w:sz="0" w:space="0" w:color="auto"/>
        <w:right w:val="none" w:sz="0" w:space="0" w:color="auto"/>
      </w:divBdr>
    </w:div>
    <w:div w:id="1428765566">
      <w:bodyDiv w:val="1"/>
      <w:marLeft w:val="0"/>
      <w:marRight w:val="0"/>
      <w:marTop w:val="0"/>
      <w:marBottom w:val="0"/>
      <w:divBdr>
        <w:top w:val="none" w:sz="0" w:space="0" w:color="auto"/>
        <w:left w:val="none" w:sz="0" w:space="0" w:color="auto"/>
        <w:bottom w:val="none" w:sz="0" w:space="0" w:color="auto"/>
        <w:right w:val="none" w:sz="0" w:space="0" w:color="auto"/>
      </w:divBdr>
    </w:div>
    <w:div w:id="1650672437">
      <w:bodyDiv w:val="1"/>
      <w:marLeft w:val="0"/>
      <w:marRight w:val="0"/>
      <w:marTop w:val="0"/>
      <w:marBottom w:val="0"/>
      <w:divBdr>
        <w:top w:val="none" w:sz="0" w:space="0" w:color="auto"/>
        <w:left w:val="none" w:sz="0" w:space="0" w:color="auto"/>
        <w:bottom w:val="none" w:sz="0" w:space="0" w:color="auto"/>
        <w:right w:val="none" w:sz="0" w:space="0" w:color="auto"/>
      </w:divBdr>
    </w:div>
    <w:div w:id="18006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bvsalud.org/biblioref/2023/06/859921/protocolo-de-suporte-avancado-de-vida-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i-admin.bvsalud.org/document/view/bfxe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13</Pages>
  <Words>4959</Words>
  <Characters>28271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SDI 1138</cp:lastModifiedBy>
  <cp:revision>14</cp:revision>
  <dcterms:created xsi:type="dcterms:W3CDTF">2025-05-01T12:52:00Z</dcterms:created>
  <dcterms:modified xsi:type="dcterms:W3CDTF">2025-05-05T12:01:00Z</dcterms:modified>
</cp:coreProperties>
</file>