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35B44" w14:textId="77777777" w:rsidR="00756631" w:rsidRPr="00721B28" w:rsidRDefault="00756631" w:rsidP="00721B28">
      <w:pPr>
        <w:pStyle w:val="NoSpacing"/>
        <w:rPr>
          <w:rFonts w:ascii="Arial" w:hAnsi="Arial" w:cs="Arial"/>
          <w:b/>
          <w:bCs/>
          <w:i/>
          <w:iCs/>
          <w:sz w:val="28"/>
          <w:szCs w:val="28"/>
          <w:u w:val="single"/>
          <w:lang w:val="en-IN"/>
        </w:rPr>
      </w:pPr>
    </w:p>
    <w:p w14:paraId="707A2BB2" w14:textId="4B06411F" w:rsidR="00593A43" w:rsidRPr="00593A43" w:rsidRDefault="0003271C" w:rsidP="0003271C">
      <w:pPr>
        <w:jc w:val="both"/>
        <w:rPr>
          <w:lang w:val="en-IN"/>
        </w:rPr>
      </w:pPr>
      <w:r w:rsidRPr="00DB605E">
        <w:rPr>
          <w:rFonts w:ascii="Arial" w:hAnsi="Arial" w:cs="Arial"/>
          <w:b/>
          <w:bCs/>
          <w:sz w:val="36"/>
          <w:szCs w:val="36"/>
          <w:lang w:val="en-IN"/>
        </w:rPr>
        <w:t xml:space="preserve">Growth Response to </w:t>
      </w:r>
      <w:r>
        <w:rPr>
          <w:rFonts w:ascii="Arial" w:hAnsi="Arial" w:cs="Arial"/>
          <w:b/>
          <w:bCs/>
          <w:sz w:val="36"/>
          <w:szCs w:val="36"/>
          <w:lang w:val="en-IN"/>
        </w:rPr>
        <w:t xml:space="preserve">a </w:t>
      </w:r>
      <w:r w:rsidRPr="00DB605E">
        <w:rPr>
          <w:rFonts w:ascii="Arial" w:hAnsi="Arial" w:cs="Arial"/>
          <w:b/>
          <w:bCs/>
          <w:sz w:val="36"/>
          <w:szCs w:val="36"/>
          <w:lang w:val="en-IN"/>
        </w:rPr>
        <w:t>Scientific Feeding Intervention in Fattening Male Murrah Buffalo</w:t>
      </w:r>
      <w:r>
        <w:rPr>
          <w:rFonts w:ascii="Arial" w:hAnsi="Arial" w:cs="Arial"/>
          <w:b/>
          <w:bCs/>
          <w:sz w:val="36"/>
          <w:szCs w:val="36"/>
          <w:lang w:val="en-IN"/>
        </w:rPr>
        <w:t xml:space="preserve"> </w:t>
      </w:r>
      <w:r w:rsidRPr="00DB605E">
        <w:rPr>
          <w:rFonts w:ascii="Arial" w:hAnsi="Arial" w:cs="Arial"/>
          <w:b/>
          <w:bCs/>
          <w:sz w:val="36"/>
          <w:szCs w:val="36"/>
          <w:lang w:val="en-IN"/>
        </w:rPr>
        <w:t>Crossbred</w:t>
      </w:r>
      <w:r>
        <w:rPr>
          <w:rFonts w:ascii="Arial" w:hAnsi="Arial" w:cs="Arial"/>
          <w:b/>
          <w:bCs/>
          <w:sz w:val="36"/>
          <w:szCs w:val="36"/>
          <w:lang w:val="en-IN"/>
        </w:rPr>
        <w:t>s u</w:t>
      </w:r>
      <w:r w:rsidR="00BF189F">
        <w:rPr>
          <w:rFonts w:ascii="Arial" w:hAnsi="Arial" w:cs="Arial"/>
          <w:b/>
          <w:bCs/>
          <w:sz w:val="36"/>
          <w:szCs w:val="36"/>
          <w:lang w:val="en-IN"/>
        </w:rPr>
        <w:t>nder Field Conditions in Kerala, India</w:t>
      </w:r>
    </w:p>
    <w:p w14:paraId="5B6602B1" w14:textId="7B2B924D" w:rsidR="000D2B4C" w:rsidRPr="00DB605E" w:rsidRDefault="000D2B4C" w:rsidP="000D2B4C">
      <w:pPr>
        <w:spacing w:after="0" w:line="360" w:lineRule="auto"/>
        <w:jc w:val="both"/>
        <w:rPr>
          <w:rFonts w:ascii="Arial" w:hAnsi="Arial" w:cs="Arial"/>
          <w:b/>
          <w:bCs/>
          <w:lang w:val="en-IN"/>
        </w:rPr>
      </w:pPr>
      <w:r w:rsidRPr="00DB605E">
        <w:rPr>
          <w:rFonts w:ascii="Arial" w:hAnsi="Arial" w:cs="Arial"/>
          <w:b/>
          <w:bCs/>
          <w:lang w:val="en-IN"/>
        </w:rPr>
        <w:t>ABSTRACT</w:t>
      </w:r>
    </w:p>
    <w:p w14:paraId="7392A49B" w14:textId="71DFE9E0" w:rsidR="000D2B4C" w:rsidRPr="00DB605E" w:rsidRDefault="000D2B4C" w:rsidP="000D2B4C">
      <w:pPr>
        <w:spacing w:after="0" w:line="360" w:lineRule="auto"/>
        <w:jc w:val="both"/>
        <w:rPr>
          <w:rFonts w:ascii="Arial" w:hAnsi="Arial" w:cs="Arial"/>
          <w:sz w:val="20"/>
          <w:szCs w:val="20"/>
          <w:lang w:val="en-IN"/>
        </w:rPr>
      </w:pPr>
      <w:r w:rsidRPr="00DB605E">
        <w:rPr>
          <w:rFonts w:ascii="Arial" w:hAnsi="Arial" w:cs="Arial"/>
          <w:sz w:val="20"/>
          <w:szCs w:val="20"/>
          <w:lang w:val="en-IN"/>
        </w:rPr>
        <w:t>Buffaloes</w:t>
      </w:r>
      <w:r w:rsidR="003A1461">
        <w:rPr>
          <w:rFonts w:ascii="Arial" w:hAnsi="Arial" w:cs="Arial"/>
          <w:sz w:val="20"/>
          <w:szCs w:val="20"/>
          <w:lang w:val="en-IN"/>
        </w:rPr>
        <w:t xml:space="preserve"> rearing</w:t>
      </w:r>
      <w:r w:rsidRPr="00DB605E">
        <w:rPr>
          <w:rFonts w:ascii="Arial" w:hAnsi="Arial" w:cs="Arial"/>
          <w:sz w:val="20"/>
          <w:szCs w:val="20"/>
          <w:lang w:val="en-IN"/>
        </w:rPr>
        <w:t xml:space="preserve"> </w:t>
      </w:r>
      <w:r w:rsidR="003A1461" w:rsidRPr="00DB605E">
        <w:rPr>
          <w:rFonts w:ascii="Arial" w:hAnsi="Arial" w:cs="Arial"/>
          <w:sz w:val="20"/>
          <w:szCs w:val="20"/>
          <w:lang w:val="en-IN"/>
        </w:rPr>
        <w:t>play</w:t>
      </w:r>
      <w:r w:rsidRPr="00DB605E">
        <w:rPr>
          <w:rFonts w:ascii="Arial" w:hAnsi="Arial" w:cs="Arial"/>
          <w:sz w:val="20"/>
          <w:szCs w:val="20"/>
          <w:lang w:val="en-IN"/>
        </w:rPr>
        <w:t xml:space="preserve"> a vital role in India’s rural economy, contributing significantly to milk and meat production. While buffalo milk has received considerable policy and research attention, the rising demand for buffalo meat, particularly from male buffaloes necessitates focus on growth optimisation. In Kerala, where smallholder systems dominate, buffalo meat production remains limited and often constrained by inadequate and </w:t>
      </w:r>
      <w:r w:rsidR="003A1461">
        <w:rPr>
          <w:rFonts w:ascii="Arial" w:hAnsi="Arial" w:cs="Arial"/>
          <w:sz w:val="20"/>
          <w:szCs w:val="20"/>
          <w:lang w:val="en-IN"/>
        </w:rPr>
        <w:t>im</w:t>
      </w:r>
      <w:r w:rsidRPr="00DB605E">
        <w:rPr>
          <w:rFonts w:ascii="Arial" w:hAnsi="Arial" w:cs="Arial"/>
          <w:sz w:val="20"/>
          <w:szCs w:val="20"/>
          <w:lang w:val="en-IN"/>
        </w:rPr>
        <w:t>balanced feeding practices, leading to poor growth and economic returns.</w:t>
      </w:r>
      <w:r w:rsidR="00BA6C80" w:rsidRPr="00DB605E">
        <w:rPr>
          <w:rFonts w:ascii="Arial" w:hAnsi="Arial" w:cs="Arial"/>
          <w:sz w:val="20"/>
          <w:szCs w:val="20"/>
          <w:lang w:val="en-IN"/>
        </w:rPr>
        <w:t xml:space="preserve"> </w:t>
      </w:r>
      <w:r w:rsidRPr="00DB605E">
        <w:rPr>
          <w:rFonts w:ascii="Arial" w:hAnsi="Arial" w:cs="Arial"/>
          <w:sz w:val="20"/>
          <w:szCs w:val="20"/>
          <w:lang w:val="en-IN"/>
        </w:rPr>
        <w:t>This study assessed the impact of a scientifically formulated feeding intervention on the growth performance of Murrah crossbred male buffaloes raised for meat in Thrissur, Kerala. A total of 28 animals were enrolled, of which 24 were retained for analysis after excluding extreme outliers. Over a 60-day period, buffaloes were maintained under uniform management conditions with a total mixed ration (TMR) containing 18% crude protein. Body weight w</w:t>
      </w:r>
      <w:r w:rsidR="003A1461">
        <w:rPr>
          <w:rFonts w:ascii="Arial" w:hAnsi="Arial" w:cs="Arial"/>
          <w:sz w:val="20"/>
          <w:szCs w:val="20"/>
          <w:lang w:val="en-IN"/>
        </w:rPr>
        <w:t>as</w:t>
      </w:r>
      <w:r w:rsidRPr="00DB605E">
        <w:rPr>
          <w:rFonts w:ascii="Arial" w:hAnsi="Arial" w:cs="Arial"/>
          <w:sz w:val="20"/>
          <w:szCs w:val="20"/>
          <w:lang w:val="en-IN"/>
        </w:rPr>
        <w:t xml:space="preserve"> estimated using Shaeffer’s formula, and average daily gain (ADG) was calculated. A paired t-test was conducted to assess statistical </w:t>
      </w:r>
      <w:r w:rsidR="00BA6C80" w:rsidRPr="00DB605E">
        <w:rPr>
          <w:rFonts w:ascii="Arial" w:hAnsi="Arial" w:cs="Arial"/>
          <w:sz w:val="20"/>
          <w:szCs w:val="20"/>
          <w:lang w:val="en-IN"/>
        </w:rPr>
        <w:t>significance. The</w:t>
      </w:r>
      <w:r w:rsidRPr="00DB605E">
        <w:rPr>
          <w:rFonts w:ascii="Arial" w:hAnsi="Arial" w:cs="Arial"/>
          <w:sz w:val="20"/>
          <w:szCs w:val="20"/>
          <w:lang w:val="en-IN"/>
        </w:rPr>
        <w:t xml:space="preserve"> initial mean body weight was 181.92 ± 9.81 kg, increasing to 202.28 ± 8.32 kg post-intervention (p = 0.0068). The average gain was 20.36 ± 6.85 kg, with an ADG of 0.34 kg/day. Approximately 87.5% of the buffaloes demonstrated positive weight gain, indicating the effectiveness of the feeding strategy.</w:t>
      </w:r>
      <w:r w:rsidR="003413EB" w:rsidRPr="00DB605E">
        <w:rPr>
          <w:rFonts w:ascii="Arial" w:hAnsi="Arial" w:cs="Arial"/>
          <w:sz w:val="20"/>
          <w:szCs w:val="20"/>
          <w:lang w:val="en-IN"/>
        </w:rPr>
        <w:t xml:space="preserve"> </w:t>
      </w:r>
      <w:r w:rsidRPr="00DB605E">
        <w:rPr>
          <w:rFonts w:ascii="Arial" w:hAnsi="Arial" w:cs="Arial"/>
          <w:sz w:val="20"/>
          <w:szCs w:val="20"/>
          <w:lang w:val="en-IN"/>
        </w:rPr>
        <w:t>The results confirm</w:t>
      </w:r>
      <w:r w:rsidR="003A1461">
        <w:rPr>
          <w:rFonts w:ascii="Arial" w:hAnsi="Arial" w:cs="Arial"/>
          <w:sz w:val="20"/>
          <w:szCs w:val="20"/>
          <w:lang w:val="en-IN"/>
        </w:rPr>
        <w:t>ed</w:t>
      </w:r>
      <w:r w:rsidRPr="00DB605E">
        <w:rPr>
          <w:rFonts w:ascii="Arial" w:hAnsi="Arial" w:cs="Arial"/>
          <w:sz w:val="20"/>
          <w:szCs w:val="20"/>
          <w:lang w:val="en-IN"/>
        </w:rPr>
        <w:t xml:space="preserve"> that short-term, scie</w:t>
      </w:r>
      <w:r w:rsidR="003A1461">
        <w:rPr>
          <w:rFonts w:ascii="Arial" w:hAnsi="Arial" w:cs="Arial"/>
          <w:sz w:val="20"/>
          <w:szCs w:val="20"/>
          <w:lang w:val="en-IN"/>
        </w:rPr>
        <w:t>ntific</w:t>
      </w:r>
      <w:r w:rsidRPr="00DB605E">
        <w:rPr>
          <w:rFonts w:ascii="Arial" w:hAnsi="Arial" w:cs="Arial"/>
          <w:sz w:val="20"/>
          <w:szCs w:val="20"/>
          <w:lang w:val="en-IN"/>
        </w:rPr>
        <w:t xml:space="preserve"> nutritional interventions can significantly enhance weight gain in male buffaloes under field conditions. Wider adoption of standard feeding protocols, combined with farmer education and extension support, could improve meat productivity and profitability in smallholder systems. </w:t>
      </w:r>
    </w:p>
    <w:p w14:paraId="20FF9A6B" w14:textId="77777777" w:rsidR="000D2B4C" w:rsidRPr="00593A43" w:rsidRDefault="000D2B4C" w:rsidP="007351BD">
      <w:pPr>
        <w:spacing w:after="0" w:line="360" w:lineRule="auto"/>
        <w:jc w:val="both"/>
        <w:rPr>
          <w:rFonts w:ascii="Times New Roman" w:hAnsi="Times New Roman" w:cs="Times New Roman"/>
          <w:b/>
          <w:bCs/>
          <w:sz w:val="24"/>
          <w:szCs w:val="24"/>
        </w:rPr>
      </w:pPr>
    </w:p>
    <w:p w14:paraId="7E69F6F9" w14:textId="3E7374B9" w:rsidR="00593A43" w:rsidRPr="000C69AE" w:rsidRDefault="00DB605E" w:rsidP="00593A43">
      <w:pPr>
        <w:tabs>
          <w:tab w:val="num" w:pos="720"/>
        </w:tabs>
        <w:spacing w:after="0" w:line="360" w:lineRule="auto"/>
        <w:jc w:val="both"/>
        <w:rPr>
          <w:rFonts w:ascii="Arial" w:hAnsi="Arial" w:cs="Arial"/>
          <w:i/>
          <w:iCs/>
          <w:sz w:val="20"/>
          <w:szCs w:val="20"/>
          <w:lang w:val="en-IN"/>
        </w:rPr>
      </w:pPr>
      <w:r w:rsidRPr="00DB605E">
        <w:rPr>
          <w:rFonts w:ascii="Arial" w:hAnsi="Arial" w:cs="Arial"/>
          <w:b/>
          <w:bCs/>
          <w:i/>
          <w:iCs/>
          <w:sz w:val="20"/>
          <w:szCs w:val="20"/>
        </w:rPr>
        <w:t>Keywords</w:t>
      </w:r>
      <w:r w:rsidR="000D2B4C" w:rsidRPr="00DB605E">
        <w:rPr>
          <w:rFonts w:ascii="Arial" w:hAnsi="Arial" w:cs="Arial"/>
          <w:b/>
          <w:bCs/>
          <w:i/>
          <w:iCs/>
          <w:sz w:val="20"/>
          <w:szCs w:val="20"/>
        </w:rPr>
        <w:t>:</w:t>
      </w:r>
      <w:r w:rsidR="00593A43" w:rsidRPr="00DB605E">
        <w:rPr>
          <w:rFonts w:ascii="Arial" w:hAnsi="Arial" w:cs="Arial"/>
          <w:b/>
          <w:bCs/>
          <w:i/>
          <w:iCs/>
          <w:sz w:val="20"/>
          <w:szCs w:val="20"/>
        </w:rPr>
        <w:t xml:space="preserve"> </w:t>
      </w:r>
      <w:r w:rsidR="00593A43" w:rsidRPr="00DB605E">
        <w:rPr>
          <w:rFonts w:ascii="Arial" w:hAnsi="Arial" w:cs="Arial"/>
          <w:i/>
          <w:iCs/>
          <w:sz w:val="20"/>
          <w:szCs w:val="20"/>
          <w:lang w:val="en-IN"/>
        </w:rPr>
        <w:t>Nutritional intervention, Average daily gain</w:t>
      </w:r>
      <w:r w:rsidR="000C69AE">
        <w:rPr>
          <w:rFonts w:ascii="Arial" w:hAnsi="Arial" w:cs="Arial"/>
          <w:i/>
          <w:iCs/>
          <w:sz w:val="20"/>
          <w:szCs w:val="20"/>
          <w:lang w:val="en-IN"/>
        </w:rPr>
        <w:t>,</w:t>
      </w:r>
      <w:r w:rsidR="003A1461">
        <w:rPr>
          <w:rFonts w:ascii="Arial" w:hAnsi="Arial" w:cs="Arial"/>
          <w:i/>
          <w:iCs/>
          <w:sz w:val="20"/>
          <w:szCs w:val="20"/>
          <w:lang w:val="en-IN"/>
        </w:rPr>
        <w:t xml:space="preserve"> </w:t>
      </w:r>
      <w:proofErr w:type="spellStart"/>
      <w:r w:rsidR="00C02AA3" w:rsidRPr="00DB605E">
        <w:rPr>
          <w:rFonts w:ascii="Arial" w:hAnsi="Arial" w:cs="Arial"/>
          <w:i/>
          <w:iCs/>
          <w:sz w:val="20"/>
          <w:szCs w:val="20"/>
          <w:lang w:val="en-IN"/>
        </w:rPr>
        <w:t>G</w:t>
      </w:r>
      <w:r w:rsidR="000C69AE">
        <w:rPr>
          <w:rFonts w:ascii="Arial" w:hAnsi="Arial" w:cs="Arial"/>
          <w:i/>
          <w:iCs/>
          <w:sz w:val="20"/>
          <w:szCs w:val="20"/>
          <w:lang w:val="en-IN"/>
        </w:rPr>
        <w:t>rowt</w:t>
      </w:r>
      <w:proofErr w:type="spellEnd"/>
      <w:r w:rsidR="000C69AE">
        <w:rPr>
          <w:rFonts w:ascii="Arial" w:hAnsi="Arial" w:cs="Arial"/>
          <w:i/>
          <w:iCs/>
          <w:sz w:val="20"/>
          <w:szCs w:val="20"/>
          <w:lang w:val="en-IN"/>
        </w:rPr>
        <w:t xml:space="preserve">, </w:t>
      </w:r>
      <w:r w:rsidR="000C69AE" w:rsidRPr="000C69AE">
        <w:rPr>
          <w:rFonts w:ascii="Arial" w:hAnsi="Arial" w:cs="Arial"/>
          <w:bCs/>
          <w:i/>
          <w:sz w:val="20"/>
          <w:szCs w:val="20"/>
          <w:lang w:val="en-IN"/>
        </w:rPr>
        <w:t xml:space="preserve">Buffalo, Field Conditions </w:t>
      </w:r>
    </w:p>
    <w:p w14:paraId="0794B075" w14:textId="77777777" w:rsidR="007351BD" w:rsidRDefault="007351BD" w:rsidP="00DD69FB">
      <w:pPr>
        <w:spacing w:after="0" w:line="360" w:lineRule="auto"/>
        <w:jc w:val="both"/>
        <w:rPr>
          <w:rFonts w:ascii="Times New Roman" w:hAnsi="Times New Roman" w:cs="Times New Roman"/>
          <w:b/>
          <w:bCs/>
          <w:sz w:val="24"/>
          <w:szCs w:val="24"/>
          <w:lang w:val="en-IN"/>
        </w:rPr>
      </w:pPr>
    </w:p>
    <w:p w14:paraId="615F22A1" w14:textId="36020C0A" w:rsidR="00DD69FB" w:rsidRPr="00DB605E" w:rsidRDefault="00DD69FB" w:rsidP="00DD69FB">
      <w:pPr>
        <w:spacing w:after="0" w:line="360" w:lineRule="auto"/>
        <w:jc w:val="both"/>
        <w:rPr>
          <w:rFonts w:ascii="Arial" w:hAnsi="Arial" w:cs="Arial"/>
          <w:b/>
          <w:bCs/>
          <w:lang w:val="en-IN"/>
        </w:rPr>
      </w:pPr>
      <w:r w:rsidRPr="00DB605E">
        <w:rPr>
          <w:rFonts w:ascii="Arial" w:hAnsi="Arial" w:cs="Arial"/>
          <w:b/>
          <w:bCs/>
          <w:lang w:val="en-IN"/>
        </w:rPr>
        <w:t>INTRODUCTION</w:t>
      </w:r>
    </w:p>
    <w:p w14:paraId="06A2C508" w14:textId="5CDC01FD" w:rsidR="00DD69FB" w:rsidRPr="00DB605E" w:rsidRDefault="00DD69FB" w:rsidP="00DD69FB">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Buffaloe</w:t>
      </w:r>
      <w:r w:rsidR="008E6A05" w:rsidRPr="00DB605E">
        <w:rPr>
          <w:rFonts w:ascii="Arial" w:hAnsi="Arial" w:cs="Arial"/>
          <w:sz w:val="20"/>
          <w:szCs w:val="20"/>
          <w:lang w:val="en-IN"/>
        </w:rPr>
        <w:t xml:space="preserve"> rearing </w:t>
      </w:r>
      <w:r w:rsidRPr="00DB605E">
        <w:rPr>
          <w:rFonts w:ascii="Arial" w:hAnsi="Arial" w:cs="Arial"/>
          <w:sz w:val="20"/>
          <w:szCs w:val="20"/>
          <w:lang w:val="en-IN"/>
        </w:rPr>
        <w:t xml:space="preserve">constitute a vital component of India’s livestock-based rural economy, significantly contributing to both milk and meat </w:t>
      </w:r>
      <w:r w:rsidR="0020640E" w:rsidRPr="00DB605E">
        <w:rPr>
          <w:rFonts w:ascii="Arial" w:hAnsi="Arial" w:cs="Arial"/>
          <w:sz w:val="20"/>
          <w:szCs w:val="20"/>
          <w:lang w:val="en-IN"/>
        </w:rPr>
        <w:t>production.</w:t>
      </w:r>
      <w:r w:rsidRPr="00DB605E">
        <w:rPr>
          <w:rFonts w:ascii="Arial" w:hAnsi="Arial" w:cs="Arial"/>
          <w:sz w:val="20"/>
          <w:szCs w:val="20"/>
          <w:lang w:val="en-IN"/>
        </w:rPr>
        <w:t xml:space="preserve"> India remains one of the world’s largest producers and exporters of </w:t>
      </w:r>
      <w:proofErr w:type="spellStart"/>
      <w:r w:rsidR="008E6A05" w:rsidRPr="00DB605E">
        <w:rPr>
          <w:rFonts w:ascii="Arial" w:hAnsi="Arial" w:cs="Arial"/>
          <w:sz w:val="20"/>
          <w:szCs w:val="20"/>
          <w:lang w:val="en-IN"/>
        </w:rPr>
        <w:t>car</w:t>
      </w:r>
      <w:r w:rsidR="00F60E26" w:rsidRPr="00DB605E">
        <w:rPr>
          <w:rFonts w:ascii="Arial" w:hAnsi="Arial" w:cs="Arial"/>
          <w:sz w:val="20"/>
          <w:szCs w:val="20"/>
          <w:lang w:val="en-IN"/>
        </w:rPr>
        <w:t>abeef</w:t>
      </w:r>
      <w:proofErr w:type="spellEnd"/>
      <w:r w:rsidR="008E6A05" w:rsidRPr="00DB605E">
        <w:rPr>
          <w:rFonts w:ascii="Arial" w:hAnsi="Arial" w:cs="Arial"/>
          <w:sz w:val="20"/>
          <w:szCs w:val="20"/>
          <w:lang w:val="en-IN"/>
        </w:rPr>
        <w:t xml:space="preserve"> </w:t>
      </w:r>
      <w:r w:rsidRPr="00DB605E">
        <w:rPr>
          <w:rFonts w:ascii="Arial" w:hAnsi="Arial" w:cs="Arial"/>
          <w:sz w:val="20"/>
          <w:szCs w:val="20"/>
          <w:lang w:val="en-IN"/>
        </w:rPr>
        <w:t>(</w:t>
      </w:r>
      <w:proofErr w:type="spellStart"/>
      <w:r w:rsidRPr="00DB605E">
        <w:rPr>
          <w:rFonts w:ascii="Arial" w:hAnsi="Arial" w:cs="Arial"/>
          <w:sz w:val="20"/>
          <w:szCs w:val="20"/>
          <w:lang w:val="en-IN"/>
        </w:rPr>
        <w:t>Bhogal</w:t>
      </w:r>
      <w:proofErr w:type="spellEnd"/>
      <w:r w:rsidRPr="00DB605E">
        <w:rPr>
          <w:rFonts w:ascii="Arial" w:hAnsi="Arial" w:cs="Arial"/>
          <w:sz w:val="20"/>
          <w:szCs w:val="20"/>
          <w:lang w:val="en-IN"/>
        </w:rPr>
        <w:t xml:space="preserve"> &amp; </w:t>
      </w:r>
      <w:proofErr w:type="spellStart"/>
      <w:r w:rsidRPr="00DB605E">
        <w:rPr>
          <w:rFonts w:ascii="Arial" w:hAnsi="Arial" w:cs="Arial"/>
          <w:sz w:val="20"/>
          <w:szCs w:val="20"/>
          <w:lang w:val="en-IN"/>
        </w:rPr>
        <w:t>Beillard</w:t>
      </w:r>
      <w:proofErr w:type="spellEnd"/>
      <w:r w:rsidRPr="00DB605E">
        <w:rPr>
          <w:rFonts w:ascii="Arial" w:hAnsi="Arial" w:cs="Arial"/>
          <w:sz w:val="20"/>
          <w:szCs w:val="20"/>
          <w:lang w:val="en-IN"/>
        </w:rPr>
        <w:t xml:space="preserve">, 2023). According to </w:t>
      </w:r>
      <w:proofErr w:type="spellStart"/>
      <w:r w:rsidRPr="00DB605E">
        <w:rPr>
          <w:rFonts w:ascii="Arial" w:hAnsi="Arial" w:cs="Arial"/>
          <w:sz w:val="20"/>
          <w:szCs w:val="20"/>
          <w:lang w:val="en-IN"/>
        </w:rPr>
        <w:t>Bhogal</w:t>
      </w:r>
      <w:proofErr w:type="spellEnd"/>
      <w:r w:rsidRPr="00DB605E">
        <w:rPr>
          <w:rFonts w:ascii="Arial" w:hAnsi="Arial" w:cs="Arial"/>
          <w:sz w:val="20"/>
          <w:szCs w:val="20"/>
          <w:lang w:val="en-IN"/>
        </w:rPr>
        <w:t xml:space="preserve"> and </w:t>
      </w:r>
      <w:proofErr w:type="spellStart"/>
      <w:r w:rsidRPr="00DB605E">
        <w:rPr>
          <w:rFonts w:ascii="Arial" w:hAnsi="Arial" w:cs="Arial"/>
          <w:sz w:val="20"/>
          <w:szCs w:val="20"/>
          <w:lang w:val="en-IN"/>
        </w:rPr>
        <w:t>Beillard</w:t>
      </w:r>
      <w:proofErr w:type="spellEnd"/>
      <w:r w:rsidRPr="00DB605E">
        <w:rPr>
          <w:rFonts w:ascii="Arial" w:hAnsi="Arial" w:cs="Arial"/>
          <w:sz w:val="20"/>
          <w:szCs w:val="20"/>
          <w:lang w:val="en-IN"/>
        </w:rPr>
        <w:t xml:space="preserve"> (2024), </w:t>
      </w:r>
      <w:proofErr w:type="spellStart"/>
      <w:r w:rsidRPr="00DB605E">
        <w:rPr>
          <w:rFonts w:ascii="Arial" w:hAnsi="Arial" w:cs="Arial"/>
          <w:sz w:val="20"/>
          <w:szCs w:val="20"/>
          <w:lang w:val="en-IN"/>
        </w:rPr>
        <w:t>carabeef</w:t>
      </w:r>
      <w:proofErr w:type="spellEnd"/>
      <w:r w:rsidRPr="00DB605E">
        <w:rPr>
          <w:rFonts w:ascii="Arial" w:hAnsi="Arial" w:cs="Arial"/>
          <w:sz w:val="20"/>
          <w:szCs w:val="20"/>
          <w:lang w:val="en-IN"/>
        </w:rPr>
        <w:t xml:space="preserve"> production in market year 2024 is projected at 4.61 million metric tons (carcass-weight-equivalent), up from 4.47 million metric tons in 2023. In 2023–24, buffalo meat accounted for more than 82% of India’s total animal product exports (Jadhav, 2024).</w:t>
      </w:r>
    </w:p>
    <w:p w14:paraId="2D6D6F84" w14:textId="06153175" w:rsidR="00DD69FB" w:rsidRPr="00DB605E" w:rsidRDefault="00DD69FB" w:rsidP="00DD69FB">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 xml:space="preserve">Although Kerala is not a major buffalo-producing state, there is growing interest in buffalo meat production, particularly </w:t>
      </w:r>
      <w:r w:rsidR="00F60E26" w:rsidRPr="00DB605E">
        <w:rPr>
          <w:rFonts w:ascii="Arial" w:hAnsi="Arial" w:cs="Arial"/>
          <w:sz w:val="20"/>
          <w:szCs w:val="20"/>
          <w:lang w:val="en-IN"/>
        </w:rPr>
        <w:t xml:space="preserve">in </w:t>
      </w:r>
      <w:r w:rsidRPr="00DB605E">
        <w:rPr>
          <w:rFonts w:ascii="Arial" w:hAnsi="Arial" w:cs="Arial"/>
          <w:sz w:val="20"/>
          <w:szCs w:val="20"/>
          <w:lang w:val="en-IN"/>
        </w:rPr>
        <w:t xml:space="preserve">smallholder </w:t>
      </w:r>
      <w:r w:rsidR="00F60E26" w:rsidRPr="00DB605E">
        <w:rPr>
          <w:rFonts w:ascii="Arial" w:hAnsi="Arial" w:cs="Arial"/>
          <w:sz w:val="20"/>
          <w:szCs w:val="20"/>
          <w:lang w:val="en-IN"/>
        </w:rPr>
        <w:t>livestock farmers.</w:t>
      </w:r>
      <w:r w:rsidRPr="00DB605E">
        <w:rPr>
          <w:rFonts w:ascii="Arial" w:hAnsi="Arial" w:cs="Arial"/>
          <w:sz w:val="20"/>
          <w:szCs w:val="20"/>
          <w:lang w:val="en-IN"/>
        </w:rPr>
        <w:t xml:space="preserve"> However, buffalo meat production in the state remains relatively limited, with output declining from approximately 117,420 tonnes in 2021–22 to 102,130 tonnes in 2022–23 (D</w:t>
      </w:r>
      <w:r w:rsidR="0001702B">
        <w:rPr>
          <w:rFonts w:ascii="Arial" w:hAnsi="Arial" w:cs="Arial"/>
          <w:sz w:val="20"/>
          <w:szCs w:val="20"/>
          <w:lang w:val="en-IN"/>
        </w:rPr>
        <w:t>AHD</w:t>
      </w:r>
      <w:r w:rsidRPr="00DB605E">
        <w:rPr>
          <w:rFonts w:ascii="Arial" w:hAnsi="Arial" w:cs="Arial"/>
          <w:sz w:val="20"/>
          <w:szCs w:val="20"/>
          <w:lang w:val="en-IN"/>
        </w:rPr>
        <w:t xml:space="preserve">, 2023). Traditional rearing systems commonly practised in Kerala often involve nutritionally imbalanced or inadequate feeding regimens, resulting in poor nutrient intake </w:t>
      </w:r>
      <w:r w:rsidRPr="00DB605E">
        <w:rPr>
          <w:rFonts w:ascii="Arial" w:hAnsi="Arial" w:cs="Arial"/>
          <w:sz w:val="20"/>
          <w:szCs w:val="20"/>
          <w:lang w:val="en-IN"/>
        </w:rPr>
        <w:lastRenderedPageBreak/>
        <w:t>and suboptimal growth performance</w:t>
      </w:r>
      <w:r w:rsidR="00CD44A0" w:rsidRPr="00DB605E">
        <w:rPr>
          <w:rFonts w:ascii="Arial" w:hAnsi="Arial" w:cs="Arial"/>
          <w:sz w:val="20"/>
          <w:szCs w:val="20"/>
        </w:rPr>
        <w:t xml:space="preserve"> (</w:t>
      </w:r>
      <w:proofErr w:type="spellStart"/>
      <w:r w:rsidR="00CD44A0" w:rsidRPr="00DB605E">
        <w:rPr>
          <w:rFonts w:ascii="Arial" w:hAnsi="Arial" w:cs="Arial"/>
          <w:sz w:val="20"/>
          <w:szCs w:val="20"/>
        </w:rPr>
        <w:t>Sivagnanam</w:t>
      </w:r>
      <w:proofErr w:type="spellEnd"/>
      <w:r w:rsidR="00CD44A0" w:rsidRPr="00DB605E">
        <w:rPr>
          <w:rFonts w:ascii="Arial" w:hAnsi="Arial" w:cs="Arial"/>
          <w:sz w:val="20"/>
          <w:szCs w:val="20"/>
        </w:rPr>
        <w:t xml:space="preserve"> and </w:t>
      </w:r>
      <w:proofErr w:type="spellStart"/>
      <w:r w:rsidR="00CD44A0" w:rsidRPr="00DB605E">
        <w:rPr>
          <w:rFonts w:ascii="Arial" w:hAnsi="Arial" w:cs="Arial"/>
          <w:sz w:val="20"/>
          <w:szCs w:val="20"/>
        </w:rPr>
        <w:t>Pulikkamath</w:t>
      </w:r>
      <w:proofErr w:type="spellEnd"/>
      <w:r w:rsidR="00CD44A0" w:rsidRPr="00DB605E">
        <w:rPr>
          <w:rFonts w:ascii="Arial" w:hAnsi="Arial" w:cs="Arial"/>
          <w:sz w:val="20"/>
          <w:szCs w:val="20"/>
        </w:rPr>
        <w:t xml:space="preserve"> 2019)</w:t>
      </w:r>
      <w:r w:rsidRPr="00DB605E">
        <w:rPr>
          <w:rFonts w:ascii="Arial" w:hAnsi="Arial" w:cs="Arial"/>
          <w:sz w:val="20"/>
          <w:szCs w:val="20"/>
          <w:lang w:val="en-IN"/>
        </w:rPr>
        <w:t>. These deficiencies manifest as reduced average daily gain (ADG), delayed maturity, and inefficient feed conversion, ultimately diminishing profitability and long-term sustainability</w:t>
      </w:r>
      <w:r w:rsidR="00DB605E" w:rsidRPr="00DB605E">
        <w:rPr>
          <w:rFonts w:ascii="Arial" w:hAnsi="Arial" w:cs="Arial"/>
          <w:color w:val="000000" w:themeColor="text1"/>
          <w:sz w:val="20"/>
          <w:szCs w:val="20"/>
        </w:rPr>
        <w:t xml:space="preserve"> Nissanka </w:t>
      </w:r>
      <w:r w:rsidR="00DB605E" w:rsidRPr="00DB605E">
        <w:rPr>
          <w:rFonts w:ascii="Arial" w:hAnsi="Arial" w:cs="Arial"/>
          <w:i/>
          <w:iCs/>
          <w:color w:val="000000" w:themeColor="text1"/>
          <w:sz w:val="20"/>
          <w:szCs w:val="20"/>
        </w:rPr>
        <w:t>et al.</w:t>
      </w:r>
      <w:r w:rsidR="00DB605E" w:rsidRPr="00DB605E">
        <w:rPr>
          <w:rFonts w:ascii="Arial" w:hAnsi="Arial" w:cs="Arial"/>
          <w:color w:val="000000" w:themeColor="text1"/>
          <w:sz w:val="20"/>
          <w:szCs w:val="20"/>
        </w:rPr>
        <w:t xml:space="preserve"> .2010)</w:t>
      </w:r>
      <w:r w:rsidRPr="00DB605E">
        <w:rPr>
          <w:rFonts w:ascii="Arial" w:hAnsi="Arial" w:cs="Arial"/>
          <w:sz w:val="20"/>
          <w:szCs w:val="20"/>
          <w:lang w:val="en-IN"/>
        </w:rPr>
        <w:t>. Improving ADG is therefore critical to enhancing economic returns, particularly within smallholder meat production systems.</w:t>
      </w:r>
    </w:p>
    <w:p w14:paraId="2226BE14" w14:textId="1A63951D" w:rsidR="00D1260D" w:rsidRPr="00DB605E" w:rsidRDefault="0001702B" w:rsidP="003413EB">
      <w:pPr>
        <w:spacing w:after="0" w:line="360" w:lineRule="auto"/>
        <w:ind w:firstLine="567"/>
        <w:jc w:val="both"/>
        <w:rPr>
          <w:rFonts w:ascii="Arial" w:hAnsi="Arial" w:cs="Arial"/>
          <w:b/>
          <w:bCs/>
          <w:sz w:val="20"/>
          <w:szCs w:val="20"/>
        </w:rPr>
      </w:pPr>
      <w:r>
        <w:rPr>
          <w:rFonts w:ascii="Arial" w:hAnsi="Arial" w:cs="Arial"/>
          <w:sz w:val="20"/>
          <w:szCs w:val="20"/>
        </w:rPr>
        <w:t>N</w:t>
      </w:r>
      <w:r w:rsidR="00CE0CC6" w:rsidRPr="00DB605E">
        <w:rPr>
          <w:rFonts w:ascii="Arial" w:hAnsi="Arial" w:cs="Arial"/>
          <w:sz w:val="20"/>
          <w:szCs w:val="20"/>
        </w:rPr>
        <w:t xml:space="preserve">utrient requirement was based on age and physiological status </w:t>
      </w:r>
      <w:r w:rsidR="00DD69FB" w:rsidRPr="00DB605E">
        <w:rPr>
          <w:rFonts w:ascii="Arial" w:hAnsi="Arial" w:cs="Arial"/>
          <w:sz w:val="20"/>
          <w:szCs w:val="20"/>
        </w:rPr>
        <w:t>and local</w:t>
      </w:r>
      <w:r w:rsidR="004C4377" w:rsidRPr="00DB605E">
        <w:rPr>
          <w:rFonts w:ascii="Arial" w:hAnsi="Arial" w:cs="Arial"/>
          <w:sz w:val="20"/>
          <w:szCs w:val="20"/>
        </w:rPr>
        <w:t>ly available</w:t>
      </w:r>
      <w:r w:rsidR="00DD69FB" w:rsidRPr="00DB605E">
        <w:rPr>
          <w:rFonts w:ascii="Arial" w:hAnsi="Arial" w:cs="Arial"/>
          <w:sz w:val="20"/>
          <w:szCs w:val="20"/>
        </w:rPr>
        <w:t xml:space="preserve"> feed resources, offer significant potential to enhance weight gain, feed conversion efficiency, and overall economic viability in buffalo meat production. However, their adoption at the field level remains limited, primarily due to low awareness, financial constraints, and inadequate access to advisory services</w:t>
      </w:r>
      <w:r w:rsidR="00DB605E" w:rsidRPr="00DB605E">
        <w:rPr>
          <w:rFonts w:ascii="Arial" w:hAnsi="Arial" w:cs="Arial"/>
          <w:sz w:val="20"/>
          <w:szCs w:val="20"/>
        </w:rPr>
        <w:t xml:space="preserve"> (</w:t>
      </w:r>
      <w:proofErr w:type="spellStart"/>
      <w:r w:rsidR="00DB605E" w:rsidRPr="00DB605E">
        <w:rPr>
          <w:rFonts w:ascii="Arial" w:hAnsi="Arial" w:cs="Arial"/>
          <w:sz w:val="20"/>
          <w:szCs w:val="20"/>
        </w:rPr>
        <w:t>Wakweya</w:t>
      </w:r>
      <w:proofErr w:type="spellEnd"/>
      <w:r w:rsidR="00DB605E" w:rsidRPr="00DB605E">
        <w:rPr>
          <w:rFonts w:ascii="Arial" w:hAnsi="Arial" w:cs="Arial"/>
          <w:sz w:val="20"/>
          <w:szCs w:val="20"/>
        </w:rPr>
        <w:t>, 2023)</w:t>
      </w:r>
      <w:r w:rsidR="00DD69FB" w:rsidRPr="00DB605E">
        <w:rPr>
          <w:rFonts w:ascii="Arial" w:hAnsi="Arial" w:cs="Arial"/>
          <w:sz w:val="20"/>
          <w:szCs w:val="20"/>
        </w:rPr>
        <w:t>. In the context of Kerala, where buffalo farming is predominantly smallholder-based, fodder resources are scarce, and traditional practices prevail, these constraints are particularly pronounced (</w:t>
      </w:r>
      <w:proofErr w:type="spellStart"/>
      <w:r w:rsidR="00DD69FB" w:rsidRPr="00DB605E">
        <w:rPr>
          <w:rFonts w:ascii="Arial" w:hAnsi="Arial" w:cs="Arial"/>
          <w:sz w:val="20"/>
          <w:szCs w:val="20"/>
        </w:rPr>
        <w:t>Sivagnanam</w:t>
      </w:r>
      <w:proofErr w:type="spellEnd"/>
      <w:r w:rsidR="00DD69FB" w:rsidRPr="00DB605E">
        <w:rPr>
          <w:rFonts w:ascii="Arial" w:hAnsi="Arial" w:cs="Arial"/>
          <w:sz w:val="20"/>
          <w:szCs w:val="20"/>
        </w:rPr>
        <w:t xml:space="preserve"> &amp; </w:t>
      </w:r>
      <w:proofErr w:type="spellStart"/>
      <w:r w:rsidR="00DD69FB" w:rsidRPr="00DB605E">
        <w:rPr>
          <w:rFonts w:ascii="Arial" w:hAnsi="Arial" w:cs="Arial"/>
          <w:sz w:val="20"/>
          <w:szCs w:val="20"/>
        </w:rPr>
        <w:t>Pulikkamath</w:t>
      </w:r>
      <w:proofErr w:type="spellEnd"/>
      <w:r w:rsidR="00DD69FB" w:rsidRPr="00DB605E">
        <w:rPr>
          <w:rFonts w:ascii="Arial" w:hAnsi="Arial" w:cs="Arial"/>
          <w:sz w:val="20"/>
          <w:szCs w:val="20"/>
        </w:rPr>
        <w:t xml:space="preserve">, 2019). Consequently, undernutrition, poor growth rates, and diminished profitability are common, highlighting the urgent need for scalable and farmer-centric nutritional interventions. While numerous studies have evaluated growth performance under controlled experimental conditions, there is a paucity of field-based evidence from smallholder production systems. </w:t>
      </w:r>
      <w:r w:rsidR="003413EB" w:rsidRPr="00DB605E">
        <w:rPr>
          <w:rFonts w:ascii="Arial" w:hAnsi="Arial" w:cs="Arial"/>
          <w:sz w:val="20"/>
          <w:szCs w:val="20"/>
        </w:rPr>
        <w:t>This study addressed that gap by assessing the impact of a scientifically designed feeding intervention on the growth performance of Murrah crossbred male buffaloes reared for meat in Kerala. Specifically, it quantified weight changes over 60 days, calculated average daily gain (ADG), and statistically compared pre- and post-intervention weights to evaluate the practical effectiveness of the feeding strategy in real-world farming conditions.</w:t>
      </w:r>
    </w:p>
    <w:p w14:paraId="722C351F" w14:textId="77777777" w:rsidR="00DB605E" w:rsidRDefault="00DB605E" w:rsidP="00DD69FB">
      <w:pPr>
        <w:spacing w:after="0" w:line="360" w:lineRule="auto"/>
        <w:jc w:val="both"/>
        <w:rPr>
          <w:rFonts w:ascii="Times New Roman" w:hAnsi="Times New Roman" w:cs="Times New Roman"/>
          <w:b/>
          <w:bCs/>
          <w:sz w:val="24"/>
          <w:szCs w:val="24"/>
        </w:rPr>
      </w:pPr>
    </w:p>
    <w:p w14:paraId="0614DB29" w14:textId="6143DBE8" w:rsidR="00B35D7E" w:rsidRPr="00DB605E" w:rsidRDefault="00DD69FB" w:rsidP="00DB605E">
      <w:pPr>
        <w:spacing w:after="0" w:line="360" w:lineRule="auto"/>
        <w:jc w:val="both"/>
        <w:rPr>
          <w:rFonts w:ascii="Arial" w:hAnsi="Arial" w:cs="Arial"/>
          <w:b/>
          <w:bCs/>
          <w:lang w:val="en-IN"/>
        </w:rPr>
      </w:pPr>
      <w:r w:rsidRPr="00DB605E">
        <w:rPr>
          <w:rFonts w:ascii="Arial" w:hAnsi="Arial" w:cs="Arial"/>
          <w:b/>
          <w:bCs/>
        </w:rPr>
        <w:t>MATERIALS AND METHODS</w:t>
      </w:r>
    </w:p>
    <w:p w14:paraId="785C8FF2" w14:textId="5CC75C12" w:rsidR="00534710" w:rsidRPr="00DB605E" w:rsidRDefault="00534710" w:rsidP="00534710">
      <w:pPr>
        <w:spacing w:after="0" w:line="360" w:lineRule="auto"/>
        <w:ind w:firstLine="567"/>
        <w:jc w:val="both"/>
        <w:rPr>
          <w:rFonts w:ascii="Arial" w:hAnsi="Arial" w:cs="Arial"/>
          <w:sz w:val="20"/>
          <w:szCs w:val="20"/>
          <w:lang w:val="en-IN"/>
        </w:rPr>
      </w:pPr>
      <w:r w:rsidRPr="00DB605E">
        <w:rPr>
          <w:rFonts w:ascii="Arial" w:hAnsi="Arial" w:cs="Arial"/>
          <w:color w:val="000000" w:themeColor="text1"/>
          <w:sz w:val="20"/>
          <w:szCs w:val="20"/>
        </w:rPr>
        <w:t>The study was conducted at a male buffalo fattening unit in the Thrissur district of Kerala state,</w:t>
      </w:r>
      <w:r w:rsidRPr="00DB605E">
        <w:rPr>
          <w:rFonts w:ascii="Arial" w:hAnsi="Arial" w:cs="Arial"/>
          <w:color w:val="000000" w:themeColor="text1"/>
          <w:sz w:val="20"/>
          <w:szCs w:val="20"/>
          <w:lang w:val="en-IN"/>
        </w:rPr>
        <w:t xml:space="preserve"> </w:t>
      </w:r>
      <w:r w:rsidRPr="00DB605E">
        <w:rPr>
          <w:rFonts w:ascii="Arial" w:hAnsi="Arial" w:cs="Arial"/>
          <w:sz w:val="20"/>
          <w:szCs w:val="20"/>
          <w:lang w:val="en-IN"/>
        </w:rPr>
        <w:t xml:space="preserve">involving 28 crossbred male Murrah buffaloes, approximately 1.5 years of age. Except for the feeding regimen, all other management conditions were maintained uniformly throughout the study period, which coincided with Kerala’s late winter season. </w:t>
      </w:r>
      <w:r w:rsidRPr="00DB605E">
        <w:rPr>
          <w:rFonts w:ascii="Arial" w:hAnsi="Arial" w:cs="Arial"/>
          <w:sz w:val="20"/>
          <w:szCs w:val="20"/>
        </w:rPr>
        <w:t>Preliminary observations indicated that the Murrah crossbred male buffaloes exhibited suboptimal weight gain and incurred higher feed costs under traditional management practices Therefore, a scientific management intervention was undertaken to address the issues of suboptimal growth and high feed cost on evaluation of the general farm management provided to the male buffaloes.</w:t>
      </w:r>
      <w:r w:rsidR="0001702B">
        <w:rPr>
          <w:rFonts w:ascii="Arial" w:hAnsi="Arial" w:cs="Arial"/>
          <w:sz w:val="20"/>
          <w:szCs w:val="20"/>
        </w:rPr>
        <w:t xml:space="preserve"> </w:t>
      </w:r>
      <w:r w:rsidRPr="00DB605E">
        <w:rPr>
          <w:rFonts w:ascii="Arial" w:hAnsi="Arial" w:cs="Arial"/>
          <w:sz w:val="20"/>
          <w:szCs w:val="20"/>
        </w:rPr>
        <w:t xml:space="preserve">Hence it was decided to introduce a feeding plan </w:t>
      </w:r>
      <w:r w:rsidR="0087031B">
        <w:rPr>
          <w:rFonts w:ascii="Arial" w:hAnsi="Arial" w:cs="Arial"/>
          <w:sz w:val="20"/>
          <w:szCs w:val="20"/>
        </w:rPr>
        <w:t xml:space="preserve">(Table 2) </w:t>
      </w:r>
      <w:r w:rsidRPr="00DB605E">
        <w:rPr>
          <w:rFonts w:ascii="Arial" w:hAnsi="Arial" w:cs="Arial"/>
          <w:sz w:val="20"/>
          <w:szCs w:val="20"/>
        </w:rPr>
        <w:t>consisting of TMR. The TMR pellet</w:t>
      </w:r>
      <w:r w:rsidR="0087031B">
        <w:rPr>
          <w:rFonts w:ascii="Arial" w:hAnsi="Arial" w:cs="Arial"/>
          <w:sz w:val="20"/>
          <w:szCs w:val="20"/>
        </w:rPr>
        <w:t>s</w:t>
      </w:r>
      <w:r w:rsidRPr="00DB605E">
        <w:rPr>
          <w:rFonts w:ascii="Arial" w:hAnsi="Arial" w:cs="Arial"/>
          <w:sz w:val="20"/>
          <w:szCs w:val="20"/>
        </w:rPr>
        <w:t xml:space="preserve"> had </w:t>
      </w:r>
      <w:r w:rsidR="0087031B">
        <w:rPr>
          <w:rFonts w:ascii="Arial" w:hAnsi="Arial" w:cs="Arial"/>
          <w:sz w:val="20"/>
          <w:szCs w:val="20"/>
        </w:rPr>
        <w:t xml:space="preserve">balanced nutritional </w:t>
      </w:r>
      <w:r w:rsidRPr="00DB605E">
        <w:rPr>
          <w:rFonts w:ascii="Arial" w:hAnsi="Arial" w:cs="Arial"/>
          <w:sz w:val="20"/>
          <w:szCs w:val="20"/>
        </w:rPr>
        <w:t>composition</w:t>
      </w:r>
      <w:r w:rsidR="0087031B">
        <w:rPr>
          <w:rFonts w:ascii="Arial" w:hAnsi="Arial" w:cs="Arial"/>
          <w:sz w:val="20"/>
          <w:szCs w:val="20"/>
        </w:rPr>
        <w:t xml:space="preserve"> (Table 1)</w:t>
      </w:r>
      <w:r w:rsidRPr="00DB605E">
        <w:rPr>
          <w:rFonts w:ascii="Arial" w:hAnsi="Arial" w:cs="Arial"/>
          <w:sz w:val="20"/>
          <w:szCs w:val="20"/>
        </w:rPr>
        <w:t xml:space="preserve"> as that of grade </w:t>
      </w:r>
      <w:proofErr w:type="spellStart"/>
      <w:r w:rsidRPr="00DB605E">
        <w:rPr>
          <w:rFonts w:ascii="Arial" w:hAnsi="Arial" w:cs="Arial"/>
          <w:sz w:val="20"/>
          <w:szCs w:val="20"/>
        </w:rPr>
        <w:t>lll</w:t>
      </w:r>
      <w:proofErr w:type="spellEnd"/>
      <w:r w:rsidRPr="00DB605E">
        <w:rPr>
          <w:rFonts w:ascii="Arial" w:hAnsi="Arial" w:cs="Arial"/>
          <w:sz w:val="20"/>
          <w:szCs w:val="20"/>
        </w:rPr>
        <w:t xml:space="preserve"> cattle feed as per BIS standard (BIS.2009).  This feed was much cheaper than the earlier feed that was provided to the buffaloes by the farmer. The mineral mixture was also replaced by a cheaper alternative.</w:t>
      </w:r>
      <w:r w:rsidRPr="00DB605E">
        <w:rPr>
          <w:rFonts w:ascii="Arial" w:hAnsi="Arial" w:cs="Arial"/>
          <w:sz w:val="20"/>
          <w:szCs w:val="20"/>
          <w:lang w:val="en-IN"/>
        </w:rPr>
        <w:t xml:space="preserve"> Body weight estimations were performed using morphometric measurements. Live body weight was calculated using Shaeffer’s </w:t>
      </w:r>
      <w:r w:rsidRPr="00DB605E">
        <w:rPr>
          <w:rFonts w:ascii="Arial" w:hAnsi="Arial" w:cs="Arial"/>
          <w:sz w:val="20"/>
          <w:szCs w:val="20"/>
        </w:rPr>
        <w:t>formula for buffaloes:</w:t>
      </w:r>
      <w:r w:rsidRPr="00DB605E">
        <w:rPr>
          <w:rFonts w:ascii="Arial" w:hAnsi="Arial" w:cs="Arial"/>
          <w:sz w:val="20"/>
          <w:szCs w:val="20"/>
          <w:lang w:val="en-IN"/>
        </w:rPr>
        <w:br/>
        <w:t xml:space="preserve">W = (L × G²) / 660, where </w:t>
      </w:r>
      <w:r w:rsidRPr="00DB605E">
        <w:rPr>
          <w:rFonts w:ascii="Arial" w:hAnsi="Arial" w:cs="Arial"/>
          <w:i/>
          <w:iCs/>
          <w:sz w:val="20"/>
          <w:szCs w:val="20"/>
          <w:lang w:val="en-IN"/>
        </w:rPr>
        <w:t>W</w:t>
      </w:r>
      <w:r w:rsidRPr="00DB605E">
        <w:rPr>
          <w:rFonts w:ascii="Arial" w:hAnsi="Arial" w:cs="Arial"/>
          <w:sz w:val="20"/>
          <w:szCs w:val="20"/>
          <w:lang w:val="en-IN"/>
        </w:rPr>
        <w:t xml:space="preserve"> is the estimated live body weight in kilograms, </w:t>
      </w:r>
      <w:r w:rsidRPr="00DB605E">
        <w:rPr>
          <w:rFonts w:ascii="Arial" w:hAnsi="Arial" w:cs="Arial"/>
          <w:i/>
          <w:iCs/>
          <w:sz w:val="20"/>
          <w:szCs w:val="20"/>
          <w:lang w:val="en-IN"/>
        </w:rPr>
        <w:t>L</w:t>
      </w:r>
      <w:r w:rsidRPr="00DB605E">
        <w:rPr>
          <w:rFonts w:ascii="Arial" w:hAnsi="Arial" w:cs="Arial"/>
          <w:sz w:val="20"/>
          <w:szCs w:val="20"/>
          <w:lang w:val="en-IN"/>
        </w:rPr>
        <w:t xml:space="preserve"> is the body length (from the point of the shoulder to the pin bone) in inches, and </w:t>
      </w:r>
      <w:r w:rsidRPr="00DB605E">
        <w:rPr>
          <w:rFonts w:ascii="Arial" w:hAnsi="Arial" w:cs="Arial"/>
          <w:i/>
          <w:iCs/>
          <w:sz w:val="20"/>
          <w:szCs w:val="20"/>
          <w:lang w:val="en-IN"/>
        </w:rPr>
        <w:t>G</w:t>
      </w:r>
      <w:r w:rsidRPr="00DB605E">
        <w:rPr>
          <w:rFonts w:ascii="Arial" w:hAnsi="Arial" w:cs="Arial"/>
          <w:sz w:val="20"/>
          <w:szCs w:val="20"/>
          <w:lang w:val="en-IN"/>
        </w:rPr>
        <w:t xml:space="preserve"> is the chest girth in inches. Baseline body weights (day 0) were recorded before the feeding intervention, and post-intervention weights were measured on day 60 because t</w:t>
      </w:r>
      <w:r w:rsidRPr="00DB605E">
        <w:rPr>
          <w:rFonts w:ascii="Arial" w:hAnsi="Arial" w:cs="Arial"/>
          <w:sz w:val="20"/>
          <w:szCs w:val="20"/>
        </w:rPr>
        <w:t>he experiment was carried out for a period of 60 days.</w:t>
      </w:r>
      <w:r w:rsidRPr="00DB605E">
        <w:rPr>
          <w:rFonts w:ascii="Arial" w:hAnsi="Arial" w:cs="Arial"/>
          <w:sz w:val="20"/>
          <w:szCs w:val="20"/>
          <w:lang w:val="en-IN"/>
        </w:rPr>
        <w:t xml:space="preserve"> Average daily gain (ADG) was calculated using the formula: ADG = (Final Weight − Initial Weight) / Number of Days.</w:t>
      </w:r>
      <w:r w:rsidRPr="00DB605E">
        <w:rPr>
          <w:rFonts w:ascii="Arial" w:hAnsi="Arial" w:cs="Arial"/>
          <w:sz w:val="20"/>
          <w:szCs w:val="20"/>
        </w:rPr>
        <w:t xml:space="preserve"> </w:t>
      </w:r>
    </w:p>
    <w:p w14:paraId="120B346C" w14:textId="793ECC16" w:rsidR="00534710" w:rsidRPr="00DB605E" w:rsidRDefault="00534710" w:rsidP="00534710">
      <w:pPr>
        <w:spacing w:after="0" w:line="360" w:lineRule="auto"/>
        <w:jc w:val="both"/>
        <w:rPr>
          <w:rFonts w:ascii="Arial" w:hAnsi="Arial" w:cs="Arial"/>
          <w:sz w:val="20"/>
          <w:szCs w:val="20"/>
          <w:lang w:val="en-IN"/>
        </w:rPr>
      </w:pPr>
      <w:r w:rsidRPr="00DB605E">
        <w:rPr>
          <w:rFonts w:ascii="Arial" w:hAnsi="Arial" w:cs="Arial"/>
          <w:b/>
          <w:bCs/>
          <w:sz w:val="20"/>
          <w:szCs w:val="20"/>
          <w:lang w:val="en-IN"/>
        </w:rPr>
        <w:lastRenderedPageBreak/>
        <w:t>Statistical analysis</w:t>
      </w:r>
      <w:r w:rsidRPr="00DB605E">
        <w:rPr>
          <w:rFonts w:ascii="Arial" w:hAnsi="Arial" w:cs="Arial"/>
          <w:sz w:val="20"/>
          <w:szCs w:val="20"/>
          <w:lang w:val="en-IN"/>
        </w:rPr>
        <w:t xml:space="preserve">: To enhance the robustness of the statistical analysis, data points indicating weight gains exceeding 100 kg over 60 days were excluded as outliers. This refinement yielded a final dataset comprising 24 animals. </w:t>
      </w:r>
      <w:r w:rsidR="0087031B">
        <w:rPr>
          <w:rFonts w:ascii="Arial" w:hAnsi="Arial" w:cs="Arial"/>
          <w:sz w:val="20"/>
          <w:szCs w:val="20"/>
          <w:lang w:val="en-IN"/>
        </w:rPr>
        <w:t>hence</w:t>
      </w:r>
      <w:r w:rsidR="00BF2670">
        <w:rPr>
          <w:rFonts w:ascii="Arial" w:hAnsi="Arial" w:cs="Arial"/>
          <w:sz w:val="20"/>
          <w:szCs w:val="20"/>
          <w:lang w:val="en-IN"/>
        </w:rPr>
        <w:t xml:space="preserve">, </w:t>
      </w:r>
      <w:r w:rsidRPr="00DB605E">
        <w:rPr>
          <w:rFonts w:ascii="Arial" w:hAnsi="Arial" w:cs="Arial"/>
          <w:sz w:val="20"/>
          <w:szCs w:val="20"/>
          <w:lang w:val="en-IN"/>
        </w:rPr>
        <w:t xml:space="preserve">Descriptive statistics, including means for initial and final body weights, were computed. A paired </w:t>
      </w:r>
      <w:r w:rsidRPr="00DB605E">
        <w:rPr>
          <w:rFonts w:ascii="Arial" w:hAnsi="Arial" w:cs="Arial"/>
          <w:i/>
          <w:iCs/>
          <w:sz w:val="20"/>
          <w:szCs w:val="20"/>
          <w:lang w:val="en-IN"/>
        </w:rPr>
        <w:t>t</w:t>
      </w:r>
      <w:r w:rsidRPr="00DB605E">
        <w:rPr>
          <w:rFonts w:ascii="Arial" w:hAnsi="Arial" w:cs="Arial"/>
          <w:sz w:val="20"/>
          <w:szCs w:val="20"/>
          <w:lang w:val="en-IN"/>
        </w:rPr>
        <w:t xml:space="preserve">-test was conducted to evaluate the significance of weight change pre- and post-intervention. </w:t>
      </w:r>
    </w:p>
    <w:p w14:paraId="52E6D04D" w14:textId="77777777" w:rsidR="00534710" w:rsidRPr="00253E62" w:rsidRDefault="00534710" w:rsidP="00534710">
      <w:pPr>
        <w:pStyle w:val="NoSpacing"/>
        <w:spacing w:line="360" w:lineRule="auto"/>
        <w:jc w:val="both"/>
        <w:rPr>
          <w:rFonts w:ascii="Times New Roman" w:hAnsi="Times New Roman" w:cs="Times New Roman"/>
          <w:lang w:val="en-IN"/>
        </w:rPr>
      </w:pPr>
    </w:p>
    <w:tbl>
      <w:tblPr>
        <w:tblStyle w:val="PlainTable21"/>
        <w:tblW w:w="0" w:type="auto"/>
        <w:tblLook w:val="04A0" w:firstRow="1" w:lastRow="0" w:firstColumn="1" w:lastColumn="0" w:noHBand="0" w:noVBand="1"/>
      </w:tblPr>
      <w:tblGrid>
        <w:gridCol w:w="4890"/>
        <w:gridCol w:w="2205"/>
      </w:tblGrid>
      <w:tr w:rsidR="00534710" w:rsidRPr="00DB605E" w14:paraId="40B9E1C7" w14:textId="77777777" w:rsidTr="00663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7BD1F53B" w14:textId="342C12FC" w:rsidR="00534710" w:rsidRPr="00DB605E" w:rsidRDefault="00534710" w:rsidP="00595377">
            <w:pPr>
              <w:spacing w:line="360" w:lineRule="auto"/>
              <w:jc w:val="both"/>
              <w:rPr>
                <w:rFonts w:ascii="Arial" w:hAnsi="Arial" w:cs="Arial"/>
                <w:b w:val="0"/>
                <w:bCs w:val="0"/>
                <w:sz w:val="20"/>
                <w:szCs w:val="20"/>
              </w:rPr>
            </w:pPr>
            <w:r w:rsidRPr="00DB605E">
              <w:rPr>
                <w:rFonts w:ascii="Arial" w:hAnsi="Arial" w:cs="Arial"/>
                <w:sz w:val="20"/>
                <w:szCs w:val="20"/>
              </w:rPr>
              <w:t xml:space="preserve">Table 1. TMR Pellet nutritional composition </w:t>
            </w:r>
            <w:r w:rsidR="00BF2670">
              <w:rPr>
                <w:rFonts w:ascii="Arial" w:hAnsi="Arial" w:cs="Arial"/>
                <w:b w:val="0"/>
                <w:bCs w:val="0"/>
                <w:sz w:val="20"/>
                <w:szCs w:val="20"/>
              </w:rPr>
              <w:t>Gr</w:t>
            </w:r>
            <w:r w:rsidRPr="00DB605E">
              <w:rPr>
                <w:rFonts w:ascii="Arial" w:hAnsi="Arial" w:cs="Arial"/>
                <w:sz w:val="20"/>
                <w:szCs w:val="20"/>
              </w:rPr>
              <w:t xml:space="preserve">ade </w:t>
            </w:r>
            <w:proofErr w:type="spellStart"/>
            <w:r w:rsidRPr="00DB605E">
              <w:rPr>
                <w:rFonts w:ascii="Arial" w:hAnsi="Arial" w:cs="Arial"/>
                <w:sz w:val="20"/>
                <w:szCs w:val="20"/>
              </w:rPr>
              <w:t>lll</w:t>
            </w:r>
            <w:proofErr w:type="spellEnd"/>
            <w:r w:rsidRPr="00DB605E">
              <w:rPr>
                <w:rFonts w:ascii="Arial" w:hAnsi="Arial" w:cs="Arial"/>
                <w:sz w:val="20"/>
                <w:szCs w:val="20"/>
              </w:rPr>
              <w:t xml:space="preserve"> as per BIS standard  </w:t>
            </w:r>
          </w:p>
        </w:tc>
      </w:tr>
      <w:tr w:rsidR="00534710" w:rsidRPr="00DB605E" w14:paraId="7E0B7169" w14:textId="77777777" w:rsidTr="0066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17672F" w14:textId="77777777" w:rsidR="00534710" w:rsidRPr="00DB605E" w:rsidRDefault="00534710" w:rsidP="00595377">
            <w:pPr>
              <w:spacing w:after="160" w:line="360" w:lineRule="auto"/>
              <w:jc w:val="both"/>
              <w:rPr>
                <w:rFonts w:ascii="Arial" w:hAnsi="Arial" w:cs="Arial"/>
                <w:b w:val="0"/>
                <w:bCs w:val="0"/>
                <w:sz w:val="20"/>
                <w:szCs w:val="20"/>
              </w:rPr>
            </w:pPr>
            <w:r w:rsidRPr="00DB605E">
              <w:rPr>
                <w:rFonts w:ascii="Arial" w:hAnsi="Arial" w:cs="Arial"/>
                <w:sz w:val="20"/>
                <w:szCs w:val="20"/>
              </w:rPr>
              <w:t>Nutrient</w:t>
            </w:r>
          </w:p>
        </w:tc>
        <w:tc>
          <w:tcPr>
            <w:tcW w:w="0" w:type="auto"/>
            <w:hideMark/>
          </w:tcPr>
          <w:p w14:paraId="3ADE5263" w14:textId="77777777" w:rsidR="00534710" w:rsidRPr="00DB605E" w:rsidRDefault="00534710" w:rsidP="0059537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B605E">
              <w:rPr>
                <w:rFonts w:ascii="Arial" w:hAnsi="Arial" w:cs="Arial"/>
                <w:b/>
                <w:bCs/>
                <w:sz w:val="20"/>
                <w:szCs w:val="20"/>
              </w:rPr>
              <w:t>Specification</w:t>
            </w:r>
          </w:p>
        </w:tc>
      </w:tr>
      <w:tr w:rsidR="00534710" w:rsidRPr="00DB605E" w14:paraId="5EFC35A7" w14:textId="77777777" w:rsidTr="00663F7A">
        <w:tc>
          <w:tcPr>
            <w:cnfStyle w:val="001000000000" w:firstRow="0" w:lastRow="0" w:firstColumn="1" w:lastColumn="0" w:oddVBand="0" w:evenVBand="0" w:oddHBand="0" w:evenHBand="0" w:firstRowFirstColumn="0" w:firstRowLastColumn="0" w:lastRowFirstColumn="0" w:lastRowLastColumn="0"/>
            <w:tcW w:w="0" w:type="auto"/>
            <w:hideMark/>
          </w:tcPr>
          <w:p w14:paraId="180AB3FF"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Moisture</w:t>
            </w:r>
          </w:p>
        </w:tc>
        <w:tc>
          <w:tcPr>
            <w:tcW w:w="0" w:type="auto"/>
            <w:hideMark/>
          </w:tcPr>
          <w:p w14:paraId="6DA7F202" w14:textId="77777777" w:rsidR="00534710" w:rsidRPr="00DB605E" w:rsidRDefault="00534710" w:rsidP="0059537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11% max</w:t>
            </w:r>
          </w:p>
        </w:tc>
      </w:tr>
      <w:tr w:rsidR="00534710" w:rsidRPr="00DB605E" w14:paraId="4EA9BE95" w14:textId="77777777" w:rsidTr="0066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A33C7C"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Crude Protein (CP)</w:t>
            </w:r>
          </w:p>
        </w:tc>
        <w:tc>
          <w:tcPr>
            <w:tcW w:w="0" w:type="auto"/>
            <w:hideMark/>
          </w:tcPr>
          <w:p w14:paraId="6D541B57" w14:textId="77777777" w:rsidR="00534710" w:rsidRPr="00DB605E" w:rsidRDefault="00534710" w:rsidP="0059537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18% min</w:t>
            </w:r>
          </w:p>
        </w:tc>
      </w:tr>
      <w:tr w:rsidR="00534710" w:rsidRPr="00DB605E" w14:paraId="636DF290" w14:textId="77777777" w:rsidTr="00663F7A">
        <w:tc>
          <w:tcPr>
            <w:cnfStyle w:val="001000000000" w:firstRow="0" w:lastRow="0" w:firstColumn="1" w:lastColumn="0" w:oddVBand="0" w:evenVBand="0" w:oddHBand="0" w:evenHBand="0" w:firstRowFirstColumn="0" w:firstRowLastColumn="0" w:lastRowFirstColumn="0" w:lastRowLastColumn="0"/>
            <w:tcW w:w="0" w:type="auto"/>
            <w:hideMark/>
          </w:tcPr>
          <w:p w14:paraId="61013C35"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Crude Fat</w:t>
            </w:r>
          </w:p>
        </w:tc>
        <w:tc>
          <w:tcPr>
            <w:tcW w:w="0" w:type="auto"/>
            <w:hideMark/>
          </w:tcPr>
          <w:p w14:paraId="076FB48B" w14:textId="6BD3A81A" w:rsidR="00534710" w:rsidRPr="00DB605E" w:rsidRDefault="00534710" w:rsidP="0059537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2.</w:t>
            </w:r>
            <w:r w:rsidR="00BF2670">
              <w:rPr>
                <w:rFonts w:ascii="Arial" w:hAnsi="Arial" w:cs="Arial"/>
                <w:sz w:val="20"/>
                <w:szCs w:val="20"/>
              </w:rPr>
              <w:t>0</w:t>
            </w:r>
            <w:r w:rsidRPr="00DB605E">
              <w:rPr>
                <w:rFonts w:ascii="Arial" w:hAnsi="Arial" w:cs="Arial"/>
                <w:sz w:val="20"/>
                <w:szCs w:val="20"/>
              </w:rPr>
              <w:t>% min</w:t>
            </w:r>
          </w:p>
        </w:tc>
      </w:tr>
      <w:tr w:rsidR="00534710" w:rsidRPr="00DB605E" w14:paraId="7423F14E" w14:textId="77777777" w:rsidTr="0066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FF75C0"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Crude Fiber</w:t>
            </w:r>
          </w:p>
        </w:tc>
        <w:tc>
          <w:tcPr>
            <w:tcW w:w="0" w:type="auto"/>
            <w:hideMark/>
          </w:tcPr>
          <w:p w14:paraId="62550EC1" w14:textId="357556F3" w:rsidR="00534710" w:rsidRPr="00DB605E" w:rsidRDefault="00534710" w:rsidP="0059537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1</w:t>
            </w:r>
            <w:r w:rsidR="00BF2670">
              <w:rPr>
                <w:rFonts w:ascii="Arial" w:hAnsi="Arial" w:cs="Arial"/>
                <w:sz w:val="20"/>
                <w:szCs w:val="20"/>
              </w:rPr>
              <w:t>5</w:t>
            </w:r>
            <w:r w:rsidRPr="00DB605E">
              <w:rPr>
                <w:rFonts w:ascii="Arial" w:hAnsi="Arial" w:cs="Arial"/>
                <w:sz w:val="20"/>
                <w:szCs w:val="20"/>
              </w:rPr>
              <w:t>% min</w:t>
            </w:r>
          </w:p>
        </w:tc>
      </w:tr>
      <w:tr w:rsidR="00534710" w:rsidRPr="00DB605E" w14:paraId="04CB5107" w14:textId="77777777" w:rsidTr="00663F7A">
        <w:tc>
          <w:tcPr>
            <w:cnfStyle w:val="001000000000" w:firstRow="0" w:lastRow="0" w:firstColumn="1" w:lastColumn="0" w:oddVBand="0" w:evenVBand="0" w:oddHBand="0" w:evenHBand="0" w:firstRowFirstColumn="0" w:firstRowLastColumn="0" w:lastRowFirstColumn="0" w:lastRowLastColumn="0"/>
            <w:tcW w:w="0" w:type="auto"/>
            <w:hideMark/>
          </w:tcPr>
          <w:p w14:paraId="21ED2C75"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Acid Insoluble Ash (AIA)</w:t>
            </w:r>
          </w:p>
        </w:tc>
        <w:tc>
          <w:tcPr>
            <w:tcW w:w="0" w:type="auto"/>
            <w:hideMark/>
          </w:tcPr>
          <w:p w14:paraId="22CF465E" w14:textId="0FFB2715" w:rsidR="00534710" w:rsidRPr="00DB605E" w:rsidRDefault="00BF2670" w:rsidP="0059537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r w:rsidR="00534710" w:rsidRPr="00DB605E">
              <w:rPr>
                <w:rFonts w:ascii="Arial" w:hAnsi="Arial" w:cs="Arial"/>
                <w:sz w:val="20"/>
                <w:szCs w:val="20"/>
              </w:rPr>
              <w:t>% max</w:t>
            </w:r>
          </w:p>
        </w:tc>
      </w:tr>
      <w:tr w:rsidR="00534710" w:rsidRPr="00DB605E" w14:paraId="68888676" w14:textId="77777777" w:rsidTr="0066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F03AF6" w14:textId="77777777" w:rsidR="00534710" w:rsidRPr="00DB605E" w:rsidRDefault="00534710" w:rsidP="00595377">
            <w:pPr>
              <w:spacing w:after="160" w:line="360" w:lineRule="auto"/>
              <w:jc w:val="both"/>
              <w:rPr>
                <w:rFonts w:ascii="Arial" w:hAnsi="Arial" w:cs="Arial"/>
                <w:sz w:val="20"/>
                <w:szCs w:val="20"/>
              </w:rPr>
            </w:pPr>
            <w:r w:rsidRPr="00DB605E">
              <w:rPr>
                <w:rFonts w:ascii="Arial" w:hAnsi="Arial" w:cs="Arial"/>
                <w:sz w:val="20"/>
                <w:szCs w:val="20"/>
              </w:rPr>
              <w:t>Total Digestible Nutrients (TDN)</w:t>
            </w:r>
          </w:p>
        </w:tc>
        <w:tc>
          <w:tcPr>
            <w:tcW w:w="0" w:type="auto"/>
            <w:hideMark/>
          </w:tcPr>
          <w:p w14:paraId="4912926F" w14:textId="04CCD175" w:rsidR="00534710" w:rsidRPr="00DB605E" w:rsidRDefault="00BF2670" w:rsidP="0059537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70</w:t>
            </w:r>
            <w:r w:rsidR="00534710" w:rsidRPr="00DB605E">
              <w:rPr>
                <w:rFonts w:ascii="Arial" w:hAnsi="Arial" w:cs="Arial"/>
                <w:sz w:val="20"/>
                <w:szCs w:val="20"/>
              </w:rPr>
              <w:t>% min</w:t>
            </w:r>
          </w:p>
        </w:tc>
      </w:tr>
    </w:tbl>
    <w:p w14:paraId="4BBB06F2" w14:textId="77777777" w:rsidR="000D2B4C" w:rsidRDefault="000D2B4C" w:rsidP="000D2B4C">
      <w:pPr>
        <w:spacing w:after="0" w:line="360" w:lineRule="auto"/>
        <w:jc w:val="both"/>
        <w:rPr>
          <w:rFonts w:ascii="Times New Roman" w:hAnsi="Times New Roman" w:cs="Times New Roman"/>
          <w:sz w:val="24"/>
          <w:szCs w:val="24"/>
          <w:lang w:val="en-IN"/>
        </w:rPr>
      </w:pPr>
    </w:p>
    <w:p w14:paraId="3CBDFB20" w14:textId="435DADCE" w:rsidR="000D2B4C" w:rsidRPr="00DB605E" w:rsidRDefault="000D2B4C" w:rsidP="000D2B4C">
      <w:pPr>
        <w:spacing w:after="0" w:line="360" w:lineRule="auto"/>
        <w:jc w:val="both"/>
        <w:rPr>
          <w:rFonts w:ascii="Arial" w:hAnsi="Arial" w:cs="Arial"/>
          <w:b/>
          <w:bCs/>
          <w:sz w:val="20"/>
          <w:szCs w:val="20"/>
        </w:rPr>
      </w:pPr>
      <w:r w:rsidRPr="00DB605E">
        <w:rPr>
          <w:rFonts w:ascii="Arial" w:hAnsi="Arial" w:cs="Arial"/>
          <w:b/>
          <w:bCs/>
          <w:sz w:val="20"/>
          <w:szCs w:val="20"/>
        </w:rPr>
        <w:t xml:space="preserve">Table </w:t>
      </w:r>
      <w:r w:rsidR="00534710" w:rsidRPr="00DB605E">
        <w:rPr>
          <w:rFonts w:ascii="Arial" w:hAnsi="Arial" w:cs="Arial"/>
          <w:b/>
          <w:bCs/>
          <w:sz w:val="20"/>
          <w:szCs w:val="20"/>
        </w:rPr>
        <w:t>2</w:t>
      </w:r>
      <w:r w:rsidRPr="00DB605E">
        <w:rPr>
          <w:rFonts w:ascii="Arial" w:hAnsi="Arial" w:cs="Arial"/>
          <w:b/>
          <w:bCs/>
          <w:sz w:val="20"/>
          <w:szCs w:val="20"/>
        </w:rPr>
        <w:t>. Feeding schedule adopted (for a 150 kg Buffalo)</w:t>
      </w:r>
    </w:p>
    <w:tbl>
      <w:tblPr>
        <w:tblStyle w:val="PlainTable21"/>
        <w:tblW w:w="9067" w:type="dxa"/>
        <w:tblLook w:val="04A0" w:firstRow="1" w:lastRow="0" w:firstColumn="1" w:lastColumn="0" w:noHBand="0" w:noVBand="1"/>
      </w:tblPr>
      <w:tblGrid>
        <w:gridCol w:w="2286"/>
        <w:gridCol w:w="1137"/>
        <w:gridCol w:w="1016"/>
        <w:gridCol w:w="1652"/>
        <w:gridCol w:w="1417"/>
        <w:gridCol w:w="1559"/>
      </w:tblGrid>
      <w:tr w:rsidR="000D2B4C" w:rsidRPr="00DB605E" w14:paraId="16DA35DA" w14:textId="77777777" w:rsidTr="006D796C">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439" w:type="dxa"/>
            <w:gridSpan w:val="3"/>
            <w:hideMark/>
          </w:tcPr>
          <w:p w14:paraId="5F57CA7F" w14:textId="2BD1654C" w:rsidR="000D2B4C" w:rsidRPr="00DB605E" w:rsidRDefault="000D2B4C" w:rsidP="00D970A7">
            <w:pPr>
              <w:spacing w:line="360" w:lineRule="auto"/>
              <w:jc w:val="center"/>
              <w:rPr>
                <w:rFonts w:ascii="Arial" w:hAnsi="Arial" w:cs="Arial"/>
                <w:b w:val="0"/>
                <w:bCs w:val="0"/>
                <w:sz w:val="20"/>
                <w:szCs w:val="20"/>
              </w:rPr>
            </w:pPr>
            <w:r w:rsidRPr="00DB605E">
              <w:rPr>
                <w:rFonts w:ascii="Arial" w:hAnsi="Arial" w:cs="Arial"/>
                <w:sz w:val="20"/>
                <w:szCs w:val="20"/>
              </w:rPr>
              <w:t>Feed</w:t>
            </w:r>
            <w:r w:rsidR="00B3495C" w:rsidRPr="00DB605E">
              <w:rPr>
                <w:rFonts w:ascii="Arial" w:hAnsi="Arial" w:cs="Arial"/>
                <w:sz w:val="20"/>
                <w:szCs w:val="20"/>
              </w:rPr>
              <w:t xml:space="preserve"> given initially</w:t>
            </w:r>
          </w:p>
        </w:tc>
        <w:tc>
          <w:tcPr>
            <w:tcW w:w="4628" w:type="dxa"/>
            <w:gridSpan w:val="3"/>
            <w:hideMark/>
          </w:tcPr>
          <w:p w14:paraId="46005C1A" w14:textId="5E8184F4" w:rsidR="000D2B4C" w:rsidRPr="00DB605E" w:rsidRDefault="000D2B4C" w:rsidP="00D970A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B605E">
              <w:rPr>
                <w:rFonts w:ascii="Arial" w:hAnsi="Arial" w:cs="Arial"/>
                <w:sz w:val="20"/>
                <w:szCs w:val="20"/>
              </w:rPr>
              <w:t xml:space="preserve">Feeding </w:t>
            </w:r>
            <w:r w:rsidR="00B3495C" w:rsidRPr="00DB605E">
              <w:rPr>
                <w:rFonts w:ascii="Arial" w:hAnsi="Arial" w:cs="Arial"/>
                <w:sz w:val="20"/>
                <w:szCs w:val="20"/>
              </w:rPr>
              <w:t>given during study period</w:t>
            </w:r>
          </w:p>
        </w:tc>
      </w:tr>
      <w:tr w:rsidR="000D2B4C" w:rsidRPr="00DB605E" w14:paraId="3A537F8D" w14:textId="77777777" w:rsidTr="006D796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286" w:type="dxa"/>
          </w:tcPr>
          <w:p w14:paraId="4C50AEF5" w14:textId="77777777" w:rsidR="000D2B4C" w:rsidRPr="00DB605E" w:rsidRDefault="000D2B4C" w:rsidP="00593A43">
            <w:pPr>
              <w:spacing w:after="0" w:line="360" w:lineRule="auto"/>
              <w:jc w:val="center"/>
              <w:rPr>
                <w:rFonts w:ascii="Arial" w:hAnsi="Arial" w:cs="Arial"/>
                <w:b w:val="0"/>
                <w:bCs w:val="0"/>
                <w:sz w:val="20"/>
                <w:szCs w:val="20"/>
              </w:rPr>
            </w:pPr>
            <w:r w:rsidRPr="00DB605E">
              <w:rPr>
                <w:rFonts w:ascii="Arial" w:hAnsi="Arial" w:cs="Arial"/>
                <w:sz w:val="20"/>
                <w:szCs w:val="20"/>
              </w:rPr>
              <w:t>Item</w:t>
            </w:r>
          </w:p>
        </w:tc>
        <w:tc>
          <w:tcPr>
            <w:tcW w:w="1137" w:type="dxa"/>
          </w:tcPr>
          <w:p w14:paraId="4E54C0C6" w14:textId="34AE3CC2" w:rsidR="000D2B4C" w:rsidRPr="00DB605E" w:rsidRDefault="000D2B4C" w:rsidP="00CE6B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B605E">
              <w:rPr>
                <w:rFonts w:ascii="Arial" w:hAnsi="Arial" w:cs="Arial"/>
                <w:b/>
                <w:bCs/>
                <w:sz w:val="20"/>
                <w:szCs w:val="20"/>
              </w:rPr>
              <w:t xml:space="preserve">Quantity </w:t>
            </w:r>
            <w:r w:rsidR="00CE6B16" w:rsidRPr="00DB605E">
              <w:rPr>
                <w:rFonts w:ascii="Arial" w:hAnsi="Arial" w:cs="Arial"/>
                <w:b/>
                <w:bCs/>
                <w:sz w:val="20"/>
                <w:szCs w:val="20"/>
              </w:rPr>
              <w:t xml:space="preserve">fed per day </w:t>
            </w:r>
            <w:r w:rsidRPr="00DB605E">
              <w:rPr>
                <w:rFonts w:ascii="Arial" w:hAnsi="Arial" w:cs="Arial"/>
                <w:b/>
                <w:bCs/>
                <w:sz w:val="20"/>
                <w:szCs w:val="20"/>
              </w:rPr>
              <w:t>(Kg)</w:t>
            </w:r>
          </w:p>
        </w:tc>
        <w:tc>
          <w:tcPr>
            <w:tcW w:w="1016" w:type="dxa"/>
          </w:tcPr>
          <w:p w14:paraId="2474489E" w14:textId="77777777" w:rsidR="000D2B4C" w:rsidRPr="00DB605E" w:rsidRDefault="000D2B4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B605E">
              <w:rPr>
                <w:rFonts w:ascii="Arial" w:hAnsi="Arial" w:cs="Arial"/>
                <w:b/>
                <w:bCs/>
                <w:sz w:val="20"/>
                <w:szCs w:val="20"/>
              </w:rPr>
              <w:t>Rate/kg (Rs.)</w:t>
            </w:r>
          </w:p>
        </w:tc>
        <w:tc>
          <w:tcPr>
            <w:tcW w:w="1652" w:type="dxa"/>
          </w:tcPr>
          <w:p w14:paraId="1C12A354" w14:textId="77777777" w:rsidR="000D2B4C" w:rsidRPr="00DB605E" w:rsidRDefault="000D2B4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B605E">
              <w:rPr>
                <w:rFonts w:ascii="Arial" w:hAnsi="Arial" w:cs="Arial"/>
                <w:b/>
                <w:bCs/>
                <w:sz w:val="20"/>
                <w:szCs w:val="20"/>
              </w:rPr>
              <w:t>Item</w:t>
            </w:r>
          </w:p>
        </w:tc>
        <w:tc>
          <w:tcPr>
            <w:tcW w:w="1417" w:type="dxa"/>
          </w:tcPr>
          <w:p w14:paraId="12107D66" w14:textId="3F66B6DB" w:rsidR="000D2B4C" w:rsidRPr="00DB605E" w:rsidRDefault="000D2B4C" w:rsidP="00CE6B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B605E">
              <w:rPr>
                <w:rFonts w:ascii="Arial" w:hAnsi="Arial" w:cs="Arial"/>
                <w:b/>
                <w:bCs/>
                <w:sz w:val="20"/>
                <w:szCs w:val="20"/>
              </w:rPr>
              <w:t xml:space="preserve">Quantity </w:t>
            </w:r>
            <w:r w:rsidR="00CE6B16" w:rsidRPr="00DB605E">
              <w:rPr>
                <w:rFonts w:ascii="Arial" w:hAnsi="Arial" w:cs="Arial"/>
                <w:b/>
                <w:bCs/>
                <w:sz w:val="20"/>
                <w:szCs w:val="20"/>
              </w:rPr>
              <w:t>fed per day (Kg)</w:t>
            </w:r>
          </w:p>
        </w:tc>
        <w:tc>
          <w:tcPr>
            <w:tcW w:w="1559" w:type="dxa"/>
          </w:tcPr>
          <w:p w14:paraId="1DA76828" w14:textId="77777777" w:rsidR="000D2B4C" w:rsidRPr="00DB605E" w:rsidRDefault="000D2B4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B605E">
              <w:rPr>
                <w:rFonts w:ascii="Arial" w:hAnsi="Arial" w:cs="Arial"/>
                <w:b/>
                <w:bCs/>
                <w:sz w:val="20"/>
                <w:szCs w:val="20"/>
              </w:rPr>
              <w:t>Rate/kg (Rs.)</w:t>
            </w:r>
          </w:p>
        </w:tc>
      </w:tr>
      <w:tr w:rsidR="000D2B4C" w:rsidRPr="00DB605E" w14:paraId="6AF7C9E1" w14:textId="77777777" w:rsidTr="006D796C">
        <w:trPr>
          <w:trHeight w:val="426"/>
        </w:trPr>
        <w:tc>
          <w:tcPr>
            <w:cnfStyle w:val="001000000000" w:firstRow="0" w:lastRow="0" w:firstColumn="1" w:lastColumn="0" w:oddVBand="0" w:evenVBand="0" w:oddHBand="0" w:evenHBand="0" w:firstRowFirstColumn="0" w:firstRowLastColumn="0" w:lastRowFirstColumn="0" w:lastRowLastColumn="0"/>
            <w:tcW w:w="2286" w:type="dxa"/>
          </w:tcPr>
          <w:p w14:paraId="305126D4" w14:textId="77777777" w:rsidR="000D2B4C" w:rsidRPr="00DB605E" w:rsidRDefault="000D2B4C"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Commercial feed</w:t>
            </w:r>
          </w:p>
        </w:tc>
        <w:tc>
          <w:tcPr>
            <w:tcW w:w="1137" w:type="dxa"/>
          </w:tcPr>
          <w:p w14:paraId="344B6E5B" w14:textId="77777777" w:rsidR="000D2B4C" w:rsidRPr="00DB605E" w:rsidRDefault="000D2B4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1.00</w:t>
            </w:r>
          </w:p>
        </w:tc>
        <w:tc>
          <w:tcPr>
            <w:tcW w:w="1016" w:type="dxa"/>
          </w:tcPr>
          <w:p w14:paraId="4CD55CA5" w14:textId="77777777" w:rsidR="000D2B4C" w:rsidRPr="00DB605E" w:rsidRDefault="000D2B4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27.00</w:t>
            </w:r>
          </w:p>
        </w:tc>
        <w:tc>
          <w:tcPr>
            <w:tcW w:w="1652" w:type="dxa"/>
          </w:tcPr>
          <w:p w14:paraId="304FF9A3" w14:textId="75324D22" w:rsidR="000D2B4C" w:rsidRPr="00DB605E" w:rsidRDefault="000D2B4C" w:rsidP="004C437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TMR pellet</w:t>
            </w:r>
            <w:r w:rsidR="004C4377" w:rsidRPr="00DB605E">
              <w:rPr>
                <w:rFonts w:ascii="Arial" w:hAnsi="Arial" w:cs="Arial"/>
                <w:sz w:val="20"/>
                <w:szCs w:val="20"/>
              </w:rPr>
              <w:t>s</w:t>
            </w:r>
          </w:p>
        </w:tc>
        <w:tc>
          <w:tcPr>
            <w:tcW w:w="1417" w:type="dxa"/>
          </w:tcPr>
          <w:p w14:paraId="0728B7F0" w14:textId="77777777" w:rsidR="000D2B4C" w:rsidRPr="00DB605E" w:rsidRDefault="000D2B4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1.5</w:t>
            </w:r>
          </w:p>
        </w:tc>
        <w:tc>
          <w:tcPr>
            <w:tcW w:w="1559" w:type="dxa"/>
          </w:tcPr>
          <w:p w14:paraId="40251DDF" w14:textId="77777777" w:rsidR="000D2B4C" w:rsidRPr="00DB605E" w:rsidRDefault="000D2B4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25.00</w:t>
            </w:r>
          </w:p>
        </w:tc>
      </w:tr>
      <w:tr w:rsidR="000D2B4C" w:rsidRPr="00DB605E" w14:paraId="2DF1CC46" w14:textId="77777777" w:rsidTr="006D796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286" w:type="dxa"/>
          </w:tcPr>
          <w:p w14:paraId="3F089CB9" w14:textId="77777777" w:rsidR="000D2B4C" w:rsidRPr="00DB605E" w:rsidRDefault="000D2B4C" w:rsidP="00593A43">
            <w:pPr>
              <w:spacing w:after="0" w:line="360" w:lineRule="auto"/>
              <w:rPr>
                <w:rFonts w:ascii="Arial" w:hAnsi="Arial" w:cs="Arial"/>
                <w:b w:val="0"/>
                <w:bCs w:val="0"/>
                <w:sz w:val="20"/>
                <w:szCs w:val="20"/>
              </w:rPr>
            </w:pPr>
            <w:r w:rsidRPr="00DB605E">
              <w:rPr>
                <w:rFonts w:ascii="Arial" w:hAnsi="Arial" w:cs="Arial"/>
                <w:b w:val="0"/>
                <w:bCs w:val="0"/>
                <w:sz w:val="20"/>
                <w:szCs w:val="20"/>
              </w:rPr>
              <w:t>Tamarind Seed (boiled)</w:t>
            </w:r>
          </w:p>
        </w:tc>
        <w:tc>
          <w:tcPr>
            <w:tcW w:w="1137" w:type="dxa"/>
          </w:tcPr>
          <w:p w14:paraId="487132E8" w14:textId="77777777" w:rsidR="000D2B4C" w:rsidRPr="00DB605E" w:rsidRDefault="000D2B4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0.175</w:t>
            </w:r>
          </w:p>
        </w:tc>
        <w:tc>
          <w:tcPr>
            <w:tcW w:w="1016" w:type="dxa"/>
          </w:tcPr>
          <w:p w14:paraId="39BAD5FC" w14:textId="77777777" w:rsidR="000D2B4C" w:rsidRPr="00DB605E" w:rsidRDefault="000D2B4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33.80</w:t>
            </w:r>
          </w:p>
        </w:tc>
        <w:tc>
          <w:tcPr>
            <w:tcW w:w="1652" w:type="dxa"/>
          </w:tcPr>
          <w:p w14:paraId="4FAFE702" w14:textId="77777777" w:rsidR="000D2B4C" w:rsidRPr="00DB605E" w:rsidRDefault="000D2B4C" w:rsidP="00CE6B1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 xml:space="preserve">Mineral Mixture </w:t>
            </w:r>
          </w:p>
        </w:tc>
        <w:tc>
          <w:tcPr>
            <w:tcW w:w="1417" w:type="dxa"/>
          </w:tcPr>
          <w:p w14:paraId="2A3E15FD" w14:textId="77777777" w:rsidR="000D2B4C" w:rsidRPr="00DB605E" w:rsidRDefault="000D2B4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0.025</w:t>
            </w:r>
          </w:p>
        </w:tc>
        <w:tc>
          <w:tcPr>
            <w:tcW w:w="1559" w:type="dxa"/>
          </w:tcPr>
          <w:p w14:paraId="2ADE51B8" w14:textId="77777777" w:rsidR="000D2B4C" w:rsidRPr="00DB605E" w:rsidRDefault="000D2B4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110.00</w:t>
            </w:r>
          </w:p>
        </w:tc>
      </w:tr>
      <w:tr w:rsidR="00B3495C" w:rsidRPr="00DB605E" w14:paraId="237E2087" w14:textId="77777777" w:rsidTr="006D796C">
        <w:trPr>
          <w:trHeight w:val="426"/>
        </w:trPr>
        <w:tc>
          <w:tcPr>
            <w:cnfStyle w:val="001000000000" w:firstRow="0" w:lastRow="0" w:firstColumn="1" w:lastColumn="0" w:oddVBand="0" w:evenVBand="0" w:oddHBand="0" w:evenHBand="0" w:firstRowFirstColumn="0" w:firstRowLastColumn="0" w:lastRowFirstColumn="0" w:lastRowLastColumn="0"/>
            <w:tcW w:w="2286" w:type="dxa"/>
          </w:tcPr>
          <w:p w14:paraId="30365766" w14:textId="77777777" w:rsidR="00B3495C" w:rsidRPr="00DB605E" w:rsidRDefault="00B3495C"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Wheat Bran</w:t>
            </w:r>
          </w:p>
        </w:tc>
        <w:tc>
          <w:tcPr>
            <w:tcW w:w="1137" w:type="dxa"/>
          </w:tcPr>
          <w:p w14:paraId="2FC39FD9" w14:textId="77777777" w:rsidR="00B3495C" w:rsidRPr="00DB605E" w:rsidRDefault="00B3495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0.25</w:t>
            </w:r>
          </w:p>
        </w:tc>
        <w:tc>
          <w:tcPr>
            <w:tcW w:w="1016" w:type="dxa"/>
          </w:tcPr>
          <w:p w14:paraId="7ED81FB8" w14:textId="77777777" w:rsidR="00B3495C" w:rsidRPr="00DB605E" w:rsidRDefault="00B3495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25.80</w:t>
            </w:r>
          </w:p>
        </w:tc>
        <w:tc>
          <w:tcPr>
            <w:tcW w:w="4628" w:type="dxa"/>
            <w:gridSpan w:val="3"/>
            <w:vMerge w:val="restart"/>
          </w:tcPr>
          <w:p w14:paraId="25B81EB1" w14:textId="77777777" w:rsidR="00B3495C" w:rsidRPr="00DB605E" w:rsidRDefault="00B3495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3495C" w:rsidRPr="00DB605E" w14:paraId="6033F2F6" w14:textId="77777777" w:rsidTr="006D796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286" w:type="dxa"/>
          </w:tcPr>
          <w:p w14:paraId="38B2A5AC" w14:textId="77777777" w:rsidR="00B3495C" w:rsidRPr="00DB605E" w:rsidRDefault="00B3495C"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Rice Bran</w:t>
            </w:r>
          </w:p>
        </w:tc>
        <w:tc>
          <w:tcPr>
            <w:tcW w:w="1137" w:type="dxa"/>
          </w:tcPr>
          <w:p w14:paraId="388A8E07" w14:textId="77777777" w:rsidR="00B3495C" w:rsidRPr="00DB605E" w:rsidRDefault="00B3495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0.25</w:t>
            </w:r>
          </w:p>
        </w:tc>
        <w:tc>
          <w:tcPr>
            <w:tcW w:w="1016" w:type="dxa"/>
          </w:tcPr>
          <w:p w14:paraId="36777484" w14:textId="77777777" w:rsidR="00B3495C" w:rsidRPr="00DB605E" w:rsidRDefault="00B3495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19.40</w:t>
            </w:r>
          </w:p>
        </w:tc>
        <w:tc>
          <w:tcPr>
            <w:tcW w:w="4628" w:type="dxa"/>
            <w:gridSpan w:val="3"/>
            <w:vMerge/>
          </w:tcPr>
          <w:p w14:paraId="0228543A" w14:textId="77777777" w:rsidR="00B3495C" w:rsidRPr="00DB605E" w:rsidRDefault="00B3495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3495C" w:rsidRPr="00DB605E" w14:paraId="091A958F" w14:textId="77777777" w:rsidTr="006D796C">
        <w:trPr>
          <w:trHeight w:val="426"/>
        </w:trPr>
        <w:tc>
          <w:tcPr>
            <w:cnfStyle w:val="001000000000" w:firstRow="0" w:lastRow="0" w:firstColumn="1" w:lastColumn="0" w:oddVBand="0" w:evenVBand="0" w:oddHBand="0" w:evenHBand="0" w:firstRowFirstColumn="0" w:firstRowLastColumn="0" w:lastRowFirstColumn="0" w:lastRowLastColumn="0"/>
            <w:tcW w:w="2286" w:type="dxa"/>
          </w:tcPr>
          <w:p w14:paraId="43FCA28F" w14:textId="77777777" w:rsidR="00B3495C" w:rsidRPr="00DB605E" w:rsidRDefault="00B3495C"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 xml:space="preserve">Mineral Mixture </w:t>
            </w:r>
          </w:p>
        </w:tc>
        <w:tc>
          <w:tcPr>
            <w:tcW w:w="1137" w:type="dxa"/>
          </w:tcPr>
          <w:p w14:paraId="4DF5149A" w14:textId="77777777" w:rsidR="00B3495C" w:rsidRPr="00DB605E" w:rsidRDefault="00B3495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0.025</w:t>
            </w:r>
          </w:p>
        </w:tc>
        <w:tc>
          <w:tcPr>
            <w:tcW w:w="1016" w:type="dxa"/>
          </w:tcPr>
          <w:p w14:paraId="4E242AD1" w14:textId="77777777" w:rsidR="00B3495C" w:rsidRPr="00DB605E" w:rsidRDefault="00B3495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168.00</w:t>
            </w:r>
          </w:p>
        </w:tc>
        <w:tc>
          <w:tcPr>
            <w:tcW w:w="4628" w:type="dxa"/>
            <w:gridSpan w:val="3"/>
            <w:vMerge/>
          </w:tcPr>
          <w:p w14:paraId="65B919AB" w14:textId="77777777" w:rsidR="00B3495C" w:rsidRPr="00DB605E" w:rsidRDefault="00B3495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C4377" w:rsidRPr="00DB605E" w14:paraId="79A5028F" w14:textId="77777777" w:rsidTr="006D796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286" w:type="dxa"/>
          </w:tcPr>
          <w:p w14:paraId="5BE839A8" w14:textId="463EB709" w:rsidR="004C4377" w:rsidRPr="00DB605E" w:rsidRDefault="004C4377" w:rsidP="00CE6B16">
            <w:pPr>
              <w:spacing w:after="0" w:line="240" w:lineRule="auto"/>
              <w:rPr>
                <w:rFonts w:ascii="Arial" w:hAnsi="Arial" w:cs="Arial"/>
                <w:b w:val="0"/>
                <w:bCs w:val="0"/>
                <w:sz w:val="20"/>
                <w:szCs w:val="20"/>
              </w:rPr>
            </w:pPr>
            <w:r w:rsidRPr="00DB605E">
              <w:rPr>
                <w:rFonts w:ascii="Arial" w:hAnsi="Arial" w:cs="Arial"/>
                <w:b w:val="0"/>
                <w:bCs w:val="0"/>
                <w:sz w:val="20"/>
                <w:szCs w:val="20"/>
              </w:rPr>
              <w:t xml:space="preserve"> </w:t>
            </w:r>
            <w:r w:rsidR="00CE6B16" w:rsidRPr="00DB605E">
              <w:rPr>
                <w:rFonts w:ascii="Arial" w:hAnsi="Arial" w:cs="Arial"/>
                <w:b w:val="0"/>
                <w:bCs w:val="0"/>
                <w:sz w:val="20"/>
                <w:szCs w:val="20"/>
              </w:rPr>
              <w:t>C</w:t>
            </w:r>
            <w:r w:rsidRPr="00DB605E">
              <w:rPr>
                <w:rFonts w:ascii="Arial" w:hAnsi="Arial" w:cs="Arial"/>
                <w:b w:val="0"/>
                <w:bCs w:val="0"/>
                <w:sz w:val="20"/>
                <w:szCs w:val="20"/>
              </w:rPr>
              <w:t xml:space="preserve">ost </w:t>
            </w:r>
            <w:r w:rsidR="00CE6B16" w:rsidRPr="00DB605E">
              <w:rPr>
                <w:rFonts w:ascii="Arial" w:hAnsi="Arial" w:cs="Arial"/>
                <w:b w:val="0"/>
                <w:bCs w:val="0"/>
                <w:sz w:val="20"/>
                <w:szCs w:val="20"/>
              </w:rPr>
              <w:t xml:space="preserve">of feed </w:t>
            </w:r>
            <w:r w:rsidRPr="00DB605E">
              <w:rPr>
                <w:rFonts w:ascii="Arial" w:hAnsi="Arial" w:cs="Arial"/>
                <w:b w:val="0"/>
                <w:bCs w:val="0"/>
                <w:sz w:val="20"/>
                <w:szCs w:val="20"/>
              </w:rPr>
              <w:t>(Rs.)</w:t>
            </w:r>
            <w:r w:rsidR="00CE6B16" w:rsidRPr="00DB605E">
              <w:rPr>
                <w:rFonts w:ascii="Arial" w:hAnsi="Arial" w:cs="Arial"/>
                <w:b w:val="0"/>
                <w:bCs w:val="0"/>
                <w:sz w:val="20"/>
                <w:szCs w:val="20"/>
              </w:rPr>
              <w:t xml:space="preserve"> per day</w:t>
            </w:r>
            <w:r w:rsidRPr="00DB605E">
              <w:rPr>
                <w:rFonts w:ascii="Arial" w:hAnsi="Arial" w:cs="Arial"/>
                <w:b w:val="0"/>
                <w:bCs w:val="0"/>
                <w:sz w:val="20"/>
                <w:szCs w:val="20"/>
              </w:rPr>
              <w:t xml:space="preserve"> </w:t>
            </w:r>
          </w:p>
        </w:tc>
        <w:tc>
          <w:tcPr>
            <w:tcW w:w="2153" w:type="dxa"/>
            <w:gridSpan w:val="2"/>
          </w:tcPr>
          <w:p w14:paraId="425FC840" w14:textId="77777777" w:rsidR="004C4377" w:rsidRPr="00DB605E" w:rsidRDefault="004C4377" w:rsidP="004C437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48.42</w:t>
            </w:r>
          </w:p>
        </w:tc>
        <w:tc>
          <w:tcPr>
            <w:tcW w:w="4628" w:type="dxa"/>
            <w:gridSpan w:val="3"/>
          </w:tcPr>
          <w:p w14:paraId="4082EC03" w14:textId="77777777" w:rsidR="004C4377" w:rsidRPr="00DB605E" w:rsidRDefault="004C4377" w:rsidP="004C4377">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37.75</w:t>
            </w:r>
          </w:p>
        </w:tc>
      </w:tr>
      <w:tr w:rsidR="004C4377" w:rsidRPr="00DB605E" w14:paraId="3372F31D" w14:textId="77777777" w:rsidTr="006D796C">
        <w:trPr>
          <w:trHeight w:val="426"/>
        </w:trPr>
        <w:tc>
          <w:tcPr>
            <w:cnfStyle w:val="001000000000" w:firstRow="0" w:lastRow="0" w:firstColumn="1" w:lastColumn="0" w:oddVBand="0" w:evenVBand="0" w:oddHBand="0" w:evenHBand="0" w:firstRowFirstColumn="0" w:firstRowLastColumn="0" w:lastRowFirstColumn="0" w:lastRowLastColumn="0"/>
            <w:tcW w:w="2286" w:type="dxa"/>
          </w:tcPr>
          <w:p w14:paraId="4A600F20" w14:textId="77777777" w:rsidR="004C4377" w:rsidRPr="00DB605E" w:rsidRDefault="004C4377" w:rsidP="00593A43">
            <w:pPr>
              <w:spacing w:after="0" w:line="360" w:lineRule="auto"/>
              <w:rPr>
                <w:rFonts w:ascii="Arial" w:hAnsi="Arial" w:cs="Arial"/>
                <w:b w:val="0"/>
                <w:bCs w:val="0"/>
                <w:sz w:val="20"/>
                <w:szCs w:val="20"/>
              </w:rPr>
            </w:pPr>
            <w:r w:rsidRPr="00DB605E">
              <w:rPr>
                <w:rFonts w:ascii="Arial" w:hAnsi="Arial" w:cs="Arial"/>
                <w:b w:val="0"/>
                <w:bCs w:val="0"/>
                <w:sz w:val="20"/>
                <w:szCs w:val="20"/>
              </w:rPr>
              <w:t>Savings (Rs.)</w:t>
            </w:r>
          </w:p>
        </w:tc>
        <w:tc>
          <w:tcPr>
            <w:tcW w:w="6781" w:type="dxa"/>
            <w:gridSpan w:val="5"/>
          </w:tcPr>
          <w:p w14:paraId="189551E1" w14:textId="77BB2169" w:rsidR="004C4377" w:rsidRPr="00DB605E" w:rsidRDefault="006D796C" w:rsidP="00593A4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 xml:space="preserve">                                   </w:t>
            </w:r>
            <w:r w:rsidR="004C4377" w:rsidRPr="00DB605E">
              <w:rPr>
                <w:rFonts w:ascii="Arial" w:hAnsi="Arial" w:cs="Arial"/>
                <w:sz w:val="20"/>
                <w:szCs w:val="20"/>
              </w:rPr>
              <w:t>10.67</w:t>
            </w:r>
          </w:p>
        </w:tc>
      </w:tr>
      <w:tr w:rsidR="004C4377" w:rsidRPr="00DB605E" w14:paraId="0D2015F8" w14:textId="77777777" w:rsidTr="006D796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286" w:type="dxa"/>
          </w:tcPr>
          <w:p w14:paraId="5BE57939" w14:textId="77777777" w:rsidR="004C4377" w:rsidRPr="00DB605E" w:rsidRDefault="004C4377" w:rsidP="00593A43">
            <w:pPr>
              <w:spacing w:after="0" w:line="360" w:lineRule="auto"/>
              <w:rPr>
                <w:rFonts w:ascii="Arial" w:hAnsi="Arial" w:cs="Arial"/>
                <w:b w:val="0"/>
                <w:bCs w:val="0"/>
                <w:sz w:val="20"/>
                <w:szCs w:val="20"/>
              </w:rPr>
            </w:pPr>
            <w:r w:rsidRPr="00DB605E">
              <w:rPr>
                <w:rFonts w:ascii="Arial" w:hAnsi="Arial" w:cs="Arial"/>
                <w:b w:val="0"/>
                <w:bCs w:val="0"/>
                <w:sz w:val="20"/>
                <w:szCs w:val="20"/>
              </w:rPr>
              <w:t>Savings (%)</w:t>
            </w:r>
          </w:p>
        </w:tc>
        <w:tc>
          <w:tcPr>
            <w:tcW w:w="6781" w:type="dxa"/>
            <w:gridSpan w:val="5"/>
          </w:tcPr>
          <w:p w14:paraId="44690CE2" w14:textId="37A0C63B" w:rsidR="004C4377" w:rsidRPr="00DB605E" w:rsidRDefault="006D796C" w:rsidP="00593A43">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 xml:space="preserve">                                   </w:t>
            </w:r>
            <w:r w:rsidR="004C4377" w:rsidRPr="00DB605E">
              <w:rPr>
                <w:rFonts w:ascii="Arial" w:hAnsi="Arial" w:cs="Arial"/>
                <w:sz w:val="20"/>
                <w:szCs w:val="20"/>
              </w:rPr>
              <w:t>22.04</w:t>
            </w:r>
          </w:p>
        </w:tc>
      </w:tr>
    </w:tbl>
    <w:p w14:paraId="243661EE" w14:textId="77777777" w:rsidR="00D1260D" w:rsidRDefault="00D1260D" w:rsidP="007351BD">
      <w:pPr>
        <w:spacing w:after="0" w:line="360" w:lineRule="auto"/>
        <w:jc w:val="both"/>
        <w:rPr>
          <w:rFonts w:ascii="Times New Roman" w:hAnsi="Times New Roman" w:cs="Times New Roman"/>
          <w:b/>
          <w:bCs/>
          <w:sz w:val="24"/>
          <w:szCs w:val="24"/>
          <w:lang w:val="en-IN"/>
        </w:rPr>
      </w:pPr>
    </w:p>
    <w:p w14:paraId="272FE0D4" w14:textId="77777777" w:rsidR="00DB605E" w:rsidRDefault="00DB605E" w:rsidP="007351BD">
      <w:pPr>
        <w:spacing w:after="0" w:line="360" w:lineRule="auto"/>
        <w:ind w:firstLine="567"/>
        <w:jc w:val="both"/>
        <w:rPr>
          <w:rFonts w:ascii="Times New Roman" w:hAnsi="Times New Roman" w:cs="Times New Roman"/>
          <w:b/>
          <w:bCs/>
          <w:sz w:val="24"/>
          <w:szCs w:val="24"/>
        </w:rPr>
      </w:pPr>
    </w:p>
    <w:p w14:paraId="767D828F" w14:textId="77777777" w:rsidR="00BF2670" w:rsidRDefault="00BF2670" w:rsidP="007351BD">
      <w:pPr>
        <w:spacing w:after="0" w:line="360" w:lineRule="auto"/>
        <w:ind w:firstLine="567"/>
        <w:jc w:val="both"/>
        <w:rPr>
          <w:rFonts w:ascii="Arial" w:hAnsi="Arial" w:cs="Arial"/>
          <w:b/>
          <w:bCs/>
        </w:rPr>
      </w:pPr>
    </w:p>
    <w:p w14:paraId="0CA2FCFA" w14:textId="30097941" w:rsidR="004A6BDA" w:rsidRPr="00DB605E" w:rsidRDefault="003413EB" w:rsidP="007351BD">
      <w:pPr>
        <w:spacing w:after="0" w:line="360" w:lineRule="auto"/>
        <w:ind w:firstLine="567"/>
        <w:jc w:val="both"/>
        <w:rPr>
          <w:rFonts w:ascii="Arial" w:hAnsi="Arial" w:cs="Arial"/>
          <w:b/>
          <w:bCs/>
        </w:rPr>
      </w:pPr>
      <w:r w:rsidRPr="00DB605E">
        <w:rPr>
          <w:rFonts w:ascii="Arial" w:hAnsi="Arial" w:cs="Arial"/>
          <w:b/>
          <w:bCs/>
        </w:rPr>
        <w:t>RESULTS AND DISCUSSION</w:t>
      </w:r>
    </w:p>
    <w:p w14:paraId="703C73A6" w14:textId="452D136B" w:rsidR="007351BD" w:rsidRPr="00DB605E" w:rsidRDefault="007351BD" w:rsidP="007351BD">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lastRenderedPageBreak/>
        <w:t xml:space="preserve">Table </w:t>
      </w:r>
      <w:r w:rsidR="00DB605E" w:rsidRPr="00DB605E">
        <w:rPr>
          <w:rFonts w:ascii="Arial" w:hAnsi="Arial" w:cs="Arial"/>
          <w:sz w:val="20"/>
          <w:szCs w:val="20"/>
          <w:lang w:val="en-IN"/>
        </w:rPr>
        <w:t>3</w:t>
      </w:r>
      <w:r w:rsidRPr="00DB605E">
        <w:rPr>
          <w:rFonts w:ascii="Arial" w:hAnsi="Arial" w:cs="Arial"/>
          <w:sz w:val="20"/>
          <w:szCs w:val="20"/>
          <w:lang w:val="en-IN"/>
        </w:rPr>
        <w:t xml:space="preserve"> presents individual-level data on initial and final body weights, weight gain, and average daily gain (ADG). The mean initial body weight was 181.92 ± 9.81 kg (Mean ± SE), which increased to 202.28 ± 8.32 kg post-intervention, resulting in an average weight gain of 20.36 ± 6.85 kg. The corresponding ADG was calculated at 0.34 kg/day. </w:t>
      </w:r>
    </w:p>
    <w:p w14:paraId="59006399" w14:textId="77777777" w:rsidR="00593A43" w:rsidRPr="004F447C" w:rsidRDefault="00593A43" w:rsidP="00593A43">
      <w:pPr>
        <w:spacing w:after="0" w:line="360" w:lineRule="auto"/>
        <w:jc w:val="both"/>
        <w:rPr>
          <w:rFonts w:ascii="Times New Roman" w:hAnsi="Times New Roman" w:cs="Times New Roman"/>
          <w:sz w:val="24"/>
          <w:szCs w:val="24"/>
        </w:rPr>
      </w:pPr>
    </w:p>
    <w:p w14:paraId="7EF9B820" w14:textId="35DA2AA5" w:rsidR="00593A43" w:rsidRPr="00DB605E" w:rsidRDefault="00593A43" w:rsidP="00593A43">
      <w:pPr>
        <w:pStyle w:val="Heading1"/>
        <w:spacing w:before="0" w:after="0" w:line="360" w:lineRule="auto"/>
        <w:jc w:val="both"/>
        <w:rPr>
          <w:rFonts w:ascii="Arial" w:hAnsi="Arial" w:cs="Arial"/>
          <w:b/>
          <w:bCs/>
          <w:sz w:val="20"/>
          <w:szCs w:val="20"/>
        </w:rPr>
      </w:pPr>
      <w:r w:rsidRPr="00DB605E">
        <w:rPr>
          <w:rFonts w:ascii="Arial" w:hAnsi="Arial" w:cs="Arial"/>
          <w:b/>
          <w:bCs/>
          <w:color w:val="auto"/>
          <w:sz w:val="20"/>
          <w:szCs w:val="20"/>
        </w:rPr>
        <w:t xml:space="preserve">Table </w:t>
      </w:r>
      <w:r w:rsidR="00534710" w:rsidRPr="00DB605E">
        <w:rPr>
          <w:rFonts w:ascii="Arial" w:hAnsi="Arial" w:cs="Arial"/>
          <w:b/>
          <w:bCs/>
          <w:color w:val="auto"/>
          <w:sz w:val="20"/>
          <w:szCs w:val="20"/>
        </w:rPr>
        <w:t>3</w:t>
      </w:r>
      <w:r w:rsidRPr="00DB605E">
        <w:rPr>
          <w:rFonts w:ascii="Arial" w:hAnsi="Arial" w:cs="Arial"/>
          <w:b/>
          <w:bCs/>
          <w:color w:val="auto"/>
          <w:sz w:val="20"/>
          <w:szCs w:val="20"/>
        </w:rPr>
        <w:t>. Body Weight and Average Daily Gain (ADG) of buffaloes before and after feeding intervention</w:t>
      </w:r>
    </w:p>
    <w:tbl>
      <w:tblPr>
        <w:tblStyle w:val="TableGrid"/>
        <w:tblW w:w="7791" w:type="dxa"/>
        <w:jc w:val="center"/>
        <w:tblLook w:val="04A0" w:firstRow="1" w:lastRow="0" w:firstColumn="1" w:lastColumn="0" w:noHBand="0" w:noVBand="1"/>
      </w:tblPr>
      <w:tblGrid>
        <w:gridCol w:w="817"/>
        <w:gridCol w:w="1701"/>
        <w:gridCol w:w="1730"/>
        <w:gridCol w:w="1701"/>
        <w:gridCol w:w="1842"/>
      </w:tblGrid>
      <w:tr w:rsidR="006D796C" w:rsidRPr="004F447C" w14:paraId="47D7E89D" w14:textId="77777777" w:rsidTr="006D796C">
        <w:trPr>
          <w:jc w:val="center"/>
        </w:trPr>
        <w:tc>
          <w:tcPr>
            <w:tcW w:w="817" w:type="dxa"/>
          </w:tcPr>
          <w:p w14:paraId="4D1991C5" w14:textId="0DA2D08A"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S. No.</w:t>
            </w:r>
          </w:p>
        </w:tc>
        <w:tc>
          <w:tcPr>
            <w:tcW w:w="1701" w:type="dxa"/>
          </w:tcPr>
          <w:p w14:paraId="5BD1C26B" w14:textId="77777777"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Initial Weight (kg)</w:t>
            </w:r>
          </w:p>
        </w:tc>
        <w:tc>
          <w:tcPr>
            <w:tcW w:w="1730" w:type="dxa"/>
          </w:tcPr>
          <w:p w14:paraId="191C61A8" w14:textId="77777777"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Final Weight (kg)</w:t>
            </w:r>
          </w:p>
        </w:tc>
        <w:tc>
          <w:tcPr>
            <w:tcW w:w="1701" w:type="dxa"/>
          </w:tcPr>
          <w:p w14:paraId="70DB3B40" w14:textId="77777777"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Weight Gain (kg)</w:t>
            </w:r>
          </w:p>
        </w:tc>
        <w:tc>
          <w:tcPr>
            <w:tcW w:w="1842" w:type="dxa"/>
          </w:tcPr>
          <w:p w14:paraId="257D028F" w14:textId="77777777" w:rsidR="006D796C" w:rsidRPr="00DB605E" w:rsidRDefault="006D796C" w:rsidP="00593A43">
            <w:pPr>
              <w:spacing w:after="0" w:line="360" w:lineRule="auto"/>
              <w:jc w:val="center"/>
              <w:rPr>
                <w:rFonts w:ascii="Arial" w:hAnsi="Arial" w:cs="Arial"/>
                <w:b/>
                <w:bCs/>
                <w:sz w:val="20"/>
                <w:szCs w:val="20"/>
              </w:rPr>
            </w:pPr>
            <w:r w:rsidRPr="00DB605E">
              <w:rPr>
                <w:rFonts w:ascii="Arial" w:hAnsi="Arial" w:cs="Arial"/>
                <w:b/>
                <w:bCs/>
                <w:sz w:val="20"/>
                <w:szCs w:val="20"/>
              </w:rPr>
              <w:t>ADG (kg/day)</w:t>
            </w:r>
          </w:p>
        </w:tc>
      </w:tr>
      <w:tr w:rsidR="006D796C" w:rsidRPr="004F447C" w14:paraId="21A2B2E4" w14:textId="77777777" w:rsidTr="006D796C">
        <w:trPr>
          <w:jc w:val="center"/>
        </w:trPr>
        <w:tc>
          <w:tcPr>
            <w:tcW w:w="817" w:type="dxa"/>
          </w:tcPr>
          <w:p w14:paraId="41039F8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w:t>
            </w:r>
          </w:p>
        </w:tc>
        <w:tc>
          <w:tcPr>
            <w:tcW w:w="1701" w:type="dxa"/>
          </w:tcPr>
          <w:p w14:paraId="1C1FD06B"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191.99</w:t>
            </w:r>
          </w:p>
        </w:tc>
        <w:tc>
          <w:tcPr>
            <w:tcW w:w="1730" w:type="dxa"/>
          </w:tcPr>
          <w:p w14:paraId="0B8B5EA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185.56</w:t>
            </w:r>
          </w:p>
        </w:tc>
        <w:tc>
          <w:tcPr>
            <w:tcW w:w="1701" w:type="dxa"/>
          </w:tcPr>
          <w:p w14:paraId="7CBA247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-6.43</w:t>
            </w:r>
          </w:p>
        </w:tc>
        <w:tc>
          <w:tcPr>
            <w:tcW w:w="1842" w:type="dxa"/>
          </w:tcPr>
          <w:p w14:paraId="0C15211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-0.107</w:t>
            </w:r>
          </w:p>
        </w:tc>
      </w:tr>
      <w:tr w:rsidR="006D796C" w:rsidRPr="004F447C" w14:paraId="74B77021" w14:textId="77777777" w:rsidTr="006D796C">
        <w:trPr>
          <w:jc w:val="center"/>
        </w:trPr>
        <w:tc>
          <w:tcPr>
            <w:tcW w:w="817" w:type="dxa"/>
          </w:tcPr>
          <w:p w14:paraId="79B59843"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w:t>
            </w:r>
          </w:p>
        </w:tc>
        <w:tc>
          <w:tcPr>
            <w:tcW w:w="1701" w:type="dxa"/>
          </w:tcPr>
          <w:p w14:paraId="63C642E6"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250.44</w:t>
            </w:r>
          </w:p>
        </w:tc>
        <w:tc>
          <w:tcPr>
            <w:tcW w:w="1730" w:type="dxa"/>
          </w:tcPr>
          <w:p w14:paraId="4801702F"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266.86</w:t>
            </w:r>
          </w:p>
        </w:tc>
        <w:tc>
          <w:tcPr>
            <w:tcW w:w="1701" w:type="dxa"/>
          </w:tcPr>
          <w:p w14:paraId="7A3993DC"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16.42</w:t>
            </w:r>
          </w:p>
        </w:tc>
        <w:tc>
          <w:tcPr>
            <w:tcW w:w="1842" w:type="dxa"/>
          </w:tcPr>
          <w:p w14:paraId="0DEA687E"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0.274</w:t>
            </w:r>
          </w:p>
        </w:tc>
      </w:tr>
      <w:tr w:rsidR="006D796C" w:rsidRPr="004F447C" w14:paraId="4542BBFC" w14:textId="77777777" w:rsidTr="006D796C">
        <w:trPr>
          <w:jc w:val="center"/>
        </w:trPr>
        <w:tc>
          <w:tcPr>
            <w:tcW w:w="817" w:type="dxa"/>
          </w:tcPr>
          <w:p w14:paraId="3C55915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w:t>
            </w:r>
          </w:p>
        </w:tc>
        <w:tc>
          <w:tcPr>
            <w:tcW w:w="1701" w:type="dxa"/>
          </w:tcPr>
          <w:p w14:paraId="7980C0AF"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238.79</w:t>
            </w:r>
          </w:p>
        </w:tc>
        <w:tc>
          <w:tcPr>
            <w:tcW w:w="1730" w:type="dxa"/>
          </w:tcPr>
          <w:p w14:paraId="5B6D04B7"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262.46</w:t>
            </w:r>
          </w:p>
        </w:tc>
        <w:tc>
          <w:tcPr>
            <w:tcW w:w="1701" w:type="dxa"/>
          </w:tcPr>
          <w:p w14:paraId="005AC62A"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w:t>
            </w:r>
          </w:p>
        </w:tc>
        <w:tc>
          <w:tcPr>
            <w:tcW w:w="1842" w:type="dxa"/>
          </w:tcPr>
          <w:p w14:paraId="3570D907"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0.394</w:t>
            </w:r>
          </w:p>
        </w:tc>
      </w:tr>
      <w:tr w:rsidR="006D796C" w:rsidRPr="004F447C" w14:paraId="2B4A5B1A" w14:textId="77777777" w:rsidTr="006D796C">
        <w:trPr>
          <w:jc w:val="center"/>
        </w:trPr>
        <w:tc>
          <w:tcPr>
            <w:tcW w:w="817" w:type="dxa"/>
          </w:tcPr>
          <w:p w14:paraId="2C327DA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w:t>
            </w:r>
          </w:p>
        </w:tc>
        <w:tc>
          <w:tcPr>
            <w:tcW w:w="1701" w:type="dxa"/>
          </w:tcPr>
          <w:p w14:paraId="2BD7612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238.79</w:t>
            </w:r>
          </w:p>
        </w:tc>
        <w:tc>
          <w:tcPr>
            <w:tcW w:w="1730" w:type="dxa"/>
          </w:tcPr>
          <w:p w14:paraId="00B69998"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250.44</w:t>
            </w:r>
          </w:p>
        </w:tc>
        <w:tc>
          <w:tcPr>
            <w:tcW w:w="1701" w:type="dxa"/>
          </w:tcPr>
          <w:p w14:paraId="782F04D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11.65</w:t>
            </w:r>
          </w:p>
        </w:tc>
        <w:tc>
          <w:tcPr>
            <w:tcW w:w="1842" w:type="dxa"/>
          </w:tcPr>
          <w:p w14:paraId="3ED92417"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0.194</w:t>
            </w:r>
          </w:p>
        </w:tc>
      </w:tr>
      <w:tr w:rsidR="006D796C" w:rsidRPr="004F447C" w14:paraId="0595507B" w14:textId="77777777" w:rsidTr="006D796C">
        <w:trPr>
          <w:jc w:val="center"/>
        </w:trPr>
        <w:tc>
          <w:tcPr>
            <w:tcW w:w="817" w:type="dxa"/>
          </w:tcPr>
          <w:p w14:paraId="5E95B8A1"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w:t>
            </w:r>
          </w:p>
        </w:tc>
        <w:tc>
          <w:tcPr>
            <w:tcW w:w="1701" w:type="dxa"/>
          </w:tcPr>
          <w:p w14:paraId="0AB8DECB"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153.22</w:t>
            </w:r>
          </w:p>
        </w:tc>
        <w:tc>
          <w:tcPr>
            <w:tcW w:w="1730" w:type="dxa"/>
          </w:tcPr>
          <w:p w14:paraId="7147C06C"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190.06</w:t>
            </w:r>
          </w:p>
        </w:tc>
        <w:tc>
          <w:tcPr>
            <w:tcW w:w="1701" w:type="dxa"/>
          </w:tcPr>
          <w:p w14:paraId="68ADF5A7"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36.84</w:t>
            </w:r>
          </w:p>
        </w:tc>
        <w:tc>
          <w:tcPr>
            <w:tcW w:w="1842" w:type="dxa"/>
          </w:tcPr>
          <w:p w14:paraId="74B602C6"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0.614</w:t>
            </w:r>
          </w:p>
        </w:tc>
      </w:tr>
      <w:tr w:rsidR="006D796C" w:rsidRPr="004F447C" w14:paraId="262D55BB" w14:textId="77777777" w:rsidTr="006D796C">
        <w:trPr>
          <w:jc w:val="center"/>
        </w:trPr>
        <w:tc>
          <w:tcPr>
            <w:tcW w:w="817" w:type="dxa"/>
          </w:tcPr>
          <w:p w14:paraId="4C3D3D8C"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6.</w:t>
            </w:r>
          </w:p>
        </w:tc>
        <w:tc>
          <w:tcPr>
            <w:tcW w:w="1701" w:type="dxa"/>
          </w:tcPr>
          <w:p w14:paraId="134F1373"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236.79</w:t>
            </w:r>
          </w:p>
        </w:tc>
        <w:tc>
          <w:tcPr>
            <w:tcW w:w="1730" w:type="dxa"/>
          </w:tcPr>
          <w:p w14:paraId="5BA9DD38"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262.46</w:t>
            </w:r>
          </w:p>
        </w:tc>
        <w:tc>
          <w:tcPr>
            <w:tcW w:w="1701" w:type="dxa"/>
          </w:tcPr>
          <w:p w14:paraId="1E98A143"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25.67</w:t>
            </w:r>
          </w:p>
        </w:tc>
        <w:tc>
          <w:tcPr>
            <w:tcW w:w="1842" w:type="dxa"/>
          </w:tcPr>
          <w:p w14:paraId="606F3ABD"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0.428</w:t>
            </w:r>
          </w:p>
        </w:tc>
      </w:tr>
      <w:tr w:rsidR="006D796C" w:rsidRPr="004F447C" w14:paraId="05319DF6" w14:textId="77777777" w:rsidTr="006D796C">
        <w:trPr>
          <w:jc w:val="center"/>
        </w:trPr>
        <w:tc>
          <w:tcPr>
            <w:tcW w:w="817" w:type="dxa"/>
          </w:tcPr>
          <w:p w14:paraId="343E9E1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7.</w:t>
            </w:r>
          </w:p>
        </w:tc>
        <w:tc>
          <w:tcPr>
            <w:tcW w:w="1701" w:type="dxa"/>
          </w:tcPr>
          <w:p w14:paraId="6FCC92F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236.79</w:t>
            </w:r>
          </w:p>
        </w:tc>
        <w:tc>
          <w:tcPr>
            <w:tcW w:w="1730" w:type="dxa"/>
          </w:tcPr>
          <w:p w14:paraId="162EA197"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234.55</w:t>
            </w:r>
          </w:p>
        </w:tc>
        <w:tc>
          <w:tcPr>
            <w:tcW w:w="1701" w:type="dxa"/>
          </w:tcPr>
          <w:p w14:paraId="15F9D69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-2.24</w:t>
            </w:r>
          </w:p>
        </w:tc>
        <w:tc>
          <w:tcPr>
            <w:tcW w:w="1842" w:type="dxa"/>
          </w:tcPr>
          <w:p w14:paraId="2CA9B28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-0.037</w:t>
            </w:r>
          </w:p>
        </w:tc>
      </w:tr>
      <w:tr w:rsidR="006D796C" w:rsidRPr="004F447C" w14:paraId="76EAAC32" w14:textId="77777777" w:rsidTr="006D796C">
        <w:trPr>
          <w:jc w:val="center"/>
        </w:trPr>
        <w:tc>
          <w:tcPr>
            <w:tcW w:w="817" w:type="dxa"/>
          </w:tcPr>
          <w:p w14:paraId="5B85A87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8.</w:t>
            </w:r>
          </w:p>
        </w:tc>
        <w:tc>
          <w:tcPr>
            <w:tcW w:w="1701" w:type="dxa"/>
          </w:tcPr>
          <w:p w14:paraId="5419782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152.79</w:t>
            </w:r>
          </w:p>
        </w:tc>
        <w:tc>
          <w:tcPr>
            <w:tcW w:w="1730" w:type="dxa"/>
          </w:tcPr>
          <w:p w14:paraId="7023145B"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240.0</w:t>
            </w:r>
          </w:p>
        </w:tc>
        <w:tc>
          <w:tcPr>
            <w:tcW w:w="1701" w:type="dxa"/>
          </w:tcPr>
          <w:p w14:paraId="0CD0DD0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87.21</w:t>
            </w:r>
          </w:p>
        </w:tc>
        <w:tc>
          <w:tcPr>
            <w:tcW w:w="1842" w:type="dxa"/>
          </w:tcPr>
          <w:p w14:paraId="43BAF8E1"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1.453</w:t>
            </w:r>
          </w:p>
        </w:tc>
      </w:tr>
      <w:tr w:rsidR="006D796C" w:rsidRPr="004F447C" w14:paraId="0F0FA9C4" w14:textId="77777777" w:rsidTr="006D796C">
        <w:trPr>
          <w:jc w:val="center"/>
        </w:trPr>
        <w:tc>
          <w:tcPr>
            <w:tcW w:w="817" w:type="dxa"/>
          </w:tcPr>
          <w:p w14:paraId="23DCFFEA"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9.</w:t>
            </w:r>
          </w:p>
        </w:tc>
        <w:tc>
          <w:tcPr>
            <w:tcW w:w="1701" w:type="dxa"/>
          </w:tcPr>
          <w:p w14:paraId="25AC0276"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171.05</w:t>
            </w:r>
          </w:p>
        </w:tc>
        <w:tc>
          <w:tcPr>
            <w:tcW w:w="1730" w:type="dxa"/>
          </w:tcPr>
          <w:p w14:paraId="52E7285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196.91</w:t>
            </w:r>
          </w:p>
        </w:tc>
        <w:tc>
          <w:tcPr>
            <w:tcW w:w="1701" w:type="dxa"/>
          </w:tcPr>
          <w:p w14:paraId="090318F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25.86</w:t>
            </w:r>
          </w:p>
        </w:tc>
        <w:tc>
          <w:tcPr>
            <w:tcW w:w="1842" w:type="dxa"/>
          </w:tcPr>
          <w:p w14:paraId="56E0F479"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0.431</w:t>
            </w:r>
          </w:p>
        </w:tc>
      </w:tr>
      <w:tr w:rsidR="006D796C" w:rsidRPr="004F447C" w14:paraId="79AD13E9" w14:textId="77777777" w:rsidTr="006D796C">
        <w:trPr>
          <w:jc w:val="center"/>
        </w:trPr>
        <w:tc>
          <w:tcPr>
            <w:tcW w:w="817" w:type="dxa"/>
          </w:tcPr>
          <w:p w14:paraId="66F0759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10.</w:t>
            </w:r>
          </w:p>
        </w:tc>
        <w:tc>
          <w:tcPr>
            <w:tcW w:w="1701" w:type="dxa"/>
          </w:tcPr>
          <w:p w14:paraId="521C658D"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123.07</w:t>
            </w:r>
          </w:p>
        </w:tc>
        <w:tc>
          <w:tcPr>
            <w:tcW w:w="1730" w:type="dxa"/>
          </w:tcPr>
          <w:p w14:paraId="2670BC53"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185.31</w:t>
            </w:r>
          </w:p>
        </w:tc>
        <w:tc>
          <w:tcPr>
            <w:tcW w:w="1701" w:type="dxa"/>
          </w:tcPr>
          <w:p w14:paraId="4DF5776C"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62.24</w:t>
            </w:r>
          </w:p>
        </w:tc>
        <w:tc>
          <w:tcPr>
            <w:tcW w:w="1842" w:type="dxa"/>
          </w:tcPr>
          <w:p w14:paraId="5CF337B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1.037</w:t>
            </w:r>
          </w:p>
        </w:tc>
      </w:tr>
      <w:tr w:rsidR="006D796C" w:rsidRPr="004F447C" w14:paraId="4B640AC1" w14:textId="77777777" w:rsidTr="006D796C">
        <w:trPr>
          <w:jc w:val="center"/>
        </w:trPr>
        <w:tc>
          <w:tcPr>
            <w:tcW w:w="817" w:type="dxa"/>
          </w:tcPr>
          <w:p w14:paraId="7FE1C6D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11.</w:t>
            </w:r>
          </w:p>
        </w:tc>
        <w:tc>
          <w:tcPr>
            <w:tcW w:w="1701" w:type="dxa"/>
          </w:tcPr>
          <w:p w14:paraId="7187B766"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147.49</w:t>
            </w:r>
          </w:p>
        </w:tc>
        <w:tc>
          <w:tcPr>
            <w:tcW w:w="1730" w:type="dxa"/>
          </w:tcPr>
          <w:p w14:paraId="7E93AEE6"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153.22</w:t>
            </w:r>
          </w:p>
        </w:tc>
        <w:tc>
          <w:tcPr>
            <w:tcW w:w="1701" w:type="dxa"/>
          </w:tcPr>
          <w:p w14:paraId="02A9AEA9"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5.73</w:t>
            </w:r>
          </w:p>
        </w:tc>
        <w:tc>
          <w:tcPr>
            <w:tcW w:w="1842" w:type="dxa"/>
          </w:tcPr>
          <w:p w14:paraId="429E3BAC"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0.096</w:t>
            </w:r>
          </w:p>
        </w:tc>
      </w:tr>
      <w:tr w:rsidR="006D796C" w:rsidRPr="004F447C" w14:paraId="03CCB138" w14:textId="77777777" w:rsidTr="006D796C">
        <w:trPr>
          <w:jc w:val="center"/>
        </w:trPr>
        <w:tc>
          <w:tcPr>
            <w:tcW w:w="817" w:type="dxa"/>
          </w:tcPr>
          <w:p w14:paraId="57FD73B7"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12.</w:t>
            </w:r>
          </w:p>
        </w:tc>
        <w:tc>
          <w:tcPr>
            <w:tcW w:w="1701" w:type="dxa"/>
          </w:tcPr>
          <w:p w14:paraId="75C54048"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187.06</w:t>
            </w:r>
          </w:p>
        </w:tc>
        <w:tc>
          <w:tcPr>
            <w:tcW w:w="1730" w:type="dxa"/>
          </w:tcPr>
          <w:p w14:paraId="2B40133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236.79</w:t>
            </w:r>
          </w:p>
        </w:tc>
        <w:tc>
          <w:tcPr>
            <w:tcW w:w="1701" w:type="dxa"/>
          </w:tcPr>
          <w:p w14:paraId="542D6DE8"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49.73</w:t>
            </w:r>
          </w:p>
        </w:tc>
        <w:tc>
          <w:tcPr>
            <w:tcW w:w="1842" w:type="dxa"/>
          </w:tcPr>
          <w:p w14:paraId="6DDE4A13"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0.829</w:t>
            </w:r>
          </w:p>
        </w:tc>
      </w:tr>
      <w:tr w:rsidR="006D796C" w:rsidRPr="004F447C" w14:paraId="7EF87212" w14:textId="77777777" w:rsidTr="006D796C">
        <w:trPr>
          <w:jc w:val="center"/>
        </w:trPr>
        <w:tc>
          <w:tcPr>
            <w:tcW w:w="817" w:type="dxa"/>
          </w:tcPr>
          <w:p w14:paraId="5EB75DA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13.</w:t>
            </w:r>
          </w:p>
        </w:tc>
        <w:tc>
          <w:tcPr>
            <w:tcW w:w="1701" w:type="dxa"/>
          </w:tcPr>
          <w:p w14:paraId="11880A4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98.52</w:t>
            </w:r>
          </w:p>
        </w:tc>
        <w:tc>
          <w:tcPr>
            <w:tcW w:w="1730" w:type="dxa"/>
          </w:tcPr>
          <w:p w14:paraId="2AFE303D"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155.66</w:t>
            </w:r>
          </w:p>
        </w:tc>
        <w:tc>
          <w:tcPr>
            <w:tcW w:w="1701" w:type="dxa"/>
          </w:tcPr>
          <w:p w14:paraId="748D58B7"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57.14</w:t>
            </w:r>
          </w:p>
        </w:tc>
        <w:tc>
          <w:tcPr>
            <w:tcW w:w="1842" w:type="dxa"/>
          </w:tcPr>
          <w:p w14:paraId="6D916C66"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0.952</w:t>
            </w:r>
          </w:p>
        </w:tc>
      </w:tr>
      <w:tr w:rsidR="006D796C" w:rsidRPr="004F447C" w14:paraId="62D930F8" w14:textId="77777777" w:rsidTr="006D796C">
        <w:trPr>
          <w:jc w:val="center"/>
        </w:trPr>
        <w:tc>
          <w:tcPr>
            <w:tcW w:w="817" w:type="dxa"/>
          </w:tcPr>
          <w:p w14:paraId="1C3D27D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w:t>
            </w:r>
          </w:p>
        </w:tc>
        <w:tc>
          <w:tcPr>
            <w:tcW w:w="1701" w:type="dxa"/>
          </w:tcPr>
          <w:p w14:paraId="08827BBF"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153.22</w:t>
            </w:r>
          </w:p>
        </w:tc>
        <w:tc>
          <w:tcPr>
            <w:tcW w:w="1730" w:type="dxa"/>
          </w:tcPr>
          <w:p w14:paraId="10D2035D"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148.0</w:t>
            </w:r>
          </w:p>
        </w:tc>
        <w:tc>
          <w:tcPr>
            <w:tcW w:w="1701" w:type="dxa"/>
          </w:tcPr>
          <w:p w14:paraId="63D7CA5E"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-5.22</w:t>
            </w:r>
          </w:p>
        </w:tc>
        <w:tc>
          <w:tcPr>
            <w:tcW w:w="1842" w:type="dxa"/>
          </w:tcPr>
          <w:p w14:paraId="687B723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-0.087</w:t>
            </w:r>
          </w:p>
        </w:tc>
      </w:tr>
      <w:tr w:rsidR="006D796C" w:rsidRPr="004F447C" w14:paraId="40C5C99B" w14:textId="77777777" w:rsidTr="006D796C">
        <w:trPr>
          <w:jc w:val="center"/>
        </w:trPr>
        <w:tc>
          <w:tcPr>
            <w:tcW w:w="817" w:type="dxa"/>
          </w:tcPr>
          <w:p w14:paraId="41389281"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w:t>
            </w:r>
          </w:p>
        </w:tc>
        <w:tc>
          <w:tcPr>
            <w:tcW w:w="1701" w:type="dxa"/>
          </w:tcPr>
          <w:p w14:paraId="2348C9EB"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113.64</w:t>
            </w:r>
          </w:p>
        </w:tc>
        <w:tc>
          <w:tcPr>
            <w:tcW w:w="1730" w:type="dxa"/>
          </w:tcPr>
          <w:p w14:paraId="3A7709FF"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161.73</w:t>
            </w:r>
          </w:p>
        </w:tc>
        <w:tc>
          <w:tcPr>
            <w:tcW w:w="1701" w:type="dxa"/>
          </w:tcPr>
          <w:p w14:paraId="03C75C6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48.09</w:t>
            </w:r>
          </w:p>
        </w:tc>
        <w:tc>
          <w:tcPr>
            <w:tcW w:w="1842" w:type="dxa"/>
          </w:tcPr>
          <w:p w14:paraId="122F6F19"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0.802</w:t>
            </w:r>
          </w:p>
        </w:tc>
      </w:tr>
      <w:tr w:rsidR="006D796C" w:rsidRPr="004F447C" w14:paraId="3C8FD45A" w14:textId="77777777" w:rsidTr="006D796C">
        <w:trPr>
          <w:jc w:val="center"/>
        </w:trPr>
        <w:tc>
          <w:tcPr>
            <w:tcW w:w="817" w:type="dxa"/>
          </w:tcPr>
          <w:p w14:paraId="7ED409A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16.</w:t>
            </w:r>
          </w:p>
        </w:tc>
        <w:tc>
          <w:tcPr>
            <w:tcW w:w="1701" w:type="dxa"/>
          </w:tcPr>
          <w:p w14:paraId="5757BA6B"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281.67</w:t>
            </w:r>
          </w:p>
        </w:tc>
        <w:tc>
          <w:tcPr>
            <w:tcW w:w="1730" w:type="dxa"/>
          </w:tcPr>
          <w:p w14:paraId="5B976F3D"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244.0</w:t>
            </w:r>
          </w:p>
        </w:tc>
        <w:tc>
          <w:tcPr>
            <w:tcW w:w="1701" w:type="dxa"/>
          </w:tcPr>
          <w:p w14:paraId="5B93653A"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-37.67</w:t>
            </w:r>
          </w:p>
        </w:tc>
        <w:tc>
          <w:tcPr>
            <w:tcW w:w="1842" w:type="dxa"/>
          </w:tcPr>
          <w:p w14:paraId="409F5BC1"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-0.628</w:t>
            </w:r>
          </w:p>
        </w:tc>
      </w:tr>
      <w:tr w:rsidR="006D796C" w:rsidRPr="004F447C" w14:paraId="7097618E" w14:textId="77777777" w:rsidTr="006D796C">
        <w:trPr>
          <w:jc w:val="center"/>
        </w:trPr>
        <w:tc>
          <w:tcPr>
            <w:tcW w:w="817" w:type="dxa"/>
          </w:tcPr>
          <w:p w14:paraId="74D26758"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17.</w:t>
            </w:r>
          </w:p>
        </w:tc>
        <w:tc>
          <w:tcPr>
            <w:tcW w:w="1701" w:type="dxa"/>
          </w:tcPr>
          <w:p w14:paraId="3E1482D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110.45</w:t>
            </w:r>
          </w:p>
        </w:tc>
        <w:tc>
          <w:tcPr>
            <w:tcW w:w="1730" w:type="dxa"/>
          </w:tcPr>
          <w:p w14:paraId="33EB7AD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153.7</w:t>
            </w:r>
          </w:p>
        </w:tc>
        <w:tc>
          <w:tcPr>
            <w:tcW w:w="1701" w:type="dxa"/>
          </w:tcPr>
          <w:p w14:paraId="6BD39D88"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43.25</w:t>
            </w:r>
          </w:p>
        </w:tc>
        <w:tc>
          <w:tcPr>
            <w:tcW w:w="1842" w:type="dxa"/>
          </w:tcPr>
          <w:p w14:paraId="304F630B"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0.721</w:t>
            </w:r>
          </w:p>
        </w:tc>
      </w:tr>
      <w:tr w:rsidR="006D796C" w:rsidRPr="004F447C" w14:paraId="57127DFB" w14:textId="77777777" w:rsidTr="006D796C">
        <w:trPr>
          <w:jc w:val="center"/>
        </w:trPr>
        <w:tc>
          <w:tcPr>
            <w:tcW w:w="817" w:type="dxa"/>
          </w:tcPr>
          <w:p w14:paraId="7A86662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w:t>
            </w:r>
          </w:p>
        </w:tc>
        <w:tc>
          <w:tcPr>
            <w:tcW w:w="1701" w:type="dxa"/>
          </w:tcPr>
          <w:p w14:paraId="2FB88403"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175.81</w:t>
            </w:r>
          </w:p>
        </w:tc>
        <w:tc>
          <w:tcPr>
            <w:tcW w:w="1730" w:type="dxa"/>
          </w:tcPr>
          <w:p w14:paraId="54AD344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149.15</w:t>
            </w:r>
          </w:p>
        </w:tc>
        <w:tc>
          <w:tcPr>
            <w:tcW w:w="1701" w:type="dxa"/>
          </w:tcPr>
          <w:p w14:paraId="13BAF1FE"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-26.66</w:t>
            </w:r>
          </w:p>
        </w:tc>
        <w:tc>
          <w:tcPr>
            <w:tcW w:w="1842" w:type="dxa"/>
          </w:tcPr>
          <w:p w14:paraId="05E25639"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-0.444</w:t>
            </w:r>
          </w:p>
        </w:tc>
      </w:tr>
      <w:tr w:rsidR="006D796C" w:rsidRPr="004F447C" w14:paraId="615FEBC8" w14:textId="77777777" w:rsidTr="006D796C">
        <w:trPr>
          <w:jc w:val="center"/>
        </w:trPr>
        <w:tc>
          <w:tcPr>
            <w:tcW w:w="817" w:type="dxa"/>
          </w:tcPr>
          <w:p w14:paraId="7B77E5A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w:t>
            </w:r>
          </w:p>
        </w:tc>
        <w:tc>
          <w:tcPr>
            <w:tcW w:w="1701" w:type="dxa"/>
          </w:tcPr>
          <w:p w14:paraId="5872E57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187.06</w:t>
            </w:r>
          </w:p>
        </w:tc>
        <w:tc>
          <w:tcPr>
            <w:tcW w:w="1730" w:type="dxa"/>
          </w:tcPr>
          <w:p w14:paraId="4AD9AACC"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236.79</w:t>
            </w:r>
          </w:p>
        </w:tc>
        <w:tc>
          <w:tcPr>
            <w:tcW w:w="1701" w:type="dxa"/>
          </w:tcPr>
          <w:p w14:paraId="1B7A202A"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49.73</w:t>
            </w:r>
          </w:p>
        </w:tc>
        <w:tc>
          <w:tcPr>
            <w:tcW w:w="1842" w:type="dxa"/>
          </w:tcPr>
          <w:p w14:paraId="3730ACBF"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0.829</w:t>
            </w:r>
          </w:p>
        </w:tc>
      </w:tr>
      <w:tr w:rsidR="006D796C" w:rsidRPr="004F447C" w14:paraId="5DA41F26" w14:textId="77777777" w:rsidTr="006D796C">
        <w:trPr>
          <w:jc w:val="center"/>
        </w:trPr>
        <w:tc>
          <w:tcPr>
            <w:tcW w:w="817" w:type="dxa"/>
          </w:tcPr>
          <w:p w14:paraId="37E5540A"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20.</w:t>
            </w:r>
          </w:p>
        </w:tc>
        <w:tc>
          <w:tcPr>
            <w:tcW w:w="1701" w:type="dxa"/>
          </w:tcPr>
          <w:p w14:paraId="6BE0DC2F"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211.68</w:t>
            </w:r>
          </w:p>
        </w:tc>
        <w:tc>
          <w:tcPr>
            <w:tcW w:w="1730" w:type="dxa"/>
          </w:tcPr>
          <w:p w14:paraId="2C6BD8B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176.73</w:t>
            </w:r>
          </w:p>
        </w:tc>
        <w:tc>
          <w:tcPr>
            <w:tcW w:w="1701" w:type="dxa"/>
          </w:tcPr>
          <w:p w14:paraId="4065654E"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-34.95</w:t>
            </w:r>
          </w:p>
        </w:tc>
        <w:tc>
          <w:tcPr>
            <w:tcW w:w="1842" w:type="dxa"/>
          </w:tcPr>
          <w:p w14:paraId="0CEC3B1A"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-0.582</w:t>
            </w:r>
          </w:p>
        </w:tc>
      </w:tr>
      <w:tr w:rsidR="006D796C" w:rsidRPr="004F447C" w14:paraId="5472E54C" w14:textId="77777777" w:rsidTr="006D796C">
        <w:trPr>
          <w:jc w:val="center"/>
        </w:trPr>
        <w:tc>
          <w:tcPr>
            <w:tcW w:w="817" w:type="dxa"/>
          </w:tcPr>
          <w:p w14:paraId="7C4BD25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21.</w:t>
            </w:r>
          </w:p>
        </w:tc>
        <w:tc>
          <w:tcPr>
            <w:tcW w:w="1701" w:type="dxa"/>
          </w:tcPr>
          <w:p w14:paraId="667EE22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152.67</w:t>
            </w:r>
          </w:p>
        </w:tc>
        <w:tc>
          <w:tcPr>
            <w:tcW w:w="1730" w:type="dxa"/>
          </w:tcPr>
          <w:p w14:paraId="2CB666A1"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204.32</w:t>
            </w:r>
          </w:p>
        </w:tc>
        <w:tc>
          <w:tcPr>
            <w:tcW w:w="1701" w:type="dxa"/>
          </w:tcPr>
          <w:p w14:paraId="6C8C096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51.65</w:t>
            </w:r>
          </w:p>
        </w:tc>
        <w:tc>
          <w:tcPr>
            <w:tcW w:w="1842" w:type="dxa"/>
          </w:tcPr>
          <w:p w14:paraId="53508E60"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0.861</w:t>
            </w:r>
          </w:p>
        </w:tc>
      </w:tr>
      <w:tr w:rsidR="006D796C" w:rsidRPr="004F447C" w14:paraId="1811745A" w14:textId="77777777" w:rsidTr="006D796C">
        <w:trPr>
          <w:jc w:val="center"/>
        </w:trPr>
        <w:tc>
          <w:tcPr>
            <w:tcW w:w="817" w:type="dxa"/>
          </w:tcPr>
          <w:p w14:paraId="56D3681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22.</w:t>
            </w:r>
          </w:p>
        </w:tc>
        <w:tc>
          <w:tcPr>
            <w:tcW w:w="1701" w:type="dxa"/>
          </w:tcPr>
          <w:p w14:paraId="23CD0376"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180.56</w:t>
            </w:r>
          </w:p>
        </w:tc>
        <w:tc>
          <w:tcPr>
            <w:tcW w:w="1730" w:type="dxa"/>
          </w:tcPr>
          <w:p w14:paraId="0B0A9A9D"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201.83</w:t>
            </w:r>
          </w:p>
        </w:tc>
        <w:tc>
          <w:tcPr>
            <w:tcW w:w="1701" w:type="dxa"/>
          </w:tcPr>
          <w:p w14:paraId="30DA3D39"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21.27</w:t>
            </w:r>
          </w:p>
        </w:tc>
        <w:tc>
          <w:tcPr>
            <w:tcW w:w="1842" w:type="dxa"/>
          </w:tcPr>
          <w:p w14:paraId="3F6B726C"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0.354</w:t>
            </w:r>
          </w:p>
        </w:tc>
      </w:tr>
      <w:tr w:rsidR="006D796C" w:rsidRPr="004F447C" w14:paraId="53B08544" w14:textId="77777777" w:rsidTr="006D796C">
        <w:trPr>
          <w:jc w:val="center"/>
        </w:trPr>
        <w:tc>
          <w:tcPr>
            <w:tcW w:w="817" w:type="dxa"/>
          </w:tcPr>
          <w:p w14:paraId="70A94F5F"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23.</w:t>
            </w:r>
          </w:p>
        </w:tc>
        <w:tc>
          <w:tcPr>
            <w:tcW w:w="1701" w:type="dxa"/>
          </w:tcPr>
          <w:p w14:paraId="6525A691"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180.56</w:t>
            </w:r>
          </w:p>
        </w:tc>
        <w:tc>
          <w:tcPr>
            <w:tcW w:w="1730" w:type="dxa"/>
          </w:tcPr>
          <w:p w14:paraId="7073F339"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201.83</w:t>
            </w:r>
          </w:p>
        </w:tc>
        <w:tc>
          <w:tcPr>
            <w:tcW w:w="1701" w:type="dxa"/>
          </w:tcPr>
          <w:p w14:paraId="2B46B6C9"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21.27</w:t>
            </w:r>
          </w:p>
        </w:tc>
        <w:tc>
          <w:tcPr>
            <w:tcW w:w="1842" w:type="dxa"/>
          </w:tcPr>
          <w:p w14:paraId="52DF1835"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0.354</w:t>
            </w:r>
          </w:p>
        </w:tc>
      </w:tr>
      <w:tr w:rsidR="006D796C" w:rsidRPr="004F447C" w14:paraId="14A5ED26" w14:textId="77777777" w:rsidTr="006D796C">
        <w:trPr>
          <w:jc w:val="center"/>
        </w:trPr>
        <w:tc>
          <w:tcPr>
            <w:tcW w:w="817" w:type="dxa"/>
          </w:tcPr>
          <w:p w14:paraId="35F55DA4"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24.</w:t>
            </w:r>
          </w:p>
        </w:tc>
        <w:tc>
          <w:tcPr>
            <w:tcW w:w="1701" w:type="dxa"/>
          </w:tcPr>
          <w:p w14:paraId="6B77A0F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191.99</w:t>
            </w:r>
          </w:p>
        </w:tc>
        <w:tc>
          <w:tcPr>
            <w:tcW w:w="1730" w:type="dxa"/>
          </w:tcPr>
          <w:p w14:paraId="676662FE"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156.43</w:t>
            </w:r>
          </w:p>
        </w:tc>
        <w:tc>
          <w:tcPr>
            <w:tcW w:w="1701" w:type="dxa"/>
          </w:tcPr>
          <w:p w14:paraId="5DF08682"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-35.56</w:t>
            </w:r>
          </w:p>
        </w:tc>
        <w:tc>
          <w:tcPr>
            <w:tcW w:w="1842" w:type="dxa"/>
          </w:tcPr>
          <w:p w14:paraId="6F651A11" w14:textId="77777777" w:rsidR="006D796C" w:rsidRPr="00DB605E" w:rsidRDefault="006D796C" w:rsidP="00593A43">
            <w:pPr>
              <w:spacing w:after="0" w:line="360" w:lineRule="auto"/>
              <w:jc w:val="both"/>
              <w:rPr>
                <w:rFonts w:ascii="Arial" w:hAnsi="Arial" w:cs="Arial"/>
                <w:sz w:val="20"/>
                <w:szCs w:val="20"/>
              </w:rPr>
            </w:pPr>
            <w:r w:rsidRPr="00DB605E">
              <w:rPr>
                <w:rFonts w:ascii="Arial" w:hAnsi="Arial" w:cs="Arial"/>
                <w:sz w:val="20"/>
                <w:szCs w:val="20"/>
              </w:rPr>
              <w:t>-0.593</w:t>
            </w:r>
          </w:p>
        </w:tc>
      </w:tr>
    </w:tbl>
    <w:p w14:paraId="3C877EBB" w14:textId="77777777" w:rsidR="00593A43" w:rsidRPr="004F447C" w:rsidRDefault="00593A43" w:rsidP="00593A43">
      <w:pPr>
        <w:spacing w:after="0" w:line="360" w:lineRule="auto"/>
        <w:jc w:val="both"/>
        <w:rPr>
          <w:rFonts w:ascii="Times New Roman" w:hAnsi="Times New Roman" w:cs="Times New Roman"/>
          <w:b/>
          <w:bCs/>
          <w:sz w:val="24"/>
          <w:szCs w:val="24"/>
        </w:rPr>
      </w:pPr>
    </w:p>
    <w:p w14:paraId="24DECFFC" w14:textId="39519FF9" w:rsidR="00593A43" w:rsidRPr="00DB605E" w:rsidRDefault="007351BD" w:rsidP="006D796C">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 xml:space="preserve">Statistical analysis using a paired </w:t>
      </w:r>
      <w:r w:rsidRPr="00DB605E">
        <w:rPr>
          <w:rFonts w:ascii="Arial" w:hAnsi="Arial" w:cs="Arial"/>
          <w:i/>
          <w:iCs/>
          <w:sz w:val="20"/>
          <w:szCs w:val="20"/>
          <w:lang w:val="en-IN"/>
        </w:rPr>
        <w:t>t</w:t>
      </w:r>
      <w:r w:rsidRPr="00DB605E">
        <w:rPr>
          <w:rFonts w:ascii="Arial" w:hAnsi="Arial" w:cs="Arial"/>
          <w:sz w:val="20"/>
          <w:szCs w:val="20"/>
          <w:lang w:val="en-IN"/>
        </w:rPr>
        <w:t>-test revealed a significant increase in body weight following the feeding intervention (</w:t>
      </w:r>
      <w:r w:rsidRPr="00DB605E">
        <w:rPr>
          <w:rFonts w:ascii="Arial" w:hAnsi="Arial" w:cs="Arial"/>
          <w:i/>
          <w:iCs/>
          <w:sz w:val="20"/>
          <w:szCs w:val="20"/>
          <w:lang w:val="en-IN"/>
        </w:rPr>
        <w:t>t</w:t>
      </w:r>
      <w:r w:rsidRPr="00DB605E">
        <w:rPr>
          <w:rFonts w:ascii="Arial" w:hAnsi="Arial" w:cs="Arial"/>
          <w:sz w:val="20"/>
          <w:szCs w:val="20"/>
          <w:lang w:val="en-IN"/>
        </w:rPr>
        <w:t xml:space="preserve"> = 2.974, </w:t>
      </w:r>
      <w:r w:rsidRPr="00DB605E">
        <w:rPr>
          <w:rFonts w:ascii="Arial" w:hAnsi="Arial" w:cs="Arial"/>
          <w:i/>
          <w:iCs/>
          <w:sz w:val="20"/>
          <w:szCs w:val="20"/>
          <w:lang w:val="en-IN"/>
        </w:rPr>
        <w:t>p</w:t>
      </w:r>
      <w:r w:rsidRPr="00DB605E">
        <w:rPr>
          <w:rFonts w:ascii="Arial" w:hAnsi="Arial" w:cs="Arial"/>
          <w:sz w:val="20"/>
          <w:szCs w:val="20"/>
          <w:lang w:val="en-IN"/>
        </w:rPr>
        <w:t xml:space="preserve"> = 0.0068), indicating that the standardized feeding plan had a positive impact on growth performance (Table </w:t>
      </w:r>
      <w:r w:rsidR="00DB605E" w:rsidRPr="00DB605E">
        <w:rPr>
          <w:rFonts w:ascii="Arial" w:hAnsi="Arial" w:cs="Arial"/>
          <w:sz w:val="20"/>
          <w:szCs w:val="20"/>
          <w:lang w:val="en-IN"/>
        </w:rPr>
        <w:t>4</w:t>
      </w:r>
      <w:r w:rsidRPr="00DB605E">
        <w:rPr>
          <w:rFonts w:ascii="Arial" w:hAnsi="Arial" w:cs="Arial"/>
          <w:sz w:val="20"/>
          <w:szCs w:val="20"/>
          <w:lang w:val="en-IN"/>
        </w:rPr>
        <w:t>). Notably, this improvement remained statistically significant (</w:t>
      </w:r>
      <w:r w:rsidRPr="00DB605E">
        <w:rPr>
          <w:rFonts w:ascii="Arial" w:hAnsi="Arial" w:cs="Arial"/>
          <w:i/>
          <w:iCs/>
          <w:sz w:val="20"/>
          <w:szCs w:val="20"/>
          <w:lang w:val="en-IN"/>
        </w:rPr>
        <w:t>p</w:t>
      </w:r>
      <w:r w:rsidRPr="00DB605E">
        <w:rPr>
          <w:rFonts w:ascii="Arial" w:hAnsi="Arial" w:cs="Arial"/>
          <w:sz w:val="20"/>
          <w:szCs w:val="20"/>
          <w:lang w:val="en-IN"/>
        </w:rPr>
        <w:t xml:space="preserve"> &lt; 0.01) even after the exclusion of outlier data, enhancing the robustness and biological credibility of the findings. The observed ADG of 0.34 kg/day align</w:t>
      </w:r>
      <w:r w:rsidR="009807DC" w:rsidRPr="00DB605E">
        <w:rPr>
          <w:rFonts w:ascii="Arial" w:hAnsi="Arial" w:cs="Arial"/>
          <w:sz w:val="20"/>
          <w:szCs w:val="20"/>
          <w:lang w:val="en-IN"/>
        </w:rPr>
        <w:t>ed</w:t>
      </w:r>
      <w:r w:rsidRPr="00DB605E">
        <w:rPr>
          <w:rFonts w:ascii="Arial" w:hAnsi="Arial" w:cs="Arial"/>
          <w:sz w:val="20"/>
          <w:szCs w:val="20"/>
          <w:lang w:val="en-IN"/>
        </w:rPr>
        <w:t xml:space="preserve"> well with expected values for </w:t>
      </w:r>
      <w:r w:rsidRPr="00DB605E">
        <w:rPr>
          <w:rFonts w:ascii="Arial" w:hAnsi="Arial" w:cs="Arial"/>
          <w:sz w:val="20"/>
          <w:szCs w:val="20"/>
          <w:lang w:val="en-IN"/>
        </w:rPr>
        <w:lastRenderedPageBreak/>
        <w:t xml:space="preserve">Murrah crossbred buffaloes managed under semi-intensive systems, reinforcing the practical relevance and feasibility of the feeding strategy. </w:t>
      </w:r>
    </w:p>
    <w:p w14:paraId="762645EC" w14:textId="5D75D5E6" w:rsidR="00593A43" w:rsidRPr="00DB605E" w:rsidRDefault="00593A43" w:rsidP="00593A43">
      <w:pPr>
        <w:spacing w:after="0" w:line="360" w:lineRule="auto"/>
        <w:jc w:val="both"/>
        <w:rPr>
          <w:rFonts w:ascii="Arial" w:hAnsi="Arial" w:cs="Arial"/>
          <w:sz w:val="20"/>
          <w:szCs w:val="20"/>
        </w:rPr>
      </w:pPr>
      <w:r w:rsidRPr="00DB605E">
        <w:rPr>
          <w:rFonts w:ascii="Arial" w:hAnsi="Arial" w:cs="Arial"/>
          <w:b/>
          <w:bCs/>
          <w:sz w:val="20"/>
          <w:szCs w:val="20"/>
        </w:rPr>
        <w:t xml:space="preserve"> Table :</w:t>
      </w:r>
      <w:r w:rsidR="00534710" w:rsidRPr="00DB605E">
        <w:rPr>
          <w:rFonts w:ascii="Arial" w:hAnsi="Arial" w:cs="Arial"/>
          <w:b/>
          <w:bCs/>
          <w:sz w:val="20"/>
          <w:szCs w:val="20"/>
        </w:rPr>
        <w:t>4</w:t>
      </w:r>
      <w:r w:rsidR="003413EB" w:rsidRPr="00DB605E">
        <w:rPr>
          <w:rFonts w:ascii="Arial" w:hAnsi="Arial" w:cs="Arial"/>
          <w:b/>
          <w:bCs/>
          <w:sz w:val="20"/>
          <w:szCs w:val="20"/>
        </w:rPr>
        <w:t xml:space="preserve"> Effect of Experimental Treatment on Body Weight and Average Daily Gain (Paired t-test </w:t>
      </w:r>
      <w:r w:rsidR="00663F7A">
        <w:rPr>
          <w:rFonts w:ascii="Arial" w:hAnsi="Arial" w:cs="Arial"/>
          <w:b/>
          <w:bCs/>
          <w:sz w:val="20"/>
          <w:szCs w:val="20"/>
        </w:rPr>
        <w:t>a</w:t>
      </w:r>
      <w:r w:rsidR="003413EB" w:rsidRPr="00DB605E">
        <w:rPr>
          <w:rFonts w:ascii="Arial" w:hAnsi="Arial" w:cs="Arial"/>
          <w:b/>
          <w:bCs/>
          <w:sz w:val="20"/>
          <w:szCs w:val="20"/>
        </w:rPr>
        <w:t>nalysis)</w:t>
      </w:r>
    </w:p>
    <w:tbl>
      <w:tblPr>
        <w:tblStyle w:val="PlainTable21"/>
        <w:tblW w:w="7291" w:type="dxa"/>
        <w:tblLook w:val="04A0" w:firstRow="1" w:lastRow="0" w:firstColumn="1" w:lastColumn="0" w:noHBand="0" w:noVBand="1"/>
      </w:tblPr>
      <w:tblGrid>
        <w:gridCol w:w="4826"/>
        <w:gridCol w:w="2465"/>
      </w:tblGrid>
      <w:tr w:rsidR="00593A43" w:rsidRPr="00DB605E" w14:paraId="08B8D4BA" w14:textId="77777777" w:rsidTr="006D796C">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35556F2A" w14:textId="77777777"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sz w:val="20"/>
                <w:szCs w:val="20"/>
              </w:rPr>
              <w:t>Parameter</w:t>
            </w:r>
          </w:p>
        </w:tc>
        <w:tc>
          <w:tcPr>
            <w:tcW w:w="0" w:type="auto"/>
            <w:hideMark/>
          </w:tcPr>
          <w:p w14:paraId="29965E9F" w14:textId="77777777" w:rsidR="00593A43" w:rsidRPr="00DB605E" w:rsidRDefault="00593A43" w:rsidP="00593A43">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B605E">
              <w:rPr>
                <w:rFonts w:ascii="Arial" w:hAnsi="Arial" w:cs="Arial"/>
                <w:sz w:val="20"/>
                <w:szCs w:val="20"/>
              </w:rPr>
              <w:t>Value</w:t>
            </w:r>
          </w:p>
        </w:tc>
      </w:tr>
      <w:tr w:rsidR="00593A43" w:rsidRPr="00DB605E" w14:paraId="388060A6" w14:textId="77777777" w:rsidTr="006D796C">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0" w:type="auto"/>
            <w:hideMark/>
          </w:tcPr>
          <w:p w14:paraId="35C5AAAE" w14:textId="77777777"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Average Initial Weight (Mean ± SE)</w:t>
            </w:r>
          </w:p>
        </w:tc>
        <w:tc>
          <w:tcPr>
            <w:tcW w:w="0" w:type="auto"/>
            <w:hideMark/>
          </w:tcPr>
          <w:p w14:paraId="7B319725" w14:textId="77777777" w:rsidR="00593A43" w:rsidRPr="00DB605E" w:rsidRDefault="00593A43" w:rsidP="00593A43">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 xml:space="preserve">181.92 ± 9.81 kg </w:t>
            </w:r>
          </w:p>
        </w:tc>
      </w:tr>
      <w:tr w:rsidR="00593A43" w:rsidRPr="00DB605E" w14:paraId="7D4C7E7D" w14:textId="77777777" w:rsidTr="006D796C">
        <w:trPr>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3008A409" w14:textId="77777777"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Average Final Weight (Mean ± SE)</w:t>
            </w:r>
          </w:p>
        </w:tc>
        <w:tc>
          <w:tcPr>
            <w:tcW w:w="0" w:type="auto"/>
            <w:hideMark/>
          </w:tcPr>
          <w:p w14:paraId="5689BE0B" w14:textId="77777777" w:rsidR="00593A43" w:rsidRPr="00DB605E" w:rsidRDefault="00593A43" w:rsidP="00593A43">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 xml:space="preserve">202.28 ± 8.32 kg </w:t>
            </w:r>
          </w:p>
        </w:tc>
      </w:tr>
      <w:tr w:rsidR="00593A43" w:rsidRPr="00DB605E" w14:paraId="256654FC" w14:textId="77777777" w:rsidTr="006D796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7A9D8116" w14:textId="77777777"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Average Weight Gain (Mean ± SE)</w:t>
            </w:r>
          </w:p>
        </w:tc>
        <w:tc>
          <w:tcPr>
            <w:tcW w:w="0" w:type="auto"/>
            <w:hideMark/>
          </w:tcPr>
          <w:p w14:paraId="076E169E" w14:textId="77777777" w:rsidR="00593A43" w:rsidRPr="00DB605E" w:rsidRDefault="00593A43" w:rsidP="00593A43">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 xml:space="preserve">20.36 ± 6.85 kg </w:t>
            </w:r>
          </w:p>
        </w:tc>
      </w:tr>
      <w:tr w:rsidR="00593A43" w:rsidRPr="00DB605E" w14:paraId="0A92BB37" w14:textId="77777777" w:rsidTr="006D796C">
        <w:trPr>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61D71A1E" w14:textId="77777777"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Average Daily Gain (ADG)</w:t>
            </w:r>
          </w:p>
        </w:tc>
        <w:tc>
          <w:tcPr>
            <w:tcW w:w="0" w:type="auto"/>
            <w:hideMark/>
          </w:tcPr>
          <w:p w14:paraId="1411D12F" w14:textId="523972AB" w:rsidR="00593A43" w:rsidRPr="00DB605E" w:rsidRDefault="00593A43" w:rsidP="00593A43">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0.34 kg/day</w:t>
            </w:r>
          </w:p>
        </w:tc>
      </w:tr>
      <w:tr w:rsidR="00593A43" w:rsidRPr="00DB605E" w14:paraId="57BA394C" w14:textId="77777777" w:rsidTr="006D796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1E87EBEF" w14:textId="77777777"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Paired t-test Statistic</w:t>
            </w:r>
          </w:p>
        </w:tc>
        <w:tc>
          <w:tcPr>
            <w:tcW w:w="0" w:type="auto"/>
            <w:hideMark/>
          </w:tcPr>
          <w:p w14:paraId="5F72F1FC" w14:textId="77777777" w:rsidR="00593A43" w:rsidRPr="00DB605E" w:rsidRDefault="00593A43" w:rsidP="00593A43">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605E">
              <w:rPr>
                <w:rFonts w:ascii="Arial" w:hAnsi="Arial" w:cs="Arial"/>
                <w:sz w:val="20"/>
                <w:szCs w:val="20"/>
              </w:rPr>
              <w:t>2.974</w:t>
            </w:r>
          </w:p>
        </w:tc>
      </w:tr>
      <w:tr w:rsidR="00593A43" w:rsidRPr="00DB605E" w14:paraId="21D8BFE3" w14:textId="77777777" w:rsidTr="006D796C">
        <w:trPr>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1E34EFE7" w14:textId="77777777" w:rsidR="00593A43" w:rsidRPr="00DB605E" w:rsidRDefault="00593A43" w:rsidP="00593A43">
            <w:pPr>
              <w:spacing w:after="0" w:line="360" w:lineRule="auto"/>
              <w:jc w:val="both"/>
              <w:rPr>
                <w:rFonts w:ascii="Arial" w:hAnsi="Arial" w:cs="Arial"/>
                <w:b w:val="0"/>
                <w:bCs w:val="0"/>
                <w:sz w:val="20"/>
                <w:szCs w:val="20"/>
              </w:rPr>
            </w:pPr>
            <w:r w:rsidRPr="00DB605E">
              <w:rPr>
                <w:rFonts w:ascii="Arial" w:hAnsi="Arial" w:cs="Arial"/>
                <w:b w:val="0"/>
                <w:bCs w:val="0"/>
                <w:sz w:val="20"/>
                <w:szCs w:val="20"/>
              </w:rPr>
              <w:t>p-value</w:t>
            </w:r>
          </w:p>
        </w:tc>
        <w:tc>
          <w:tcPr>
            <w:tcW w:w="0" w:type="auto"/>
            <w:hideMark/>
          </w:tcPr>
          <w:p w14:paraId="6FE43BD8" w14:textId="77777777" w:rsidR="00593A43" w:rsidRPr="00DB605E" w:rsidRDefault="00593A43" w:rsidP="00593A43">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05E">
              <w:rPr>
                <w:rFonts w:ascii="Arial" w:hAnsi="Arial" w:cs="Arial"/>
                <w:sz w:val="20"/>
                <w:szCs w:val="20"/>
              </w:rPr>
              <w:t>0.0068</w:t>
            </w:r>
          </w:p>
        </w:tc>
      </w:tr>
    </w:tbl>
    <w:p w14:paraId="13462908" w14:textId="77777777" w:rsidR="00593A43" w:rsidRPr="004F447C" w:rsidRDefault="00593A43" w:rsidP="00593A43">
      <w:pPr>
        <w:spacing w:after="0" w:line="360" w:lineRule="auto"/>
        <w:jc w:val="both"/>
        <w:rPr>
          <w:rFonts w:ascii="Times New Roman" w:hAnsi="Times New Roman" w:cs="Times New Roman"/>
          <w:sz w:val="24"/>
          <w:szCs w:val="24"/>
        </w:rPr>
      </w:pPr>
    </w:p>
    <w:p w14:paraId="3E42A525" w14:textId="24DE8E51" w:rsidR="00D1260D" w:rsidRPr="00DB605E" w:rsidRDefault="00D1260D" w:rsidP="00D1260D">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 xml:space="preserve">Numerous studies have underscored the benefits of science-based feeding strategies in improving buffalo growth and production efficiency. For instance, Azmi </w:t>
      </w:r>
      <w:r w:rsidRPr="00DB605E">
        <w:rPr>
          <w:rFonts w:ascii="Arial" w:hAnsi="Arial" w:cs="Arial"/>
          <w:i/>
          <w:iCs/>
          <w:sz w:val="20"/>
          <w:szCs w:val="20"/>
          <w:lang w:val="en-IN"/>
        </w:rPr>
        <w:t>et al</w:t>
      </w:r>
      <w:r w:rsidRPr="00DB605E">
        <w:rPr>
          <w:rFonts w:ascii="Arial" w:hAnsi="Arial" w:cs="Arial"/>
          <w:sz w:val="20"/>
          <w:szCs w:val="20"/>
          <w:lang w:val="en-IN"/>
        </w:rPr>
        <w:t xml:space="preserve">. (2021) demonstrated that supplementation and improved management practices, such as early weaning and quality feeding, significantly enhanced growth and metabolic development in buffalo calves. Similarly, Murrah crossbred buffaloes have consistently outperformed Swamp and </w:t>
      </w:r>
      <w:proofErr w:type="spellStart"/>
      <w:r w:rsidRPr="00DB605E">
        <w:rPr>
          <w:rFonts w:ascii="Arial" w:hAnsi="Arial" w:cs="Arial"/>
          <w:sz w:val="20"/>
          <w:szCs w:val="20"/>
          <w:lang w:val="en-IN"/>
        </w:rPr>
        <w:t>Bhadawari</w:t>
      </w:r>
      <w:proofErr w:type="spellEnd"/>
      <w:r w:rsidRPr="00DB605E">
        <w:rPr>
          <w:rFonts w:ascii="Arial" w:hAnsi="Arial" w:cs="Arial"/>
          <w:sz w:val="20"/>
          <w:szCs w:val="20"/>
          <w:lang w:val="en-IN"/>
        </w:rPr>
        <w:t xml:space="preserve"> buffaloes in terms of weight gain and feed conversion efficiency, yielding higher profitability and nutrient utilisation under improved nutritional planes (Das </w:t>
      </w:r>
      <w:r w:rsidRPr="00DB605E">
        <w:rPr>
          <w:rFonts w:ascii="Arial" w:hAnsi="Arial" w:cs="Arial"/>
          <w:i/>
          <w:iCs/>
          <w:sz w:val="20"/>
          <w:szCs w:val="20"/>
          <w:lang w:val="en-IN"/>
        </w:rPr>
        <w:t>et al</w:t>
      </w:r>
      <w:r w:rsidRPr="00DB605E">
        <w:rPr>
          <w:rFonts w:ascii="Arial" w:hAnsi="Arial" w:cs="Arial"/>
          <w:sz w:val="20"/>
          <w:szCs w:val="20"/>
          <w:lang w:val="en-IN"/>
        </w:rPr>
        <w:t>., 2009).</w:t>
      </w:r>
    </w:p>
    <w:p w14:paraId="6FC1C594" w14:textId="10E1B0A1" w:rsidR="000D2B4C" w:rsidRPr="00DB605E" w:rsidRDefault="00D1260D" w:rsidP="005126FF">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Despite the clear advantages of standardised feeding protocols, their adoption at the field level remains limited in smallholder buffalo meat production systems. Constraints include inadequate farmer awareness, poor access to quality feed, insufficient advisory services, and economic barriers that discourage investment in scientifically balanced nutrition. For instance, in the present study, the baseline feeding practice employed by the farmer was not based on scientific recommendations. Additionally, a lack of knowledge regarding formulated rations such as TMR</w:t>
      </w:r>
      <w:r w:rsidR="005126FF">
        <w:rPr>
          <w:rFonts w:ascii="Arial" w:hAnsi="Arial" w:cs="Arial"/>
          <w:sz w:val="20"/>
          <w:szCs w:val="20"/>
          <w:lang w:val="en-IN"/>
        </w:rPr>
        <w:t xml:space="preserve"> </w:t>
      </w:r>
      <w:r w:rsidRPr="00DB605E">
        <w:rPr>
          <w:rFonts w:ascii="Arial" w:hAnsi="Arial" w:cs="Arial"/>
          <w:sz w:val="20"/>
          <w:szCs w:val="20"/>
          <w:lang w:val="en-IN"/>
        </w:rPr>
        <w:t>as evident, as no farmers in the study area were familiar with the concept.</w:t>
      </w:r>
      <w:r w:rsidR="00DB605E" w:rsidRPr="00DB605E">
        <w:rPr>
          <w:rFonts w:ascii="Arial" w:hAnsi="Arial" w:cs="Arial"/>
          <w:sz w:val="20"/>
          <w:szCs w:val="20"/>
          <w:lang w:val="en-IN"/>
        </w:rPr>
        <w:t xml:space="preserve"> </w:t>
      </w:r>
      <w:r w:rsidRPr="00DB605E">
        <w:rPr>
          <w:rFonts w:ascii="Arial" w:hAnsi="Arial" w:cs="Arial"/>
          <w:sz w:val="20"/>
          <w:szCs w:val="20"/>
          <w:lang w:val="en-IN"/>
        </w:rPr>
        <w:t xml:space="preserve">Previous research by Tipu </w:t>
      </w:r>
      <w:r w:rsidRPr="00DB605E">
        <w:rPr>
          <w:rFonts w:ascii="Arial" w:hAnsi="Arial" w:cs="Arial"/>
          <w:i/>
          <w:iCs/>
          <w:sz w:val="20"/>
          <w:szCs w:val="20"/>
          <w:lang w:val="en-IN"/>
        </w:rPr>
        <w:t>et al</w:t>
      </w:r>
      <w:r w:rsidRPr="00DB605E">
        <w:rPr>
          <w:rFonts w:ascii="Arial" w:hAnsi="Arial" w:cs="Arial"/>
          <w:sz w:val="20"/>
          <w:szCs w:val="20"/>
          <w:lang w:val="en-IN"/>
        </w:rPr>
        <w:t>. (2021) showed that a TMR containing 12% crude protein (CP) yielded the highest daily weight gain (0.93 kg) and feed efficiency (7.90 kg/kg gain) in Nili Ravi buffalo calves. In contrast, the present study employed a TMR with 18% CP, yet baseline knowledge of such feeds was lacking among farmers. This gap highlights the need for localised demonstration models and targeted extension services. Furthermore, inconsistent feed supply chains, limited veterinary infrastructure, and the absence of performance monitoring mechanisms continue to impede effective implementation.</w:t>
      </w:r>
      <w:r w:rsidR="00DB605E" w:rsidRPr="00DB605E">
        <w:rPr>
          <w:rFonts w:ascii="Arial" w:hAnsi="Arial" w:cs="Arial"/>
          <w:sz w:val="20"/>
          <w:szCs w:val="20"/>
          <w:lang w:val="en-IN"/>
        </w:rPr>
        <w:t xml:space="preserve"> </w:t>
      </w:r>
      <w:r w:rsidRPr="00DB605E">
        <w:rPr>
          <w:rFonts w:ascii="Arial" w:hAnsi="Arial" w:cs="Arial"/>
          <w:sz w:val="20"/>
          <w:szCs w:val="20"/>
          <w:lang w:val="en-IN"/>
        </w:rPr>
        <w:t>The benefits of improved housing and feeding strategies have also been validated in previous work</w:t>
      </w:r>
      <w:r w:rsidR="006B41E5" w:rsidRPr="00DB605E">
        <w:rPr>
          <w:rFonts w:ascii="Arial" w:hAnsi="Arial" w:cs="Arial"/>
          <w:sz w:val="20"/>
          <w:szCs w:val="20"/>
          <w:lang w:val="en-IN"/>
        </w:rPr>
        <w:t>s</w:t>
      </w:r>
      <w:r w:rsidRPr="00DB605E">
        <w:rPr>
          <w:rFonts w:ascii="Arial" w:hAnsi="Arial" w:cs="Arial"/>
          <w:sz w:val="20"/>
          <w:szCs w:val="20"/>
          <w:lang w:val="en-IN"/>
        </w:rPr>
        <w:t xml:space="preserve">. For instance, Kumar et al. (2018) reported that Murrah buffalo calves reared in loose housing systems with ICAR- feeding </w:t>
      </w:r>
      <w:r w:rsidR="006B41E5" w:rsidRPr="00DB605E">
        <w:rPr>
          <w:rFonts w:ascii="Arial" w:hAnsi="Arial" w:cs="Arial"/>
          <w:sz w:val="20"/>
          <w:szCs w:val="20"/>
          <w:lang w:val="en-IN"/>
        </w:rPr>
        <w:t xml:space="preserve">standard </w:t>
      </w:r>
      <w:r w:rsidRPr="00DB605E">
        <w:rPr>
          <w:rFonts w:ascii="Arial" w:hAnsi="Arial" w:cs="Arial"/>
          <w:sz w:val="20"/>
          <w:szCs w:val="20"/>
          <w:lang w:val="en-IN"/>
        </w:rPr>
        <w:t xml:space="preserve">exhibited higher ADG and better cost-efficiency in hot-humid climates than those housed in conventional barns. Likewise, Jha et al. (2021) demonstrated that feeding male buffalo calves with formulated rations led to a substantial improvement in ADG (803 g/day) and economic returns (₹20,230), while in this study, total feed cost was reduced by 22.04% compared to traditional </w:t>
      </w:r>
      <w:r w:rsidRPr="00DB605E">
        <w:rPr>
          <w:rFonts w:ascii="Arial" w:hAnsi="Arial" w:cs="Arial"/>
          <w:sz w:val="20"/>
          <w:szCs w:val="20"/>
          <w:lang w:val="en-IN"/>
        </w:rPr>
        <w:lastRenderedPageBreak/>
        <w:t>practices. These findings align with the present study, which observed a statistically significant improvement in body weight and an ADG of 0.34 kg/day following the implementation of a standardised feeding intervention.</w:t>
      </w:r>
      <w:r w:rsidR="00DB605E" w:rsidRPr="00DB605E">
        <w:rPr>
          <w:rFonts w:ascii="Arial" w:hAnsi="Arial" w:cs="Arial"/>
          <w:sz w:val="20"/>
          <w:szCs w:val="20"/>
          <w:lang w:val="en-IN"/>
        </w:rPr>
        <w:t xml:space="preserve"> </w:t>
      </w:r>
      <w:r w:rsidRPr="00DB605E">
        <w:rPr>
          <w:rFonts w:ascii="Arial" w:hAnsi="Arial" w:cs="Arial"/>
          <w:sz w:val="20"/>
          <w:szCs w:val="20"/>
          <w:lang w:val="en-IN"/>
        </w:rPr>
        <w:t>Although the observed ADG in this study may appear modest compared to some controlled experimental settings, it remains biologically plausible and well within the expected range for Murrah crossbred buffaloes under semi-intensive systems. For context, Naveena and Kiran (2014) reported that buffaloes gain approximately 0.85 kg/day during their first year, which decline</w:t>
      </w:r>
      <w:r w:rsidR="006B41E5" w:rsidRPr="00DB605E">
        <w:rPr>
          <w:rFonts w:ascii="Arial" w:hAnsi="Arial" w:cs="Arial"/>
          <w:sz w:val="20"/>
          <w:szCs w:val="20"/>
          <w:lang w:val="en-IN"/>
        </w:rPr>
        <w:t>d</w:t>
      </w:r>
      <w:r w:rsidRPr="00DB605E">
        <w:rPr>
          <w:rFonts w:ascii="Arial" w:hAnsi="Arial" w:cs="Arial"/>
          <w:sz w:val="20"/>
          <w:szCs w:val="20"/>
          <w:lang w:val="en-IN"/>
        </w:rPr>
        <w:t xml:space="preserve"> to 0.66 kg/day by the second year. Similarly, </w:t>
      </w:r>
      <w:proofErr w:type="spellStart"/>
      <w:r w:rsidRPr="00DB605E">
        <w:rPr>
          <w:rFonts w:ascii="Arial" w:hAnsi="Arial" w:cs="Arial"/>
          <w:sz w:val="20"/>
          <w:szCs w:val="20"/>
          <w:lang w:val="en-IN"/>
        </w:rPr>
        <w:t>Mahmoudzadeh</w:t>
      </w:r>
      <w:proofErr w:type="spellEnd"/>
      <w:r w:rsidRPr="00DB605E">
        <w:rPr>
          <w:rFonts w:ascii="Arial" w:hAnsi="Arial" w:cs="Arial"/>
          <w:sz w:val="20"/>
          <w:szCs w:val="20"/>
          <w:lang w:val="en-IN"/>
        </w:rPr>
        <w:t xml:space="preserve"> (2007) found that the ADG in buffalo male calves ranged between 503 and 951 g/day, depending on the diet. Under controlled conditions in Kerala, Pramod et al. (2018) reported an ADG of 0.595 kg/day in young Murrah bulls, indicating the performance ceiling under ideal management.</w:t>
      </w:r>
      <w:r w:rsidR="00DB605E" w:rsidRPr="00DB605E">
        <w:rPr>
          <w:rFonts w:ascii="Arial" w:hAnsi="Arial" w:cs="Arial"/>
          <w:sz w:val="20"/>
          <w:szCs w:val="20"/>
          <w:lang w:val="en-IN"/>
        </w:rPr>
        <w:t xml:space="preserve"> </w:t>
      </w:r>
      <w:r w:rsidRPr="00DB605E">
        <w:rPr>
          <w:rFonts w:ascii="Arial" w:hAnsi="Arial" w:cs="Arial"/>
          <w:sz w:val="20"/>
          <w:szCs w:val="20"/>
          <w:lang w:val="en-IN"/>
        </w:rPr>
        <w:t>The exclusion of outlier data points (those showing over 100 kg weight gain in 60 days) was methodologically justified to ensure biological plausibility and statistical robustness. Such anomalies likely resulted from measurement errors or mis</w:t>
      </w:r>
      <w:r w:rsidR="006B41E5" w:rsidRPr="00DB605E">
        <w:rPr>
          <w:rFonts w:ascii="Arial" w:hAnsi="Arial" w:cs="Arial"/>
          <w:sz w:val="20"/>
          <w:szCs w:val="20"/>
          <w:lang w:val="en-IN"/>
        </w:rPr>
        <w:t xml:space="preserve"> </w:t>
      </w:r>
      <w:r w:rsidRPr="00DB605E">
        <w:rPr>
          <w:rFonts w:ascii="Arial" w:hAnsi="Arial" w:cs="Arial"/>
          <w:sz w:val="20"/>
          <w:szCs w:val="20"/>
          <w:lang w:val="en-IN"/>
        </w:rPr>
        <w:t xml:space="preserve">recorded data, given that they far exceed realistic expectations for the breed over a two-month period. Overall, this study reinforces the value of science-based, standardised feeding regimens in enhancing production efficiency in meat-purpose buffaloes, especially within smallholder systems. The significant improvements in growth performance observed over a short intervention period highlight the potential for wider field-level adoption of such practices. Additionally, the study underscores the importance of performance monitoring and data-driven adjustments to feeding strategies. Future research should explore extended intervention periods and assess feed conversion ratios, carcass quality, and cost-benefit metrics to provide a more comprehensive understanding of the long-term economic and production impacts of standardised feeding in buffalo farming. </w:t>
      </w:r>
    </w:p>
    <w:p w14:paraId="025F2E2D" w14:textId="77777777" w:rsidR="000D2B4C" w:rsidRDefault="000D2B4C" w:rsidP="000D2B4C">
      <w:pPr>
        <w:spacing w:after="0" w:line="360" w:lineRule="auto"/>
        <w:jc w:val="both"/>
        <w:rPr>
          <w:rFonts w:ascii="Times New Roman" w:hAnsi="Times New Roman" w:cs="Times New Roman"/>
          <w:sz w:val="24"/>
          <w:szCs w:val="24"/>
          <w:lang w:val="en-IN"/>
        </w:rPr>
      </w:pPr>
    </w:p>
    <w:p w14:paraId="489990FB" w14:textId="4348AD2E" w:rsidR="000D2B4C" w:rsidRPr="00DB605E" w:rsidRDefault="000D2B4C" w:rsidP="000D2B4C">
      <w:pPr>
        <w:spacing w:after="0" w:line="360" w:lineRule="auto"/>
        <w:jc w:val="both"/>
        <w:rPr>
          <w:rFonts w:ascii="Arial" w:hAnsi="Arial" w:cs="Arial"/>
          <w:b/>
          <w:bCs/>
          <w:lang w:val="en-IN"/>
        </w:rPr>
      </w:pPr>
      <w:r w:rsidRPr="00DB605E">
        <w:rPr>
          <w:rFonts w:ascii="Arial" w:hAnsi="Arial" w:cs="Arial"/>
          <w:b/>
          <w:bCs/>
          <w:lang w:val="en-IN"/>
        </w:rPr>
        <w:t>CONCLUSION</w:t>
      </w:r>
    </w:p>
    <w:p w14:paraId="2484B3C9" w14:textId="0D8328F5" w:rsidR="000D2B4C" w:rsidRPr="00DB605E" w:rsidRDefault="000D2B4C" w:rsidP="00B3495C">
      <w:pPr>
        <w:spacing w:after="0" w:line="360" w:lineRule="auto"/>
        <w:ind w:firstLine="567"/>
        <w:jc w:val="both"/>
        <w:rPr>
          <w:rFonts w:ascii="Arial" w:hAnsi="Arial" w:cs="Arial"/>
          <w:sz w:val="20"/>
          <w:szCs w:val="20"/>
          <w:lang w:val="en-IN"/>
        </w:rPr>
      </w:pPr>
      <w:r w:rsidRPr="00DB605E">
        <w:rPr>
          <w:rFonts w:ascii="Arial" w:hAnsi="Arial" w:cs="Arial"/>
          <w:sz w:val="20"/>
          <w:szCs w:val="20"/>
          <w:lang w:val="en-IN"/>
        </w:rPr>
        <w:t>This study highlight</w:t>
      </w:r>
      <w:r w:rsidR="006B41E5" w:rsidRPr="00DB605E">
        <w:rPr>
          <w:rFonts w:ascii="Arial" w:hAnsi="Arial" w:cs="Arial"/>
          <w:sz w:val="20"/>
          <w:szCs w:val="20"/>
          <w:lang w:val="en-IN"/>
        </w:rPr>
        <w:t>ed</w:t>
      </w:r>
      <w:r w:rsidRPr="00DB605E">
        <w:rPr>
          <w:rFonts w:ascii="Arial" w:hAnsi="Arial" w:cs="Arial"/>
          <w:sz w:val="20"/>
          <w:szCs w:val="20"/>
          <w:lang w:val="en-IN"/>
        </w:rPr>
        <w:t xml:space="preserve"> the tangible benefits of implementing a scientific feeding plan in smallholder male buffalo rearing system in Kerala. The improvement in average daily gain (ADG) and overall body weight over a 60-day period affirm</w:t>
      </w:r>
      <w:r w:rsidR="006B41E5" w:rsidRPr="00DB605E">
        <w:rPr>
          <w:rFonts w:ascii="Arial" w:hAnsi="Arial" w:cs="Arial"/>
          <w:sz w:val="20"/>
          <w:szCs w:val="20"/>
          <w:lang w:val="en-IN"/>
        </w:rPr>
        <w:t>ed</w:t>
      </w:r>
      <w:r w:rsidRPr="00DB605E">
        <w:rPr>
          <w:rFonts w:ascii="Arial" w:hAnsi="Arial" w:cs="Arial"/>
          <w:sz w:val="20"/>
          <w:szCs w:val="20"/>
          <w:lang w:val="en-IN"/>
        </w:rPr>
        <w:t xml:space="preserve"> the potential of adopting evidence-based nutritional strategies, even in resource-limited field settings. Despite the modest intervention duration and sample size, the results reinforce</w:t>
      </w:r>
      <w:r w:rsidR="005126FF">
        <w:rPr>
          <w:rFonts w:ascii="Arial" w:hAnsi="Arial" w:cs="Arial"/>
          <w:sz w:val="20"/>
          <w:szCs w:val="20"/>
          <w:lang w:val="en-IN"/>
        </w:rPr>
        <w:t>d</w:t>
      </w:r>
      <w:r w:rsidRPr="00DB605E">
        <w:rPr>
          <w:rFonts w:ascii="Arial" w:hAnsi="Arial" w:cs="Arial"/>
          <w:sz w:val="20"/>
          <w:szCs w:val="20"/>
          <w:lang w:val="en-IN"/>
        </w:rPr>
        <w:t xml:space="preserve"> the premise that targeted nutritional improvements can yield measurable growth performance gains in Murrah crossbred buffaloes. Crucially, the study also expose</w:t>
      </w:r>
      <w:r w:rsidR="005126FF">
        <w:rPr>
          <w:rFonts w:ascii="Arial" w:hAnsi="Arial" w:cs="Arial"/>
          <w:sz w:val="20"/>
          <w:szCs w:val="20"/>
          <w:lang w:val="en-IN"/>
        </w:rPr>
        <w:t>d</w:t>
      </w:r>
      <w:r w:rsidRPr="00DB605E">
        <w:rPr>
          <w:rFonts w:ascii="Arial" w:hAnsi="Arial" w:cs="Arial"/>
          <w:sz w:val="20"/>
          <w:szCs w:val="20"/>
          <w:lang w:val="en-IN"/>
        </w:rPr>
        <w:t xml:space="preserve"> systemic barriers, such as limited farmer awareness, lack of exposure to total mixed rations (TMR), and infrastructural gaps, that inhibit the widespread adoption of best feeding practices. Addressing these bottlenecks through field-level demonstrations, localised advisory support, and policy-driven extension services could bridge the science-practice divide. Moving forward, integrated research focusing on feed conversion efficiency, carcass quality, and return-on-investment metrics will be essential to scale up such interventions and ensure sustainable profitability for smallholder buffalo meat producers in India. </w:t>
      </w:r>
    </w:p>
    <w:p w14:paraId="7B63B16C" w14:textId="77777777" w:rsidR="00593A43" w:rsidRDefault="00593A43" w:rsidP="00593A43">
      <w:pPr>
        <w:spacing w:after="0" w:line="360" w:lineRule="auto"/>
        <w:jc w:val="both"/>
        <w:rPr>
          <w:rFonts w:ascii="Times New Roman" w:hAnsi="Times New Roman" w:cs="Times New Roman"/>
          <w:sz w:val="24"/>
          <w:szCs w:val="24"/>
          <w:lang w:val="en-IN"/>
        </w:rPr>
      </w:pPr>
    </w:p>
    <w:p w14:paraId="3D6E30D3" w14:textId="77777777" w:rsidR="00593A43" w:rsidRPr="004F447C" w:rsidRDefault="00593A43" w:rsidP="00593A43">
      <w:pPr>
        <w:pStyle w:val="ListNumber"/>
        <w:numPr>
          <w:ilvl w:val="0"/>
          <w:numId w:val="0"/>
        </w:numPr>
        <w:spacing w:after="0" w:line="360" w:lineRule="auto"/>
        <w:ind w:left="360" w:hanging="360"/>
        <w:jc w:val="both"/>
        <w:rPr>
          <w:rFonts w:ascii="Times New Roman" w:hAnsi="Times New Roman" w:cs="Times New Roman"/>
          <w:sz w:val="24"/>
          <w:szCs w:val="24"/>
        </w:rPr>
      </w:pPr>
    </w:p>
    <w:p w14:paraId="12E65B58" w14:textId="77777777" w:rsidR="00151ECA" w:rsidRPr="009C5487" w:rsidRDefault="00151ECA" w:rsidP="00151ECA">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lastRenderedPageBreak/>
        <w:t>Disclaimer (Artificial intelligence)</w:t>
      </w:r>
    </w:p>
    <w:p w14:paraId="2A4B05A1" w14:textId="5E4EB378" w:rsidR="00151ECA" w:rsidRPr="009C5487" w:rsidRDefault="00151ECA" w:rsidP="00151EC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r w:rsidR="0003271C">
        <w:rPr>
          <w:rFonts w:ascii="Calibri" w:eastAsia="Calibri" w:hAnsi="Calibri" w:cs="Times New Roman"/>
          <w:kern w:val="2"/>
          <w:highlight w:val="yellow"/>
        </w:rPr>
        <w:t xml:space="preserve"> </w:t>
      </w:r>
      <w:r w:rsidR="0003271C" w:rsidRPr="00663F7A">
        <w:rPr>
          <w:rFonts w:ascii="Calibri" w:eastAsia="Calibri" w:hAnsi="Calibri" w:cs="Times New Roman"/>
          <w:kern w:val="2"/>
        </w:rPr>
        <w:t xml:space="preserve">No </w:t>
      </w:r>
      <w:r w:rsidR="0003271C" w:rsidRPr="0003271C">
        <w:rPr>
          <w:rFonts w:ascii="Calibri" w:eastAsia="Calibri" w:hAnsi="Calibri" w:cs="Times New Roman"/>
          <w:kern w:val="2"/>
        </w:rPr>
        <w:t>use any AI tool</w:t>
      </w:r>
      <w:r w:rsidR="0003271C">
        <w:rPr>
          <w:rFonts w:ascii="Calibri" w:eastAsia="Calibri" w:hAnsi="Calibri" w:cs="Times New Roman"/>
          <w:kern w:val="2"/>
          <w:highlight w:val="yellow"/>
        </w:rPr>
        <w:t xml:space="preserve"> </w:t>
      </w:r>
    </w:p>
    <w:p w14:paraId="1B23AFFB" w14:textId="77777777" w:rsidR="00151ECA" w:rsidRPr="009C5487" w:rsidRDefault="00151ECA" w:rsidP="00151EC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6C40F43B" w14:textId="77777777" w:rsidR="00151ECA" w:rsidRDefault="00151ECA" w:rsidP="00593A43">
      <w:pPr>
        <w:pStyle w:val="Heading2"/>
        <w:spacing w:before="0" w:line="360" w:lineRule="auto"/>
        <w:jc w:val="both"/>
        <w:rPr>
          <w:rFonts w:ascii="Arial" w:hAnsi="Arial" w:cs="Arial"/>
          <w:b/>
          <w:bCs/>
          <w:color w:val="auto"/>
          <w:sz w:val="22"/>
          <w:szCs w:val="22"/>
        </w:rPr>
      </w:pPr>
    </w:p>
    <w:p w14:paraId="4753EEA3" w14:textId="68AA6711" w:rsidR="00593A43" w:rsidRPr="00DB605E" w:rsidRDefault="00593A43" w:rsidP="00593A43">
      <w:pPr>
        <w:pStyle w:val="Heading2"/>
        <w:spacing w:before="0" w:line="360" w:lineRule="auto"/>
        <w:jc w:val="both"/>
        <w:rPr>
          <w:rFonts w:ascii="Arial" w:hAnsi="Arial" w:cs="Arial"/>
          <w:b/>
          <w:bCs/>
          <w:color w:val="auto"/>
          <w:sz w:val="22"/>
          <w:szCs w:val="22"/>
        </w:rPr>
      </w:pPr>
      <w:r w:rsidRPr="00DB605E">
        <w:rPr>
          <w:rFonts w:ascii="Arial" w:hAnsi="Arial" w:cs="Arial"/>
          <w:b/>
          <w:bCs/>
          <w:color w:val="auto"/>
          <w:sz w:val="22"/>
          <w:szCs w:val="22"/>
        </w:rPr>
        <w:t>REFERENCES</w:t>
      </w:r>
    </w:p>
    <w:p w14:paraId="35294C12" w14:textId="77777777" w:rsidR="00B407CD" w:rsidRPr="00B407CD" w:rsidRDefault="00B407CD" w:rsidP="00B407CD">
      <w:pPr>
        <w:spacing w:after="0" w:line="360" w:lineRule="auto"/>
        <w:ind w:left="720" w:hanging="720"/>
        <w:jc w:val="both"/>
        <w:rPr>
          <w:rFonts w:ascii="Arial" w:hAnsi="Arial" w:cs="Arial"/>
          <w:sz w:val="20"/>
          <w:szCs w:val="20"/>
        </w:rPr>
      </w:pPr>
      <w:r w:rsidRPr="00FA129A">
        <w:rPr>
          <w:rFonts w:ascii="Arial" w:hAnsi="Arial" w:cs="Arial"/>
          <w:sz w:val="20"/>
          <w:szCs w:val="20"/>
          <w:highlight w:val="yellow"/>
        </w:rPr>
        <w:t>Azmi, A.F.M., Hassim, H.A., Nor, N.M., Ahmad, H., Meng, G.Y., Abdullah, P., Bakar, M.Z.A., Vera, J., Deli, N.S.M., Salleh, A. and Zam</w:t>
      </w:r>
      <w:bookmarkStart w:id="3" w:name="_GoBack"/>
      <w:bookmarkEnd w:id="3"/>
      <w:r w:rsidRPr="00FA129A">
        <w:rPr>
          <w:rFonts w:ascii="Arial" w:hAnsi="Arial" w:cs="Arial"/>
          <w:sz w:val="20"/>
          <w:szCs w:val="20"/>
          <w:highlight w:val="yellow"/>
        </w:rPr>
        <w:t xml:space="preserve">ri-Saad, M. (2021) 'Comparative growth and economic performances between indigenous Swamp and Murrah crossbred buffaloes in Malaysia', </w:t>
      </w:r>
      <w:r w:rsidRPr="00FA129A">
        <w:rPr>
          <w:rFonts w:ascii="Arial" w:hAnsi="Arial" w:cs="Arial"/>
          <w:i/>
          <w:iCs/>
          <w:sz w:val="20"/>
          <w:szCs w:val="20"/>
          <w:highlight w:val="yellow"/>
        </w:rPr>
        <w:t>Animals (Basel)</w:t>
      </w:r>
      <w:r w:rsidRPr="00FA129A">
        <w:rPr>
          <w:rFonts w:ascii="Arial" w:hAnsi="Arial" w:cs="Arial"/>
          <w:sz w:val="20"/>
          <w:szCs w:val="20"/>
          <w:highlight w:val="yellow"/>
        </w:rPr>
        <w:t>, 11(4), p.957.</w:t>
      </w:r>
    </w:p>
    <w:p w14:paraId="0C581CFE" w14:textId="77777777" w:rsidR="00B407CD" w:rsidRPr="00B407CD" w:rsidRDefault="00B407CD" w:rsidP="00B407CD">
      <w:pPr>
        <w:spacing w:after="0" w:line="360" w:lineRule="auto"/>
        <w:ind w:left="720" w:hanging="720"/>
        <w:jc w:val="both"/>
        <w:rPr>
          <w:rFonts w:ascii="Arial" w:hAnsi="Arial" w:cs="Arial"/>
          <w:sz w:val="20"/>
          <w:szCs w:val="20"/>
        </w:rPr>
      </w:pPr>
      <w:r w:rsidRPr="005D5430">
        <w:rPr>
          <w:rFonts w:ascii="Arial" w:hAnsi="Arial" w:cs="Arial"/>
          <w:sz w:val="20"/>
          <w:szCs w:val="20"/>
          <w:highlight w:val="yellow"/>
        </w:rPr>
        <w:t xml:space="preserve">BIS (Bureau of Indian Standards) (2009) </w:t>
      </w:r>
      <w:r w:rsidRPr="005D5430">
        <w:rPr>
          <w:rFonts w:ascii="Arial" w:hAnsi="Arial" w:cs="Arial"/>
          <w:i/>
          <w:iCs/>
          <w:sz w:val="20"/>
          <w:szCs w:val="20"/>
          <w:highlight w:val="yellow"/>
        </w:rPr>
        <w:t>IS 2052:2009 - Compounded Feeds for Cattle - Specification (Grade III)</w:t>
      </w:r>
      <w:r w:rsidRPr="005D5430">
        <w:rPr>
          <w:rFonts w:ascii="Arial" w:hAnsi="Arial" w:cs="Arial"/>
          <w:sz w:val="20"/>
          <w:szCs w:val="20"/>
          <w:highlight w:val="yellow"/>
        </w:rPr>
        <w:t>. New Delhi: Bureau of Indian Standards.</w:t>
      </w:r>
    </w:p>
    <w:p w14:paraId="2B5CF692" w14:textId="77777777" w:rsidR="00B407CD" w:rsidRPr="00B407CD" w:rsidRDefault="00B407CD" w:rsidP="00B407CD">
      <w:pPr>
        <w:spacing w:after="0" w:line="360" w:lineRule="auto"/>
        <w:ind w:left="720" w:hanging="720"/>
        <w:jc w:val="both"/>
        <w:rPr>
          <w:rFonts w:ascii="Arial" w:hAnsi="Arial" w:cs="Arial"/>
          <w:sz w:val="20"/>
          <w:szCs w:val="20"/>
        </w:rPr>
      </w:pPr>
      <w:r w:rsidRPr="00C40DA1">
        <w:rPr>
          <w:rFonts w:ascii="Arial" w:hAnsi="Arial" w:cs="Arial"/>
          <w:sz w:val="20"/>
          <w:szCs w:val="20"/>
          <w:highlight w:val="yellow"/>
        </w:rPr>
        <w:t xml:space="preserve">Bhogal, S. and </w:t>
      </w:r>
      <w:proofErr w:type="spellStart"/>
      <w:r w:rsidRPr="00C40DA1">
        <w:rPr>
          <w:rFonts w:ascii="Arial" w:hAnsi="Arial" w:cs="Arial"/>
          <w:sz w:val="20"/>
          <w:szCs w:val="20"/>
          <w:highlight w:val="yellow"/>
        </w:rPr>
        <w:t>Beillard</w:t>
      </w:r>
      <w:proofErr w:type="spellEnd"/>
      <w:r w:rsidRPr="00C40DA1">
        <w:rPr>
          <w:rFonts w:ascii="Arial" w:hAnsi="Arial" w:cs="Arial"/>
          <w:sz w:val="20"/>
          <w:szCs w:val="20"/>
          <w:highlight w:val="yellow"/>
        </w:rPr>
        <w:t xml:space="preserve">, M.J. (2023) </w:t>
      </w:r>
      <w:r w:rsidRPr="00C40DA1">
        <w:rPr>
          <w:rFonts w:ascii="Arial" w:hAnsi="Arial" w:cs="Arial"/>
          <w:i/>
          <w:iCs/>
          <w:sz w:val="20"/>
          <w:szCs w:val="20"/>
          <w:highlight w:val="yellow"/>
        </w:rPr>
        <w:t>India's FMD Status and its Water Buffalo - Carabeef Trade Update 2023</w:t>
      </w:r>
      <w:r w:rsidRPr="00C40DA1">
        <w:rPr>
          <w:rFonts w:ascii="Arial" w:hAnsi="Arial" w:cs="Arial"/>
          <w:sz w:val="20"/>
          <w:szCs w:val="20"/>
          <w:highlight w:val="yellow"/>
        </w:rPr>
        <w:t>. United States Department of Agriculture (USDA), Foreign Agricultural Service, Global Agricultural Information Network. Report Number: IN2023-0044, New Delhi. (Accessed: 3 May 2025).</w:t>
      </w:r>
    </w:p>
    <w:p w14:paraId="286BFEA8" w14:textId="77777777" w:rsidR="00B407CD" w:rsidRPr="00B407CD" w:rsidRDefault="00B407CD" w:rsidP="00B407CD">
      <w:pPr>
        <w:spacing w:after="0" w:line="360" w:lineRule="auto"/>
        <w:ind w:left="720" w:hanging="720"/>
        <w:jc w:val="both"/>
        <w:rPr>
          <w:rFonts w:ascii="Arial" w:hAnsi="Arial" w:cs="Arial"/>
          <w:sz w:val="20"/>
          <w:szCs w:val="20"/>
        </w:rPr>
      </w:pPr>
      <w:r w:rsidRPr="00060350">
        <w:rPr>
          <w:rFonts w:ascii="Arial" w:hAnsi="Arial" w:cs="Arial"/>
          <w:sz w:val="20"/>
          <w:szCs w:val="20"/>
          <w:highlight w:val="yellow"/>
        </w:rPr>
        <w:t xml:space="preserve">Bhogal, S. and </w:t>
      </w:r>
      <w:proofErr w:type="spellStart"/>
      <w:r w:rsidRPr="00060350">
        <w:rPr>
          <w:rFonts w:ascii="Arial" w:hAnsi="Arial" w:cs="Arial"/>
          <w:sz w:val="20"/>
          <w:szCs w:val="20"/>
          <w:highlight w:val="yellow"/>
        </w:rPr>
        <w:t>Beillard</w:t>
      </w:r>
      <w:proofErr w:type="spellEnd"/>
      <w:r w:rsidRPr="00060350">
        <w:rPr>
          <w:rFonts w:ascii="Arial" w:hAnsi="Arial" w:cs="Arial"/>
          <w:sz w:val="20"/>
          <w:szCs w:val="20"/>
          <w:highlight w:val="yellow"/>
        </w:rPr>
        <w:t xml:space="preserve">, M.J. (2024) </w:t>
      </w:r>
      <w:r w:rsidRPr="00060350">
        <w:rPr>
          <w:rFonts w:ascii="Arial" w:hAnsi="Arial" w:cs="Arial"/>
          <w:i/>
          <w:iCs/>
          <w:sz w:val="20"/>
          <w:szCs w:val="20"/>
          <w:highlight w:val="yellow"/>
        </w:rPr>
        <w:t>Livestock and Products Semi-annual-2024</w:t>
      </w:r>
      <w:r w:rsidRPr="00060350">
        <w:rPr>
          <w:rFonts w:ascii="Arial" w:hAnsi="Arial" w:cs="Arial"/>
          <w:sz w:val="20"/>
          <w:szCs w:val="20"/>
          <w:highlight w:val="yellow"/>
        </w:rPr>
        <w:t>. United States Department of Agriculture (USDA), Foreign Agricultural Service, Global Agricultural Information Network. Report Number: IN2024-0006, New Delhi. (Accessed: 3 May 2025).</w:t>
      </w:r>
    </w:p>
    <w:p w14:paraId="52152EAC" w14:textId="77777777" w:rsidR="00B407CD" w:rsidRPr="00B407CD" w:rsidRDefault="00B407CD" w:rsidP="00B407CD">
      <w:pPr>
        <w:spacing w:after="0" w:line="360" w:lineRule="auto"/>
        <w:ind w:left="720" w:hanging="720"/>
        <w:jc w:val="both"/>
        <w:rPr>
          <w:rFonts w:ascii="Arial" w:hAnsi="Arial" w:cs="Arial"/>
          <w:sz w:val="20"/>
          <w:szCs w:val="20"/>
        </w:rPr>
      </w:pPr>
      <w:r w:rsidRPr="00485CB9">
        <w:rPr>
          <w:rFonts w:ascii="Arial" w:hAnsi="Arial" w:cs="Arial"/>
          <w:sz w:val="20"/>
          <w:szCs w:val="20"/>
          <w:highlight w:val="yellow"/>
        </w:rPr>
        <w:t xml:space="preserve">Das, M.M., Singh, S. and </w:t>
      </w:r>
      <w:proofErr w:type="spellStart"/>
      <w:r w:rsidRPr="00485CB9">
        <w:rPr>
          <w:rFonts w:ascii="Arial" w:hAnsi="Arial" w:cs="Arial"/>
          <w:sz w:val="20"/>
          <w:szCs w:val="20"/>
          <w:highlight w:val="yellow"/>
        </w:rPr>
        <w:t>Mojumdar</w:t>
      </w:r>
      <w:proofErr w:type="spellEnd"/>
      <w:r w:rsidRPr="00485CB9">
        <w:rPr>
          <w:rFonts w:ascii="Arial" w:hAnsi="Arial" w:cs="Arial"/>
          <w:sz w:val="20"/>
          <w:szCs w:val="20"/>
          <w:highlight w:val="yellow"/>
        </w:rPr>
        <w:t xml:space="preserve">, A. (2009) 'Nutrient utilization and growth performance of </w:t>
      </w:r>
      <w:proofErr w:type="spellStart"/>
      <w:r w:rsidRPr="00485CB9">
        <w:rPr>
          <w:rFonts w:ascii="Arial" w:hAnsi="Arial" w:cs="Arial"/>
          <w:sz w:val="20"/>
          <w:szCs w:val="20"/>
          <w:highlight w:val="yellow"/>
        </w:rPr>
        <w:t>Bhadawari</w:t>
      </w:r>
      <w:proofErr w:type="spellEnd"/>
      <w:r w:rsidRPr="00485CB9">
        <w:rPr>
          <w:rFonts w:ascii="Arial" w:hAnsi="Arial" w:cs="Arial"/>
          <w:sz w:val="20"/>
          <w:szCs w:val="20"/>
          <w:highlight w:val="yellow"/>
        </w:rPr>
        <w:t xml:space="preserve"> and </w:t>
      </w:r>
      <w:proofErr w:type="spellStart"/>
      <w:r w:rsidRPr="00485CB9">
        <w:rPr>
          <w:rFonts w:ascii="Arial" w:hAnsi="Arial" w:cs="Arial"/>
          <w:sz w:val="20"/>
          <w:szCs w:val="20"/>
          <w:highlight w:val="yellow"/>
        </w:rPr>
        <w:t>Murrah</w:t>
      </w:r>
      <w:proofErr w:type="spellEnd"/>
      <w:r w:rsidRPr="00485CB9">
        <w:rPr>
          <w:rFonts w:ascii="Arial" w:hAnsi="Arial" w:cs="Arial"/>
          <w:sz w:val="20"/>
          <w:szCs w:val="20"/>
          <w:highlight w:val="yellow"/>
        </w:rPr>
        <w:t xml:space="preserve"> buffalo calves fed on grass-based ration', </w:t>
      </w:r>
      <w:r w:rsidRPr="00485CB9">
        <w:rPr>
          <w:rFonts w:ascii="Arial" w:hAnsi="Arial" w:cs="Arial"/>
          <w:i/>
          <w:iCs/>
          <w:sz w:val="20"/>
          <w:szCs w:val="20"/>
          <w:highlight w:val="yellow"/>
        </w:rPr>
        <w:t>The Indian Veterinary Journal</w:t>
      </w:r>
      <w:r w:rsidRPr="00485CB9">
        <w:rPr>
          <w:rFonts w:ascii="Arial" w:hAnsi="Arial" w:cs="Arial"/>
          <w:sz w:val="20"/>
          <w:szCs w:val="20"/>
          <w:highlight w:val="yellow"/>
        </w:rPr>
        <w:t>, 86(10), pp.1042–1044.</w:t>
      </w:r>
    </w:p>
    <w:p w14:paraId="11AC6CCE" w14:textId="77777777" w:rsidR="00B407CD" w:rsidRPr="00B407CD" w:rsidRDefault="00B407CD" w:rsidP="00B407CD">
      <w:pPr>
        <w:spacing w:after="0" w:line="360" w:lineRule="auto"/>
        <w:ind w:left="720" w:hanging="720"/>
        <w:jc w:val="both"/>
        <w:rPr>
          <w:rFonts w:ascii="Arial" w:hAnsi="Arial" w:cs="Arial"/>
          <w:sz w:val="20"/>
          <w:szCs w:val="20"/>
        </w:rPr>
      </w:pPr>
      <w:r w:rsidRPr="00132D7B">
        <w:rPr>
          <w:rFonts w:ascii="Arial" w:hAnsi="Arial" w:cs="Arial"/>
          <w:sz w:val="20"/>
          <w:szCs w:val="20"/>
          <w:highlight w:val="yellow"/>
        </w:rPr>
        <w:t xml:space="preserve">Department of Animal Husbandry and Dairying (2023) </w:t>
      </w:r>
      <w:r w:rsidRPr="00132D7B">
        <w:rPr>
          <w:rFonts w:ascii="Arial" w:hAnsi="Arial" w:cs="Arial"/>
          <w:i/>
          <w:iCs/>
          <w:sz w:val="20"/>
          <w:szCs w:val="20"/>
          <w:highlight w:val="yellow"/>
        </w:rPr>
        <w:t>Basic Animal Husbandry Statistics-2023</w:t>
      </w:r>
      <w:r w:rsidRPr="00132D7B">
        <w:rPr>
          <w:rFonts w:ascii="Arial" w:hAnsi="Arial" w:cs="Arial"/>
          <w:sz w:val="20"/>
          <w:szCs w:val="20"/>
          <w:highlight w:val="yellow"/>
        </w:rPr>
        <w:t>. New Delhi: Ministry of Fisheries, Animal Husbandry and Dairying, Government of India.</w:t>
      </w:r>
    </w:p>
    <w:p w14:paraId="1ED6D907" w14:textId="77777777" w:rsidR="00B407CD" w:rsidRPr="00B407CD" w:rsidRDefault="00B407CD" w:rsidP="00B407CD">
      <w:pPr>
        <w:spacing w:after="0" w:line="360" w:lineRule="auto"/>
        <w:ind w:left="720" w:hanging="720"/>
        <w:jc w:val="both"/>
        <w:rPr>
          <w:rFonts w:ascii="Arial" w:hAnsi="Arial" w:cs="Arial"/>
          <w:sz w:val="20"/>
          <w:szCs w:val="20"/>
        </w:rPr>
      </w:pPr>
      <w:proofErr w:type="spellStart"/>
      <w:r w:rsidRPr="00060350">
        <w:rPr>
          <w:rFonts w:ascii="Arial" w:hAnsi="Arial" w:cs="Arial"/>
          <w:sz w:val="20"/>
          <w:szCs w:val="20"/>
          <w:highlight w:val="yellow"/>
        </w:rPr>
        <w:t>Jadhav</w:t>
      </w:r>
      <w:proofErr w:type="spellEnd"/>
      <w:r w:rsidRPr="00060350">
        <w:rPr>
          <w:rFonts w:ascii="Arial" w:hAnsi="Arial" w:cs="Arial"/>
          <w:sz w:val="20"/>
          <w:szCs w:val="20"/>
          <w:highlight w:val="yellow"/>
        </w:rPr>
        <w:t xml:space="preserve">, R. (2024) 'India emerges as a major exporter of animal products with buffalo meat leading the charge', </w:t>
      </w:r>
      <w:r w:rsidRPr="00060350">
        <w:rPr>
          <w:rFonts w:ascii="Arial" w:hAnsi="Arial" w:cs="Arial"/>
          <w:i/>
          <w:iCs/>
          <w:sz w:val="20"/>
          <w:szCs w:val="20"/>
          <w:highlight w:val="yellow"/>
        </w:rPr>
        <w:t>The Hindu Business Line</w:t>
      </w:r>
      <w:r w:rsidRPr="00060350">
        <w:rPr>
          <w:rFonts w:ascii="Arial" w:hAnsi="Arial" w:cs="Arial"/>
          <w:sz w:val="20"/>
          <w:szCs w:val="20"/>
          <w:highlight w:val="yellow"/>
        </w:rPr>
        <w:t>. (Accessed: 3 May 2025).</w:t>
      </w:r>
    </w:p>
    <w:p w14:paraId="3350B23E" w14:textId="77777777" w:rsidR="00B407CD" w:rsidRPr="00B407CD" w:rsidRDefault="00B407CD" w:rsidP="00B407CD">
      <w:pPr>
        <w:spacing w:after="0" w:line="360" w:lineRule="auto"/>
        <w:ind w:left="720" w:hanging="720"/>
        <w:jc w:val="both"/>
        <w:rPr>
          <w:rFonts w:ascii="Arial" w:hAnsi="Arial" w:cs="Arial"/>
          <w:sz w:val="20"/>
          <w:szCs w:val="20"/>
        </w:rPr>
      </w:pPr>
      <w:r w:rsidRPr="00FA129A">
        <w:rPr>
          <w:rFonts w:ascii="Arial" w:hAnsi="Arial" w:cs="Arial"/>
          <w:sz w:val="20"/>
          <w:szCs w:val="20"/>
          <w:highlight w:val="yellow"/>
        </w:rPr>
        <w:t xml:space="preserve">Jha, P.K., Sah, A.K. and Jha, P.K. (2021) 'Fattening of male buffalo calf for economic meat production', </w:t>
      </w:r>
      <w:r w:rsidRPr="00FA129A">
        <w:rPr>
          <w:rFonts w:ascii="Arial" w:hAnsi="Arial" w:cs="Arial"/>
          <w:i/>
          <w:iCs/>
          <w:sz w:val="20"/>
          <w:szCs w:val="20"/>
          <w:highlight w:val="yellow"/>
        </w:rPr>
        <w:t>Nepalese Journal of Agricultural Sciences</w:t>
      </w:r>
      <w:r w:rsidRPr="00FA129A">
        <w:rPr>
          <w:rFonts w:ascii="Arial" w:hAnsi="Arial" w:cs="Arial"/>
          <w:sz w:val="20"/>
          <w:szCs w:val="20"/>
          <w:highlight w:val="yellow"/>
        </w:rPr>
        <w:t>, 21, pp.44–50.</w:t>
      </w:r>
    </w:p>
    <w:p w14:paraId="39D2C00D" w14:textId="77777777" w:rsidR="00B407CD" w:rsidRPr="00B407CD" w:rsidRDefault="00B407CD" w:rsidP="00B407CD">
      <w:pPr>
        <w:spacing w:after="0" w:line="360" w:lineRule="auto"/>
        <w:ind w:left="720" w:hanging="720"/>
        <w:jc w:val="both"/>
        <w:rPr>
          <w:rFonts w:ascii="Arial" w:hAnsi="Arial" w:cs="Arial"/>
          <w:sz w:val="20"/>
          <w:szCs w:val="20"/>
        </w:rPr>
      </w:pPr>
      <w:r w:rsidRPr="00FA129A">
        <w:rPr>
          <w:rFonts w:ascii="Arial" w:hAnsi="Arial" w:cs="Arial"/>
          <w:sz w:val="20"/>
          <w:szCs w:val="20"/>
          <w:highlight w:val="yellow"/>
        </w:rPr>
        <w:t xml:space="preserve">Kumar, S., Gulati, H.K. and Sihag, S. (2018) 'Effect of management systems on growth performance of buffalo calves in hot-humid weather', </w:t>
      </w:r>
      <w:r w:rsidRPr="00FA129A">
        <w:rPr>
          <w:rFonts w:ascii="Arial" w:hAnsi="Arial" w:cs="Arial"/>
          <w:i/>
          <w:iCs/>
          <w:sz w:val="20"/>
          <w:szCs w:val="20"/>
          <w:highlight w:val="yellow"/>
        </w:rPr>
        <w:t>Haryana Veterinary Journal</w:t>
      </w:r>
      <w:r w:rsidRPr="00FA129A">
        <w:rPr>
          <w:rFonts w:ascii="Arial" w:hAnsi="Arial" w:cs="Arial"/>
          <w:sz w:val="20"/>
          <w:szCs w:val="20"/>
          <w:highlight w:val="yellow"/>
        </w:rPr>
        <w:t>, 57(1), pp.9–13.</w:t>
      </w:r>
    </w:p>
    <w:p w14:paraId="651E9028" w14:textId="77777777" w:rsidR="00B407CD" w:rsidRPr="00B407CD" w:rsidRDefault="00B407CD" w:rsidP="00B407CD">
      <w:pPr>
        <w:spacing w:after="0" w:line="360" w:lineRule="auto"/>
        <w:ind w:left="720" w:hanging="720"/>
        <w:jc w:val="both"/>
        <w:rPr>
          <w:rFonts w:ascii="Arial" w:hAnsi="Arial" w:cs="Arial"/>
          <w:sz w:val="20"/>
          <w:szCs w:val="20"/>
        </w:rPr>
      </w:pPr>
      <w:proofErr w:type="spellStart"/>
      <w:r w:rsidRPr="00E40CC8">
        <w:rPr>
          <w:rFonts w:ascii="Arial" w:hAnsi="Arial" w:cs="Arial"/>
          <w:sz w:val="20"/>
          <w:szCs w:val="20"/>
          <w:highlight w:val="yellow"/>
        </w:rPr>
        <w:t>Mahmoudzadeh</w:t>
      </w:r>
      <w:proofErr w:type="spellEnd"/>
      <w:r w:rsidRPr="00E40CC8">
        <w:rPr>
          <w:rFonts w:ascii="Arial" w:hAnsi="Arial" w:cs="Arial"/>
          <w:sz w:val="20"/>
          <w:szCs w:val="20"/>
          <w:highlight w:val="yellow"/>
        </w:rPr>
        <w:t xml:space="preserve">, H., </w:t>
      </w:r>
      <w:proofErr w:type="spellStart"/>
      <w:r w:rsidRPr="00E40CC8">
        <w:rPr>
          <w:rFonts w:ascii="Arial" w:hAnsi="Arial" w:cs="Arial"/>
          <w:sz w:val="20"/>
          <w:szCs w:val="20"/>
          <w:highlight w:val="yellow"/>
        </w:rPr>
        <w:t>Fazaeli</w:t>
      </w:r>
      <w:proofErr w:type="spellEnd"/>
      <w:r w:rsidRPr="00E40CC8">
        <w:rPr>
          <w:rFonts w:ascii="Arial" w:hAnsi="Arial" w:cs="Arial"/>
          <w:sz w:val="20"/>
          <w:szCs w:val="20"/>
          <w:highlight w:val="yellow"/>
        </w:rPr>
        <w:t xml:space="preserve">, H., </w:t>
      </w:r>
      <w:proofErr w:type="spellStart"/>
      <w:r w:rsidRPr="00E40CC8">
        <w:rPr>
          <w:rFonts w:ascii="Arial" w:hAnsi="Arial" w:cs="Arial"/>
          <w:sz w:val="20"/>
          <w:szCs w:val="20"/>
          <w:highlight w:val="yellow"/>
        </w:rPr>
        <w:t>Kordnejad</w:t>
      </w:r>
      <w:proofErr w:type="spellEnd"/>
      <w:r w:rsidRPr="00E40CC8">
        <w:rPr>
          <w:rFonts w:ascii="Arial" w:hAnsi="Arial" w:cs="Arial"/>
          <w:sz w:val="20"/>
          <w:szCs w:val="20"/>
          <w:highlight w:val="yellow"/>
        </w:rPr>
        <w:t xml:space="preserve">, I. and Mirzaei, H.R. (2007) 'Response of male buffalo calves to different levels of energy and protein in finishing diets', </w:t>
      </w:r>
      <w:r w:rsidRPr="00E40CC8">
        <w:rPr>
          <w:rFonts w:ascii="Arial" w:hAnsi="Arial" w:cs="Arial"/>
          <w:i/>
          <w:iCs/>
          <w:sz w:val="20"/>
          <w:szCs w:val="20"/>
          <w:highlight w:val="yellow"/>
        </w:rPr>
        <w:t>Pakistan Journal of Biological Sciences</w:t>
      </w:r>
      <w:r w:rsidRPr="00E40CC8">
        <w:rPr>
          <w:rFonts w:ascii="Arial" w:hAnsi="Arial" w:cs="Arial"/>
          <w:sz w:val="20"/>
          <w:szCs w:val="20"/>
          <w:highlight w:val="yellow"/>
        </w:rPr>
        <w:t>, 10, pp.1398–1405</w:t>
      </w:r>
      <w:r w:rsidRPr="00B407CD">
        <w:rPr>
          <w:rFonts w:ascii="Arial" w:hAnsi="Arial" w:cs="Arial"/>
          <w:sz w:val="20"/>
          <w:szCs w:val="20"/>
        </w:rPr>
        <w:t>.</w:t>
      </w:r>
    </w:p>
    <w:p w14:paraId="608D3BC6" w14:textId="7440A847" w:rsidR="00B407CD" w:rsidRPr="00B407CD" w:rsidRDefault="00B407CD" w:rsidP="00B407CD">
      <w:pPr>
        <w:spacing w:after="0" w:line="360" w:lineRule="auto"/>
        <w:ind w:left="720" w:hanging="720"/>
        <w:jc w:val="both"/>
        <w:rPr>
          <w:rFonts w:ascii="Arial" w:hAnsi="Arial" w:cs="Arial"/>
          <w:sz w:val="20"/>
          <w:szCs w:val="20"/>
        </w:rPr>
      </w:pPr>
      <w:r w:rsidRPr="00FA129A">
        <w:rPr>
          <w:rFonts w:ascii="Arial" w:hAnsi="Arial" w:cs="Arial"/>
          <w:sz w:val="20"/>
          <w:szCs w:val="20"/>
          <w:highlight w:val="yellow"/>
        </w:rPr>
        <w:t xml:space="preserve">Naveena, B.M. and Kiran, M. (2014) 'Buffalo meat quality, composition, and processing characteristics: Contribution to the global economy and nutritional security', </w:t>
      </w:r>
      <w:r w:rsidRPr="00FA129A">
        <w:rPr>
          <w:rFonts w:ascii="Arial" w:hAnsi="Arial" w:cs="Arial"/>
          <w:i/>
          <w:iCs/>
          <w:sz w:val="20"/>
          <w:szCs w:val="20"/>
          <w:highlight w:val="yellow"/>
        </w:rPr>
        <w:t>Animal Frontiers</w:t>
      </w:r>
      <w:r w:rsidRPr="00FA129A">
        <w:rPr>
          <w:rFonts w:ascii="Arial" w:hAnsi="Arial" w:cs="Arial"/>
          <w:sz w:val="20"/>
          <w:szCs w:val="20"/>
          <w:highlight w:val="yellow"/>
        </w:rPr>
        <w:t>, 4(4), pp.18–24.</w:t>
      </w:r>
      <w:r w:rsidR="00FA129A">
        <w:rPr>
          <w:rFonts w:ascii="Arial" w:hAnsi="Arial" w:cs="Arial"/>
          <w:sz w:val="20"/>
          <w:szCs w:val="20"/>
        </w:rPr>
        <w:tab/>
      </w:r>
    </w:p>
    <w:p w14:paraId="253B14B1" w14:textId="77777777" w:rsidR="00B407CD" w:rsidRPr="00B407CD" w:rsidRDefault="00B407CD" w:rsidP="00B407CD">
      <w:pPr>
        <w:spacing w:after="0" w:line="360" w:lineRule="auto"/>
        <w:ind w:left="720" w:hanging="720"/>
        <w:jc w:val="both"/>
        <w:rPr>
          <w:rFonts w:ascii="Arial" w:hAnsi="Arial" w:cs="Arial"/>
          <w:sz w:val="20"/>
          <w:szCs w:val="20"/>
        </w:rPr>
      </w:pPr>
      <w:r w:rsidRPr="00FA129A">
        <w:rPr>
          <w:rFonts w:ascii="Arial" w:hAnsi="Arial" w:cs="Arial"/>
          <w:sz w:val="20"/>
          <w:szCs w:val="20"/>
          <w:highlight w:val="yellow"/>
        </w:rPr>
        <w:lastRenderedPageBreak/>
        <w:t xml:space="preserve">Nissanka, N.P.C., Bandara, R.M.A.S. and </w:t>
      </w:r>
      <w:proofErr w:type="spellStart"/>
      <w:r w:rsidRPr="00FA129A">
        <w:rPr>
          <w:rFonts w:ascii="Arial" w:hAnsi="Arial" w:cs="Arial"/>
          <w:sz w:val="20"/>
          <w:szCs w:val="20"/>
          <w:highlight w:val="yellow"/>
        </w:rPr>
        <w:t>Disnaka</w:t>
      </w:r>
      <w:proofErr w:type="spellEnd"/>
      <w:r w:rsidRPr="00FA129A">
        <w:rPr>
          <w:rFonts w:ascii="Arial" w:hAnsi="Arial" w:cs="Arial"/>
          <w:sz w:val="20"/>
          <w:szCs w:val="20"/>
          <w:highlight w:val="yellow"/>
        </w:rPr>
        <w:t xml:space="preserve">, K.G.J.S. (2010) 'A comparative study on feeding of total mixed ration vs conventional feeding on weight gain in weaned Friesian heifers under tropical environment', </w:t>
      </w:r>
      <w:r w:rsidRPr="00FA129A">
        <w:rPr>
          <w:rFonts w:ascii="Arial" w:hAnsi="Arial" w:cs="Arial"/>
          <w:i/>
          <w:iCs/>
          <w:sz w:val="20"/>
          <w:szCs w:val="20"/>
          <w:highlight w:val="yellow"/>
        </w:rPr>
        <w:t>The Journal of Agricultural Sciences</w:t>
      </w:r>
      <w:r w:rsidRPr="00FA129A">
        <w:rPr>
          <w:rFonts w:ascii="Arial" w:hAnsi="Arial" w:cs="Arial"/>
          <w:sz w:val="20"/>
          <w:szCs w:val="20"/>
          <w:highlight w:val="yellow"/>
        </w:rPr>
        <w:t>, 5(1), pp.42–51.</w:t>
      </w:r>
    </w:p>
    <w:p w14:paraId="66958425" w14:textId="77777777" w:rsidR="00B407CD" w:rsidRPr="00B407CD" w:rsidRDefault="00B407CD" w:rsidP="00B407CD">
      <w:pPr>
        <w:spacing w:after="0" w:line="360" w:lineRule="auto"/>
        <w:ind w:left="720" w:hanging="720"/>
        <w:jc w:val="both"/>
        <w:rPr>
          <w:rFonts w:ascii="Arial" w:hAnsi="Arial" w:cs="Arial"/>
          <w:sz w:val="20"/>
          <w:szCs w:val="20"/>
        </w:rPr>
      </w:pPr>
      <w:r w:rsidRPr="00FA129A">
        <w:rPr>
          <w:rFonts w:ascii="Arial" w:hAnsi="Arial" w:cs="Arial"/>
          <w:sz w:val="20"/>
          <w:szCs w:val="20"/>
          <w:highlight w:val="yellow"/>
        </w:rPr>
        <w:t xml:space="preserve">Pramod, S., </w:t>
      </w:r>
      <w:proofErr w:type="spellStart"/>
      <w:r w:rsidRPr="00FA129A">
        <w:rPr>
          <w:rFonts w:ascii="Arial" w:hAnsi="Arial" w:cs="Arial"/>
          <w:sz w:val="20"/>
          <w:szCs w:val="20"/>
          <w:highlight w:val="yellow"/>
        </w:rPr>
        <w:t>Lasna</w:t>
      </w:r>
      <w:proofErr w:type="spellEnd"/>
      <w:r w:rsidRPr="00FA129A">
        <w:rPr>
          <w:rFonts w:ascii="Arial" w:hAnsi="Arial" w:cs="Arial"/>
          <w:sz w:val="20"/>
          <w:szCs w:val="20"/>
          <w:highlight w:val="yellow"/>
        </w:rPr>
        <w:t xml:space="preserve"> Sahib, </w:t>
      </w:r>
      <w:proofErr w:type="spellStart"/>
      <w:r w:rsidRPr="00FA129A">
        <w:rPr>
          <w:rFonts w:ascii="Arial" w:hAnsi="Arial" w:cs="Arial"/>
          <w:sz w:val="20"/>
          <w:szCs w:val="20"/>
          <w:highlight w:val="yellow"/>
        </w:rPr>
        <w:t>Bibin</w:t>
      </w:r>
      <w:proofErr w:type="spellEnd"/>
      <w:r w:rsidRPr="00FA129A">
        <w:rPr>
          <w:rFonts w:ascii="Arial" w:hAnsi="Arial" w:cs="Arial"/>
          <w:sz w:val="20"/>
          <w:szCs w:val="20"/>
          <w:highlight w:val="yellow"/>
        </w:rPr>
        <w:t xml:space="preserve"> </w:t>
      </w:r>
      <w:proofErr w:type="spellStart"/>
      <w:r w:rsidRPr="00FA129A">
        <w:rPr>
          <w:rFonts w:ascii="Arial" w:hAnsi="Arial" w:cs="Arial"/>
          <w:sz w:val="20"/>
          <w:szCs w:val="20"/>
          <w:highlight w:val="yellow"/>
        </w:rPr>
        <w:t>Becha</w:t>
      </w:r>
      <w:proofErr w:type="spellEnd"/>
      <w:r w:rsidRPr="00FA129A">
        <w:rPr>
          <w:rFonts w:ascii="Arial" w:hAnsi="Arial" w:cs="Arial"/>
          <w:sz w:val="20"/>
          <w:szCs w:val="20"/>
          <w:highlight w:val="yellow"/>
        </w:rPr>
        <w:t xml:space="preserve">, B. and </w:t>
      </w:r>
      <w:proofErr w:type="spellStart"/>
      <w:r w:rsidRPr="00FA129A">
        <w:rPr>
          <w:rFonts w:ascii="Arial" w:hAnsi="Arial" w:cs="Arial"/>
          <w:sz w:val="20"/>
          <w:szCs w:val="20"/>
          <w:highlight w:val="yellow"/>
        </w:rPr>
        <w:t>Thirupathy</w:t>
      </w:r>
      <w:proofErr w:type="spellEnd"/>
      <w:r w:rsidRPr="00FA129A">
        <w:rPr>
          <w:rFonts w:ascii="Arial" w:hAnsi="Arial" w:cs="Arial"/>
          <w:sz w:val="20"/>
          <w:szCs w:val="20"/>
          <w:highlight w:val="yellow"/>
        </w:rPr>
        <w:t xml:space="preserve"> </w:t>
      </w:r>
      <w:proofErr w:type="spellStart"/>
      <w:r w:rsidRPr="00FA129A">
        <w:rPr>
          <w:rFonts w:ascii="Arial" w:hAnsi="Arial" w:cs="Arial"/>
          <w:sz w:val="20"/>
          <w:szCs w:val="20"/>
          <w:highlight w:val="yellow"/>
        </w:rPr>
        <w:t>Venkatachalapathy</w:t>
      </w:r>
      <w:proofErr w:type="spellEnd"/>
      <w:r w:rsidRPr="00FA129A">
        <w:rPr>
          <w:rFonts w:ascii="Arial" w:hAnsi="Arial" w:cs="Arial"/>
          <w:sz w:val="20"/>
          <w:szCs w:val="20"/>
          <w:highlight w:val="yellow"/>
        </w:rPr>
        <w:t xml:space="preserve">, R. (2018) 'Growth performance of Murrah buffalo calves under humid tropical conditions of Kerala', </w:t>
      </w:r>
      <w:r w:rsidRPr="00FA129A">
        <w:rPr>
          <w:rFonts w:ascii="Arial" w:hAnsi="Arial" w:cs="Arial"/>
          <w:i/>
          <w:iCs/>
          <w:sz w:val="20"/>
          <w:szCs w:val="20"/>
          <w:highlight w:val="yellow"/>
        </w:rPr>
        <w:t>Journal of Animal Research</w:t>
      </w:r>
      <w:r w:rsidRPr="00FA129A">
        <w:rPr>
          <w:rFonts w:ascii="Arial" w:hAnsi="Arial" w:cs="Arial"/>
          <w:sz w:val="20"/>
          <w:szCs w:val="20"/>
          <w:highlight w:val="yellow"/>
        </w:rPr>
        <w:t>, 8(6), pp.1125–1128.</w:t>
      </w:r>
    </w:p>
    <w:p w14:paraId="10FB61FA" w14:textId="77777777" w:rsidR="00B407CD" w:rsidRPr="00B407CD" w:rsidRDefault="00B407CD" w:rsidP="00B407CD">
      <w:pPr>
        <w:spacing w:after="0" w:line="360" w:lineRule="auto"/>
        <w:ind w:left="720" w:hanging="720"/>
        <w:jc w:val="both"/>
        <w:rPr>
          <w:rFonts w:ascii="Arial" w:hAnsi="Arial" w:cs="Arial"/>
          <w:sz w:val="20"/>
          <w:szCs w:val="20"/>
        </w:rPr>
      </w:pPr>
      <w:proofErr w:type="spellStart"/>
      <w:r w:rsidRPr="00E95CA5">
        <w:rPr>
          <w:rFonts w:ascii="Arial" w:hAnsi="Arial" w:cs="Arial"/>
          <w:sz w:val="20"/>
          <w:szCs w:val="20"/>
          <w:highlight w:val="red"/>
        </w:rPr>
        <w:t>Sivagnanam</w:t>
      </w:r>
      <w:proofErr w:type="spellEnd"/>
      <w:r w:rsidRPr="00E95CA5">
        <w:rPr>
          <w:rFonts w:ascii="Arial" w:hAnsi="Arial" w:cs="Arial"/>
          <w:sz w:val="20"/>
          <w:szCs w:val="20"/>
          <w:highlight w:val="red"/>
        </w:rPr>
        <w:t xml:space="preserve">, K.J. and </w:t>
      </w:r>
      <w:proofErr w:type="spellStart"/>
      <w:r w:rsidRPr="00E95CA5">
        <w:rPr>
          <w:rFonts w:ascii="Arial" w:hAnsi="Arial" w:cs="Arial"/>
          <w:sz w:val="20"/>
          <w:szCs w:val="20"/>
          <w:highlight w:val="red"/>
        </w:rPr>
        <w:t>Pulikkamath</w:t>
      </w:r>
      <w:proofErr w:type="spellEnd"/>
      <w:r w:rsidRPr="00E95CA5">
        <w:rPr>
          <w:rFonts w:ascii="Arial" w:hAnsi="Arial" w:cs="Arial"/>
          <w:sz w:val="20"/>
          <w:szCs w:val="20"/>
          <w:highlight w:val="red"/>
        </w:rPr>
        <w:t xml:space="preserve">, A. (2019) </w:t>
      </w:r>
      <w:r w:rsidRPr="00E95CA5">
        <w:rPr>
          <w:rFonts w:ascii="Arial" w:hAnsi="Arial" w:cs="Arial"/>
          <w:i/>
          <w:iCs/>
          <w:sz w:val="20"/>
          <w:szCs w:val="20"/>
          <w:highlight w:val="red"/>
        </w:rPr>
        <w:t>Assessment of Feed and Fodder in Kerala</w:t>
      </w:r>
      <w:r w:rsidRPr="00E95CA5">
        <w:rPr>
          <w:rFonts w:ascii="Arial" w:hAnsi="Arial" w:cs="Arial"/>
          <w:sz w:val="20"/>
          <w:szCs w:val="20"/>
          <w:highlight w:val="red"/>
        </w:rPr>
        <w:t>. Study No.169, June 2019. Chennai: Agro Economic Research Centre, University of Madras.</w:t>
      </w:r>
    </w:p>
    <w:p w14:paraId="16EA61D4" w14:textId="77777777" w:rsidR="00B407CD" w:rsidRPr="00B407CD" w:rsidRDefault="00B407CD" w:rsidP="00B407CD">
      <w:pPr>
        <w:spacing w:after="0" w:line="360" w:lineRule="auto"/>
        <w:ind w:left="720" w:hanging="720"/>
        <w:jc w:val="both"/>
        <w:rPr>
          <w:rFonts w:ascii="Arial" w:hAnsi="Arial" w:cs="Arial"/>
          <w:sz w:val="20"/>
          <w:szCs w:val="20"/>
        </w:rPr>
      </w:pPr>
      <w:r w:rsidRPr="00FA129A">
        <w:rPr>
          <w:rFonts w:ascii="Arial" w:hAnsi="Arial" w:cs="Arial"/>
          <w:sz w:val="20"/>
          <w:szCs w:val="20"/>
          <w:highlight w:val="yellow"/>
        </w:rPr>
        <w:t xml:space="preserve">Tipu, M.A., Ahmad, F., </w:t>
      </w:r>
      <w:proofErr w:type="spellStart"/>
      <w:r w:rsidRPr="00FA129A">
        <w:rPr>
          <w:rFonts w:ascii="Arial" w:hAnsi="Arial" w:cs="Arial"/>
          <w:sz w:val="20"/>
          <w:szCs w:val="20"/>
          <w:highlight w:val="yellow"/>
        </w:rPr>
        <w:t>Gorsi</w:t>
      </w:r>
      <w:proofErr w:type="spellEnd"/>
      <w:r w:rsidRPr="00FA129A">
        <w:rPr>
          <w:rFonts w:ascii="Arial" w:hAnsi="Arial" w:cs="Arial"/>
          <w:sz w:val="20"/>
          <w:szCs w:val="20"/>
          <w:highlight w:val="yellow"/>
        </w:rPr>
        <w:t xml:space="preserve">, M.I., Rana, B.A., Zia, M.A., Shah, M.N.A. and Mohyuddin, S.G. (2021) 'Response of different levels of crude protein of total mixed ration on nutrient intake, growth rate and feed efficiency in Nili Ravi buffalo calves', </w:t>
      </w:r>
      <w:r w:rsidRPr="00FA129A">
        <w:rPr>
          <w:rFonts w:ascii="Arial" w:hAnsi="Arial" w:cs="Arial"/>
          <w:i/>
          <w:iCs/>
          <w:sz w:val="20"/>
          <w:szCs w:val="20"/>
          <w:highlight w:val="yellow"/>
        </w:rPr>
        <w:t>Pakistan Journal of Science</w:t>
      </w:r>
      <w:r w:rsidRPr="00FA129A">
        <w:rPr>
          <w:rFonts w:ascii="Arial" w:hAnsi="Arial" w:cs="Arial"/>
          <w:sz w:val="20"/>
          <w:szCs w:val="20"/>
          <w:highlight w:val="yellow"/>
        </w:rPr>
        <w:t>, 73(4), pp.699–702.</w:t>
      </w:r>
    </w:p>
    <w:p w14:paraId="55B91A9C" w14:textId="72B4F813" w:rsidR="00D1260D" w:rsidRPr="00616CA8" w:rsidRDefault="00B407CD" w:rsidP="00616CA8">
      <w:pPr>
        <w:spacing w:after="0" w:line="360" w:lineRule="auto"/>
        <w:ind w:left="720" w:hanging="720"/>
        <w:jc w:val="both"/>
        <w:rPr>
          <w:rFonts w:ascii="Arial" w:hAnsi="Arial" w:cs="Arial"/>
          <w:sz w:val="20"/>
          <w:szCs w:val="20"/>
        </w:rPr>
      </w:pPr>
      <w:proofErr w:type="spellStart"/>
      <w:r w:rsidRPr="00FA129A">
        <w:rPr>
          <w:rFonts w:ascii="Arial" w:hAnsi="Arial" w:cs="Arial"/>
          <w:sz w:val="20"/>
          <w:szCs w:val="20"/>
          <w:highlight w:val="yellow"/>
        </w:rPr>
        <w:t>Wakweya</w:t>
      </w:r>
      <w:proofErr w:type="spellEnd"/>
      <w:r w:rsidRPr="00FA129A">
        <w:rPr>
          <w:rFonts w:ascii="Arial" w:hAnsi="Arial" w:cs="Arial"/>
          <w:sz w:val="20"/>
          <w:szCs w:val="20"/>
          <w:highlight w:val="yellow"/>
        </w:rPr>
        <w:t xml:space="preserve">, R.B. (2023) 'Challenges and prospects of adopting climate-smart agricultural practices and technologies: Implications for food security', </w:t>
      </w:r>
      <w:r w:rsidRPr="00FA129A">
        <w:rPr>
          <w:rFonts w:ascii="Arial" w:hAnsi="Arial" w:cs="Arial"/>
          <w:i/>
          <w:iCs/>
          <w:sz w:val="20"/>
          <w:szCs w:val="20"/>
          <w:highlight w:val="yellow"/>
        </w:rPr>
        <w:t>Journal of Agriculture and Food Research</w:t>
      </w:r>
      <w:r w:rsidRPr="00FA129A">
        <w:rPr>
          <w:rFonts w:ascii="Arial" w:hAnsi="Arial" w:cs="Arial"/>
          <w:sz w:val="20"/>
          <w:szCs w:val="20"/>
          <w:highlight w:val="yellow"/>
        </w:rPr>
        <w:t>, 14, 100698.</w:t>
      </w:r>
    </w:p>
    <w:sectPr w:rsidR="00D1260D" w:rsidRPr="00616CA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9CBF0" w14:textId="77777777" w:rsidR="00E401B5" w:rsidRDefault="00E401B5" w:rsidP="009B4E2E">
      <w:pPr>
        <w:spacing w:after="0" w:line="240" w:lineRule="auto"/>
      </w:pPr>
      <w:r>
        <w:separator/>
      </w:r>
    </w:p>
  </w:endnote>
  <w:endnote w:type="continuationSeparator" w:id="0">
    <w:p w14:paraId="47E704E8" w14:textId="77777777" w:rsidR="00E401B5" w:rsidRDefault="00E401B5" w:rsidP="009B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24238" w14:textId="77777777" w:rsidR="009B4E2E" w:rsidRDefault="009B4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5308D" w14:textId="77777777" w:rsidR="009B4E2E" w:rsidRDefault="009B4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59BE9" w14:textId="77777777" w:rsidR="009B4E2E" w:rsidRDefault="009B4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48F36" w14:textId="77777777" w:rsidR="00E401B5" w:rsidRDefault="00E401B5" w:rsidP="009B4E2E">
      <w:pPr>
        <w:spacing w:after="0" w:line="240" w:lineRule="auto"/>
      </w:pPr>
      <w:r>
        <w:separator/>
      </w:r>
    </w:p>
  </w:footnote>
  <w:footnote w:type="continuationSeparator" w:id="0">
    <w:p w14:paraId="409508F2" w14:textId="77777777" w:rsidR="00E401B5" w:rsidRDefault="00E401B5" w:rsidP="009B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E8EC3" w14:textId="58C6C0A7" w:rsidR="009B4E2E" w:rsidRDefault="00E401B5">
    <w:pPr>
      <w:pStyle w:val="Header"/>
    </w:pPr>
    <w:r>
      <w:rPr>
        <w:noProof/>
      </w:rPr>
      <w:pict w14:anchorId="1B139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100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2AEE1" w14:textId="6650981F" w:rsidR="009B4E2E" w:rsidRDefault="00E401B5">
    <w:pPr>
      <w:pStyle w:val="Header"/>
    </w:pPr>
    <w:r>
      <w:rPr>
        <w:noProof/>
      </w:rPr>
      <w:pict w14:anchorId="16D78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100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A90CB" w14:textId="3C315C6C" w:rsidR="009B4E2E" w:rsidRDefault="00E401B5">
    <w:pPr>
      <w:pStyle w:val="Header"/>
    </w:pPr>
    <w:r>
      <w:rPr>
        <w:noProof/>
      </w:rPr>
      <w:pict w14:anchorId="31B65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100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14C0F8E"/>
    <w:lvl w:ilvl="0">
      <w:start w:val="1"/>
      <w:numFmt w:val="decimal"/>
      <w:pStyle w:val="ListNumber"/>
      <w:lvlText w:val="%1."/>
      <w:lvlJc w:val="left"/>
      <w:pPr>
        <w:tabs>
          <w:tab w:val="num" w:pos="360"/>
        </w:tabs>
        <w:ind w:left="360" w:hanging="360"/>
      </w:pPr>
    </w:lvl>
  </w:abstractNum>
  <w:abstractNum w:abstractNumId="1" w15:restartNumberingAfterBreak="0">
    <w:nsid w:val="2AD8599C"/>
    <w:multiLevelType w:val="multilevel"/>
    <w:tmpl w:val="E730D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LQwMTW0tDA2MzY3MjBT0lEKTi0uzszPAykwqgUAMAyUAiwAAAA="/>
  </w:docVars>
  <w:rsids>
    <w:rsidRoot w:val="00DD69FB"/>
    <w:rsid w:val="0001702B"/>
    <w:rsid w:val="0003271C"/>
    <w:rsid w:val="00060350"/>
    <w:rsid w:val="000C3E00"/>
    <w:rsid w:val="000C69AE"/>
    <w:rsid w:val="000D2B4C"/>
    <w:rsid w:val="000E6DB9"/>
    <w:rsid w:val="00132D7B"/>
    <w:rsid w:val="00151ECA"/>
    <w:rsid w:val="001E3E66"/>
    <w:rsid w:val="001F328C"/>
    <w:rsid w:val="001F6452"/>
    <w:rsid w:val="0020640E"/>
    <w:rsid w:val="002C5193"/>
    <w:rsid w:val="002F488A"/>
    <w:rsid w:val="0034077B"/>
    <w:rsid w:val="003413EB"/>
    <w:rsid w:val="003535C6"/>
    <w:rsid w:val="003768F6"/>
    <w:rsid w:val="003A1461"/>
    <w:rsid w:val="00425016"/>
    <w:rsid w:val="00465D0B"/>
    <w:rsid w:val="00477647"/>
    <w:rsid w:val="00485CB9"/>
    <w:rsid w:val="004A6BDA"/>
    <w:rsid w:val="004C4377"/>
    <w:rsid w:val="005126FF"/>
    <w:rsid w:val="00534710"/>
    <w:rsid w:val="00593A43"/>
    <w:rsid w:val="005D5430"/>
    <w:rsid w:val="005E3D2D"/>
    <w:rsid w:val="00616B66"/>
    <w:rsid w:val="00616CA8"/>
    <w:rsid w:val="00647650"/>
    <w:rsid w:val="00663F7A"/>
    <w:rsid w:val="006B41E5"/>
    <w:rsid w:val="006D37DB"/>
    <w:rsid w:val="006D796C"/>
    <w:rsid w:val="007129A3"/>
    <w:rsid w:val="00721B28"/>
    <w:rsid w:val="007258CA"/>
    <w:rsid w:val="007351BD"/>
    <w:rsid w:val="0073616C"/>
    <w:rsid w:val="00756631"/>
    <w:rsid w:val="007569F8"/>
    <w:rsid w:val="00790C64"/>
    <w:rsid w:val="007B5FAD"/>
    <w:rsid w:val="00835D21"/>
    <w:rsid w:val="0087031B"/>
    <w:rsid w:val="008E6A05"/>
    <w:rsid w:val="00900458"/>
    <w:rsid w:val="00912C43"/>
    <w:rsid w:val="00916741"/>
    <w:rsid w:val="009807DC"/>
    <w:rsid w:val="009B4E2E"/>
    <w:rsid w:val="009D768D"/>
    <w:rsid w:val="00A37374"/>
    <w:rsid w:val="00A90BB1"/>
    <w:rsid w:val="00AE0C86"/>
    <w:rsid w:val="00B3495C"/>
    <w:rsid w:val="00B35D7E"/>
    <w:rsid w:val="00B407CD"/>
    <w:rsid w:val="00BA6C80"/>
    <w:rsid w:val="00BD44C8"/>
    <w:rsid w:val="00BF189F"/>
    <w:rsid w:val="00BF2670"/>
    <w:rsid w:val="00C02AA3"/>
    <w:rsid w:val="00C40DA1"/>
    <w:rsid w:val="00C94725"/>
    <w:rsid w:val="00CD44A0"/>
    <w:rsid w:val="00CE0CC6"/>
    <w:rsid w:val="00CE6B16"/>
    <w:rsid w:val="00D1260D"/>
    <w:rsid w:val="00D162E3"/>
    <w:rsid w:val="00D474B5"/>
    <w:rsid w:val="00D7142A"/>
    <w:rsid w:val="00D80254"/>
    <w:rsid w:val="00DB605E"/>
    <w:rsid w:val="00DD69FB"/>
    <w:rsid w:val="00E013D0"/>
    <w:rsid w:val="00E401B5"/>
    <w:rsid w:val="00E40CC8"/>
    <w:rsid w:val="00E42051"/>
    <w:rsid w:val="00E50465"/>
    <w:rsid w:val="00E56182"/>
    <w:rsid w:val="00E95CA5"/>
    <w:rsid w:val="00F60E26"/>
    <w:rsid w:val="00FA129A"/>
    <w:rsid w:val="00FB77D9"/>
    <w:rsid w:val="00FF251F"/>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F99FED"/>
  <w15:docId w15:val="{2510A95A-4BCF-4A57-97B4-52C4778A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9FB"/>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DD6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69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9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69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6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9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69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69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69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69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6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9FB"/>
    <w:rPr>
      <w:rFonts w:eastAsiaTheme="majorEastAsia" w:cstheme="majorBidi"/>
      <w:color w:val="272727" w:themeColor="text1" w:themeTint="D8"/>
    </w:rPr>
  </w:style>
  <w:style w:type="paragraph" w:styleId="Title">
    <w:name w:val="Title"/>
    <w:basedOn w:val="Normal"/>
    <w:next w:val="Normal"/>
    <w:link w:val="TitleChar"/>
    <w:uiPriority w:val="10"/>
    <w:qFormat/>
    <w:rsid w:val="00DD6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9FB"/>
    <w:pPr>
      <w:spacing w:before="160"/>
      <w:jc w:val="center"/>
    </w:pPr>
    <w:rPr>
      <w:i/>
      <w:iCs/>
      <w:color w:val="404040" w:themeColor="text1" w:themeTint="BF"/>
    </w:rPr>
  </w:style>
  <w:style w:type="character" w:customStyle="1" w:styleId="QuoteChar">
    <w:name w:val="Quote Char"/>
    <w:basedOn w:val="DefaultParagraphFont"/>
    <w:link w:val="Quote"/>
    <w:uiPriority w:val="29"/>
    <w:rsid w:val="00DD69FB"/>
    <w:rPr>
      <w:i/>
      <w:iCs/>
      <w:color w:val="404040" w:themeColor="text1" w:themeTint="BF"/>
    </w:rPr>
  </w:style>
  <w:style w:type="paragraph" w:styleId="ListParagraph">
    <w:name w:val="List Paragraph"/>
    <w:basedOn w:val="Normal"/>
    <w:uiPriority w:val="34"/>
    <w:qFormat/>
    <w:rsid w:val="00DD69FB"/>
    <w:pPr>
      <w:ind w:left="720"/>
      <w:contextualSpacing/>
    </w:pPr>
  </w:style>
  <w:style w:type="character" w:styleId="IntenseEmphasis">
    <w:name w:val="Intense Emphasis"/>
    <w:basedOn w:val="DefaultParagraphFont"/>
    <w:uiPriority w:val="21"/>
    <w:qFormat/>
    <w:rsid w:val="00DD69FB"/>
    <w:rPr>
      <w:i/>
      <w:iCs/>
      <w:color w:val="2F5496" w:themeColor="accent1" w:themeShade="BF"/>
    </w:rPr>
  </w:style>
  <w:style w:type="paragraph" w:styleId="IntenseQuote">
    <w:name w:val="Intense Quote"/>
    <w:basedOn w:val="Normal"/>
    <w:next w:val="Normal"/>
    <w:link w:val="IntenseQuoteChar"/>
    <w:uiPriority w:val="30"/>
    <w:qFormat/>
    <w:rsid w:val="00DD6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9FB"/>
    <w:rPr>
      <w:i/>
      <w:iCs/>
      <w:color w:val="2F5496" w:themeColor="accent1" w:themeShade="BF"/>
    </w:rPr>
  </w:style>
  <w:style w:type="character" w:styleId="IntenseReference">
    <w:name w:val="Intense Reference"/>
    <w:basedOn w:val="DefaultParagraphFont"/>
    <w:uiPriority w:val="32"/>
    <w:qFormat/>
    <w:rsid w:val="00DD69FB"/>
    <w:rPr>
      <w:b/>
      <w:bCs/>
      <w:smallCaps/>
      <w:color w:val="2F5496" w:themeColor="accent1" w:themeShade="BF"/>
      <w:spacing w:val="5"/>
    </w:rPr>
  </w:style>
  <w:style w:type="table" w:customStyle="1" w:styleId="TableGridLight1">
    <w:name w:val="Table Grid Light1"/>
    <w:basedOn w:val="TableNormal"/>
    <w:uiPriority w:val="99"/>
    <w:rsid w:val="000D2B4C"/>
    <w:pPr>
      <w:spacing w:after="0" w:line="240" w:lineRule="auto"/>
    </w:pPr>
    <w:rPr>
      <w:rFonts w:eastAsiaTheme="minorEastAsia"/>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593A4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593A43"/>
    <w:pPr>
      <w:numPr>
        <w:numId w:val="1"/>
      </w:numPr>
      <w:contextualSpacing/>
    </w:pPr>
  </w:style>
  <w:style w:type="character" w:styleId="CommentReference">
    <w:name w:val="annotation reference"/>
    <w:basedOn w:val="DefaultParagraphFont"/>
    <w:uiPriority w:val="99"/>
    <w:semiHidden/>
    <w:unhideWhenUsed/>
    <w:rsid w:val="00AE0C86"/>
    <w:rPr>
      <w:sz w:val="16"/>
      <w:szCs w:val="16"/>
    </w:rPr>
  </w:style>
  <w:style w:type="paragraph" w:styleId="CommentText">
    <w:name w:val="annotation text"/>
    <w:basedOn w:val="Normal"/>
    <w:link w:val="CommentTextChar"/>
    <w:uiPriority w:val="99"/>
    <w:semiHidden/>
    <w:unhideWhenUsed/>
    <w:rsid w:val="00AE0C86"/>
    <w:pPr>
      <w:spacing w:line="240" w:lineRule="auto"/>
    </w:pPr>
    <w:rPr>
      <w:sz w:val="20"/>
      <w:szCs w:val="20"/>
    </w:rPr>
  </w:style>
  <w:style w:type="character" w:customStyle="1" w:styleId="CommentTextChar">
    <w:name w:val="Comment Text Char"/>
    <w:basedOn w:val="DefaultParagraphFont"/>
    <w:link w:val="CommentText"/>
    <w:uiPriority w:val="99"/>
    <w:semiHidden/>
    <w:rsid w:val="00AE0C86"/>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E0C86"/>
    <w:rPr>
      <w:b/>
      <w:bCs/>
    </w:rPr>
  </w:style>
  <w:style w:type="character" w:customStyle="1" w:styleId="CommentSubjectChar">
    <w:name w:val="Comment Subject Char"/>
    <w:basedOn w:val="CommentTextChar"/>
    <w:link w:val="CommentSubject"/>
    <w:uiPriority w:val="99"/>
    <w:semiHidden/>
    <w:rsid w:val="00AE0C86"/>
    <w:rPr>
      <w:rFonts w:eastAsiaTheme="minorEastAsia"/>
      <w:b/>
      <w:bCs/>
      <w:kern w:val="0"/>
      <w:sz w:val="20"/>
      <w:szCs w:val="20"/>
      <w:lang w:val="en-US"/>
      <w14:ligatures w14:val="none"/>
    </w:rPr>
  </w:style>
  <w:style w:type="paragraph" w:styleId="NoSpacing">
    <w:name w:val="No Spacing"/>
    <w:uiPriority w:val="1"/>
    <w:qFormat/>
    <w:rsid w:val="00B3495C"/>
    <w:pPr>
      <w:spacing w:after="0" w:line="240" w:lineRule="auto"/>
    </w:pPr>
    <w:rPr>
      <w:rFonts w:eastAsiaTheme="minorEastAsia"/>
      <w:kern w:val="0"/>
      <w:lang w:val="en-US"/>
      <w14:ligatures w14:val="none"/>
    </w:rPr>
  </w:style>
  <w:style w:type="table" w:customStyle="1" w:styleId="PlainTable21">
    <w:name w:val="Plain Table 21"/>
    <w:basedOn w:val="TableNormal"/>
    <w:uiPriority w:val="42"/>
    <w:rsid w:val="006D79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B4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E2E"/>
    <w:rPr>
      <w:rFonts w:eastAsiaTheme="minorEastAsia"/>
      <w:kern w:val="0"/>
      <w:lang w:val="en-US"/>
      <w14:ligatures w14:val="none"/>
    </w:rPr>
  </w:style>
  <w:style w:type="paragraph" w:styleId="Footer">
    <w:name w:val="footer"/>
    <w:basedOn w:val="Normal"/>
    <w:link w:val="FooterChar"/>
    <w:uiPriority w:val="99"/>
    <w:unhideWhenUsed/>
    <w:rsid w:val="009B4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E2E"/>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751">
      <w:bodyDiv w:val="1"/>
      <w:marLeft w:val="0"/>
      <w:marRight w:val="0"/>
      <w:marTop w:val="0"/>
      <w:marBottom w:val="0"/>
      <w:divBdr>
        <w:top w:val="none" w:sz="0" w:space="0" w:color="auto"/>
        <w:left w:val="none" w:sz="0" w:space="0" w:color="auto"/>
        <w:bottom w:val="none" w:sz="0" w:space="0" w:color="auto"/>
        <w:right w:val="none" w:sz="0" w:space="0" w:color="auto"/>
      </w:divBdr>
    </w:div>
    <w:div w:id="484904095">
      <w:bodyDiv w:val="1"/>
      <w:marLeft w:val="0"/>
      <w:marRight w:val="0"/>
      <w:marTop w:val="0"/>
      <w:marBottom w:val="0"/>
      <w:divBdr>
        <w:top w:val="none" w:sz="0" w:space="0" w:color="auto"/>
        <w:left w:val="none" w:sz="0" w:space="0" w:color="auto"/>
        <w:bottom w:val="none" w:sz="0" w:space="0" w:color="auto"/>
        <w:right w:val="none" w:sz="0" w:space="0" w:color="auto"/>
      </w:divBdr>
    </w:div>
    <w:div w:id="553781596">
      <w:bodyDiv w:val="1"/>
      <w:marLeft w:val="0"/>
      <w:marRight w:val="0"/>
      <w:marTop w:val="0"/>
      <w:marBottom w:val="0"/>
      <w:divBdr>
        <w:top w:val="none" w:sz="0" w:space="0" w:color="auto"/>
        <w:left w:val="none" w:sz="0" w:space="0" w:color="auto"/>
        <w:bottom w:val="none" w:sz="0" w:space="0" w:color="auto"/>
        <w:right w:val="none" w:sz="0" w:space="0" w:color="auto"/>
      </w:divBdr>
    </w:div>
    <w:div w:id="765149066">
      <w:bodyDiv w:val="1"/>
      <w:marLeft w:val="0"/>
      <w:marRight w:val="0"/>
      <w:marTop w:val="0"/>
      <w:marBottom w:val="0"/>
      <w:divBdr>
        <w:top w:val="none" w:sz="0" w:space="0" w:color="auto"/>
        <w:left w:val="none" w:sz="0" w:space="0" w:color="auto"/>
        <w:bottom w:val="none" w:sz="0" w:space="0" w:color="auto"/>
        <w:right w:val="none" w:sz="0" w:space="0" w:color="auto"/>
      </w:divBdr>
    </w:div>
    <w:div w:id="822966445">
      <w:bodyDiv w:val="1"/>
      <w:marLeft w:val="0"/>
      <w:marRight w:val="0"/>
      <w:marTop w:val="0"/>
      <w:marBottom w:val="0"/>
      <w:divBdr>
        <w:top w:val="none" w:sz="0" w:space="0" w:color="auto"/>
        <w:left w:val="none" w:sz="0" w:space="0" w:color="auto"/>
        <w:bottom w:val="none" w:sz="0" w:space="0" w:color="auto"/>
        <w:right w:val="none" w:sz="0" w:space="0" w:color="auto"/>
      </w:divBdr>
    </w:div>
    <w:div w:id="1021468561">
      <w:bodyDiv w:val="1"/>
      <w:marLeft w:val="0"/>
      <w:marRight w:val="0"/>
      <w:marTop w:val="0"/>
      <w:marBottom w:val="0"/>
      <w:divBdr>
        <w:top w:val="none" w:sz="0" w:space="0" w:color="auto"/>
        <w:left w:val="none" w:sz="0" w:space="0" w:color="auto"/>
        <w:bottom w:val="none" w:sz="0" w:space="0" w:color="auto"/>
        <w:right w:val="none" w:sz="0" w:space="0" w:color="auto"/>
      </w:divBdr>
    </w:div>
    <w:div w:id="1085224507">
      <w:bodyDiv w:val="1"/>
      <w:marLeft w:val="0"/>
      <w:marRight w:val="0"/>
      <w:marTop w:val="0"/>
      <w:marBottom w:val="0"/>
      <w:divBdr>
        <w:top w:val="none" w:sz="0" w:space="0" w:color="auto"/>
        <w:left w:val="none" w:sz="0" w:space="0" w:color="auto"/>
        <w:bottom w:val="none" w:sz="0" w:space="0" w:color="auto"/>
        <w:right w:val="none" w:sz="0" w:space="0" w:color="auto"/>
      </w:divBdr>
    </w:div>
    <w:div w:id="1102871983">
      <w:bodyDiv w:val="1"/>
      <w:marLeft w:val="0"/>
      <w:marRight w:val="0"/>
      <w:marTop w:val="0"/>
      <w:marBottom w:val="0"/>
      <w:divBdr>
        <w:top w:val="none" w:sz="0" w:space="0" w:color="auto"/>
        <w:left w:val="none" w:sz="0" w:space="0" w:color="auto"/>
        <w:bottom w:val="none" w:sz="0" w:space="0" w:color="auto"/>
        <w:right w:val="none" w:sz="0" w:space="0" w:color="auto"/>
      </w:divBdr>
    </w:div>
    <w:div w:id="1116484320">
      <w:bodyDiv w:val="1"/>
      <w:marLeft w:val="0"/>
      <w:marRight w:val="0"/>
      <w:marTop w:val="0"/>
      <w:marBottom w:val="0"/>
      <w:divBdr>
        <w:top w:val="none" w:sz="0" w:space="0" w:color="auto"/>
        <w:left w:val="none" w:sz="0" w:space="0" w:color="auto"/>
        <w:bottom w:val="none" w:sz="0" w:space="0" w:color="auto"/>
        <w:right w:val="none" w:sz="0" w:space="0" w:color="auto"/>
      </w:divBdr>
    </w:div>
    <w:div w:id="1119952973">
      <w:bodyDiv w:val="1"/>
      <w:marLeft w:val="0"/>
      <w:marRight w:val="0"/>
      <w:marTop w:val="0"/>
      <w:marBottom w:val="0"/>
      <w:divBdr>
        <w:top w:val="none" w:sz="0" w:space="0" w:color="auto"/>
        <w:left w:val="none" w:sz="0" w:space="0" w:color="auto"/>
        <w:bottom w:val="none" w:sz="0" w:space="0" w:color="auto"/>
        <w:right w:val="none" w:sz="0" w:space="0" w:color="auto"/>
      </w:divBdr>
    </w:div>
    <w:div w:id="1234662695">
      <w:bodyDiv w:val="1"/>
      <w:marLeft w:val="0"/>
      <w:marRight w:val="0"/>
      <w:marTop w:val="0"/>
      <w:marBottom w:val="0"/>
      <w:divBdr>
        <w:top w:val="none" w:sz="0" w:space="0" w:color="auto"/>
        <w:left w:val="none" w:sz="0" w:space="0" w:color="auto"/>
        <w:bottom w:val="none" w:sz="0" w:space="0" w:color="auto"/>
        <w:right w:val="none" w:sz="0" w:space="0" w:color="auto"/>
      </w:divBdr>
    </w:div>
    <w:div w:id="1348873990">
      <w:bodyDiv w:val="1"/>
      <w:marLeft w:val="0"/>
      <w:marRight w:val="0"/>
      <w:marTop w:val="0"/>
      <w:marBottom w:val="0"/>
      <w:divBdr>
        <w:top w:val="none" w:sz="0" w:space="0" w:color="auto"/>
        <w:left w:val="none" w:sz="0" w:space="0" w:color="auto"/>
        <w:bottom w:val="none" w:sz="0" w:space="0" w:color="auto"/>
        <w:right w:val="none" w:sz="0" w:space="0" w:color="auto"/>
      </w:divBdr>
    </w:div>
    <w:div w:id="1934705907">
      <w:bodyDiv w:val="1"/>
      <w:marLeft w:val="0"/>
      <w:marRight w:val="0"/>
      <w:marTop w:val="0"/>
      <w:marBottom w:val="0"/>
      <w:divBdr>
        <w:top w:val="none" w:sz="0" w:space="0" w:color="auto"/>
        <w:left w:val="none" w:sz="0" w:space="0" w:color="auto"/>
        <w:bottom w:val="none" w:sz="0" w:space="0" w:color="auto"/>
        <w:right w:val="none" w:sz="0" w:space="0" w:color="auto"/>
      </w:divBdr>
    </w:div>
    <w:div w:id="199564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8</Pages>
  <Words>2945</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Giggin T</dc:creator>
  <cp:keywords/>
  <dc:description/>
  <cp:lastModifiedBy>CPU SDI 1080</cp:lastModifiedBy>
  <cp:revision>21</cp:revision>
  <dcterms:created xsi:type="dcterms:W3CDTF">2025-05-13T13:02:00Z</dcterms:created>
  <dcterms:modified xsi:type="dcterms:W3CDTF">2025-05-16T07:39:00Z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5a181197-ca5a-44fd-947b-dba44d4d8946</vt:lpwstr>
  </property>
</Properties>
</file>