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9DBED" w14:textId="77777777" w:rsidR="000F0F95" w:rsidRPr="00FE63ED" w:rsidRDefault="000F0F95" w:rsidP="00743072">
      <w:pPr>
        <w:spacing w:line="240" w:lineRule="auto"/>
        <w:jc w:val="right"/>
        <w:rPr>
          <w:rFonts w:ascii="Arial" w:hAnsi="Arial" w:cs="Arial"/>
          <w:b/>
          <w:sz w:val="36"/>
          <w:szCs w:val="24"/>
        </w:rPr>
      </w:pPr>
      <w:r w:rsidRPr="00FE63ED">
        <w:rPr>
          <w:rFonts w:ascii="Arial" w:hAnsi="Arial" w:cs="Arial"/>
          <w:b/>
          <w:sz w:val="36"/>
          <w:szCs w:val="24"/>
        </w:rPr>
        <w:t>Carbon Credit Mechanisms: A Market-Based</w:t>
      </w:r>
      <w:r w:rsidR="00791D60">
        <w:rPr>
          <w:rFonts w:ascii="Arial" w:hAnsi="Arial" w:cs="Arial"/>
          <w:b/>
          <w:sz w:val="36"/>
          <w:szCs w:val="24"/>
        </w:rPr>
        <w:t xml:space="preserve"> Approach to Climate Mitigation</w:t>
      </w:r>
    </w:p>
    <w:p w14:paraId="03F9B998" w14:textId="77777777" w:rsidR="000F0F95" w:rsidRDefault="000F0F95" w:rsidP="00F66AA3">
      <w:pPr>
        <w:spacing w:before="100" w:beforeAutospacing="1" w:after="100" w:afterAutospacing="1" w:line="240" w:lineRule="auto"/>
        <w:rPr>
          <w:rFonts w:ascii="Arial" w:eastAsia="Times New Roman" w:hAnsi="Arial" w:cs="Arial"/>
          <w:b/>
          <w:sz w:val="24"/>
          <w:szCs w:val="24"/>
        </w:rPr>
      </w:pPr>
      <w:r w:rsidRPr="00FE63ED">
        <w:rPr>
          <w:rFonts w:ascii="Arial" w:eastAsia="Times New Roman" w:hAnsi="Arial" w:cs="Arial"/>
          <w:b/>
          <w:sz w:val="24"/>
          <w:szCs w:val="24"/>
        </w:rPr>
        <w:t>Abstract</w:t>
      </w:r>
    </w:p>
    <w:tbl>
      <w:tblPr>
        <w:tblStyle w:val="TableGrid"/>
        <w:tblW w:w="0" w:type="auto"/>
        <w:tblLook w:val="04A0" w:firstRow="1" w:lastRow="0" w:firstColumn="1" w:lastColumn="0" w:noHBand="0" w:noVBand="1"/>
      </w:tblPr>
      <w:tblGrid>
        <w:gridCol w:w="9243"/>
      </w:tblGrid>
      <w:tr w:rsidR="00FE63ED" w14:paraId="63C129ED" w14:textId="77777777" w:rsidTr="00FE63ED">
        <w:tc>
          <w:tcPr>
            <w:tcW w:w="9243" w:type="dxa"/>
          </w:tcPr>
          <w:p w14:paraId="1E51A701" w14:textId="77777777" w:rsidR="00B730E9" w:rsidRPr="00106609" w:rsidRDefault="00FE63ED" w:rsidP="00106609">
            <w:pPr>
              <w:jc w:val="both"/>
              <w:rPr>
                <w:rFonts w:ascii="Arial" w:hAnsi="Arial" w:cs="Arial"/>
                <w:sz w:val="20"/>
                <w:szCs w:val="20"/>
              </w:rPr>
            </w:pPr>
            <w:r w:rsidRPr="00974F3C">
              <w:rPr>
                <w:rFonts w:ascii="Arial" w:eastAsia="Times New Roman" w:hAnsi="Arial" w:cs="Arial"/>
                <w:b/>
                <w:sz w:val="20"/>
                <w:szCs w:val="20"/>
              </w:rPr>
              <w:t>Introduction</w:t>
            </w:r>
            <w:r w:rsidR="00974F3C">
              <w:rPr>
                <w:rFonts w:ascii="Arial" w:eastAsia="Times New Roman" w:hAnsi="Arial" w:cs="Arial"/>
                <w:b/>
                <w:sz w:val="20"/>
                <w:szCs w:val="20"/>
              </w:rPr>
              <w:t xml:space="preserve">: </w:t>
            </w:r>
            <w:r w:rsidRPr="00974F3C">
              <w:rPr>
                <w:rFonts w:ascii="Arial" w:hAnsi="Arial" w:cs="Arial"/>
                <w:sz w:val="20"/>
                <w:szCs w:val="20"/>
              </w:rPr>
              <w:t xml:space="preserve">Climate change is mainly caused by human activities, and it results in the release of harmful greenhouse gases like carbon dioxide, methane, and nitrous oxide into the atmosphere. </w:t>
            </w:r>
            <w:r w:rsidR="00A53816" w:rsidRPr="00974F3C">
              <w:rPr>
                <w:rFonts w:ascii="Arial" w:hAnsi="Arial" w:cs="Arial"/>
                <w:sz w:val="20"/>
                <w:szCs w:val="20"/>
              </w:rPr>
              <w:t>Among the various sources of ‘C’ emission, electricity and heat generation is the majo</w:t>
            </w:r>
            <w:r w:rsidR="003C30B9">
              <w:rPr>
                <w:rFonts w:ascii="Arial" w:hAnsi="Arial" w:cs="Arial"/>
                <w:sz w:val="20"/>
                <w:szCs w:val="20"/>
              </w:rPr>
              <w:t>r activity both in the World (32.25</w:t>
            </w:r>
            <w:r w:rsidR="00A53816" w:rsidRPr="00974F3C">
              <w:rPr>
                <w:rFonts w:ascii="Arial" w:hAnsi="Arial" w:cs="Arial"/>
                <w:sz w:val="20"/>
                <w:szCs w:val="20"/>
              </w:rPr>
              <w:t xml:space="preserve"> per</w:t>
            </w:r>
            <w:r w:rsidR="003C30B9">
              <w:rPr>
                <w:rFonts w:ascii="Arial" w:hAnsi="Arial" w:cs="Arial"/>
                <w:sz w:val="20"/>
                <w:szCs w:val="20"/>
              </w:rPr>
              <w:t>cent) as well as in India (35.86</w:t>
            </w:r>
            <w:r w:rsidR="00A53816" w:rsidRPr="00974F3C">
              <w:rPr>
                <w:rFonts w:ascii="Arial" w:hAnsi="Arial" w:cs="Arial"/>
                <w:sz w:val="20"/>
                <w:szCs w:val="20"/>
              </w:rPr>
              <w:t xml:space="preserve"> per cent) where Agriculture acts as the fourth major player of CO</w:t>
            </w:r>
            <w:r w:rsidR="00A53816" w:rsidRPr="00974F3C">
              <w:rPr>
                <w:rFonts w:ascii="Arial" w:hAnsi="Arial" w:cs="Arial"/>
                <w:sz w:val="20"/>
                <w:szCs w:val="20"/>
                <w:vertAlign w:val="subscript"/>
              </w:rPr>
              <w:t>2</w:t>
            </w:r>
            <w:r w:rsidR="003C30B9">
              <w:rPr>
                <w:rFonts w:ascii="Arial" w:hAnsi="Arial" w:cs="Arial"/>
                <w:sz w:val="20"/>
                <w:szCs w:val="20"/>
              </w:rPr>
              <w:t xml:space="preserve"> emission in the World (11.60</w:t>
            </w:r>
            <w:r w:rsidR="00A53816" w:rsidRPr="00974F3C">
              <w:rPr>
                <w:rFonts w:ascii="Arial" w:hAnsi="Arial" w:cs="Arial"/>
                <w:sz w:val="20"/>
                <w:szCs w:val="20"/>
              </w:rPr>
              <w:t xml:space="preserve"> per cent) and in India, it has a dominant role which stand in second position with 2</w:t>
            </w:r>
            <w:r w:rsidR="003C30B9">
              <w:rPr>
                <w:rFonts w:ascii="Arial" w:hAnsi="Arial" w:cs="Arial"/>
                <w:sz w:val="20"/>
                <w:szCs w:val="20"/>
              </w:rPr>
              <w:t>1.92</w:t>
            </w:r>
            <w:r w:rsidR="00A53816" w:rsidRPr="00974F3C">
              <w:rPr>
                <w:rFonts w:ascii="Arial" w:hAnsi="Arial" w:cs="Arial"/>
                <w:sz w:val="20"/>
                <w:szCs w:val="20"/>
              </w:rPr>
              <w:t xml:space="preserve"> per cent share. </w:t>
            </w:r>
            <w:r w:rsidR="00106609" w:rsidRPr="00106609">
              <w:rPr>
                <w:rFonts w:ascii="Arial" w:hAnsi="Arial" w:cs="Arial"/>
                <w:sz w:val="20"/>
                <w:szCs w:val="20"/>
              </w:rPr>
              <w:t>Rising GHG emissions, especially from electricity and agriculture, pose a ma</w:t>
            </w:r>
            <w:r w:rsidR="00106609">
              <w:rPr>
                <w:rFonts w:ascii="Arial" w:hAnsi="Arial" w:cs="Arial"/>
                <w:sz w:val="20"/>
                <w:szCs w:val="20"/>
              </w:rPr>
              <w:t xml:space="preserve">jor climate challenge in India. </w:t>
            </w:r>
            <w:r w:rsidR="00106609" w:rsidRPr="00106609">
              <w:rPr>
                <w:rFonts w:ascii="Arial" w:hAnsi="Arial" w:cs="Arial"/>
                <w:sz w:val="20"/>
                <w:szCs w:val="20"/>
              </w:rPr>
              <w:t>Though carbon markets offer a tool for mitigation, awareness and pa</w:t>
            </w:r>
            <w:r w:rsidR="00106609">
              <w:rPr>
                <w:rFonts w:ascii="Arial" w:hAnsi="Arial" w:cs="Arial"/>
                <w:sz w:val="20"/>
                <w:szCs w:val="20"/>
              </w:rPr>
              <w:t xml:space="preserve">rticipation remain limited. </w:t>
            </w:r>
            <w:r w:rsidR="00106609" w:rsidRPr="00106609">
              <w:rPr>
                <w:rFonts w:ascii="Arial" w:hAnsi="Arial" w:cs="Arial"/>
                <w:sz w:val="20"/>
                <w:szCs w:val="20"/>
              </w:rPr>
              <w:t>Understanding carbon trading mechanisms is essential to enhance their role in reducing emissions.</w:t>
            </w:r>
          </w:p>
          <w:p w14:paraId="3D80A057" w14:textId="77777777" w:rsidR="00D606B0" w:rsidRPr="00106609" w:rsidRDefault="00A53816" w:rsidP="00106609">
            <w:pPr>
              <w:rPr>
                <w:rFonts w:ascii="Arial" w:hAnsi="Arial" w:cs="Arial"/>
                <w:sz w:val="20"/>
                <w:szCs w:val="20"/>
              </w:rPr>
            </w:pPr>
            <w:r w:rsidRPr="00106609">
              <w:rPr>
                <w:rFonts w:ascii="Arial" w:hAnsi="Arial" w:cs="Arial"/>
                <w:b/>
                <w:sz w:val="20"/>
                <w:szCs w:val="20"/>
              </w:rPr>
              <w:t>Objectives:</w:t>
            </w:r>
            <w:r w:rsidRPr="00106609">
              <w:rPr>
                <w:rFonts w:ascii="Arial" w:hAnsi="Arial" w:cs="Arial"/>
                <w:sz w:val="20"/>
                <w:szCs w:val="20"/>
              </w:rPr>
              <w:t xml:space="preserve"> </w:t>
            </w:r>
            <w:r w:rsidR="000569D7" w:rsidRPr="00106609">
              <w:rPr>
                <w:rFonts w:ascii="Arial" w:hAnsi="Arial" w:cs="Arial"/>
                <w:sz w:val="20"/>
                <w:szCs w:val="20"/>
              </w:rPr>
              <w:t>To know the diff</w:t>
            </w:r>
            <w:r w:rsidR="00791D60" w:rsidRPr="00106609">
              <w:rPr>
                <w:rFonts w:ascii="Arial" w:hAnsi="Arial" w:cs="Arial"/>
                <w:sz w:val="20"/>
                <w:szCs w:val="20"/>
              </w:rPr>
              <w:t>erent carbon trading mechanism to mitigate carbon emission</w:t>
            </w:r>
            <w:r w:rsidR="000569D7" w:rsidRPr="00106609">
              <w:rPr>
                <w:rFonts w:ascii="Arial" w:hAnsi="Arial" w:cs="Arial"/>
                <w:sz w:val="20"/>
                <w:szCs w:val="20"/>
              </w:rPr>
              <w:t>.</w:t>
            </w:r>
          </w:p>
          <w:p w14:paraId="0A93EE51" w14:textId="77777777" w:rsidR="00FE63ED" w:rsidRPr="00974F3C" w:rsidRDefault="00FE63ED" w:rsidP="00974F3C">
            <w:pPr>
              <w:jc w:val="both"/>
              <w:rPr>
                <w:rFonts w:ascii="Arial" w:hAnsi="Arial" w:cs="Arial"/>
                <w:sz w:val="20"/>
                <w:szCs w:val="20"/>
              </w:rPr>
            </w:pPr>
            <w:r w:rsidRPr="00974F3C">
              <w:rPr>
                <w:rFonts w:ascii="Arial" w:hAnsi="Arial" w:cs="Arial"/>
                <w:b/>
                <w:sz w:val="20"/>
                <w:szCs w:val="20"/>
              </w:rPr>
              <w:t>Carbon Market:</w:t>
            </w:r>
            <w:r w:rsidRPr="00974F3C">
              <w:rPr>
                <w:rFonts w:ascii="Arial" w:hAnsi="Arial" w:cs="Arial"/>
                <w:sz w:val="20"/>
                <w:szCs w:val="20"/>
              </w:rPr>
              <w:t xml:space="preserve"> In simple terms, the carbon market is buying and selling carbon credits; each credit indicates one ton of carbon dioxide (or similar gases) that's been removed from the atmosphere or prevented from being released. These credits can be traded at both national and international </w:t>
            </w:r>
            <w:r w:rsidR="00A53816" w:rsidRPr="00974F3C">
              <w:rPr>
                <w:rFonts w:ascii="Arial" w:hAnsi="Arial" w:cs="Arial"/>
                <w:sz w:val="20"/>
                <w:szCs w:val="20"/>
              </w:rPr>
              <w:t xml:space="preserve">carbon </w:t>
            </w:r>
            <w:r w:rsidRPr="00974F3C">
              <w:rPr>
                <w:rFonts w:ascii="Arial" w:hAnsi="Arial" w:cs="Arial"/>
                <w:sz w:val="20"/>
                <w:szCs w:val="20"/>
              </w:rPr>
              <w:t>markets. There are tw</w:t>
            </w:r>
            <w:r w:rsidR="00A53816" w:rsidRPr="00974F3C">
              <w:rPr>
                <w:rFonts w:ascii="Arial" w:hAnsi="Arial" w:cs="Arial"/>
                <w:sz w:val="20"/>
                <w:szCs w:val="20"/>
              </w:rPr>
              <w:t xml:space="preserve">o main types of carbon markets, which is </w:t>
            </w:r>
            <w:r w:rsidRPr="00974F3C">
              <w:rPr>
                <w:rFonts w:ascii="Arial" w:hAnsi="Arial" w:cs="Arial"/>
                <w:sz w:val="20"/>
                <w:szCs w:val="20"/>
              </w:rPr>
              <w:t>the compliance market and the voluntary market.</w:t>
            </w:r>
          </w:p>
          <w:p w14:paraId="682A628E" w14:textId="77777777" w:rsidR="00EC7B37" w:rsidRDefault="00EC7B37" w:rsidP="00974F3C">
            <w:pPr>
              <w:jc w:val="both"/>
              <w:rPr>
                <w:rFonts w:ascii="Arial" w:hAnsi="Arial" w:cs="Arial"/>
                <w:b/>
                <w:sz w:val="20"/>
                <w:szCs w:val="20"/>
              </w:rPr>
            </w:pPr>
            <w:r>
              <w:rPr>
                <w:rFonts w:ascii="Arial" w:hAnsi="Arial" w:cs="Arial"/>
                <w:b/>
                <w:sz w:val="20"/>
                <w:szCs w:val="20"/>
              </w:rPr>
              <w:t>Major Findings</w:t>
            </w:r>
            <w:r w:rsidR="00E220AC">
              <w:rPr>
                <w:rFonts w:ascii="Arial" w:hAnsi="Arial" w:cs="Arial"/>
                <w:b/>
                <w:sz w:val="20"/>
                <w:szCs w:val="20"/>
              </w:rPr>
              <w:t>:</w:t>
            </w:r>
          </w:p>
          <w:p w14:paraId="3D13C637" w14:textId="77777777" w:rsidR="00FE63ED" w:rsidRPr="00974F3C" w:rsidRDefault="00FE63ED" w:rsidP="00974F3C">
            <w:pPr>
              <w:jc w:val="both"/>
              <w:rPr>
                <w:rFonts w:ascii="Arial" w:hAnsi="Arial" w:cs="Arial"/>
                <w:sz w:val="20"/>
                <w:szCs w:val="20"/>
              </w:rPr>
            </w:pPr>
            <w:r w:rsidRPr="00974F3C">
              <w:rPr>
                <w:rFonts w:ascii="Arial" w:hAnsi="Arial" w:cs="Arial"/>
                <w:b/>
                <w:sz w:val="20"/>
                <w:szCs w:val="20"/>
              </w:rPr>
              <w:t>Compliance Market:</w:t>
            </w:r>
            <w:r w:rsidRPr="00974F3C">
              <w:rPr>
                <w:rFonts w:ascii="Arial" w:hAnsi="Arial" w:cs="Arial"/>
                <w:sz w:val="20"/>
                <w:szCs w:val="20"/>
              </w:rPr>
              <w:t xml:space="preserve"> </w:t>
            </w:r>
            <w:r w:rsidR="00A53816" w:rsidRPr="00974F3C">
              <w:rPr>
                <w:rFonts w:ascii="Arial" w:hAnsi="Arial" w:cs="Arial"/>
                <w:sz w:val="20"/>
                <w:szCs w:val="20"/>
              </w:rPr>
              <w:t xml:space="preserve">The compliance market is run under the certain rules and regulations, which is given by the </w:t>
            </w:r>
            <w:r w:rsidRPr="00974F3C">
              <w:rPr>
                <w:rFonts w:ascii="Arial" w:hAnsi="Arial" w:cs="Arial"/>
                <w:sz w:val="20"/>
                <w:szCs w:val="20"/>
              </w:rPr>
              <w:t>United Nations Framework Convention on Climate Change (UNFCCC). It’s backed by regulations and helps monitor emissions across countries and industries.</w:t>
            </w:r>
            <w:r w:rsidR="00D85F4E" w:rsidRPr="00974F3C">
              <w:rPr>
                <w:rFonts w:ascii="Arial" w:hAnsi="Arial" w:cs="Arial"/>
                <w:sz w:val="20"/>
                <w:szCs w:val="20"/>
              </w:rPr>
              <w:t xml:space="preserve"> </w:t>
            </w:r>
            <w:r w:rsidR="00974F3C" w:rsidRPr="00974F3C">
              <w:rPr>
                <w:rFonts w:ascii="Arial" w:hAnsi="Arial" w:cs="Arial"/>
                <w:sz w:val="20"/>
                <w:szCs w:val="20"/>
              </w:rPr>
              <w:t xml:space="preserve">India issued approximately </w:t>
            </w:r>
            <w:r w:rsidR="00D85F4E" w:rsidRPr="00974F3C">
              <w:rPr>
                <w:rFonts w:ascii="Arial" w:eastAsia="Times New Roman" w:hAnsi="Arial" w:cs="Arial"/>
                <w:bCs/>
                <w:sz w:val="20"/>
                <w:szCs w:val="20"/>
              </w:rPr>
              <w:t xml:space="preserve">106 million </w:t>
            </w:r>
            <w:r w:rsidR="00EC7B37">
              <w:rPr>
                <w:rFonts w:ascii="Arial" w:eastAsia="Times New Roman" w:hAnsi="Arial" w:cs="Arial"/>
                <w:bCs/>
                <w:sz w:val="20"/>
                <w:szCs w:val="20"/>
              </w:rPr>
              <w:t>ton</w:t>
            </w:r>
            <w:r w:rsidR="00974F3C" w:rsidRPr="00974F3C">
              <w:rPr>
                <w:rFonts w:ascii="Arial" w:eastAsia="Times New Roman" w:hAnsi="Arial" w:cs="Arial"/>
                <w:bCs/>
                <w:sz w:val="20"/>
                <w:szCs w:val="20"/>
              </w:rPr>
              <w:t>s (MT)</w:t>
            </w:r>
            <w:r w:rsidR="00D85F4E" w:rsidRPr="00974F3C">
              <w:rPr>
                <w:rFonts w:ascii="Arial" w:eastAsia="Times New Roman" w:hAnsi="Arial" w:cs="Arial"/>
                <w:bCs/>
                <w:sz w:val="20"/>
                <w:szCs w:val="20"/>
              </w:rPr>
              <w:t xml:space="preserve"> of CO</w:t>
            </w:r>
            <w:r w:rsidR="00D85F4E" w:rsidRPr="00974F3C">
              <w:rPr>
                <w:rFonts w:ascii="Cambria Math" w:eastAsia="Times New Roman" w:hAnsi="Cambria Math" w:cs="Arial"/>
                <w:bCs/>
                <w:sz w:val="20"/>
                <w:szCs w:val="20"/>
              </w:rPr>
              <w:t>₂</w:t>
            </w:r>
            <w:r w:rsidR="00D85F4E" w:rsidRPr="00974F3C">
              <w:rPr>
                <w:rFonts w:ascii="Arial" w:eastAsia="Times New Roman" w:hAnsi="Arial" w:cs="Arial"/>
                <w:bCs/>
                <w:sz w:val="20"/>
                <w:szCs w:val="20"/>
              </w:rPr>
              <w:t xml:space="preserve"> emissions</w:t>
            </w:r>
            <w:r w:rsidR="00D85F4E" w:rsidRPr="00974F3C">
              <w:rPr>
                <w:rFonts w:ascii="Arial" w:eastAsia="Times New Roman" w:hAnsi="Arial" w:cs="Arial"/>
                <w:sz w:val="20"/>
                <w:szCs w:val="20"/>
              </w:rPr>
              <w:t xml:space="preserve"> </w:t>
            </w:r>
            <w:proofErr w:type="spellStart"/>
            <w:r w:rsidR="00974F3C">
              <w:rPr>
                <w:rFonts w:ascii="Arial" w:eastAsia="Times New Roman" w:hAnsi="Arial" w:cs="Arial"/>
                <w:sz w:val="20"/>
                <w:szCs w:val="20"/>
              </w:rPr>
              <w:t>upto</w:t>
            </w:r>
            <w:proofErr w:type="spellEnd"/>
            <w:r w:rsidR="00D85F4E" w:rsidRPr="00974F3C">
              <w:rPr>
                <w:rFonts w:ascii="Arial" w:eastAsia="Times New Roman" w:hAnsi="Arial" w:cs="Arial"/>
                <w:sz w:val="20"/>
                <w:szCs w:val="20"/>
              </w:rPr>
              <w:t xml:space="preserve"> mid-2024.</w:t>
            </w:r>
          </w:p>
          <w:p w14:paraId="3AA803A6" w14:textId="77777777" w:rsidR="00D85F4E" w:rsidRPr="00974F3C" w:rsidRDefault="00FE63ED" w:rsidP="00974F3C">
            <w:pPr>
              <w:jc w:val="both"/>
              <w:rPr>
                <w:rFonts w:ascii="Arial" w:hAnsi="Arial" w:cs="Arial"/>
                <w:sz w:val="20"/>
                <w:szCs w:val="20"/>
              </w:rPr>
            </w:pPr>
            <w:r w:rsidRPr="00974F3C">
              <w:rPr>
                <w:rFonts w:ascii="Arial" w:hAnsi="Arial" w:cs="Arial"/>
                <w:b/>
                <w:sz w:val="20"/>
                <w:szCs w:val="20"/>
              </w:rPr>
              <w:t>Voluntary Market:</w:t>
            </w:r>
            <w:r w:rsidRPr="00974F3C">
              <w:rPr>
                <w:rFonts w:ascii="Arial" w:hAnsi="Arial" w:cs="Arial"/>
                <w:sz w:val="20"/>
                <w:szCs w:val="20"/>
              </w:rPr>
              <w:t xml:space="preserve"> </w:t>
            </w:r>
            <w:r w:rsidR="00D85F4E" w:rsidRPr="00974F3C">
              <w:rPr>
                <w:rFonts w:ascii="Arial" w:hAnsi="Arial" w:cs="Arial"/>
                <w:sz w:val="20"/>
                <w:szCs w:val="20"/>
              </w:rPr>
              <w:t xml:space="preserve">The voluntary carbon market is designed for those who choose to act on climate change, even when they’re not legally required to. Whether it's businesses, organizations, or individuals, they can purchase carbon credits to support initiatives such as reforestation or clean energy projects. </w:t>
            </w:r>
            <w:r w:rsidR="00D85F4E" w:rsidRPr="00974F3C">
              <w:rPr>
                <w:rStyle w:val="relative"/>
                <w:rFonts w:ascii="Arial" w:hAnsi="Arial" w:cs="Arial"/>
                <w:sz w:val="20"/>
                <w:szCs w:val="20"/>
              </w:rPr>
              <w:t xml:space="preserve">India issued approximately </w:t>
            </w:r>
            <w:r w:rsidR="00D85F4E" w:rsidRPr="00974F3C">
              <w:rPr>
                <w:rStyle w:val="Strong"/>
                <w:rFonts w:ascii="Arial" w:hAnsi="Arial" w:cs="Arial"/>
                <w:b w:val="0"/>
                <w:sz w:val="20"/>
                <w:szCs w:val="20"/>
              </w:rPr>
              <w:t xml:space="preserve">43.4 </w:t>
            </w:r>
            <w:r w:rsidR="00974F3C" w:rsidRPr="00974F3C">
              <w:rPr>
                <w:rStyle w:val="Strong"/>
                <w:rFonts w:ascii="Arial" w:hAnsi="Arial" w:cs="Arial"/>
                <w:b w:val="0"/>
                <w:sz w:val="20"/>
                <w:szCs w:val="20"/>
              </w:rPr>
              <w:t>MT</w:t>
            </w:r>
            <w:r w:rsidR="00D85F4E" w:rsidRPr="00974F3C">
              <w:rPr>
                <w:rStyle w:val="Strong"/>
                <w:rFonts w:ascii="Arial" w:hAnsi="Arial" w:cs="Arial"/>
                <w:b w:val="0"/>
                <w:sz w:val="20"/>
                <w:szCs w:val="20"/>
              </w:rPr>
              <w:t xml:space="preserve"> carbon credits</w:t>
            </w:r>
            <w:r w:rsidR="00D85F4E" w:rsidRPr="00974F3C">
              <w:rPr>
                <w:rStyle w:val="relative"/>
                <w:rFonts w:ascii="Arial" w:hAnsi="Arial" w:cs="Arial"/>
                <w:sz w:val="20"/>
                <w:szCs w:val="20"/>
              </w:rPr>
              <w:t xml:space="preserve"> in 2024, making it the second-largest issuer globally after the United States.</w:t>
            </w:r>
          </w:p>
          <w:p w14:paraId="5AA0BEB6" w14:textId="77777777" w:rsidR="00FE63ED" w:rsidRPr="006F17C7" w:rsidRDefault="00F66AA3" w:rsidP="00974F3C">
            <w:pPr>
              <w:jc w:val="both"/>
              <w:rPr>
                <w:rFonts w:ascii="Arial" w:hAnsi="Arial" w:cs="Arial"/>
                <w:sz w:val="20"/>
                <w:szCs w:val="20"/>
              </w:rPr>
            </w:pPr>
            <w:r w:rsidRPr="00974F3C">
              <w:rPr>
                <w:rFonts w:ascii="Arial" w:hAnsi="Arial" w:cs="Arial"/>
                <w:b/>
                <w:sz w:val="20"/>
                <w:szCs w:val="20"/>
              </w:rPr>
              <w:t>Conclus</w:t>
            </w:r>
            <w:r w:rsidR="00FE63ED" w:rsidRPr="00974F3C">
              <w:rPr>
                <w:rFonts w:ascii="Arial" w:hAnsi="Arial" w:cs="Arial"/>
                <w:b/>
                <w:sz w:val="20"/>
                <w:szCs w:val="20"/>
              </w:rPr>
              <w:t>ion:</w:t>
            </w:r>
            <w:r w:rsidRPr="00974F3C">
              <w:rPr>
                <w:rFonts w:ascii="Arial" w:hAnsi="Arial" w:cs="Arial"/>
                <w:sz w:val="20"/>
                <w:szCs w:val="20"/>
              </w:rPr>
              <w:t xml:space="preserve"> </w:t>
            </w:r>
            <w:r w:rsidR="00974F3C" w:rsidRPr="00974F3C">
              <w:rPr>
                <w:rFonts w:ascii="Arial" w:hAnsi="Arial" w:cs="Arial"/>
                <w:sz w:val="20"/>
                <w:szCs w:val="20"/>
              </w:rPr>
              <w:t>This dual engagement reflects not only India’s dedication to reducing emissions but also its strategic approach to integrating economic incentives with environmental responsibility, thereby supporting its broader goals for sustainable development and a low-carbon future.</w:t>
            </w:r>
          </w:p>
        </w:tc>
      </w:tr>
    </w:tbl>
    <w:p w14:paraId="047252D3" w14:textId="77777777" w:rsidR="000F0F95" w:rsidRPr="00743072" w:rsidRDefault="000F0F95" w:rsidP="00EC7B37">
      <w:pPr>
        <w:spacing w:line="240" w:lineRule="auto"/>
        <w:jc w:val="both"/>
        <w:rPr>
          <w:rFonts w:ascii="Arial" w:hAnsi="Arial" w:cs="Arial"/>
          <w:sz w:val="20"/>
          <w:szCs w:val="24"/>
        </w:rPr>
      </w:pPr>
      <w:r w:rsidRPr="00743072">
        <w:rPr>
          <w:rFonts w:ascii="Arial" w:hAnsi="Arial" w:cs="Arial"/>
          <w:b/>
          <w:sz w:val="20"/>
          <w:szCs w:val="24"/>
        </w:rPr>
        <w:t>Keywords:</w:t>
      </w:r>
      <w:r w:rsidRPr="00743072">
        <w:rPr>
          <w:rFonts w:ascii="Arial" w:hAnsi="Arial" w:cs="Arial"/>
          <w:sz w:val="20"/>
          <w:szCs w:val="24"/>
        </w:rPr>
        <w:t xml:space="preserve"> Cap and Trade Mechanism; Carbon Credit; Carbon Offsetting; Compliance Market; Voluntary Market</w:t>
      </w:r>
    </w:p>
    <w:p w14:paraId="30E02772" w14:textId="77777777" w:rsidR="007A481D" w:rsidRPr="00683336" w:rsidRDefault="00683336" w:rsidP="00F66AA3">
      <w:pPr>
        <w:pStyle w:val="ListParagraph"/>
        <w:numPr>
          <w:ilvl w:val="0"/>
          <w:numId w:val="1"/>
        </w:numPr>
        <w:spacing w:line="240" w:lineRule="auto"/>
        <w:ind w:left="360"/>
        <w:rPr>
          <w:rFonts w:ascii="Arial" w:hAnsi="Arial" w:cs="Arial"/>
          <w:b/>
          <w:szCs w:val="24"/>
        </w:rPr>
      </w:pPr>
      <w:r w:rsidRPr="00683336">
        <w:rPr>
          <w:rFonts w:ascii="Arial" w:hAnsi="Arial" w:cs="Arial"/>
          <w:b/>
          <w:szCs w:val="24"/>
        </w:rPr>
        <w:t>INTRODUCTION: CARBON EMISSIONS AND CLIMATE CHANGE</w:t>
      </w:r>
    </w:p>
    <w:p w14:paraId="2255FC22" w14:textId="77777777" w:rsidR="007A481D" w:rsidRPr="00683336" w:rsidRDefault="007A481D" w:rsidP="00683336">
      <w:pPr>
        <w:spacing w:before="100" w:beforeAutospacing="1" w:line="240" w:lineRule="auto"/>
        <w:jc w:val="both"/>
        <w:rPr>
          <w:rFonts w:ascii="Arial" w:eastAsia="Times New Roman" w:hAnsi="Arial" w:cs="Arial"/>
          <w:sz w:val="20"/>
          <w:szCs w:val="20"/>
        </w:rPr>
      </w:pPr>
      <w:r w:rsidRPr="00FE63ED">
        <w:rPr>
          <w:rFonts w:ascii="Arial" w:hAnsi="Arial" w:cs="Arial"/>
          <w:sz w:val="24"/>
          <w:szCs w:val="24"/>
        </w:rPr>
        <w:tab/>
      </w:r>
      <w:r w:rsidRPr="00683336">
        <w:rPr>
          <w:rFonts w:ascii="Arial" w:hAnsi="Arial" w:cs="Arial"/>
          <w:sz w:val="20"/>
          <w:szCs w:val="20"/>
        </w:rPr>
        <w:t xml:space="preserve">Climate change is no longer a far-off danger; it is an urgent worldwide concern. </w:t>
      </w:r>
      <w:r w:rsidRPr="00683336">
        <w:rPr>
          <w:rFonts w:ascii="Arial" w:eastAsia="Times New Roman" w:hAnsi="Arial" w:cs="Arial"/>
          <w:sz w:val="20"/>
          <w:szCs w:val="20"/>
        </w:rPr>
        <w:t xml:space="preserve">Greenhouse gas (GHG) emissions refer to the atmospheric release of various gases from different sectors over a defined </w:t>
      </w:r>
      <w:proofErr w:type="spellStart"/>
      <w:r w:rsidRPr="00683336">
        <w:rPr>
          <w:rFonts w:ascii="Arial" w:eastAsia="Times New Roman" w:hAnsi="Arial" w:cs="Arial"/>
          <w:sz w:val="20"/>
          <w:szCs w:val="20"/>
        </w:rPr>
        <w:t>period.The</w:t>
      </w:r>
      <w:proofErr w:type="spellEnd"/>
      <w:r w:rsidRPr="00683336">
        <w:rPr>
          <w:rFonts w:ascii="Arial" w:eastAsia="Times New Roman" w:hAnsi="Arial" w:cs="Arial"/>
          <w:sz w:val="20"/>
          <w:szCs w:val="20"/>
        </w:rPr>
        <w:t xml:space="preserve"> main greenhouse gases include carbon dioxide (CO</w:t>
      </w:r>
      <w:r w:rsidRPr="00683336">
        <w:rPr>
          <w:rFonts w:ascii="Cambria Math" w:eastAsia="Times New Roman" w:hAnsi="Cambria Math" w:cs="Arial"/>
          <w:sz w:val="20"/>
          <w:szCs w:val="20"/>
        </w:rPr>
        <w:t>₂</w:t>
      </w:r>
      <w:r w:rsidRPr="00683336">
        <w:rPr>
          <w:rFonts w:ascii="Arial" w:eastAsia="Times New Roman" w:hAnsi="Arial" w:cs="Arial"/>
          <w:sz w:val="20"/>
          <w:szCs w:val="20"/>
        </w:rPr>
        <w:t>), methane (CH</w:t>
      </w:r>
      <w:r w:rsidRPr="00683336">
        <w:rPr>
          <w:rFonts w:ascii="Cambria Math" w:eastAsia="Times New Roman" w:hAnsi="Cambria Math" w:cs="Arial"/>
          <w:sz w:val="20"/>
          <w:szCs w:val="20"/>
        </w:rPr>
        <w:t>₄</w:t>
      </w:r>
      <w:r w:rsidRPr="00683336">
        <w:rPr>
          <w:rFonts w:ascii="Arial" w:eastAsia="Times New Roman" w:hAnsi="Arial" w:cs="Arial"/>
          <w:sz w:val="20"/>
          <w:szCs w:val="20"/>
        </w:rPr>
        <w:t>), nitrous oxide (N</w:t>
      </w:r>
      <w:r w:rsidRPr="00683336">
        <w:rPr>
          <w:rFonts w:ascii="Cambria Math" w:eastAsia="Times New Roman" w:hAnsi="Cambria Math" w:cs="Arial"/>
          <w:sz w:val="20"/>
          <w:szCs w:val="20"/>
        </w:rPr>
        <w:t>₂</w:t>
      </w:r>
      <w:r w:rsidRPr="00683336">
        <w:rPr>
          <w:rFonts w:ascii="Arial" w:eastAsia="Times New Roman" w:hAnsi="Arial" w:cs="Arial"/>
          <w:sz w:val="20"/>
          <w:szCs w:val="20"/>
        </w:rPr>
        <w:t>O), perfluorocarbons (PFCs), hydrofluorocarbons (HFCs), sulfur hexafluoride (SF</w:t>
      </w:r>
      <w:r w:rsidRPr="00683336">
        <w:rPr>
          <w:rFonts w:ascii="Cambria Math" w:eastAsia="Times New Roman" w:hAnsi="Cambria Math" w:cs="Arial"/>
          <w:sz w:val="20"/>
          <w:szCs w:val="20"/>
        </w:rPr>
        <w:t>₆</w:t>
      </w:r>
      <w:r w:rsidRPr="00683336">
        <w:rPr>
          <w:rFonts w:ascii="Arial" w:eastAsia="Times New Roman" w:hAnsi="Arial" w:cs="Arial"/>
          <w:sz w:val="20"/>
          <w:szCs w:val="20"/>
        </w:rPr>
        <w:t>), and nitrogen trifluoride (NF</w:t>
      </w:r>
      <w:r w:rsidRPr="00683336">
        <w:rPr>
          <w:rFonts w:ascii="Cambria Math" w:eastAsia="Times New Roman" w:hAnsi="Cambria Math" w:cs="Arial"/>
          <w:sz w:val="20"/>
          <w:szCs w:val="20"/>
        </w:rPr>
        <w:t>₃</w:t>
      </w:r>
      <w:r w:rsidRPr="00683336">
        <w:rPr>
          <w:rFonts w:ascii="Arial" w:eastAsia="Times New Roman" w:hAnsi="Arial" w:cs="Arial"/>
          <w:sz w:val="20"/>
          <w:szCs w:val="20"/>
        </w:rPr>
        <w:t>) (Gavin, 2010; UNFCCC, 2022; Defra, 2023).</w:t>
      </w:r>
      <w:r w:rsidRPr="00683336">
        <w:rPr>
          <w:rFonts w:ascii="Arial" w:hAnsi="Arial" w:cs="Arial"/>
          <w:sz w:val="20"/>
          <w:szCs w:val="20"/>
        </w:rPr>
        <w:t xml:space="preserve"> Their levels have increased significantly since the Industrial Revolution, primarily due to human actions like fossil fuel combustion, deforestation, and industrial growth (IPCC, 2021). </w:t>
      </w:r>
    </w:p>
    <w:p w14:paraId="57B67546" w14:textId="77777777" w:rsidR="007A481D"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t>These gases function as a heat-retaining blanket around the Earth, leading to increased global temperatures, melting ice caps, rising sea levels, and more intense and frequent weather occurrences (UNEP, 2022).</w:t>
      </w:r>
    </w:p>
    <w:p w14:paraId="0DBDDEDE" w14:textId="77777777" w:rsidR="00743072"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t>The immediacy of the circumstance is evident. The Intergovernmental Panel on Climate Change (IPCC) cautions that to prevent the most severe impacts of climate change, we need to restrict global warming to a maximum of 1.5°C beyond pre-industrial levels (IPCC, 2021). Achieving this objective requires prompt and revolutionary steps.</w:t>
      </w:r>
    </w:p>
    <w:p w14:paraId="481B955B" w14:textId="77777777" w:rsidR="00BB1726" w:rsidRPr="00BB1726" w:rsidRDefault="00683336" w:rsidP="00BB1726">
      <w:pPr>
        <w:pStyle w:val="ListParagraph"/>
        <w:numPr>
          <w:ilvl w:val="1"/>
          <w:numId w:val="1"/>
        </w:numPr>
        <w:spacing w:line="240" w:lineRule="auto"/>
        <w:ind w:left="450"/>
        <w:rPr>
          <w:rFonts w:ascii="Arial" w:hAnsi="Arial" w:cs="Arial"/>
          <w:b/>
          <w:sz w:val="24"/>
        </w:rPr>
      </w:pPr>
      <w:r w:rsidRPr="00FE63ED">
        <w:rPr>
          <w:rFonts w:ascii="Arial" w:hAnsi="Arial" w:cs="Arial"/>
          <w:b/>
          <w:sz w:val="24"/>
        </w:rPr>
        <w:t>GHG EMISSION SCENARIOS IN WORLD AND INDIA</w:t>
      </w:r>
    </w:p>
    <w:p w14:paraId="653DB26D" w14:textId="77777777" w:rsidR="00C103E7" w:rsidRDefault="00C103E7" w:rsidP="00B06B14">
      <w:pPr>
        <w:pStyle w:val="ListParagraph"/>
        <w:spacing w:line="240" w:lineRule="auto"/>
        <w:ind w:left="0"/>
        <w:jc w:val="center"/>
        <w:rPr>
          <w:rFonts w:ascii="Arial" w:hAnsi="Arial" w:cs="Arial"/>
          <w:b/>
          <w:sz w:val="24"/>
        </w:rPr>
      </w:pPr>
      <w:r w:rsidRPr="00C103E7">
        <w:rPr>
          <w:rFonts w:ascii="Arial" w:hAnsi="Arial" w:cs="Arial"/>
          <w:b/>
          <w:noProof/>
          <w:sz w:val="24"/>
        </w:rPr>
        <w:lastRenderedPageBreak/>
        <w:drawing>
          <wp:inline distT="0" distB="0" distL="0" distR="0" wp14:anchorId="7FEEA8BC" wp14:editId="01CC23CB">
            <wp:extent cx="5229843" cy="8229600"/>
            <wp:effectExtent l="19050" t="0" r="27957"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AF2EECB" w14:textId="77777777" w:rsidR="00EC48AD" w:rsidRPr="00C31FDA" w:rsidRDefault="00EC48AD" w:rsidP="00EC48AD">
      <w:pPr>
        <w:shd w:val="clear" w:color="auto" w:fill="FFFFFF"/>
        <w:spacing w:after="0" w:line="240" w:lineRule="auto"/>
        <w:rPr>
          <w:rFonts w:ascii="Arial" w:eastAsia="Times New Roman" w:hAnsi="Arial" w:cs="Arial"/>
          <w:sz w:val="20"/>
          <w:szCs w:val="20"/>
        </w:rPr>
      </w:pPr>
      <w:r w:rsidRPr="00EC48AD">
        <w:rPr>
          <w:rFonts w:ascii="Arial" w:hAnsi="Arial" w:cs="Arial"/>
          <w:b/>
          <w:sz w:val="20"/>
          <w:szCs w:val="20"/>
        </w:rPr>
        <w:t>Source:</w:t>
      </w:r>
      <w:r w:rsidRPr="00EC48AD">
        <w:rPr>
          <w:rFonts w:ascii="Arial" w:eastAsia="Times New Roman" w:hAnsi="Arial" w:cs="Arial"/>
          <w:sz w:val="20"/>
          <w:szCs w:val="20"/>
        </w:rPr>
        <w:t xml:space="preserve"> </w:t>
      </w:r>
      <w:hyperlink r:id="rId6" w:history="1">
        <w:r w:rsidRPr="00EC48AD">
          <w:rPr>
            <w:rFonts w:ascii="Arial" w:eastAsia="Times New Roman" w:hAnsi="Arial" w:cs="Arial"/>
            <w:sz w:val="20"/>
            <w:szCs w:val="20"/>
          </w:rPr>
          <w:t>Climate Watch (2024)</w:t>
        </w:r>
      </w:hyperlink>
    </w:p>
    <w:p w14:paraId="24BFAA81" w14:textId="77777777" w:rsidR="00BB1726" w:rsidRDefault="00BB1726" w:rsidP="00C103E7">
      <w:pPr>
        <w:pStyle w:val="ListParagraph"/>
        <w:spacing w:line="240" w:lineRule="auto"/>
        <w:ind w:left="450"/>
        <w:rPr>
          <w:rFonts w:ascii="Arial" w:hAnsi="Arial" w:cs="Arial"/>
          <w:b/>
          <w:sz w:val="24"/>
        </w:rPr>
      </w:pPr>
    </w:p>
    <w:p w14:paraId="67FCD8A6" w14:textId="77777777" w:rsidR="00BB1726" w:rsidRDefault="00BB1726" w:rsidP="00B06B14">
      <w:pPr>
        <w:pStyle w:val="ListParagraph"/>
        <w:spacing w:line="240" w:lineRule="auto"/>
        <w:ind w:left="0"/>
        <w:jc w:val="center"/>
        <w:rPr>
          <w:rFonts w:ascii="Arial" w:hAnsi="Arial" w:cs="Arial"/>
          <w:b/>
          <w:sz w:val="24"/>
        </w:rPr>
      </w:pPr>
      <w:r w:rsidRPr="00BB1726">
        <w:rPr>
          <w:rFonts w:ascii="Arial" w:hAnsi="Arial" w:cs="Arial"/>
          <w:b/>
          <w:noProof/>
          <w:sz w:val="24"/>
        </w:rPr>
        <w:lastRenderedPageBreak/>
        <w:drawing>
          <wp:inline distT="0" distB="0" distL="0" distR="0" wp14:anchorId="0F85E104" wp14:editId="1E1607C3">
            <wp:extent cx="5518923" cy="8408504"/>
            <wp:effectExtent l="19050" t="0" r="24627"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A104493" w14:textId="77777777" w:rsidR="00EC48AD" w:rsidRPr="00C31FDA" w:rsidRDefault="00EC48AD" w:rsidP="00EC48AD">
      <w:pPr>
        <w:shd w:val="clear" w:color="auto" w:fill="FFFFFF"/>
        <w:spacing w:after="0" w:line="240" w:lineRule="auto"/>
        <w:rPr>
          <w:rFonts w:ascii="Arial" w:eastAsia="Times New Roman" w:hAnsi="Arial" w:cs="Arial"/>
          <w:sz w:val="20"/>
          <w:szCs w:val="20"/>
        </w:rPr>
      </w:pPr>
      <w:r w:rsidRPr="00EC48AD">
        <w:rPr>
          <w:rFonts w:ascii="Arial" w:hAnsi="Arial" w:cs="Arial"/>
          <w:b/>
          <w:sz w:val="20"/>
          <w:szCs w:val="20"/>
        </w:rPr>
        <w:t>Source:</w:t>
      </w:r>
      <w:r w:rsidRPr="00EC48AD">
        <w:rPr>
          <w:rFonts w:ascii="Arial" w:eastAsia="Times New Roman" w:hAnsi="Arial" w:cs="Arial"/>
          <w:sz w:val="20"/>
          <w:szCs w:val="20"/>
        </w:rPr>
        <w:t xml:space="preserve"> </w:t>
      </w:r>
      <w:hyperlink r:id="rId8" w:history="1">
        <w:r w:rsidRPr="00EC48AD">
          <w:rPr>
            <w:rFonts w:ascii="Arial" w:eastAsia="Times New Roman" w:hAnsi="Arial" w:cs="Arial"/>
            <w:sz w:val="20"/>
            <w:szCs w:val="20"/>
          </w:rPr>
          <w:t>Climate Watch (2024)</w:t>
        </w:r>
      </w:hyperlink>
    </w:p>
    <w:p w14:paraId="0D23A74D" w14:textId="77777777" w:rsidR="00EC48AD" w:rsidRPr="00C103E7" w:rsidRDefault="00EC48AD" w:rsidP="00B06B14">
      <w:pPr>
        <w:pStyle w:val="ListParagraph"/>
        <w:spacing w:line="240" w:lineRule="auto"/>
        <w:ind w:left="0"/>
        <w:jc w:val="center"/>
        <w:rPr>
          <w:rFonts w:ascii="Arial" w:hAnsi="Arial" w:cs="Arial"/>
          <w:b/>
          <w:sz w:val="24"/>
        </w:rPr>
      </w:pPr>
    </w:p>
    <w:p w14:paraId="2BD5FE08" w14:textId="77777777" w:rsidR="007A481D" w:rsidRDefault="00C103E7" w:rsidP="00C103E7">
      <w:pPr>
        <w:spacing w:before="100" w:beforeAutospacing="1" w:after="100" w:afterAutospacing="1" w:line="240" w:lineRule="auto"/>
        <w:jc w:val="center"/>
        <w:rPr>
          <w:rFonts w:ascii="Arial" w:eastAsia="Times New Roman" w:hAnsi="Arial" w:cs="Arial"/>
          <w:sz w:val="24"/>
          <w:szCs w:val="24"/>
        </w:rPr>
      </w:pPr>
      <w:r w:rsidRPr="00C103E7">
        <w:rPr>
          <w:rFonts w:ascii="Arial" w:eastAsia="Times New Roman" w:hAnsi="Arial" w:cs="Arial"/>
          <w:noProof/>
          <w:sz w:val="24"/>
          <w:szCs w:val="24"/>
        </w:rPr>
        <w:lastRenderedPageBreak/>
        <w:drawing>
          <wp:inline distT="0" distB="0" distL="0" distR="0" wp14:anchorId="4E347BE3" wp14:editId="4E818835">
            <wp:extent cx="4562475" cy="454342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7F3034" w14:textId="77777777" w:rsidR="00EC48AD" w:rsidRPr="00EC48AD" w:rsidRDefault="00EC48AD" w:rsidP="00EC48AD">
      <w:pPr>
        <w:shd w:val="clear" w:color="auto" w:fill="FFFFFF"/>
        <w:spacing w:line="240" w:lineRule="auto"/>
        <w:rPr>
          <w:rFonts w:ascii="Arial" w:eastAsia="Times New Roman" w:hAnsi="Arial" w:cs="Arial"/>
          <w:sz w:val="20"/>
          <w:szCs w:val="20"/>
        </w:rPr>
      </w:pPr>
      <w:r w:rsidRPr="00EC48AD">
        <w:rPr>
          <w:rFonts w:ascii="Arial" w:hAnsi="Arial" w:cs="Arial"/>
          <w:b/>
          <w:sz w:val="20"/>
          <w:szCs w:val="20"/>
        </w:rPr>
        <w:t>Source:</w:t>
      </w:r>
      <w:r w:rsidRPr="00EC48AD">
        <w:rPr>
          <w:rFonts w:ascii="Arial" w:eastAsia="Times New Roman" w:hAnsi="Arial" w:cs="Arial"/>
          <w:sz w:val="20"/>
          <w:szCs w:val="20"/>
        </w:rPr>
        <w:t xml:space="preserve"> </w:t>
      </w:r>
      <w:hyperlink r:id="rId10" w:history="1">
        <w:r w:rsidRPr="00EC48AD">
          <w:rPr>
            <w:rFonts w:ascii="Arial" w:eastAsia="Times New Roman" w:hAnsi="Arial" w:cs="Arial"/>
            <w:sz w:val="20"/>
            <w:szCs w:val="20"/>
          </w:rPr>
          <w:t>Climate Watch (2024)</w:t>
        </w:r>
      </w:hyperlink>
    </w:p>
    <w:p w14:paraId="696916AD" w14:textId="77777777" w:rsidR="009F5D7E" w:rsidRPr="00F2288E" w:rsidRDefault="005F67AA" w:rsidP="009F5D7E">
      <w:pPr>
        <w:jc w:val="both"/>
        <w:rPr>
          <w:rFonts w:ascii="Arial" w:hAnsi="Arial" w:cs="Arial"/>
          <w:sz w:val="20"/>
          <w:szCs w:val="20"/>
        </w:rPr>
      </w:pPr>
      <w:r w:rsidRPr="00FE63ED">
        <w:rPr>
          <w:rFonts w:ascii="Arial" w:eastAsia="Times New Roman" w:hAnsi="Arial" w:cs="Arial"/>
          <w:sz w:val="24"/>
          <w:szCs w:val="24"/>
        </w:rPr>
        <w:tab/>
      </w:r>
      <w:r w:rsidR="009F5D7E" w:rsidRPr="00F2288E">
        <w:rPr>
          <w:rFonts w:ascii="Arial" w:hAnsi="Arial" w:cs="Arial"/>
          <w:sz w:val="20"/>
          <w:szCs w:val="20"/>
        </w:rPr>
        <w:t>Figure 1 highlights the sectoral contributions to global greenhouse gas (GHG) emissions from 1991 to 2021. Throughout these decades, Electricity and Heat Production has consistently been the largest contributor, peaking significantly in 2011. Other major sectors like Agriculture and Transport have shown noticeable increases, reflecting rising global demand for food and mobility. Meanwhile, Manufacturing and Construction as well as Industry have demonstrated steady growth, indicating their expanding role in emissions. Land Use Change and Forestry contribute relatively smaller but consistent amounts. Minor sectors such as Bunker Fuels, Waste, and Buildings contribute less overall but have shown slight growth over time.</w:t>
      </w:r>
    </w:p>
    <w:p w14:paraId="7F97D83D" w14:textId="77777777" w:rsidR="009F5D7E" w:rsidRPr="00F2288E" w:rsidRDefault="009F5D7E" w:rsidP="009F5D7E">
      <w:pPr>
        <w:jc w:val="both"/>
        <w:rPr>
          <w:rFonts w:ascii="Arial" w:hAnsi="Arial" w:cs="Arial"/>
          <w:sz w:val="20"/>
          <w:szCs w:val="20"/>
        </w:rPr>
      </w:pPr>
      <w:r>
        <w:rPr>
          <w:rFonts w:ascii="Arial" w:hAnsi="Arial" w:cs="Arial"/>
          <w:sz w:val="20"/>
          <w:szCs w:val="20"/>
        </w:rPr>
        <w:tab/>
      </w:r>
      <w:r w:rsidRPr="00F2288E">
        <w:rPr>
          <w:rFonts w:ascii="Arial" w:hAnsi="Arial" w:cs="Arial"/>
          <w:sz w:val="20"/>
          <w:szCs w:val="20"/>
        </w:rPr>
        <w:t>Figure 2 focuses on the sectoral GHG emissions in India over the same period. Here, Agriculture remains the top emitter across all decades, maintaining consistently high emission levels. Electricity and Heat Production exhibits a sharp rise, becoming the second-largest source by 2021. The Manufacturing and Construction and Transport sectors have gradually increased, reflecting ongoing industrialization and growing mobility. Notably, Land Use Change and Forestry appears as a net negative contributor in 1991 and 2001, indicating its role in carbon sequestration during those years. Emissions from other sectors such as Industry, Buildings, and Waste show moderate but steadily increasing contributions over time.</w:t>
      </w:r>
    </w:p>
    <w:p w14:paraId="7F4FA3DA" w14:textId="77777777" w:rsidR="009F5D7E" w:rsidRPr="00F2288E" w:rsidRDefault="009F5D7E" w:rsidP="009F5D7E">
      <w:pPr>
        <w:jc w:val="both"/>
        <w:rPr>
          <w:rFonts w:ascii="Arial" w:hAnsi="Arial" w:cs="Arial"/>
          <w:sz w:val="20"/>
          <w:szCs w:val="20"/>
        </w:rPr>
      </w:pPr>
      <w:r>
        <w:rPr>
          <w:rFonts w:ascii="Arial" w:hAnsi="Arial" w:cs="Arial"/>
          <w:sz w:val="20"/>
          <w:szCs w:val="20"/>
        </w:rPr>
        <w:tab/>
      </w:r>
      <w:r w:rsidRPr="00F2288E">
        <w:rPr>
          <w:rFonts w:ascii="Arial" w:hAnsi="Arial" w:cs="Arial"/>
          <w:sz w:val="20"/>
          <w:szCs w:val="20"/>
        </w:rPr>
        <w:t>A comparative analysis</w:t>
      </w:r>
      <w:r w:rsidR="00E220AC">
        <w:rPr>
          <w:rFonts w:ascii="Arial" w:hAnsi="Arial" w:cs="Arial"/>
          <w:sz w:val="20"/>
          <w:szCs w:val="20"/>
        </w:rPr>
        <w:t xml:space="preserve"> of f</w:t>
      </w:r>
      <w:r w:rsidRPr="00F2288E">
        <w:rPr>
          <w:rFonts w:ascii="Arial" w:hAnsi="Arial" w:cs="Arial"/>
          <w:sz w:val="20"/>
          <w:szCs w:val="20"/>
        </w:rPr>
        <w:t xml:space="preserve">igures 1 and 2 reveals distinct differences between global and Indian emission profiles. Globally, Electricity and Heat Production remains the dominant source, followed by Agriculture and Transport. In contrast, India’s emissions are heavily dominated by Agriculture, which holds the top position across all decades. However, Electricity and Heat has rapidly risen to become the second-largest contributor by 2021. This contrast reflects differing developmental </w:t>
      </w:r>
      <w:r w:rsidRPr="00F2288E">
        <w:rPr>
          <w:rFonts w:ascii="Arial" w:hAnsi="Arial" w:cs="Arial"/>
          <w:sz w:val="20"/>
          <w:szCs w:val="20"/>
        </w:rPr>
        <w:lastRenderedPageBreak/>
        <w:t>stages and sectoral priorities: while global emissions are primarily driven by industrial and energy sectors, India’s emissions profile is still largely influenced by its agricultural base. Nevertheless, the rapid growth in India’s energy and manufacturing sectors indicates an ongoing transition toward a more industrialized emission pattern.</w:t>
      </w:r>
    </w:p>
    <w:p w14:paraId="2D4DE09A" w14:textId="77777777" w:rsidR="00106609" w:rsidRDefault="009F5D7E" w:rsidP="00106609">
      <w:pPr>
        <w:jc w:val="both"/>
        <w:rPr>
          <w:rFonts w:ascii="Arial" w:hAnsi="Arial" w:cs="Arial"/>
          <w:sz w:val="20"/>
          <w:szCs w:val="20"/>
        </w:rPr>
      </w:pPr>
      <w:r>
        <w:rPr>
          <w:rFonts w:ascii="Arial" w:hAnsi="Arial" w:cs="Arial"/>
          <w:sz w:val="20"/>
          <w:szCs w:val="20"/>
        </w:rPr>
        <w:tab/>
      </w:r>
      <w:r w:rsidRPr="00F2288E">
        <w:rPr>
          <w:rFonts w:ascii="Arial" w:hAnsi="Arial" w:cs="Arial"/>
          <w:sz w:val="20"/>
          <w:szCs w:val="20"/>
        </w:rPr>
        <w:t>In terms of emission shares in 2021</w:t>
      </w:r>
      <w:r w:rsidR="003C30B9">
        <w:rPr>
          <w:rFonts w:ascii="Arial" w:hAnsi="Arial" w:cs="Arial"/>
          <w:sz w:val="20"/>
          <w:szCs w:val="20"/>
        </w:rPr>
        <w:t xml:space="preserve"> (figure 3)</w:t>
      </w:r>
      <w:r w:rsidRPr="00F2288E">
        <w:rPr>
          <w:rFonts w:ascii="Arial" w:hAnsi="Arial" w:cs="Arial"/>
          <w:sz w:val="20"/>
          <w:szCs w:val="20"/>
        </w:rPr>
        <w:t xml:space="preserve">, Electricity and Heat accounted for </w:t>
      </w:r>
      <w:r>
        <w:rPr>
          <w:rFonts w:ascii="Arial" w:hAnsi="Arial" w:cs="Arial"/>
          <w:sz w:val="20"/>
          <w:szCs w:val="20"/>
        </w:rPr>
        <w:t>32.25 per cent</w:t>
      </w:r>
      <w:r w:rsidRPr="00F2288E">
        <w:rPr>
          <w:rFonts w:ascii="Arial" w:hAnsi="Arial" w:cs="Arial"/>
          <w:sz w:val="20"/>
          <w:szCs w:val="20"/>
        </w:rPr>
        <w:t xml:space="preserve"> globally and 35.86 </w:t>
      </w:r>
      <w:r>
        <w:rPr>
          <w:rFonts w:ascii="Arial" w:hAnsi="Arial" w:cs="Arial"/>
          <w:sz w:val="20"/>
          <w:szCs w:val="20"/>
        </w:rPr>
        <w:t>per cent</w:t>
      </w:r>
      <w:r w:rsidRPr="00F2288E">
        <w:rPr>
          <w:rFonts w:ascii="Arial" w:hAnsi="Arial" w:cs="Arial"/>
          <w:sz w:val="20"/>
          <w:szCs w:val="20"/>
        </w:rPr>
        <w:t xml:space="preserve"> in India, underscoring the heavy reliance on fossil fuels for energy. Agriculture plays a significantly larger role in India (21.92 </w:t>
      </w:r>
      <w:r>
        <w:rPr>
          <w:rFonts w:ascii="Arial" w:hAnsi="Arial" w:cs="Arial"/>
          <w:sz w:val="20"/>
          <w:szCs w:val="20"/>
        </w:rPr>
        <w:t>per cent</w:t>
      </w:r>
      <w:r w:rsidRPr="00F2288E">
        <w:rPr>
          <w:rFonts w:ascii="Arial" w:hAnsi="Arial" w:cs="Arial"/>
          <w:sz w:val="20"/>
          <w:szCs w:val="20"/>
        </w:rPr>
        <w:t xml:space="preserve">) compared to the global average (11.60 </w:t>
      </w:r>
      <w:r>
        <w:rPr>
          <w:rFonts w:ascii="Arial" w:hAnsi="Arial" w:cs="Arial"/>
          <w:sz w:val="20"/>
          <w:szCs w:val="20"/>
        </w:rPr>
        <w:t>per cent</w:t>
      </w:r>
      <w:r w:rsidRPr="00F2288E">
        <w:rPr>
          <w:rFonts w:ascii="Arial" w:hAnsi="Arial" w:cs="Arial"/>
          <w:sz w:val="20"/>
          <w:szCs w:val="20"/>
        </w:rPr>
        <w:t xml:space="preserve">), making it the second-highest contributor in India. Similarly, Manufacturing and Construction holds a higher share in India (16.56 </w:t>
      </w:r>
      <w:r>
        <w:rPr>
          <w:rFonts w:ascii="Arial" w:hAnsi="Arial" w:cs="Arial"/>
          <w:sz w:val="20"/>
          <w:szCs w:val="20"/>
        </w:rPr>
        <w:t>per cent</w:t>
      </w:r>
      <w:r w:rsidRPr="00F2288E">
        <w:rPr>
          <w:rFonts w:ascii="Arial" w:hAnsi="Arial" w:cs="Arial"/>
          <w:sz w:val="20"/>
          <w:szCs w:val="20"/>
        </w:rPr>
        <w:t xml:space="preserve">) than globally (12.62 </w:t>
      </w:r>
      <w:r>
        <w:rPr>
          <w:rFonts w:ascii="Arial" w:hAnsi="Arial" w:cs="Arial"/>
          <w:sz w:val="20"/>
          <w:szCs w:val="20"/>
        </w:rPr>
        <w:t>per cent</w:t>
      </w:r>
      <w:r w:rsidRPr="00F2288E">
        <w:rPr>
          <w:rFonts w:ascii="Arial" w:hAnsi="Arial" w:cs="Arial"/>
          <w:sz w:val="20"/>
          <w:szCs w:val="20"/>
        </w:rPr>
        <w:t xml:space="preserve">). Conversely, Transport and Industry have greater global shares (15.50 </w:t>
      </w:r>
      <w:r>
        <w:rPr>
          <w:rFonts w:ascii="Arial" w:hAnsi="Arial" w:cs="Arial"/>
          <w:sz w:val="20"/>
          <w:szCs w:val="20"/>
        </w:rPr>
        <w:t>per cent</w:t>
      </w:r>
      <w:r w:rsidRPr="00F2288E">
        <w:rPr>
          <w:rFonts w:ascii="Arial" w:hAnsi="Arial" w:cs="Arial"/>
          <w:sz w:val="20"/>
          <w:szCs w:val="20"/>
        </w:rPr>
        <w:t xml:space="preserve"> and 6.44 </w:t>
      </w:r>
      <w:r>
        <w:rPr>
          <w:rFonts w:ascii="Arial" w:hAnsi="Arial" w:cs="Arial"/>
          <w:sz w:val="20"/>
          <w:szCs w:val="20"/>
        </w:rPr>
        <w:t>per cent</w:t>
      </w:r>
      <w:r w:rsidRPr="00F2288E">
        <w:rPr>
          <w:rFonts w:ascii="Arial" w:hAnsi="Arial" w:cs="Arial"/>
          <w:sz w:val="20"/>
          <w:szCs w:val="20"/>
        </w:rPr>
        <w:t xml:space="preserve">) than in India (8.33 </w:t>
      </w:r>
      <w:r>
        <w:rPr>
          <w:rFonts w:ascii="Arial" w:hAnsi="Arial" w:cs="Arial"/>
          <w:sz w:val="20"/>
          <w:szCs w:val="20"/>
        </w:rPr>
        <w:t>per cent</w:t>
      </w:r>
      <w:r w:rsidRPr="00F2288E">
        <w:rPr>
          <w:rFonts w:ascii="Arial" w:hAnsi="Arial" w:cs="Arial"/>
          <w:sz w:val="20"/>
          <w:szCs w:val="20"/>
        </w:rPr>
        <w:t xml:space="preserve"> and 5.20 </w:t>
      </w:r>
      <w:r>
        <w:rPr>
          <w:rFonts w:ascii="Arial" w:hAnsi="Arial" w:cs="Arial"/>
          <w:sz w:val="20"/>
          <w:szCs w:val="20"/>
        </w:rPr>
        <w:t>per cent</w:t>
      </w:r>
      <w:r w:rsidRPr="00F2288E">
        <w:rPr>
          <w:rFonts w:ascii="Arial" w:hAnsi="Arial" w:cs="Arial"/>
          <w:sz w:val="20"/>
          <w:szCs w:val="20"/>
        </w:rPr>
        <w:t>), reflecting more developed infrastructure and industrialization worldwide. Additionally, Fugitive Emissions and Land Use Change &amp; Forestry contribute more globally, whereas India shows minimal or even negative contributions from land use change, likely due to reforestation efforts.</w:t>
      </w:r>
    </w:p>
    <w:p w14:paraId="1FAE37E8" w14:textId="77777777" w:rsidR="00106609" w:rsidRPr="00106609" w:rsidRDefault="00106609" w:rsidP="00106609">
      <w:pPr>
        <w:spacing w:line="240" w:lineRule="auto"/>
        <w:jc w:val="both"/>
        <w:rPr>
          <w:rFonts w:ascii="Arial" w:hAnsi="Arial" w:cs="Arial"/>
          <w:sz w:val="20"/>
          <w:szCs w:val="20"/>
        </w:rPr>
      </w:pPr>
      <w:r>
        <w:rPr>
          <w:rFonts w:ascii="Arial" w:hAnsi="Arial" w:cs="Arial"/>
          <w:sz w:val="20"/>
          <w:szCs w:val="20"/>
        </w:rPr>
        <w:tab/>
      </w:r>
      <w:r>
        <w:t>Rising greenhouse gas (GHG) emissions, especially from electricity and agriculture, pose a major climate challenge in India. As global emissions continue to increase, there is an urgent need for scalable, market-based solutions to address climate change. In response, businesses, governments, and international organizations are exploring innovative strategies to reduce emissions. One of the most promising approaches is carbon trading—a market-driven mechanism that offers financial incentives for emission reductions. Though carbon markets provide a valuable tool for mitigation, awareness and participation, particularly in developing countries like India, remain limited. Understanding carbon trading mechanisms is essential to strengthen their effectiveness in reducing emissions and supporting sustainable development goals.</w:t>
      </w:r>
    </w:p>
    <w:p w14:paraId="79A38F74" w14:textId="77777777" w:rsidR="000F0F95" w:rsidRPr="003C30B9" w:rsidRDefault="00683336" w:rsidP="00F66AA3">
      <w:pPr>
        <w:pStyle w:val="ListParagraph"/>
        <w:numPr>
          <w:ilvl w:val="0"/>
          <w:numId w:val="1"/>
        </w:numPr>
        <w:spacing w:before="100" w:beforeAutospacing="1" w:after="100" w:afterAutospacing="1" w:line="240" w:lineRule="auto"/>
        <w:ind w:left="360"/>
        <w:rPr>
          <w:rFonts w:ascii="Arial" w:hAnsi="Arial" w:cs="Arial"/>
          <w:b/>
          <w:szCs w:val="24"/>
        </w:rPr>
      </w:pPr>
      <w:r w:rsidRPr="003C30B9">
        <w:rPr>
          <w:rFonts w:ascii="Arial" w:hAnsi="Arial" w:cs="Arial"/>
          <w:b/>
          <w:szCs w:val="24"/>
        </w:rPr>
        <w:t>CARBON MARKETS: A SUMMARY</w:t>
      </w:r>
    </w:p>
    <w:p w14:paraId="12C33C9F" w14:textId="77777777" w:rsidR="000F0F95" w:rsidRPr="003C30B9" w:rsidRDefault="000F0F95" w:rsidP="00683336">
      <w:pPr>
        <w:spacing w:before="100" w:beforeAutospacing="1" w:after="100" w:afterAutospacing="1" w:line="240" w:lineRule="auto"/>
        <w:jc w:val="both"/>
        <w:rPr>
          <w:rFonts w:ascii="Arial" w:eastAsia="Times New Roman" w:hAnsi="Arial" w:cs="Arial"/>
          <w:sz w:val="20"/>
          <w:szCs w:val="20"/>
        </w:rPr>
      </w:pPr>
      <w:r w:rsidRPr="003C30B9">
        <w:rPr>
          <w:rFonts w:ascii="Arial" w:eastAsia="Times New Roman" w:hAnsi="Arial" w:cs="Arial"/>
          <w:sz w:val="24"/>
          <w:szCs w:val="24"/>
        </w:rPr>
        <w:tab/>
      </w:r>
      <w:r w:rsidRPr="003C30B9">
        <w:rPr>
          <w:rFonts w:ascii="Arial" w:eastAsia="Times New Roman" w:hAnsi="Arial" w:cs="Arial"/>
          <w:sz w:val="20"/>
          <w:szCs w:val="20"/>
        </w:rPr>
        <w:t>As climate change becomes more urgent, carbon markets are gaining attention as a practical, market-based way to cut greenhouse gas (GHG) emissions. These markets work by allow</w:t>
      </w:r>
      <w:r w:rsidR="005F67AA" w:rsidRPr="003C30B9">
        <w:rPr>
          <w:rFonts w:ascii="Arial" w:eastAsia="Times New Roman" w:hAnsi="Arial" w:cs="Arial"/>
          <w:sz w:val="20"/>
          <w:szCs w:val="20"/>
        </w:rPr>
        <w:t xml:space="preserve">ing the trade of carbon credits </w:t>
      </w:r>
      <w:r w:rsidRPr="003C30B9">
        <w:rPr>
          <w:rFonts w:ascii="Arial" w:eastAsia="Times New Roman" w:hAnsi="Arial" w:cs="Arial"/>
          <w:sz w:val="20"/>
          <w:szCs w:val="20"/>
        </w:rPr>
        <w:t>each representing one metric ton of carbon dioxide (or its equivalent) that’s been reduced or removed from the atmosphere. Built on systems like cap-and-trade and carbon offsetting, carbon markets let organizations that reduce more emissions than required sell their extra credits. Meanwhile, those that exceed their limits can buy credits to stay within regulations or meet voluntary climate goals (</w:t>
      </w:r>
      <w:proofErr w:type="spellStart"/>
      <w:r w:rsidRPr="003C30B9">
        <w:rPr>
          <w:rFonts w:ascii="Arial" w:eastAsia="Times New Roman" w:hAnsi="Arial" w:cs="Arial"/>
          <w:sz w:val="20"/>
          <w:szCs w:val="20"/>
        </w:rPr>
        <w:t>Kossoy</w:t>
      </w:r>
      <w:proofErr w:type="spellEnd"/>
      <w:r w:rsidRPr="003C30B9">
        <w:rPr>
          <w:rFonts w:ascii="Arial" w:eastAsia="Times New Roman" w:hAnsi="Arial" w:cs="Arial"/>
          <w:sz w:val="20"/>
          <w:szCs w:val="20"/>
        </w:rPr>
        <w:t xml:space="preserve"> et al., 2015; Mehling et al., 2018).</w:t>
      </w:r>
    </w:p>
    <w:p w14:paraId="66F94D64" w14:textId="77777777" w:rsidR="00743072" w:rsidRPr="00683336" w:rsidRDefault="000F0F95" w:rsidP="00683336">
      <w:pPr>
        <w:spacing w:before="100" w:beforeAutospacing="1" w:after="100" w:afterAutospacing="1" w:line="240" w:lineRule="auto"/>
        <w:jc w:val="both"/>
        <w:rPr>
          <w:rFonts w:ascii="Arial" w:eastAsia="Times New Roman" w:hAnsi="Arial" w:cs="Arial"/>
          <w:sz w:val="20"/>
          <w:szCs w:val="20"/>
        </w:rPr>
      </w:pPr>
      <w:r w:rsidRPr="003C30B9">
        <w:rPr>
          <w:rFonts w:ascii="Arial" w:eastAsia="Times New Roman" w:hAnsi="Arial" w:cs="Arial"/>
          <w:sz w:val="20"/>
          <w:szCs w:val="20"/>
        </w:rPr>
        <w:tab/>
        <w:t xml:space="preserve">This approach creates a financial incentive to cut emissions in the most cost-effective way possible. It also encourages innovation in clean technologies and low-carbon solutions (Stavins, 2008; </w:t>
      </w:r>
      <w:proofErr w:type="spellStart"/>
      <w:r w:rsidRPr="003C30B9">
        <w:rPr>
          <w:rFonts w:ascii="Arial" w:eastAsia="Times New Roman" w:hAnsi="Arial" w:cs="Arial"/>
          <w:sz w:val="20"/>
          <w:szCs w:val="20"/>
        </w:rPr>
        <w:t>Tietenberg</w:t>
      </w:r>
      <w:proofErr w:type="spellEnd"/>
      <w:r w:rsidRPr="003C30B9">
        <w:rPr>
          <w:rFonts w:ascii="Arial" w:eastAsia="Times New Roman" w:hAnsi="Arial" w:cs="Arial"/>
          <w:sz w:val="20"/>
          <w:szCs w:val="20"/>
        </w:rPr>
        <w:t>, 2010). By putting a price on carbon, these markets help make sure the true environmental costs of emissions are reflected</w:t>
      </w:r>
      <w:r w:rsidR="005F67AA" w:rsidRPr="003C30B9">
        <w:rPr>
          <w:rFonts w:ascii="Arial" w:eastAsia="Times New Roman" w:hAnsi="Arial" w:cs="Arial"/>
          <w:sz w:val="20"/>
          <w:szCs w:val="20"/>
        </w:rPr>
        <w:t xml:space="preserve"> in everyday economic decisions </w:t>
      </w:r>
      <w:r w:rsidRPr="003C30B9">
        <w:rPr>
          <w:rFonts w:ascii="Arial" w:eastAsia="Times New Roman" w:hAnsi="Arial" w:cs="Arial"/>
          <w:sz w:val="20"/>
          <w:szCs w:val="20"/>
        </w:rPr>
        <w:t>essentially</w:t>
      </w:r>
      <w:r w:rsidRPr="00683336">
        <w:rPr>
          <w:rFonts w:ascii="Arial" w:eastAsia="Times New Roman" w:hAnsi="Arial" w:cs="Arial"/>
          <w:sz w:val="20"/>
          <w:szCs w:val="20"/>
        </w:rPr>
        <w:t xml:space="preserve"> aligning business goals with climate action (Newell et al., 2013; Stern, 2007).</w:t>
      </w:r>
    </w:p>
    <w:p w14:paraId="051AE6EC" w14:textId="77777777" w:rsidR="00520B79" w:rsidRPr="00683336" w:rsidRDefault="00683336" w:rsidP="00683336">
      <w:pPr>
        <w:pStyle w:val="ListParagraph"/>
        <w:numPr>
          <w:ilvl w:val="1"/>
          <w:numId w:val="1"/>
        </w:numPr>
        <w:spacing w:before="100" w:beforeAutospacing="1" w:after="100" w:afterAutospacing="1" w:line="240" w:lineRule="auto"/>
        <w:ind w:left="450"/>
        <w:jc w:val="both"/>
        <w:rPr>
          <w:rStyle w:val="red"/>
          <w:rFonts w:ascii="Arial" w:eastAsia="Times New Roman" w:hAnsi="Arial" w:cs="Arial"/>
          <w:szCs w:val="20"/>
        </w:rPr>
      </w:pPr>
      <w:r w:rsidRPr="00683336">
        <w:rPr>
          <w:rStyle w:val="red"/>
          <w:rFonts w:ascii="Arial" w:hAnsi="Arial" w:cs="Arial"/>
          <w:b/>
          <w:szCs w:val="20"/>
        </w:rPr>
        <w:t xml:space="preserve">CARBON MARKETS ARE CLASSIFIED INTO TWO CATEGORIES: </w:t>
      </w:r>
    </w:p>
    <w:p w14:paraId="7419AD4B"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520B79" w:rsidRPr="00683336">
        <w:rPr>
          <w:rFonts w:ascii="Arial" w:eastAsia="Times New Roman" w:hAnsi="Arial" w:cs="Arial"/>
          <w:sz w:val="20"/>
          <w:szCs w:val="20"/>
        </w:rPr>
        <w:t>Compliance markets are built around clear legal rules and regulations. Systems like the European Union Emissions Trading System (EU ETS), California’s Cap-and-Trade Program, and China’s National ETS require companies to stay within set emission limits (Ellerman et al., 2010; ICAP, 2023). These programs ensure that polluters are held accountable and are actively working toward cutting their emissions.</w:t>
      </w:r>
      <w:r w:rsidRPr="00683336">
        <w:rPr>
          <w:rFonts w:ascii="Arial" w:eastAsia="Times New Roman" w:hAnsi="Arial" w:cs="Arial"/>
          <w:sz w:val="20"/>
          <w:szCs w:val="20"/>
        </w:rPr>
        <w:t xml:space="preserve"> </w:t>
      </w:r>
      <w:r w:rsidR="00520B79" w:rsidRPr="00683336">
        <w:rPr>
          <w:rFonts w:ascii="Arial" w:eastAsia="Times New Roman" w:hAnsi="Arial" w:cs="Arial"/>
          <w:sz w:val="20"/>
          <w:szCs w:val="20"/>
        </w:rPr>
        <w:t>On the flip side, Voluntary Carbon Markets (VCMs) are driven by companies and organizations that want to go above and beyond what’s required. They may do this to meet internal sustainability targets, show leadership on climate action, or respond to growing pressure from customers and investors (Hamrick &amp; Gallant, 2017; Verra, 2022).</w:t>
      </w:r>
    </w:p>
    <w:p w14:paraId="181A13FB"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lastRenderedPageBreak/>
        <w:tab/>
      </w:r>
      <w:r w:rsidR="00520B79" w:rsidRPr="00683336">
        <w:rPr>
          <w:rFonts w:ascii="Arial" w:eastAsia="Times New Roman" w:hAnsi="Arial" w:cs="Arial"/>
          <w:sz w:val="20"/>
          <w:szCs w:val="20"/>
        </w:rPr>
        <w:t>Together, both types of carbon markets play a big role in the global fight against climate change. They help fund climate-friendly projects and create a bridge between environmental goals and economic growth (World Bank, 2022; UNFCCC, 2021).</w:t>
      </w:r>
    </w:p>
    <w:p w14:paraId="3B7D2FDE" w14:textId="77777777" w:rsidR="005F67AA" w:rsidRPr="00683336" w:rsidRDefault="00683336" w:rsidP="00683336">
      <w:pPr>
        <w:pStyle w:val="ListParagraph"/>
        <w:numPr>
          <w:ilvl w:val="0"/>
          <w:numId w:val="1"/>
        </w:numPr>
        <w:spacing w:before="100" w:beforeAutospacing="1" w:after="100" w:afterAutospacing="1" w:line="240" w:lineRule="auto"/>
        <w:ind w:left="360"/>
        <w:jc w:val="both"/>
        <w:rPr>
          <w:rFonts w:ascii="Arial" w:eastAsia="Times New Roman" w:hAnsi="Arial" w:cs="Arial"/>
          <w:b/>
          <w:bCs/>
          <w:szCs w:val="20"/>
        </w:rPr>
      </w:pPr>
      <w:r w:rsidRPr="00683336">
        <w:rPr>
          <w:rFonts w:ascii="Arial" w:eastAsia="Times New Roman" w:hAnsi="Arial" w:cs="Arial"/>
          <w:b/>
          <w:bCs/>
          <w:szCs w:val="20"/>
        </w:rPr>
        <w:t>COMPLIANCE CARBON MARKETS</w:t>
      </w:r>
    </w:p>
    <w:p w14:paraId="4CA22D84" w14:textId="77777777" w:rsidR="00520B79" w:rsidRPr="00683336" w:rsidRDefault="005F67AA"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520B79" w:rsidRPr="00683336">
        <w:rPr>
          <w:rFonts w:ascii="Arial" w:eastAsia="Times New Roman" w:hAnsi="Arial" w:cs="Arial"/>
          <w:sz w:val="20"/>
          <w:szCs w:val="20"/>
        </w:rPr>
        <w:t>These markets operate under strict national or international laws, requiring organizations to follow detailed emission limits. What makes them work well is a strong system of Monitoring, Reporting, and Verification (MRV), which keeps things transparent and trustworthy (OECD, 2020). Because participation is mandatory, these markets push companies to get creative, cut emissions, and become more engaged in climate solutions.</w:t>
      </w:r>
    </w:p>
    <w:p w14:paraId="04B900F1"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EMISSIONS TRADING SCHEMES (ETS)</w:t>
      </w:r>
    </w:p>
    <w:p w14:paraId="4865C4D0" w14:textId="77777777" w:rsidR="00B722D5" w:rsidRPr="00683336" w:rsidRDefault="00AA48C5" w:rsidP="00683336">
      <w:pPr>
        <w:spacing w:before="100" w:beforeAutospacing="1" w:after="100" w:afterAutospacing="1" w:line="240" w:lineRule="auto"/>
        <w:jc w:val="both"/>
        <w:rPr>
          <w:rFonts w:ascii="Arial" w:eastAsia="Times New Roman" w:hAnsi="Arial" w:cs="Arial"/>
          <w:sz w:val="20"/>
          <w:szCs w:val="20"/>
        </w:rPr>
      </w:pPr>
      <w:r w:rsidRPr="00683336">
        <w:rPr>
          <w:rFonts w:ascii="Arial" w:eastAsia="Times New Roman" w:hAnsi="Arial" w:cs="Arial"/>
          <w:sz w:val="20"/>
          <w:szCs w:val="20"/>
        </w:rPr>
        <w:tab/>
      </w:r>
      <w:r w:rsidR="00B722D5" w:rsidRPr="00683336">
        <w:rPr>
          <w:rFonts w:ascii="Arial" w:eastAsia="Times New Roman" w:hAnsi="Arial" w:cs="Arial"/>
          <w:sz w:val="20"/>
          <w:szCs w:val="20"/>
        </w:rPr>
        <w:t>At the heart of many compliance carbon markets is something called the</w:t>
      </w:r>
      <w:r w:rsidRPr="00683336">
        <w:rPr>
          <w:rFonts w:ascii="Arial" w:eastAsia="Times New Roman" w:hAnsi="Arial" w:cs="Arial"/>
          <w:sz w:val="20"/>
          <w:szCs w:val="20"/>
        </w:rPr>
        <w:t xml:space="preserve"> Emissions Trading System (ETS) </w:t>
      </w:r>
      <w:r w:rsidR="00B722D5" w:rsidRPr="00683336">
        <w:rPr>
          <w:rFonts w:ascii="Arial" w:eastAsia="Times New Roman" w:hAnsi="Arial" w:cs="Arial"/>
          <w:sz w:val="20"/>
          <w:szCs w:val="20"/>
        </w:rPr>
        <w:t xml:space="preserve">a "cap-and-trade" approach that puts a price on pollution and rewards efforts to cut emissions. Here’s how it works: governments set a cap on the total amount of </w:t>
      </w:r>
      <w:r w:rsidR="00832A1E" w:rsidRPr="00683336">
        <w:rPr>
          <w:rFonts w:ascii="Arial" w:eastAsia="Times New Roman" w:hAnsi="Arial" w:cs="Arial"/>
          <w:sz w:val="20"/>
          <w:szCs w:val="20"/>
        </w:rPr>
        <w:t>GHG</w:t>
      </w:r>
      <w:r w:rsidR="00B722D5" w:rsidRPr="00683336">
        <w:rPr>
          <w:rFonts w:ascii="Arial" w:eastAsia="Times New Roman" w:hAnsi="Arial" w:cs="Arial"/>
          <w:sz w:val="20"/>
          <w:szCs w:val="20"/>
        </w:rPr>
        <w:t xml:space="preserve"> that certain industries are allowed to emit. Companies within those industries are given or can buy a certain number of allowances, each representing the right to emit one ton of CO</w:t>
      </w:r>
      <w:r w:rsidR="00B722D5" w:rsidRPr="00683336">
        <w:rPr>
          <w:rFonts w:ascii="Cambria Math" w:eastAsia="Times New Roman" w:hAnsi="Cambria Math" w:cs="Arial"/>
          <w:sz w:val="20"/>
          <w:szCs w:val="20"/>
        </w:rPr>
        <w:t>₂</w:t>
      </w:r>
      <w:r w:rsidR="00B722D5" w:rsidRPr="00683336">
        <w:rPr>
          <w:rFonts w:ascii="Arial" w:eastAsia="Times New Roman" w:hAnsi="Arial" w:cs="Arial"/>
          <w:sz w:val="20"/>
          <w:szCs w:val="20"/>
        </w:rPr>
        <w:t xml:space="preserve"> or its equivalent. If a company emits less than its allowance, it can sell the extra</w:t>
      </w:r>
      <w:r w:rsidR="001F3A35" w:rsidRPr="00683336">
        <w:rPr>
          <w:rFonts w:ascii="Arial" w:eastAsia="Times New Roman" w:hAnsi="Arial" w:cs="Arial"/>
          <w:sz w:val="20"/>
          <w:szCs w:val="20"/>
        </w:rPr>
        <w:t xml:space="preserve"> into the carbon market</w:t>
      </w:r>
      <w:r w:rsidR="00B722D5" w:rsidRPr="00683336">
        <w:rPr>
          <w:rFonts w:ascii="Arial" w:eastAsia="Times New Roman" w:hAnsi="Arial" w:cs="Arial"/>
          <w:sz w:val="20"/>
          <w:szCs w:val="20"/>
        </w:rPr>
        <w:t>. If it emits more, it must buy more allowances</w:t>
      </w:r>
      <w:r w:rsidR="001F3A35" w:rsidRPr="00683336">
        <w:rPr>
          <w:rFonts w:ascii="Arial" w:eastAsia="Times New Roman" w:hAnsi="Arial" w:cs="Arial"/>
          <w:sz w:val="20"/>
          <w:szCs w:val="20"/>
        </w:rPr>
        <w:t xml:space="preserve"> from the carbon market</w:t>
      </w:r>
      <w:r w:rsidR="00B722D5" w:rsidRPr="00683336">
        <w:rPr>
          <w:rFonts w:ascii="Arial" w:eastAsia="Times New Roman" w:hAnsi="Arial" w:cs="Arial"/>
          <w:sz w:val="20"/>
          <w:szCs w:val="20"/>
        </w:rPr>
        <w:t>. This setup helps ensure that emissions are reduced where it’s cheapest to do so, all while motivating companies to innovate and improve efficiency (Ellerman &amp; Buchner, 2007).</w:t>
      </w:r>
    </w:p>
    <w:p w14:paraId="033C404D"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One of the best-known examples is the European Union Emissions Trading System (EU ETS). Launched in 2005, it remains the largest and most influential carbon market in the world. The EU ETS covers major polluting sectors like power and heat generation, heavy industries (like cement, steel, oil refining, and paper), and even aviation within the EU (European Commission, 2022). Over the years, it has gone through several updates to make it more environmentally ef</w:t>
      </w:r>
      <w:r w:rsidR="00832A1E" w:rsidRPr="00683336">
        <w:rPr>
          <w:rFonts w:ascii="Arial" w:hAnsi="Arial" w:cs="Arial"/>
          <w:sz w:val="20"/>
          <w:szCs w:val="20"/>
        </w:rPr>
        <w:t xml:space="preserve">fective </w:t>
      </w:r>
      <w:r w:rsidR="00B722D5" w:rsidRPr="00683336">
        <w:rPr>
          <w:rFonts w:ascii="Arial" w:hAnsi="Arial" w:cs="Arial"/>
          <w:sz w:val="20"/>
          <w:szCs w:val="20"/>
        </w:rPr>
        <w:t>tightening emission limits, boosting market stability, and raising the cost of carbon to drive meaningful action (European Environment Agency, 2021).</w:t>
      </w:r>
    </w:p>
    <w:p w14:paraId="397B6A31"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Now in its fourth phase (2021–2030), the EU ETS is a key part of the European Green Deal and supports the EU’s ambitious goal of cutting net greenhou</w:t>
      </w:r>
      <w:r w:rsidR="00AA48C5" w:rsidRPr="00683336">
        <w:rPr>
          <w:rFonts w:ascii="Arial" w:hAnsi="Arial" w:cs="Arial"/>
          <w:sz w:val="20"/>
          <w:szCs w:val="20"/>
        </w:rPr>
        <w:t>se gas emissions by at least 55 per cent</w:t>
      </w:r>
      <w:r w:rsidR="00B722D5" w:rsidRPr="00683336">
        <w:rPr>
          <w:rFonts w:ascii="Arial" w:hAnsi="Arial" w:cs="Arial"/>
          <w:sz w:val="20"/>
          <w:szCs w:val="20"/>
        </w:rPr>
        <w:t xml:space="preserve"> by 2030. It has recently expanded to cover maritime transport and plans to include buildings and road transport under a new, separate system known as EU ETS II (European Commission, 2023).</w:t>
      </w:r>
    </w:p>
    <w:p w14:paraId="4EA5B7B0" w14:textId="77777777" w:rsidR="00B722D5" w:rsidRPr="00683336" w:rsidRDefault="005F67AA"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Beyond Europe, emissions trading is spreading globally under the framework of the Paris Agreement. Through Article 6.2, countries can work together voluntarily by trading what's known as Internationally Transferred Mitigation Outcomes (ITMOs). This allows countries to team up in reaching their climate targets, building on the groundwork laid by the earlier Kyoto Protocol and moving toward a more flexible and cooperative approach to global emissions reduction (UNFCCC, 2022).</w:t>
      </w:r>
    </w:p>
    <w:p w14:paraId="4684BC45"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CLEAN DEVELOPMENT MECHANISM (CDM)</w:t>
      </w:r>
    </w:p>
    <w:p w14:paraId="6D377B08"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One of the standout tools introduced under the Kyoto Protocol was the Clean Development Mechanism (CDM). This innovative system gave developed countries a way to meet part of their emission reduction targets by investing in climate-friendly projects in developing nations. In return, they received Certified Emission Reductions (CERs)</w:t>
      </w:r>
      <w:r w:rsidRPr="00683336">
        <w:rPr>
          <w:rFonts w:ascii="Arial" w:hAnsi="Arial" w:cs="Arial"/>
          <w:sz w:val="20"/>
          <w:szCs w:val="20"/>
        </w:rPr>
        <w:t xml:space="preserve"> </w:t>
      </w:r>
      <w:r w:rsidR="00B722D5" w:rsidRPr="00683336">
        <w:rPr>
          <w:rFonts w:ascii="Arial" w:hAnsi="Arial" w:cs="Arial"/>
          <w:sz w:val="20"/>
          <w:szCs w:val="20"/>
        </w:rPr>
        <w:t>carbon credits that could be traded and counted toward their Kyoto commitments (UNFCCC, 2020).</w:t>
      </w:r>
    </w:p>
    <w:p w14:paraId="0477C531"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The CDM supported a wide variety of projects, all aimed at cutting greenhouse gas emissions while also encouraging sustainable growth. These included renewable energy initiatives like wind, so</w:t>
      </w:r>
      <w:r w:rsidRPr="00683336">
        <w:rPr>
          <w:rFonts w:ascii="Arial" w:hAnsi="Arial" w:cs="Arial"/>
          <w:sz w:val="20"/>
          <w:szCs w:val="20"/>
        </w:rPr>
        <w:t xml:space="preserve">lar, and small-scale hydropower </w:t>
      </w:r>
      <w:r w:rsidR="00B722D5" w:rsidRPr="00683336">
        <w:rPr>
          <w:rFonts w:ascii="Arial" w:hAnsi="Arial" w:cs="Arial"/>
          <w:sz w:val="20"/>
          <w:szCs w:val="20"/>
        </w:rPr>
        <w:t>helping replace fossil fuels and cut carbon emissions. It also backed energy efficiency upgrades in buildings and industries, methane capture from landfills and livestock, and reforestation and afforestation efforts to restore natural carbon sinks. Even sustainable agriculture projects were included, reducing emissions from land use while improving the lives of local communities (UNFCCC, 2020; UNEP DTU, 2018).</w:t>
      </w:r>
    </w:p>
    <w:p w14:paraId="01D48FD8"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lastRenderedPageBreak/>
        <w:tab/>
      </w:r>
      <w:r w:rsidR="00B722D5" w:rsidRPr="00683336">
        <w:rPr>
          <w:rFonts w:ascii="Arial" w:hAnsi="Arial" w:cs="Arial"/>
          <w:sz w:val="20"/>
          <w:szCs w:val="20"/>
        </w:rPr>
        <w:t>At its core, th</w:t>
      </w:r>
      <w:r w:rsidRPr="00683336">
        <w:rPr>
          <w:rFonts w:ascii="Arial" w:hAnsi="Arial" w:cs="Arial"/>
          <w:sz w:val="20"/>
          <w:szCs w:val="20"/>
        </w:rPr>
        <w:t xml:space="preserve">e CDM aimed to strike a balance </w:t>
      </w:r>
      <w:r w:rsidR="00B722D5" w:rsidRPr="00683336">
        <w:rPr>
          <w:rFonts w:ascii="Arial" w:hAnsi="Arial" w:cs="Arial"/>
          <w:sz w:val="20"/>
          <w:szCs w:val="20"/>
        </w:rPr>
        <w:t>delivering real environmental benefits while also contributing to development in lower-income countries. It attracted billions in investment, especially across Asia, Africa, and Latin America, and supported over 8,000 registered projects. For many developing countries, it was their first opportunity to engage with global carbon markets in an organized way (UNEP DTU, 2018).</w:t>
      </w:r>
    </w:p>
    <w:p w14:paraId="529EF6EF"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 xml:space="preserve">However, the system wasn’t without </w:t>
      </w:r>
      <w:r w:rsidR="00832A1E" w:rsidRPr="00683336">
        <w:rPr>
          <w:rFonts w:ascii="Arial" w:hAnsi="Arial" w:cs="Arial"/>
          <w:sz w:val="20"/>
          <w:szCs w:val="20"/>
        </w:rPr>
        <w:t>its flaws. A major concern was additionality</w:t>
      </w:r>
      <w:r w:rsidRPr="00683336">
        <w:rPr>
          <w:rFonts w:ascii="Arial" w:hAnsi="Arial" w:cs="Arial"/>
          <w:sz w:val="20"/>
          <w:szCs w:val="20"/>
        </w:rPr>
        <w:t xml:space="preserve"> </w:t>
      </w:r>
      <w:r w:rsidR="00B722D5" w:rsidRPr="00683336">
        <w:rPr>
          <w:rFonts w:ascii="Arial" w:hAnsi="Arial" w:cs="Arial"/>
          <w:sz w:val="20"/>
          <w:szCs w:val="20"/>
        </w:rPr>
        <w:t>ensuring that the projects truly delivered emissions cuts beyond what would have happened anyway. Critics argued that some projects would’ve gone ahead even without CDM support, calling into question the real impact of the credits issued (Schneider, 2007; Cames et al., 2016). There were also concerns about whether local communities actually received the promised environmental or social benefits (Boyd et al., 2009).</w:t>
      </w:r>
    </w:p>
    <w:p w14:paraId="377401C6"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t xml:space="preserve">Because of these challenges </w:t>
      </w:r>
      <w:r w:rsidR="00B722D5" w:rsidRPr="00683336">
        <w:rPr>
          <w:rFonts w:ascii="Arial" w:hAnsi="Arial" w:cs="Arial"/>
          <w:sz w:val="20"/>
          <w:szCs w:val="20"/>
        </w:rPr>
        <w:t xml:space="preserve">and the evolution of global </w:t>
      </w:r>
      <w:r w:rsidRPr="00683336">
        <w:rPr>
          <w:rFonts w:ascii="Arial" w:hAnsi="Arial" w:cs="Arial"/>
          <w:sz w:val="20"/>
          <w:szCs w:val="20"/>
        </w:rPr>
        <w:t xml:space="preserve">climate policy </w:t>
      </w:r>
      <w:r w:rsidR="00B722D5" w:rsidRPr="00683336">
        <w:rPr>
          <w:rFonts w:ascii="Arial" w:hAnsi="Arial" w:cs="Arial"/>
          <w:sz w:val="20"/>
          <w:szCs w:val="20"/>
        </w:rPr>
        <w:t>the CDM is now being phased out. It’s being replaced by a new framework under Article 6.4 of the Paris Agreement, commonly referred to as the Sustainable Development Mechanism (SDM). This new system builds on lessons learned from the CDM, but it’s designed to be more inclusive, aligning better with each country’s own climate plans (NDCs). Unlike Kyoto, which only put legal targets on developed nations, the Paris Agreement involves all countries, making this new approach broader and more flexible (UNFCCC, 2022).</w:t>
      </w:r>
    </w:p>
    <w:p w14:paraId="7874D654"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Though the CDM’s era</w:t>
      </w:r>
      <w:r w:rsidRPr="00683336">
        <w:rPr>
          <w:rFonts w:ascii="Arial" w:hAnsi="Arial" w:cs="Arial"/>
          <w:sz w:val="20"/>
          <w:szCs w:val="20"/>
        </w:rPr>
        <w:t xml:space="preserve"> is ending, its legacy lives on </w:t>
      </w:r>
      <w:r w:rsidR="00B722D5" w:rsidRPr="00683336">
        <w:rPr>
          <w:rFonts w:ascii="Arial" w:hAnsi="Arial" w:cs="Arial"/>
          <w:sz w:val="20"/>
          <w:szCs w:val="20"/>
        </w:rPr>
        <w:t>shaping the future of global carbon markets and reminding us of the importance of transparency, good governance, and balancing efficiency with fairness.</w:t>
      </w:r>
    </w:p>
    <w:p w14:paraId="354F46B5" w14:textId="77777777" w:rsidR="00B722D5"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REGIONAL AND NATIONAL INITIATIVES</w:t>
      </w:r>
    </w:p>
    <w:p w14:paraId="3D5860B3" w14:textId="77777777" w:rsidR="00B722D5"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Outside the EU, many other countries and regions have developed their own compliance carbon markets, tailored to their specific economic and climate goals. These efforts reflect a growing global belief that market-based approaches can be powerful tools for reducing emissions.</w:t>
      </w:r>
    </w:p>
    <w:p w14:paraId="02828FCB" w14:textId="77777777" w:rsidR="00F928BA" w:rsidRPr="00F928BA" w:rsidRDefault="00F928BA" w:rsidP="00F928BA">
      <w:pPr>
        <w:spacing w:line="240" w:lineRule="auto"/>
        <w:jc w:val="both"/>
      </w:pPr>
      <w:r>
        <w:tab/>
      </w:r>
      <w:r w:rsidRPr="00F928BA">
        <w:t>As of 2025, the global compliance carbon market is growing rapidly. In 2024 alone, it was valued at around USD 113 billion, and it’s expected to nearly quadruple reaching over USD 458 billion by 2034. This surge reflects the growing pressure on countries and companies to meet climate goals and adopt cleaner practices</w:t>
      </w:r>
      <w:r>
        <w:t xml:space="preserve"> (Global Market Insights, 2025)</w:t>
      </w:r>
      <w:r w:rsidRPr="00F928BA">
        <w:t>.</w:t>
      </w:r>
    </w:p>
    <w:p w14:paraId="65D30D46" w14:textId="77777777" w:rsidR="00B722D5"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 xml:space="preserve">In </w:t>
      </w:r>
      <w:r w:rsidR="00D1297E">
        <w:rPr>
          <w:rFonts w:ascii="Arial" w:hAnsi="Arial" w:cs="Arial"/>
          <w:sz w:val="20"/>
          <w:szCs w:val="20"/>
        </w:rPr>
        <w:t>china</w:t>
      </w:r>
      <w:r w:rsidR="00B722D5" w:rsidRPr="00683336">
        <w:rPr>
          <w:rFonts w:ascii="Arial" w:hAnsi="Arial" w:cs="Arial"/>
          <w:sz w:val="20"/>
          <w:szCs w:val="20"/>
        </w:rPr>
        <w:t xml:space="preserve">, it launched its national Emissions Trading </w:t>
      </w:r>
      <w:r w:rsidRPr="00683336">
        <w:rPr>
          <w:rFonts w:ascii="Arial" w:hAnsi="Arial" w:cs="Arial"/>
          <w:sz w:val="20"/>
          <w:szCs w:val="20"/>
        </w:rPr>
        <w:t>System (ETS);</w:t>
      </w:r>
      <w:r w:rsidR="00B722D5" w:rsidRPr="00683336">
        <w:rPr>
          <w:rFonts w:ascii="Arial" w:hAnsi="Arial" w:cs="Arial"/>
          <w:sz w:val="20"/>
          <w:szCs w:val="20"/>
        </w:rPr>
        <w:t xml:space="preserve"> now the world’s largest in terms of emissions covered</w:t>
      </w:r>
      <w:r w:rsidR="00D1297E">
        <w:rPr>
          <w:rFonts w:ascii="Arial" w:hAnsi="Arial" w:cs="Arial"/>
          <w:sz w:val="20"/>
          <w:szCs w:val="20"/>
        </w:rPr>
        <w:t xml:space="preserve"> in 2021</w:t>
      </w:r>
      <w:r w:rsidR="00B722D5" w:rsidRPr="00683336">
        <w:rPr>
          <w:rFonts w:ascii="Arial" w:hAnsi="Arial" w:cs="Arial"/>
          <w:sz w:val="20"/>
          <w:szCs w:val="20"/>
        </w:rPr>
        <w:t>. It began with the power sector, w</w:t>
      </w:r>
      <w:r w:rsidRPr="00683336">
        <w:rPr>
          <w:rFonts w:ascii="Arial" w:hAnsi="Arial" w:cs="Arial"/>
          <w:sz w:val="20"/>
          <w:szCs w:val="20"/>
        </w:rPr>
        <w:t>hich alone accounts for over 40 per cent</w:t>
      </w:r>
      <w:r w:rsidR="00B722D5" w:rsidRPr="00683336">
        <w:rPr>
          <w:rFonts w:ascii="Arial" w:hAnsi="Arial" w:cs="Arial"/>
          <w:sz w:val="20"/>
          <w:szCs w:val="20"/>
        </w:rPr>
        <w:t xml:space="preserve"> of China’s emissions, and plans are in motion to expand into industries like steel, cement, and aluminum. This system is central to China's goal of reaching carbon neutrality by 2060 (ICAP, 2023).</w:t>
      </w:r>
      <w:r w:rsidRPr="00683336">
        <w:rPr>
          <w:rFonts w:ascii="Arial" w:hAnsi="Arial" w:cs="Arial"/>
          <w:sz w:val="20"/>
          <w:szCs w:val="20"/>
        </w:rPr>
        <w:t xml:space="preserve"> </w:t>
      </w:r>
      <w:r w:rsidR="00B722D5" w:rsidRPr="00683336">
        <w:rPr>
          <w:rFonts w:ascii="Arial" w:hAnsi="Arial" w:cs="Arial"/>
          <w:sz w:val="20"/>
          <w:szCs w:val="20"/>
        </w:rPr>
        <w:t xml:space="preserve">In the United States, the California Cap-and-Trade Program has been in place since 2013. It covers energy, manufacturing, and transportation fuels and is linked </w:t>
      </w:r>
      <w:r w:rsidRPr="00683336">
        <w:rPr>
          <w:rFonts w:ascii="Arial" w:hAnsi="Arial" w:cs="Arial"/>
          <w:sz w:val="20"/>
          <w:szCs w:val="20"/>
        </w:rPr>
        <w:t xml:space="preserve">with Québec’s program in Canada </w:t>
      </w:r>
      <w:r w:rsidR="00B722D5" w:rsidRPr="00683336">
        <w:rPr>
          <w:rFonts w:ascii="Arial" w:hAnsi="Arial" w:cs="Arial"/>
          <w:sz w:val="20"/>
          <w:szCs w:val="20"/>
        </w:rPr>
        <w:t>showing how local-level partnerships can help advance climate goals (CARB, 2022).</w:t>
      </w:r>
      <w:r w:rsidRPr="00683336">
        <w:rPr>
          <w:rFonts w:ascii="Arial" w:hAnsi="Arial" w:cs="Arial"/>
          <w:sz w:val="20"/>
          <w:szCs w:val="20"/>
        </w:rPr>
        <w:t xml:space="preserve"> </w:t>
      </w:r>
      <w:r w:rsidR="00B722D5" w:rsidRPr="00683336">
        <w:rPr>
          <w:rFonts w:ascii="Arial" w:hAnsi="Arial" w:cs="Arial"/>
          <w:sz w:val="20"/>
          <w:szCs w:val="20"/>
        </w:rPr>
        <w:t>Meanwhile, South Korea launched Asia’s first economy-wide ETS in 2015, and New Zealand</w:t>
      </w:r>
      <w:r w:rsidRPr="00683336">
        <w:rPr>
          <w:rFonts w:ascii="Arial" w:hAnsi="Arial" w:cs="Arial"/>
          <w:sz w:val="20"/>
          <w:szCs w:val="20"/>
        </w:rPr>
        <w:t xml:space="preserve"> a pioneer in carbon trading </w:t>
      </w:r>
      <w:r w:rsidR="00B722D5" w:rsidRPr="00683336">
        <w:rPr>
          <w:rFonts w:ascii="Arial" w:hAnsi="Arial" w:cs="Arial"/>
          <w:sz w:val="20"/>
          <w:szCs w:val="20"/>
        </w:rPr>
        <w:t>has continuously adapted its system to include sectors like forestry and agriculture, which are vital to its emissions profile (Ranson &amp; Stavins, 2016).</w:t>
      </w:r>
    </w:p>
    <w:p w14:paraId="6CB12EEA" w14:textId="77777777" w:rsidR="00743072"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B722D5" w:rsidRPr="00683336">
        <w:rPr>
          <w:rFonts w:ascii="Arial" w:hAnsi="Arial" w:cs="Arial"/>
          <w:sz w:val="20"/>
          <w:szCs w:val="20"/>
        </w:rPr>
        <w:t>These examples show that emissions trading systems are highly adaptable</w:t>
      </w:r>
      <w:r w:rsidRPr="00683336">
        <w:rPr>
          <w:rFonts w:ascii="Arial" w:hAnsi="Arial" w:cs="Arial"/>
          <w:sz w:val="20"/>
          <w:szCs w:val="20"/>
        </w:rPr>
        <w:t xml:space="preserve">. When designed well </w:t>
      </w:r>
      <w:r w:rsidR="00B722D5" w:rsidRPr="00683336">
        <w:rPr>
          <w:rFonts w:ascii="Arial" w:hAnsi="Arial" w:cs="Arial"/>
          <w:sz w:val="20"/>
          <w:szCs w:val="20"/>
        </w:rPr>
        <w:t>with transparency, solid rules</w:t>
      </w:r>
      <w:r w:rsidRPr="00683336">
        <w:rPr>
          <w:rFonts w:ascii="Arial" w:hAnsi="Arial" w:cs="Arial"/>
          <w:sz w:val="20"/>
          <w:szCs w:val="20"/>
        </w:rPr>
        <w:t xml:space="preserve">, and wide sector participation, </w:t>
      </w:r>
      <w:r w:rsidR="00B722D5" w:rsidRPr="00683336">
        <w:rPr>
          <w:rFonts w:ascii="Arial" w:hAnsi="Arial" w:cs="Arial"/>
          <w:sz w:val="20"/>
          <w:szCs w:val="20"/>
        </w:rPr>
        <w:t>they can be powerful tools not just for hitting national climate targets, but also for attracting green investment, sparking innovation, and ensuring a fair and inclusive transition to a low-carbon future.</w:t>
      </w:r>
    </w:p>
    <w:p w14:paraId="6461BAD8" w14:textId="77777777" w:rsidR="00523AA2" w:rsidRPr="00683336" w:rsidRDefault="00683336" w:rsidP="00683336">
      <w:pPr>
        <w:pStyle w:val="ListParagraph"/>
        <w:numPr>
          <w:ilvl w:val="0"/>
          <w:numId w:val="1"/>
        </w:numPr>
        <w:spacing w:before="100" w:beforeAutospacing="1" w:after="100" w:afterAutospacing="1" w:line="240" w:lineRule="auto"/>
        <w:ind w:left="360"/>
        <w:jc w:val="both"/>
        <w:outlineLvl w:val="2"/>
        <w:rPr>
          <w:rFonts w:ascii="Arial" w:eastAsia="Times New Roman" w:hAnsi="Arial" w:cs="Arial"/>
          <w:b/>
          <w:bCs/>
          <w:szCs w:val="20"/>
        </w:rPr>
      </w:pPr>
      <w:r w:rsidRPr="00683336">
        <w:rPr>
          <w:rFonts w:ascii="Arial" w:eastAsia="Times New Roman" w:hAnsi="Arial" w:cs="Arial"/>
          <w:b/>
          <w:bCs/>
          <w:szCs w:val="20"/>
        </w:rPr>
        <w:t>VOLUNTARY CARBON MARKET</w:t>
      </w:r>
    </w:p>
    <w:p w14:paraId="1449E9C8" w14:textId="77777777" w:rsidR="00523AA2"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Not all climate action comes from government rules or mandates. In fact, many companies, organizations, and individuals are choosing to take action on their own. That’s where voluntary carbon markets (VCMs) </w:t>
      </w:r>
      <w:r w:rsidR="00B413F7" w:rsidRPr="00683336">
        <w:rPr>
          <w:rFonts w:ascii="Arial" w:hAnsi="Arial" w:cs="Arial"/>
          <w:sz w:val="20"/>
          <w:szCs w:val="20"/>
        </w:rPr>
        <w:t>is emerged</w:t>
      </w:r>
      <w:r w:rsidR="00523AA2" w:rsidRPr="00683336">
        <w:rPr>
          <w:rFonts w:ascii="Arial" w:hAnsi="Arial" w:cs="Arial"/>
          <w:sz w:val="20"/>
          <w:szCs w:val="20"/>
        </w:rPr>
        <w:t xml:space="preserve">. They give people a chance to offset their carbon footprint by supporting certified projects that reduce or remove greenhouse gases from the atmosphere. In doing so, they help expand participation in climate solutions, even when it’s not legally required (Donofrio et al., </w:t>
      </w:r>
      <w:r w:rsidR="00523AA2" w:rsidRPr="00683336">
        <w:rPr>
          <w:rFonts w:ascii="Arial" w:hAnsi="Arial" w:cs="Arial"/>
          <w:sz w:val="20"/>
          <w:szCs w:val="20"/>
        </w:rPr>
        <w:lastRenderedPageBreak/>
        <w:t>2020).</w:t>
      </w:r>
      <w:r w:rsidRPr="00683336">
        <w:rPr>
          <w:rFonts w:ascii="Arial" w:hAnsi="Arial" w:cs="Arial"/>
          <w:sz w:val="20"/>
          <w:szCs w:val="20"/>
        </w:rPr>
        <w:t xml:space="preserve"> </w:t>
      </w:r>
      <w:r w:rsidR="00523AA2" w:rsidRPr="00683336">
        <w:rPr>
          <w:rFonts w:ascii="Arial" w:hAnsi="Arial" w:cs="Arial"/>
          <w:sz w:val="20"/>
          <w:szCs w:val="20"/>
        </w:rPr>
        <w:t>These markets are especially important because they bring non-state actors</w:t>
      </w:r>
      <w:r w:rsidRPr="00683336">
        <w:rPr>
          <w:rFonts w:ascii="Arial" w:hAnsi="Arial" w:cs="Arial"/>
          <w:sz w:val="20"/>
          <w:szCs w:val="20"/>
        </w:rPr>
        <w:t xml:space="preserve"> </w:t>
      </w:r>
      <w:r w:rsidR="00523AA2" w:rsidRPr="00683336">
        <w:rPr>
          <w:rFonts w:ascii="Arial" w:hAnsi="Arial" w:cs="Arial"/>
          <w:sz w:val="20"/>
          <w:szCs w:val="20"/>
        </w:rPr>
        <w:t>like b</w:t>
      </w:r>
      <w:r w:rsidRPr="00683336">
        <w:rPr>
          <w:rFonts w:ascii="Arial" w:hAnsi="Arial" w:cs="Arial"/>
          <w:sz w:val="20"/>
          <w:szCs w:val="20"/>
        </w:rPr>
        <w:t xml:space="preserve">usinesses and local communities </w:t>
      </w:r>
      <w:r w:rsidR="00523AA2" w:rsidRPr="00683336">
        <w:rPr>
          <w:rFonts w:ascii="Arial" w:hAnsi="Arial" w:cs="Arial"/>
          <w:sz w:val="20"/>
          <w:szCs w:val="20"/>
        </w:rPr>
        <w:t>into the fight against climate change, including in places and sectors that aren’t yet covered by official regulations.</w:t>
      </w:r>
    </w:p>
    <w:p w14:paraId="729A540D" w14:textId="77777777" w:rsidR="00523AA2"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TYPES AND STANDARDS OF PROJECTS</w:t>
      </w:r>
    </w:p>
    <w:p w14:paraId="259771FB" w14:textId="77777777" w:rsidR="00523AA2"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There’s a wide range of project types that contribute to the voluntary carbon market, each taking a different approach to cutting emissions:</w:t>
      </w:r>
      <w:r w:rsidRPr="00683336">
        <w:rPr>
          <w:rFonts w:ascii="Arial" w:hAnsi="Arial" w:cs="Arial"/>
          <w:sz w:val="20"/>
          <w:szCs w:val="20"/>
        </w:rPr>
        <w:t xml:space="preserve"> </w:t>
      </w:r>
      <w:r w:rsidR="00523AA2" w:rsidRPr="00683336">
        <w:rPr>
          <w:rFonts w:ascii="Arial" w:hAnsi="Arial" w:cs="Arial"/>
          <w:sz w:val="20"/>
          <w:szCs w:val="20"/>
        </w:rPr>
        <w:t>Nature-based solutions focus on using natural systems to absorb carbon. This includes planting trees (afforestation and reforestation) and improving forest management practices.</w:t>
      </w:r>
      <w:r w:rsidRPr="00683336">
        <w:rPr>
          <w:rFonts w:ascii="Arial" w:hAnsi="Arial" w:cs="Arial"/>
          <w:sz w:val="20"/>
          <w:szCs w:val="20"/>
        </w:rPr>
        <w:t xml:space="preserve"> </w:t>
      </w:r>
      <w:r w:rsidR="00523AA2" w:rsidRPr="00683336">
        <w:rPr>
          <w:rFonts w:ascii="Arial" w:hAnsi="Arial" w:cs="Arial"/>
          <w:sz w:val="20"/>
          <w:szCs w:val="20"/>
        </w:rPr>
        <w:t>Renewable energy projects like solar panels and wind farms help reduce reliance on fossil fuels and lower carbon emissions.</w:t>
      </w:r>
      <w:r w:rsidRPr="00683336">
        <w:rPr>
          <w:rFonts w:ascii="Arial" w:hAnsi="Arial" w:cs="Arial"/>
          <w:sz w:val="20"/>
          <w:szCs w:val="20"/>
        </w:rPr>
        <w:t xml:space="preserve"> </w:t>
      </w:r>
      <w:r w:rsidR="00AA48C5" w:rsidRPr="00683336">
        <w:rPr>
          <w:rFonts w:ascii="Arial" w:hAnsi="Arial" w:cs="Arial"/>
          <w:sz w:val="20"/>
          <w:szCs w:val="20"/>
        </w:rPr>
        <w:t xml:space="preserve">Community-level projects </w:t>
      </w:r>
      <w:r w:rsidR="00523AA2" w:rsidRPr="00683336">
        <w:rPr>
          <w:rFonts w:ascii="Arial" w:hAnsi="Arial" w:cs="Arial"/>
          <w:sz w:val="20"/>
          <w:szCs w:val="20"/>
        </w:rPr>
        <w:t>such as distributing clean cook</w:t>
      </w:r>
      <w:r w:rsidRPr="00683336">
        <w:rPr>
          <w:rFonts w:ascii="Arial" w:hAnsi="Arial" w:cs="Arial"/>
          <w:sz w:val="20"/>
          <w:szCs w:val="20"/>
        </w:rPr>
        <w:t xml:space="preserve"> </w:t>
      </w:r>
      <w:r w:rsidR="00523AA2" w:rsidRPr="00683336">
        <w:rPr>
          <w:rFonts w:ascii="Arial" w:hAnsi="Arial" w:cs="Arial"/>
          <w:sz w:val="20"/>
          <w:szCs w:val="20"/>
        </w:rPr>
        <w:t>stoves or</w:t>
      </w:r>
      <w:r w:rsidRPr="00683336">
        <w:rPr>
          <w:rFonts w:ascii="Arial" w:hAnsi="Arial" w:cs="Arial"/>
          <w:sz w:val="20"/>
          <w:szCs w:val="20"/>
        </w:rPr>
        <w:t xml:space="preserve"> supporting sustainable farming </w:t>
      </w:r>
      <w:r w:rsidR="00523AA2" w:rsidRPr="00683336">
        <w:rPr>
          <w:rFonts w:ascii="Arial" w:hAnsi="Arial" w:cs="Arial"/>
          <w:sz w:val="20"/>
          <w:szCs w:val="20"/>
        </w:rPr>
        <w:t>cut emissions and improve local livelihoods at the same time.</w:t>
      </w:r>
      <w:r w:rsidRPr="00683336">
        <w:rPr>
          <w:rFonts w:ascii="Arial" w:hAnsi="Arial" w:cs="Arial"/>
          <w:sz w:val="20"/>
          <w:szCs w:val="20"/>
        </w:rPr>
        <w:t xml:space="preserve"> </w:t>
      </w:r>
      <w:r w:rsidR="00523AA2" w:rsidRPr="00683336">
        <w:rPr>
          <w:rFonts w:ascii="Arial" w:hAnsi="Arial" w:cs="Arial"/>
          <w:sz w:val="20"/>
          <w:szCs w:val="20"/>
        </w:rPr>
        <w:t>Methane capture from landfills or livestock operations is another powerful solution, as methane is one of the most harmful greenhouse gases.</w:t>
      </w:r>
    </w:p>
    <w:p w14:paraId="3DFC7C61" w14:textId="77777777" w:rsidR="00832A1E" w:rsidRPr="00683336" w:rsidRDefault="007A481D"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To make sure these projects actually deliver meaningful climate benefits, they need to meet rigorous standards set by trusted certification bodies. The most widely recognized are the Verified Carbon Standard (VCS) from Verra, the Gold Standard, and the Climate Action Reserve (CAR) (Forest Trends, 2023; Verra, 2022; Gold Standard, 2021).</w:t>
      </w:r>
    </w:p>
    <w:p w14:paraId="1A3C790C" w14:textId="77777777" w:rsidR="00DE3F69" w:rsidRPr="00DE3F69" w:rsidRDefault="00683336" w:rsidP="00DE3F69">
      <w:pPr>
        <w:pStyle w:val="ListParagraph"/>
        <w:numPr>
          <w:ilvl w:val="1"/>
          <w:numId w:val="1"/>
        </w:numPr>
        <w:spacing w:line="240" w:lineRule="auto"/>
        <w:ind w:left="450"/>
        <w:jc w:val="both"/>
        <w:rPr>
          <w:rFonts w:ascii="Arial" w:hAnsi="Arial" w:cs="Arial"/>
          <w:b/>
          <w:szCs w:val="24"/>
        </w:rPr>
      </w:pPr>
      <w:r w:rsidRPr="00683336">
        <w:rPr>
          <w:rFonts w:ascii="Arial" w:hAnsi="Arial" w:cs="Arial"/>
          <w:b/>
          <w:szCs w:val="24"/>
        </w:rPr>
        <w:t>MARKET DYNAMICS AND TRENDS</w:t>
      </w:r>
      <w:r w:rsidR="00DE3F69" w:rsidRPr="00DE3F69">
        <w:rPr>
          <w:rFonts w:ascii="Arial" w:hAnsi="Arial" w:cs="Arial"/>
          <w:sz w:val="20"/>
        </w:rPr>
        <w:t xml:space="preserve"> </w:t>
      </w:r>
    </w:p>
    <w:p w14:paraId="1CFC72BD"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In recent years, voluntary carbon markets have taken off, fueled by the global push for net-zero emissions, growing pressure from investors, and increased public demand for corporate climate action. In 2021 alone, the market for voluntary carbon credits surpassed $2 billion, helping offset hundreds of millions of </w:t>
      </w:r>
      <w:proofErr w:type="spellStart"/>
      <w:r w:rsidR="00523AA2" w:rsidRPr="00683336">
        <w:rPr>
          <w:rFonts w:ascii="Arial" w:hAnsi="Arial" w:cs="Arial"/>
          <w:sz w:val="20"/>
          <w:szCs w:val="20"/>
        </w:rPr>
        <w:t>tonnes</w:t>
      </w:r>
      <w:proofErr w:type="spellEnd"/>
      <w:r w:rsidRPr="00683336">
        <w:rPr>
          <w:rFonts w:ascii="Arial" w:hAnsi="Arial" w:cs="Arial"/>
          <w:sz w:val="20"/>
          <w:szCs w:val="20"/>
        </w:rPr>
        <w:t xml:space="preserve"> of emissions around the world </w:t>
      </w:r>
      <w:r w:rsidR="00523AA2" w:rsidRPr="00683336">
        <w:rPr>
          <w:rFonts w:ascii="Arial" w:hAnsi="Arial" w:cs="Arial"/>
          <w:sz w:val="20"/>
          <w:szCs w:val="20"/>
        </w:rPr>
        <w:t>a clear sign that environmental responsibility is becoming a central part of how companies do business (Ecosystem Marketplace, 2021).</w:t>
      </w:r>
    </w:p>
    <w:p w14:paraId="1BCA8B0A"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Across industries, businesses are now integrating carbon credits into their broader sustainability strategies. While fully decarbonizing operations and supply chains can take time, voluntary carbon credits offer a practical interim solution</w:t>
      </w:r>
      <w:r w:rsidRPr="00683336">
        <w:rPr>
          <w:rFonts w:ascii="Arial" w:hAnsi="Arial" w:cs="Arial"/>
          <w:sz w:val="20"/>
          <w:szCs w:val="20"/>
        </w:rPr>
        <w:t xml:space="preserve"> </w:t>
      </w:r>
      <w:r w:rsidR="00523AA2" w:rsidRPr="00683336">
        <w:rPr>
          <w:rFonts w:ascii="Arial" w:hAnsi="Arial" w:cs="Arial"/>
          <w:sz w:val="20"/>
          <w:szCs w:val="20"/>
        </w:rPr>
        <w:t>allowing companies to tackle emissions that are currently hard to eliminate, all while supporting impactful climate projects worldwide (</w:t>
      </w:r>
      <w:proofErr w:type="spellStart"/>
      <w:r w:rsidR="00523AA2" w:rsidRPr="00683336">
        <w:rPr>
          <w:rFonts w:ascii="Arial" w:hAnsi="Arial" w:cs="Arial"/>
          <w:sz w:val="20"/>
          <w:szCs w:val="20"/>
        </w:rPr>
        <w:t>Blaufelder</w:t>
      </w:r>
      <w:proofErr w:type="spellEnd"/>
      <w:r w:rsidR="00523AA2" w:rsidRPr="00683336">
        <w:rPr>
          <w:rFonts w:ascii="Arial" w:hAnsi="Arial" w:cs="Arial"/>
          <w:sz w:val="20"/>
          <w:szCs w:val="20"/>
        </w:rPr>
        <w:t xml:space="preserve"> et al., 2021).</w:t>
      </w:r>
    </w:p>
    <w:p w14:paraId="4444B1F5" w14:textId="77777777" w:rsidR="00523AA2"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As the market expands rapidly, so do concerns about its credibility and consistency. That’s where initiatives like the Taskforce on Scaling Voluntary Carbon Markets (TSVCM) and the Integrity Council for the Voluntary Carbon Market (ICVCM) step in. These organizations are working to strengthen the foundation of VCMs</w:t>
      </w:r>
      <w:r w:rsidRPr="00683336">
        <w:rPr>
          <w:rFonts w:ascii="Arial" w:hAnsi="Arial" w:cs="Arial"/>
          <w:sz w:val="20"/>
          <w:szCs w:val="20"/>
        </w:rPr>
        <w:t xml:space="preserve"> </w:t>
      </w:r>
      <w:r w:rsidR="00523AA2" w:rsidRPr="00683336">
        <w:rPr>
          <w:rFonts w:ascii="Arial" w:hAnsi="Arial" w:cs="Arial"/>
          <w:sz w:val="20"/>
          <w:szCs w:val="20"/>
        </w:rPr>
        <w:t>by promoting greater transparency, standardizing procedures, and safeguarding the environmental integrity of the credits being bought and sold (TSVCM, 2021; ICVCM, 2023).</w:t>
      </w:r>
    </w:p>
    <w:p w14:paraId="1A6BEE1B" w14:textId="77777777" w:rsidR="00DE3F69" w:rsidRPr="00683336" w:rsidRDefault="001E1A06" w:rsidP="00683336">
      <w:pPr>
        <w:spacing w:line="240" w:lineRule="auto"/>
        <w:jc w:val="both"/>
        <w:rPr>
          <w:rFonts w:ascii="Arial" w:hAnsi="Arial" w:cs="Arial"/>
          <w:sz w:val="20"/>
          <w:szCs w:val="20"/>
        </w:rPr>
      </w:pPr>
      <w:r>
        <w:rPr>
          <w:rFonts w:ascii="Arial" w:hAnsi="Arial" w:cs="Arial"/>
          <w:sz w:val="20"/>
          <w:szCs w:val="20"/>
        </w:rPr>
        <w:tab/>
      </w:r>
      <w:r w:rsidR="00DE3F69" w:rsidRPr="00DE3F69">
        <w:rPr>
          <w:rFonts w:ascii="Arial" w:hAnsi="Arial" w:cs="Arial"/>
          <w:sz w:val="20"/>
          <w:szCs w:val="20"/>
        </w:rPr>
        <w:t xml:space="preserve">In 2024, the global voluntary carbon market issued approximately 287 million </w:t>
      </w:r>
      <w:proofErr w:type="spellStart"/>
      <w:r w:rsidR="00DE3F69" w:rsidRPr="00DE3F69">
        <w:rPr>
          <w:rFonts w:ascii="Arial" w:hAnsi="Arial" w:cs="Arial"/>
          <w:sz w:val="20"/>
          <w:szCs w:val="20"/>
        </w:rPr>
        <w:t>tonnes</w:t>
      </w:r>
      <w:proofErr w:type="spellEnd"/>
      <w:r w:rsidR="00DE3F69" w:rsidRPr="00DE3F69">
        <w:rPr>
          <w:rFonts w:ascii="Arial" w:hAnsi="Arial" w:cs="Arial"/>
          <w:sz w:val="20"/>
          <w:szCs w:val="20"/>
        </w:rPr>
        <w:t xml:space="preserve"> of CO</w:t>
      </w:r>
      <w:r w:rsidR="00DE3F69" w:rsidRPr="00DE3F69">
        <w:rPr>
          <w:rFonts w:ascii="Cambria Math" w:hAnsi="Cambria Math" w:cs="Cambria Math"/>
          <w:sz w:val="20"/>
          <w:szCs w:val="20"/>
        </w:rPr>
        <w:t>₂</w:t>
      </w:r>
      <w:r w:rsidR="00DE3F69" w:rsidRPr="00DE3F69">
        <w:rPr>
          <w:rFonts w:ascii="Arial" w:hAnsi="Arial" w:cs="Arial"/>
          <w:sz w:val="20"/>
          <w:szCs w:val="20"/>
        </w:rPr>
        <w:t xml:space="preserve"> equivalent (</w:t>
      </w:r>
      <w:proofErr w:type="spellStart"/>
      <w:r w:rsidR="00DE3F69" w:rsidRPr="00DE3F69">
        <w:rPr>
          <w:rFonts w:ascii="Arial" w:hAnsi="Arial" w:cs="Arial"/>
          <w:sz w:val="20"/>
          <w:szCs w:val="20"/>
        </w:rPr>
        <w:t>MtCO</w:t>
      </w:r>
      <w:r w:rsidR="00DE3F69" w:rsidRPr="00DE3F69">
        <w:rPr>
          <w:rFonts w:ascii="Cambria Math" w:hAnsi="Cambria Math" w:cs="Cambria Math"/>
          <w:sz w:val="20"/>
          <w:szCs w:val="20"/>
        </w:rPr>
        <w:t>₂</w:t>
      </w:r>
      <w:r w:rsidR="00DE3F69" w:rsidRPr="00DE3F69">
        <w:rPr>
          <w:rFonts w:ascii="Arial" w:hAnsi="Arial" w:cs="Arial"/>
          <w:sz w:val="20"/>
          <w:szCs w:val="20"/>
        </w:rPr>
        <w:t>e</w:t>
      </w:r>
      <w:proofErr w:type="spellEnd"/>
      <w:r w:rsidR="00DE3F69" w:rsidRPr="00DE3F69">
        <w:rPr>
          <w:rFonts w:ascii="Arial" w:hAnsi="Arial" w:cs="Arial"/>
          <w:sz w:val="20"/>
          <w:szCs w:val="20"/>
        </w:rPr>
        <w:t>) in carbon credits, marking a 7 per cent decrease from 2023. Despite this dip, around 177 million credits were retired, signaling stable demand amid market fluctuations (LinkedIn, 2024; Carbon Market Watch, 2024). The market's total value reached USD 1.55 billion in 2024 and is projected to grow to USD 1.89 billion in 2025, reflecting a strong compound annual growth rate (CAGR) of 21.9 per cent (The Business Research Company, 2024).</w:t>
      </w:r>
    </w:p>
    <w:p w14:paraId="399A3D14" w14:textId="77777777" w:rsidR="00523AA2" w:rsidRPr="00683336" w:rsidRDefault="00683336" w:rsidP="00683336">
      <w:pPr>
        <w:pStyle w:val="ListParagraph"/>
        <w:numPr>
          <w:ilvl w:val="1"/>
          <w:numId w:val="1"/>
        </w:numPr>
        <w:spacing w:before="100" w:beforeAutospacing="1" w:after="100" w:afterAutospacing="1" w:line="240" w:lineRule="auto"/>
        <w:ind w:left="450"/>
        <w:jc w:val="both"/>
        <w:outlineLvl w:val="2"/>
        <w:rPr>
          <w:rFonts w:ascii="Arial" w:eastAsia="Times New Roman" w:hAnsi="Arial" w:cs="Arial"/>
          <w:b/>
          <w:bCs/>
          <w:szCs w:val="20"/>
        </w:rPr>
      </w:pPr>
      <w:r w:rsidRPr="00683336">
        <w:rPr>
          <w:rFonts w:ascii="Arial" w:eastAsia="Times New Roman" w:hAnsi="Arial" w:cs="Arial"/>
          <w:b/>
          <w:bCs/>
          <w:szCs w:val="20"/>
        </w:rPr>
        <w:t>OBSTACLES AND OPPOSITION</w:t>
      </w:r>
    </w:p>
    <w:p w14:paraId="6D25F5BD" w14:textId="77777777" w:rsidR="00523AA2" w:rsidRPr="00683336" w:rsidRDefault="00071749"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 xml:space="preserve">While voluntary carbon markets (VCMs) are growing fast and attracting attention, they also face a </w:t>
      </w:r>
      <w:r w:rsidR="002D53D8" w:rsidRPr="00683336">
        <w:rPr>
          <w:rFonts w:ascii="Arial" w:hAnsi="Arial" w:cs="Arial"/>
          <w:sz w:val="20"/>
          <w:szCs w:val="20"/>
        </w:rPr>
        <w:t>number</w:t>
      </w:r>
      <w:r w:rsidR="00523AA2" w:rsidRPr="00683336">
        <w:rPr>
          <w:rFonts w:ascii="Arial" w:hAnsi="Arial" w:cs="Arial"/>
          <w:sz w:val="20"/>
          <w:szCs w:val="20"/>
        </w:rPr>
        <w:t xml:space="preserve"> of serious challenges</w:t>
      </w:r>
      <w:r w:rsidRPr="00683336">
        <w:rPr>
          <w:rFonts w:ascii="Arial" w:hAnsi="Arial" w:cs="Arial"/>
          <w:sz w:val="20"/>
          <w:szCs w:val="20"/>
        </w:rPr>
        <w:t xml:space="preserve"> </w:t>
      </w:r>
      <w:r w:rsidR="00523AA2" w:rsidRPr="00683336">
        <w:rPr>
          <w:rFonts w:ascii="Arial" w:hAnsi="Arial" w:cs="Arial"/>
          <w:sz w:val="20"/>
          <w:szCs w:val="20"/>
        </w:rPr>
        <w:t>especially when it comes to ensuring credibility and earning public trust.</w:t>
      </w:r>
      <w:r w:rsidRPr="00683336">
        <w:rPr>
          <w:rFonts w:ascii="Arial" w:hAnsi="Arial" w:cs="Arial"/>
          <w:sz w:val="20"/>
          <w:szCs w:val="20"/>
        </w:rPr>
        <w:t xml:space="preserve"> </w:t>
      </w:r>
      <w:r w:rsidR="00523AA2" w:rsidRPr="00683336">
        <w:rPr>
          <w:rFonts w:ascii="Arial" w:hAnsi="Arial" w:cs="Arial"/>
          <w:sz w:val="20"/>
          <w:szCs w:val="20"/>
        </w:rPr>
        <w:t>One of the biggest concerns is additionality. For a carbon credit to be meaningful, the emissions reduction it represents must be something that wouldn’t have happened without the incentive from the credit. If a project would have moved forward anyway, then it’s n</w:t>
      </w:r>
      <w:r w:rsidRPr="00683336">
        <w:rPr>
          <w:rFonts w:ascii="Arial" w:hAnsi="Arial" w:cs="Arial"/>
          <w:sz w:val="20"/>
          <w:szCs w:val="20"/>
        </w:rPr>
        <w:t xml:space="preserve">ot really “offsetting” anything </w:t>
      </w:r>
      <w:r w:rsidR="00523AA2" w:rsidRPr="00683336">
        <w:rPr>
          <w:rFonts w:ascii="Arial" w:hAnsi="Arial" w:cs="Arial"/>
          <w:sz w:val="20"/>
          <w:szCs w:val="20"/>
        </w:rPr>
        <w:t>and that casts doubt on its actual climate benefit (Gillenwater, 2012; Schneider, 2009).</w:t>
      </w:r>
      <w:r w:rsidRPr="00683336">
        <w:rPr>
          <w:rFonts w:ascii="Arial" w:hAnsi="Arial" w:cs="Arial"/>
          <w:sz w:val="20"/>
          <w:szCs w:val="20"/>
        </w:rPr>
        <w:t xml:space="preserve"> </w:t>
      </w:r>
      <w:r w:rsidR="00523AA2" w:rsidRPr="00683336">
        <w:rPr>
          <w:rFonts w:ascii="Arial" w:hAnsi="Arial" w:cs="Arial"/>
          <w:sz w:val="20"/>
          <w:szCs w:val="20"/>
        </w:rPr>
        <w:t>Permanence is another sticking point, especially for nature-based projects like forest conservation and reforestation. These carbon sin</w:t>
      </w:r>
      <w:r w:rsidRPr="00683336">
        <w:rPr>
          <w:rFonts w:ascii="Arial" w:hAnsi="Arial" w:cs="Arial"/>
          <w:sz w:val="20"/>
          <w:szCs w:val="20"/>
        </w:rPr>
        <w:t xml:space="preserve">ks can be unexpectedly reversed </w:t>
      </w:r>
      <w:r w:rsidR="00523AA2" w:rsidRPr="00683336">
        <w:rPr>
          <w:rFonts w:ascii="Arial" w:hAnsi="Arial" w:cs="Arial"/>
          <w:sz w:val="20"/>
          <w:szCs w:val="20"/>
        </w:rPr>
        <w:t xml:space="preserve">by wildfires, disease outbreaks, </w:t>
      </w:r>
      <w:r w:rsidRPr="00683336">
        <w:rPr>
          <w:rFonts w:ascii="Arial" w:hAnsi="Arial" w:cs="Arial"/>
          <w:sz w:val="20"/>
          <w:szCs w:val="20"/>
        </w:rPr>
        <w:t xml:space="preserve">or even future land development </w:t>
      </w:r>
      <w:r w:rsidR="00523AA2" w:rsidRPr="00683336">
        <w:rPr>
          <w:rFonts w:ascii="Arial" w:hAnsi="Arial" w:cs="Arial"/>
          <w:sz w:val="20"/>
          <w:szCs w:val="20"/>
        </w:rPr>
        <w:t>erasing years of hard-earned progress (Cames et al., 2016).</w:t>
      </w:r>
      <w:r w:rsidRPr="00683336">
        <w:rPr>
          <w:rFonts w:ascii="Arial" w:hAnsi="Arial" w:cs="Arial"/>
          <w:sz w:val="20"/>
          <w:szCs w:val="20"/>
        </w:rPr>
        <w:t xml:space="preserve"> </w:t>
      </w:r>
      <w:r w:rsidR="00523AA2" w:rsidRPr="00683336">
        <w:rPr>
          <w:rFonts w:ascii="Arial" w:hAnsi="Arial" w:cs="Arial"/>
          <w:sz w:val="20"/>
          <w:szCs w:val="20"/>
        </w:rPr>
        <w:t xml:space="preserve">There’s </w:t>
      </w:r>
      <w:r w:rsidR="00523AA2" w:rsidRPr="00683336">
        <w:rPr>
          <w:rFonts w:ascii="Arial" w:hAnsi="Arial" w:cs="Arial"/>
          <w:sz w:val="20"/>
          <w:szCs w:val="20"/>
        </w:rPr>
        <w:lastRenderedPageBreak/>
        <w:t>also the issue of double counting, where the same emissions reduction might be claimed by both a project developer and a government for national targets. This muddles the math and weakens the reliability of climate accounting, particularly in international climate agreements (Prag et al., 2012).</w:t>
      </w:r>
    </w:p>
    <w:p w14:paraId="64514CD1" w14:textId="77777777" w:rsidR="00523AA2" w:rsidRPr="00683336" w:rsidRDefault="00EE534B" w:rsidP="00683336">
      <w:pPr>
        <w:spacing w:line="240" w:lineRule="auto"/>
        <w:jc w:val="both"/>
        <w:rPr>
          <w:rFonts w:ascii="Arial" w:hAnsi="Arial" w:cs="Arial"/>
          <w:sz w:val="20"/>
          <w:szCs w:val="20"/>
        </w:rPr>
      </w:pPr>
      <w:r w:rsidRPr="00683336">
        <w:rPr>
          <w:rFonts w:ascii="Arial" w:hAnsi="Arial" w:cs="Arial"/>
          <w:sz w:val="20"/>
          <w:szCs w:val="20"/>
        </w:rPr>
        <w:tab/>
      </w:r>
      <w:r w:rsidR="00523AA2" w:rsidRPr="00683336">
        <w:rPr>
          <w:rFonts w:ascii="Arial" w:hAnsi="Arial" w:cs="Arial"/>
          <w:sz w:val="20"/>
          <w:szCs w:val="20"/>
        </w:rPr>
        <w:t>Adding to the complexity is the lack of consistency across standards and methods. Without a single regulatory body to oversee the entire VCM ecosystem, the quality, transparency, and credibility of carbon projects can vary dramatically. For buyers, this makes it difficult to know</w:t>
      </w:r>
      <w:r w:rsidRPr="00683336">
        <w:rPr>
          <w:rFonts w:ascii="Arial" w:hAnsi="Arial" w:cs="Arial"/>
          <w:sz w:val="20"/>
          <w:szCs w:val="20"/>
        </w:rPr>
        <w:t xml:space="preserve"> what they’re really paying for </w:t>
      </w:r>
      <w:r w:rsidR="00523AA2" w:rsidRPr="00683336">
        <w:rPr>
          <w:rFonts w:ascii="Arial" w:hAnsi="Arial" w:cs="Arial"/>
          <w:sz w:val="20"/>
          <w:szCs w:val="20"/>
        </w:rPr>
        <w:t>and for the public, it can raise concerns about whether the market is truly delivering on its promises (Lazarus et al., 2016; Broekhoff et al., 2019).</w:t>
      </w:r>
      <w:r w:rsidRPr="00683336">
        <w:rPr>
          <w:rFonts w:ascii="Arial" w:hAnsi="Arial" w:cs="Arial"/>
          <w:sz w:val="20"/>
          <w:szCs w:val="20"/>
        </w:rPr>
        <w:t xml:space="preserve"> </w:t>
      </w:r>
      <w:r w:rsidR="00523AA2" w:rsidRPr="00683336">
        <w:rPr>
          <w:rFonts w:ascii="Arial" w:hAnsi="Arial" w:cs="Arial"/>
          <w:sz w:val="20"/>
          <w:szCs w:val="20"/>
        </w:rPr>
        <w:t>But it’s not all doom and gloom. Reform is underway. Organizations like the Integrity Council for the Voluntary Carbon Market (ICVCM) and the Voluntary Carbon Markets Integrity Initiative (VCMI) are stepping in to develop common principles, tougher verification standards, and greater transparency.</w:t>
      </w:r>
    </w:p>
    <w:p w14:paraId="1DFCE331" w14:textId="77777777" w:rsidR="00E97343" w:rsidRPr="00683336" w:rsidRDefault="00683336" w:rsidP="00683336">
      <w:pPr>
        <w:pStyle w:val="ListParagraph"/>
        <w:numPr>
          <w:ilvl w:val="0"/>
          <w:numId w:val="1"/>
        </w:numPr>
        <w:spacing w:line="240" w:lineRule="auto"/>
        <w:ind w:left="360"/>
        <w:jc w:val="both"/>
        <w:rPr>
          <w:rStyle w:val="red"/>
          <w:rFonts w:ascii="Arial" w:hAnsi="Arial" w:cs="Arial"/>
          <w:b/>
          <w:szCs w:val="20"/>
        </w:rPr>
      </w:pPr>
      <w:r w:rsidRPr="00683336">
        <w:rPr>
          <w:rStyle w:val="red"/>
          <w:rFonts w:ascii="Arial" w:hAnsi="Arial" w:cs="Arial"/>
          <w:b/>
          <w:szCs w:val="20"/>
        </w:rPr>
        <w:t xml:space="preserve">CARBON TRADING IN INDIA </w:t>
      </w:r>
    </w:p>
    <w:p w14:paraId="09A48C8C" w14:textId="77777777" w:rsidR="00AA48C5" w:rsidRPr="00683336" w:rsidRDefault="00683336" w:rsidP="00683336">
      <w:pPr>
        <w:pStyle w:val="ListParagraph"/>
        <w:numPr>
          <w:ilvl w:val="1"/>
          <w:numId w:val="1"/>
        </w:numPr>
        <w:tabs>
          <w:tab w:val="left" w:pos="0"/>
        </w:tabs>
        <w:spacing w:line="240" w:lineRule="auto"/>
        <w:ind w:left="450"/>
        <w:jc w:val="both"/>
        <w:rPr>
          <w:rStyle w:val="red"/>
          <w:rFonts w:ascii="Arial" w:hAnsi="Arial" w:cs="Arial"/>
          <w:b/>
          <w:szCs w:val="20"/>
        </w:rPr>
      </w:pPr>
      <w:r w:rsidRPr="00683336">
        <w:rPr>
          <w:rFonts w:ascii="Arial" w:hAnsi="Arial" w:cs="Arial"/>
          <w:b/>
          <w:szCs w:val="20"/>
        </w:rPr>
        <w:t>INDIA’S ROLE IN THE COMPLIANCE MARKET</w:t>
      </w:r>
    </w:p>
    <w:p w14:paraId="08B07DC0" w14:textId="77777777" w:rsidR="00F928BA" w:rsidRPr="00F928BA" w:rsidRDefault="006D6823" w:rsidP="00F928BA">
      <w:pPr>
        <w:spacing w:line="240" w:lineRule="auto"/>
        <w:jc w:val="both"/>
        <w:rPr>
          <w:rFonts w:ascii="Arial" w:hAnsi="Arial" w:cs="Arial"/>
          <w:sz w:val="20"/>
        </w:rPr>
      </w:pPr>
      <w:r w:rsidRPr="00683336">
        <w:rPr>
          <w:rFonts w:ascii="Arial" w:eastAsia="Times New Roman" w:hAnsi="Arial" w:cs="Arial"/>
          <w:sz w:val="20"/>
          <w:szCs w:val="20"/>
        </w:rPr>
        <w:tab/>
        <w:t xml:space="preserve">India is one of the leading countries in carbon credit trading, participating in both compliance and voluntary markets. </w:t>
      </w:r>
      <w:r w:rsidR="00F928BA" w:rsidRPr="00F928BA">
        <w:rPr>
          <w:rFonts w:ascii="Arial" w:hAnsi="Arial" w:cs="Arial"/>
          <w:sz w:val="20"/>
        </w:rPr>
        <w:t xml:space="preserve">In India, the compliance carbon market is still in its early stages. However, the country has already laid important groundwork through initiatives like the Perform, Achieve, and Trade (PAT) scheme, which helped save over 106 million </w:t>
      </w:r>
      <w:proofErr w:type="spellStart"/>
      <w:r w:rsidR="00F928BA" w:rsidRPr="00F928BA">
        <w:rPr>
          <w:rFonts w:ascii="Arial" w:hAnsi="Arial" w:cs="Arial"/>
          <w:sz w:val="20"/>
        </w:rPr>
        <w:t>tonnes</w:t>
      </w:r>
      <w:proofErr w:type="spellEnd"/>
      <w:r w:rsidR="00F928BA" w:rsidRPr="00F928BA">
        <w:rPr>
          <w:rFonts w:ascii="Arial" w:hAnsi="Arial" w:cs="Arial"/>
          <w:sz w:val="20"/>
        </w:rPr>
        <w:t xml:space="preserve"> of CO</w:t>
      </w:r>
      <w:r w:rsidR="00F928BA" w:rsidRPr="00F928BA">
        <w:rPr>
          <w:rFonts w:cs="Arial"/>
          <w:sz w:val="20"/>
        </w:rPr>
        <w:t>₂</w:t>
      </w:r>
      <w:r w:rsidR="00F928BA" w:rsidRPr="00F928BA">
        <w:rPr>
          <w:rFonts w:ascii="Arial" w:hAnsi="Arial" w:cs="Arial"/>
          <w:sz w:val="20"/>
        </w:rPr>
        <w:t xml:space="preserve"> emissions between 2015 and mid-2024 (Bureau of Energy Efficiency, </w:t>
      </w:r>
      <w:r w:rsidR="00F928BA">
        <w:rPr>
          <w:rFonts w:ascii="Arial" w:hAnsi="Arial" w:cs="Arial"/>
          <w:sz w:val="20"/>
        </w:rPr>
        <w:t>2025</w:t>
      </w:r>
      <w:r w:rsidR="00F928BA" w:rsidRPr="00F928BA">
        <w:rPr>
          <w:rFonts w:ascii="Arial" w:hAnsi="Arial" w:cs="Arial"/>
          <w:sz w:val="20"/>
        </w:rPr>
        <w:t>). With the recent launch of the Carbon Credit Trading Scheme (CCTS), India is now moving toward a more structured and regulated carbon market. While the exact volume of carbon credits traded is yet to be seen, these steps signal a strong commitment to using market-based tools to tackle climate change.</w:t>
      </w:r>
    </w:p>
    <w:p w14:paraId="75D4ECA3" w14:textId="77777777" w:rsidR="00C53EB9" w:rsidRPr="00683336" w:rsidRDefault="00F928BA" w:rsidP="00683336">
      <w:pPr>
        <w:spacing w:line="240" w:lineRule="auto"/>
        <w:jc w:val="both"/>
        <w:rPr>
          <w:rFonts w:ascii="Arial" w:hAnsi="Arial" w:cs="Arial"/>
          <w:b/>
          <w:sz w:val="20"/>
          <w:szCs w:val="20"/>
          <w:highlight w:val="yellow"/>
        </w:rPr>
      </w:pPr>
      <w:r>
        <w:rPr>
          <w:rFonts w:ascii="Arial" w:eastAsia="Times New Roman" w:hAnsi="Arial" w:cs="Arial"/>
          <w:sz w:val="20"/>
          <w:szCs w:val="20"/>
        </w:rPr>
        <w:tab/>
      </w:r>
      <w:r w:rsidR="006D6823" w:rsidRPr="00683336">
        <w:rPr>
          <w:rFonts w:ascii="Arial" w:eastAsia="Times New Roman" w:hAnsi="Arial" w:cs="Arial"/>
          <w:sz w:val="20"/>
          <w:szCs w:val="20"/>
        </w:rPr>
        <w:t>The country has earned carbon credits by reducing emissions across fifteen sectors, including energy industries, energy distribution, manufacturing, chemical industry, construction, transport, metal production, mining and mineral production, afforestation and reforestation, and agriculture, forestry, and other land use (AFOLU), among others. Under the compliance market, the Clean Development Mechanism (CDM) was adopted by developing countries like India. The first CDM project from India an HFC-23 abatement project in Gujarat was registered in 2005. India was the leading developer of CDM projects until 2008, after which it was overtaken by China. A total of 3,023 projects</w:t>
      </w:r>
      <w:r w:rsidR="00832A1E" w:rsidRPr="00683336">
        <w:rPr>
          <w:rFonts w:ascii="Arial" w:eastAsia="Times New Roman" w:hAnsi="Arial" w:cs="Arial"/>
          <w:sz w:val="20"/>
          <w:szCs w:val="20"/>
        </w:rPr>
        <w:t xml:space="preserve"> (figure 4)</w:t>
      </w:r>
      <w:r w:rsidR="006D6823" w:rsidRPr="00683336">
        <w:rPr>
          <w:rFonts w:ascii="Arial" w:eastAsia="Times New Roman" w:hAnsi="Arial" w:cs="Arial"/>
          <w:sz w:val="20"/>
          <w:szCs w:val="20"/>
        </w:rPr>
        <w:t xml:space="preserve"> have been approved by the National CDM Authority (NCDMA). Maharashtra leads with 398 approved projects, followed by Gujarat with 391, and Tamil Nadu with 379. Maharashtra alone accounts for approximately 13 per cent of the total approved projects. </w:t>
      </w:r>
      <w:r w:rsidR="006D6823" w:rsidRPr="00683336">
        <w:rPr>
          <w:rFonts w:ascii="Arial" w:hAnsi="Arial" w:cs="Arial"/>
          <w:sz w:val="20"/>
          <w:szCs w:val="20"/>
        </w:rPr>
        <w:t>Most of the carbon offset projects in India are focused on energy generation (Solar, wind, Hydro, biogas etc.).</w:t>
      </w:r>
      <w:r w:rsidR="006D6823" w:rsidRPr="00683336">
        <w:rPr>
          <w:rFonts w:ascii="Arial" w:eastAsia="Times New Roman" w:hAnsi="Arial" w:cs="Arial"/>
          <w:sz w:val="20"/>
          <w:szCs w:val="20"/>
        </w:rPr>
        <w:t xml:space="preserve">These efforts form a crucial part of India's broader strategy to reach net-zero emissions by 2070 </w:t>
      </w:r>
      <w:r w:rsidR="006D6823" w:rsidRPr="00683336">
        <w:rPr>
          <w:rStyle w:val="red"/>
          <w:rFonts w:ascii="Arial" w:hAnsi="Arial" w:cs="Arial"/>
          <w:sz w:val="20"/>
          <w:szCs w:val="20"/>
        </w:rPr>
        <w:t xml:space="preserve">(BEE, 2023; </w:t>
      </w:r>
      <w:proofErr w:type="spellStart"/>
      <w:r w:rsidR="006D6823" w:rsidRPr="00683336">
        <w:rPr>
          <w:rStyle w:val="red"/>
          <w:rFonts w:ascii="Arial" w:hAnsi="Arial" w:cs="Arial"/>
          <w:sz w:val="20"/>
          <w:szCs w:val="20"/>
        </w:rPr>
        <w:t>MoEFCC</w:t>
      </w:r>
      <w:proofErr w:type="spellEnd"/>
      <w:r w:rsidR="006D6823" w:rsidRPr="00683336">
        <w:rPr>
          <w:rStyle w:val="red"/>
          <w:rFonts w:ascii="Arial" w:hAnsi="Arial" w:cs="Arial"/>
          <w:sz w:val="20"/>
          <w:szCs w:val="20"/>
        </w:rPr>
        <w:t>, 2022)</w:t>
      </w:r>
      <w:r w:rsidR="006D6823" w:rsidRPr="00683336">
        <w:rPr>
          <w:rFonts w:ascii="Arial" w:eastAsia="Times New Roman" w:hAnsi="Arial" w:cs="Arial"/>
          <w:sz w:val="20"/>
          <w:szCs w:val="20"/>
        </w:rPr>
        <w:t>.</w:t>
      </w:r>
    </w:p>
    <w:p w14:paraId="04872AC5" w14:textId="77777777" w:rsidR="00791D60" w:rsidRDefault="000B30E9" w:rsidP="00791D60">
      <w:pPr>
        <w:spacing w:line="240" w:lineRule="auto"/>
        <w:jc w:val="both"/>
        <w:rPr>
          <w:rFonts w:ascii="Arial" w:hAnsi="Arial" w:cs="Arial"/>
          <w:b/>
          <w:color w:val="FF0000"/>
          <w:sz w:val="20"/>
          <w:szCs w:val="20"/>
        </w:rPr>
      </w:pPr>
      <w:r w:rsidRPr="00683336">
        <w:rPr>
          <w:rFonts w:ascii="Arial" w:hAnsi="Arial" w:cs="Arial"/>
          <w:b/>
          <w:noProof/>
          <w:color w:val="FF0000"/>
          <w:sz w:val="20"/>
          <w:szCs w:val="20"/>
        </w:rPr>
        <w:lastRenderedPageBreak/>
        <w:drawing>
          <wp:inline distT="0" distB="0" distL="0" distR="0" wp14:anchorId="5A5343CD" wp14:editId="475CF48D">
            <wp:extent cx="5936831" cy="3968151"/>
            <wp:effectExtent l="19050" t="0" r="25819"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807D4A" w14:textId="77777777" w:rsidR="00AA48C5" w:rsidRPr="00743072" w:rsidRDefault="00743072" w:rsidP="00683336">
      <w:pPr>
        <w:pStyle w:val="ListParagraph"/>
        <w:numPr>
          <w:ilvl w:val="1"/>
          <w:numId w:val="1"/>
        </w:numPr>
        <w:spacing w:line="240" w:lineRule="auto"/>
        <w:ind w:left="450"/>
        <w:jc w:val="both"/>
        <w:rPr>
          <w:rFonts w:ascii="Arial" w:hAnsi="Arial" w:cs="Arial"/>
          <w:b/>
        </w:rPr>
      </w:pPr>
      <w:r w:rsidRPr="00743072">
        <w:rPr>
          <w:rFonts w:ascii="Arial" w:hAnsi="Arial" w:cs="Arial"/>
          <w:b/>
        </w:rPr>
        <w:t>INDIA’S ROLE IN THE VOLUNTARY MARKET</w:t>
      </w:r>
    </w:p>
    <w:p w14:paraId="6C5362C9" w14:textId="77777777" w:rsidR="00AA48C5" w:rsidRPr="00683336" w:rsidRDefault="00AA48C5" w:rsidP="00683336">
      <w:pPr>
        <w:spacing w:line="240" w:lineRule="auto"/>
        <w:jc w:val="both"/>
        <w:rPr>
          <w:rFonts w:ascii="Arial" w:hAnsi="Arial" w:cs="Arial"/>
          <w:sz w:val="20"/>
          <w:szCs w:val="20"/>
        </w:rPr>
      </w:pPr>
      <w:r w:rsidRPr="00683336">
        <w:rPr>
          <w:rFonts w:ascii="Arial" w:hAnsi="Arial" w:cs="Arial"/>
          <w:sz w:val="20"/>
          <w:szCs w:val="20"/>
        </w:rPr>
        <w:tab/>
        <w:t>India is also stepping into the spotlight. With a strong pipeline of project-based credits especially in renewable energy, energy efficiency, and afforestation many rooted in the earlier Clean Development Mechanism (CDM), India is fast becoming a major supplier of high-quality carbon credits. Nature-based and community-focused projects are gaining traction, appealing to international buyers looking for meaningful and sustainable climate investments.</w:t>
      </w:r>
    </w:p>
    <w:p w14:paraId="5601B03B" w14:textId="77777777" w:rsidR="00DE3F69" w:rsidRDefault="00AA48C5" w:rsidP="00DE3F69">
      <w:pPr>
        <w:spacing w:line="240" w:lineRule="auto"/>
        <w:jc w:val="both"/>
        <w:rPr>
          <w:rFonts w:ascii="Arial" w:hAnsi="Arial" w:cs="Arial"/>
          <w:sz w:val="20"/>
          <w:szCs w:val="20"/>
        </w:rPr>
      </w:pPr>
      <w:r w:rsidRPr="00683336">
        <w:rPr>
          <w:rFonts w:ascii="Arial" w:hAnsi="Arial" w:cs="Arial"/>
          <w:sz w:val="20"/>
          <w:szCs w:val="20"/>
        </w:rPr>
        <w:tab/>
        <w:t>At the same time, Indian companies, particularly those in IT, manufacturing, and infrastructure, are starting to explore voluntary offsets to meet ESG (Environmental, Social, and Governance) expectations and build resilient, sustainable operations (BEE, 2023). The upcoming Carbon Credit Trading Scheme (CCTS), which aims to bring together voluntary and compliance markets, could give India’s carbon credit ecosystem an even bigger boost in the coming years.</w:t>
      </w:r>
    </w:p>
    <w:p w14:paraId="19D2A0FA" w14:textId="77777777" w:rsidR="00DE3F69" w:rsidRPr="00DE3F69" w:rsidRDefault="00DE3F69" w:rsidP="00DE3F69">
      <w:pPr>
        <w:jc w:val="both"/>
        <w:rPr>
          <w:rFonts w:ascii="Arial" w:hAnsi="Arial" w:cs="Arial"/>
          <w:sz w:val="20"/>
        </w:rPr>
      </w:pPr>
      <w:r w:rsidRPr="00DE3F69">
        <w:rPr>
          <w:rFonts w:ascii="Arial" w:hAnsi="Arial" w:cs="Arial"/>
          <w:sz w:val="20"/>
        </w:rPr>
        <w:tab/>
        <w:t>In this context, India emerged as a key player in the voluntary market, issuing approximately 43.4 million carbon credits, positioning itself as the second-largest global issuer after the United States (Abatable, 2024). The country also hosted 237 active carbon credit projects and had 76 active project developers, underlining a robust and expanding project development ecosystem within the nation (Abatable, 2024).</w:t>
      </w:r>
    </w:p>
    <w:p w14:paraId="40764C9E" w14:textId="77777777" w:rsidR="00AA48C5" w:rsidRPr="00683336" w:rsidRDefault="00AA48C5" w:rsidP="00683336">
      <w:pPr>
        <w:spacing w:line="240" w:lineRule="auto"/>
        <w:jc w:val="both"/>
        <w:rPr>
          <w:rStyle w:val="red"/>
          <w:rFonts w:ascii="Arial" w:hAnsi="Arial" w:cs="Arial"/>
          <w:sz w:val="20"/>
          <w:szCs w:val="20"/>
        </w:rPr>
      </w:pPr>
      <w:r w:rsidRPr="00683336">
        <w:rPr>
          <w:rFonts w:ascii="Arial" w:hAnsi="Arial" w:cs="Arial"/>
          <w:sz w:val="20"/>
          <w:szCs w:val="20"/>
        </w:rPr>
        <w:tab/>
        <w:t>Together, these developments highlight how voluntary markets are evolving from optional extras to strategic tools playing a key role in global decarbonization efforts while offering a bridge toward deeper and more permanent emission cuts.</w:t>
      </w:r>
    </w:p>
    <w:p w14:paraId="15663346" w14:textId="77777777" w:rsidR="006153A5" w:rsidRDefault="00743072" w:rsidP="006153A5">
      <w:pPr>
        <w:pStyle w:val="ListParagraph"/>
        <w:numPr>
          <w:ilvl w:val="0"/>
          <w:numId w:val="1"/>
        </w:numPr>
        <w:spacing w:line="240" w:lineRule="auto"/>
        <w:ind w:left="360"/>
        <w:jc w:val="both"/>
        <w:rPr>
          <w:rStyle w:val="red"/>
          <w:rFonts w:ascii="Arial" w:hAnsi="Arial" w:cs="Arial"/>
          <w:szCs w:val="20"/>
        </w:rPr>
      </w:pPr>
      <w:r w:rsidRPr="00743072">
        <w:rPr>
          <w:rStyle w:val="red"/>
          <w:rFonts w:ascii="Arial" w:hAnsi="Arial" w:cs="Arial"/>
          <w:b/>
          <w:szCs w:val="20"/>
        </w:rPr>
        <w:t>CONCLUSION</w:t>
      </w:r>
    </w:p>
    <w:p w14:paraId="0CC9D129" w14:textId="77777777" w:rsidR="006153A5" w:rsidRPr="006153A5" w:rsidRDefault="006153A5" w:rsidP="006153A5">
      <w:pPr>
        <w:pStyle w:val="ListParagraph"/>
        <w:spacing w:line="240" w:lineRule="auto"/>
        <w:ind w:left="0"/>
        <w:jc w:val="both"/>
        <w:rPr>
          <w:rFonts w:ascii="Arial" w:hAnsi="Arial" w:cs="Arial"/>
          <w:szCs w:val="20"/>
        </w:rPr>
      </w:pPr>
      <w:r>
        <w:rPr>
          <w:rStyle w:val="red"/>
          <w:rFonts w:ascii="Arial" w:hAnsi="Arial" w:cs="Arial"/>
          <w:szCs w:val="20"/>
        </w:rPr>
        <w:tab/>
      </w:r>
      <w:r>
        <w:t xml:space="preserve">Both compliance and voluntary carbon markets play critical roles in the global response to climate change. Compliance markets are grounded in regulations and legally binding targets, while voluntary markets enable companies, communities, and individuals to take additional climate action beyond what is required demonstrating genuine environmental leadership. These markets facilitate the earning of carbon credits by funding or implementing projects that reduce, avoid, or remove </w:t>
      </w:r>
      <w:r>
        <w:lastRenderedPageBreak/>
        <w:t>greenhouse gas (GHG) emissions. By providing financial incentives for emission reductions, carbon credits help lower overall GHG concentrations, contributing directly to climate change mitigation</w:t>
      </w:r>
    </w:p>
    <w:p w14:paraId="3569C55F" w14:textId="77777777" w:rsidR="005F67AA" w:rsidRPr="00743072" w:rsidRDefault="00743072" w:rsidP="00683336">
      <w:pPr>
        <w:pStyle w:val="ListParagraph"/>
        <w:numPr>
          <w:ilvl w:val="0"/>
          <w:numId w:val="1"/>
        </w:numPr>
        <w:spacing w:line="240" w:lineRule="auto"/>
        <w:ind w:left="360"/>
        <w:jc w:val="both"/>
        <w:rPr>
          <w:rFonts w:ascii="Arial" w:hAnsi="Arial" w:cs="Arial"/>
          <w:b/>
          <w:szCs w:val="20"/>
        </w:rPr>
      </w:pPr>
      <w:r w:rsidRPr="00743072">
        <w:rPr>
          <w:rFonts w:ascii="Arial" w:hAnsi="Arial" w:cs="Arial"/>
          <w:b/>
          <w:szCs w:val="20"/>
        </w:rPr>
        <w:t>REFERENCE</w:t>
      </w:r>
    </w:p>
    <w:p w14:paraId="35C59F2F"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Abatable. (2024). India voluntary carbon market data 2024. Retrieved from </w:t>
      </w:r>
      <w:hyperlink r:id="rId12" w:tgtFrame="_new" w:history="1">
        <w:r w:rsidRPr="00732CBF">
          <w:rPr>
            <w:rStyle w:val="Hyperlink"/>
            <w:rFonts w:ascii="Arial" w:hAnsi="Arial" w:cs="Arial"/>
            <w:sz w:val="20"/>
            <w:szCs w:val="20"/>
          </w:rPr>
          <w:t>https://www.abatable.com</w:t>
        </w:r>
      </w:hyperlink>
    </w:p>
    <w:p w14:paraId="7978A776"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Bureau of Energy Efficiency (BEE). (2023). Carbon credit trading scheme (CCTS). Bureau of Energy Efficiency, Ministry of Power, Government of India. Retrieved from </w:t>
      </w:r>
      <w:hyperlink r:id="rId13" w:tgtFrame="_new" w:history="1">
        <w:r w:rsidRPr="00732CBF">
          <w:rPr>
            <w:rStyle w:val="Hyperlink"/>
            <w:rFonts w:ascii="Arial" w:hAnsi="Arial" w:cs="Arial"/>
            <w:sz w:val="20"/>
            <w:szCs w:val="20"/>
          </w:rPr>
          <w:t>https://beeindia.gov.in</w:t>
        </w:r>
      </w:hyperlink>
    </w:p>
    <w:p w14:paraId="24BD4E75" w14:textId="77777777" w:rsidR="00626DD1" w:rsidRPr="00732CBF" w:rsidRDefault="00626DD1" w:rsidP="00732CBF">
      <w:pPr>
        <w:spacing w:after="0"/>
        <w:ind w:left="720" w:hanging="720"/>
        <w:jc w:val="both"/>
        <w:rPr>
          <w:rFonts w:ascii="Arial" w:hAnsi="Arial" w:cs="Arial"/>
          <w:sz w:val="20"/>
          <w:szCs w:val="20"/>
        </w:rPr>
      </w:pPr>
      <w:proofErr w:type="spellStart"/>
      <w:r w:rsidRPr="00732CBF">
        <w:rPr>
          <w:rFonts w:ascii="Arial" w:hAnsi="Arial" w:cs="Arial"/>
          <w:sz w:val="20"/>
          <w:szCs w:val="20"/>
        </w:rPr>
        <w:t>Blaufelder</w:t>
      </w:r>
      <w:proofErr w:type="spellEnd"/>
      <w:r w:rsidRPr="00732CBF">
        <w:rPr>
          <w:rFonts w:ascii="Arial" w:hAnsi="Arial" w:cs="Arial"/>
          <w:sz w:val="20"/>
          <w:szCs w:val="20"/>
        </w:rPr>
        <w:t xml:space="preserve">, C., Levy, C., Mannion, P., &amp; Pinner, D. (2021). A blueprint for scaling voluntary carbon markets to meet the climate challenge. McKinsey &amp; Company. Retrieved from </w:t>
      </w:r>
      <w:hyperlink r:id="rId14" w:tgtFrame="_new" w:history="1">
        <w:r w:rsidRPr="00732CBF">
          <w:rPr>
            <w:rStyle w:val="Hyperlink"/>
            <w:rFonts w:ascii="Arial" w:hAnsi="Arial" w:cs="Arial"/>
            <w:sz w:val="20"/>
            <w:szCs w:val="20"/>
          </w:rPr>
          <w:t>https://www.mckinsey.com</w:t>
        </w:r>
      </w:hyperlink>
    </w:p>
    <w:p w14:paraId="0D77AA43"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Boyd, E., Hultman, N., Roberts, J. T., Corbera, E., Cole, J., </w:t>
      </w:r>
      <w:proofErr w:type="spellStart"/>
      <w:r w:rsidRPr="00732CBF">
        <w:rPr>
          <w:rFonts w:ascii="Arial" w:hAnsi="Arial" w:cs="Arial"/>
          <w:sz w:val="20"/>
          <w:szCs w:val="20"/>
        </w:rPr>
        <w:t>Bozmoski</w:t>
      </w:r>
      <w:proofErr w:type="spellEnd"/>
      <w:r w:rsidRPr="00732CBF">
        <w:rPr>
          <w:rFonts w:ascii="Arial" w:hAnsi="Arial" w:cs="Arial"/>
          <w:sz w:val="20"/>
          <w:szCs w:val="20"/>
        </w:rPr>
        <w:t>, A., ... &amp; Liverman, D. M. (2009). Reforming the CDM for sustainable development: Lessons learned and policy futures. Environmental Science &amp; Policy, 12(7), 820–831.</w:t>
      </w:r>
    </w:p>
    <w:p w14:paraId="42CB71F4"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Broekhoff, D., Gillenwater, M., Colbert-Sangree, T., &amp; Cage, P. (2019). Securing climate benefit: A guide to using carbon offsets. Stockholm Environment Institute. Retrieved from </w:t>
      </w:r>
      <w:hyperlink r:id="rId15" w:tgtFrame="_new" w:history="1">
        <w:r w:rsidRPr="00732CBF">
          <w:rPr>
            <w:rStyle w:val="Hyperlink"/>
            <w:rFonts w:ascii="Arial" w:hAnsi="Arial" w:cs="Arial"/>
            <w:sz w:val="20"/>
            <w:szCs w:val="20"/>
          </w:rPr>
          <w:t>https://www.sei.org</w:t>
        </w:r>
      </w:hyperlink>
    </w:p>
    <w:p w14:paraId="11DF7E87"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Bureau of Energy Efficiency. (2025). Carbon market. Retrieved from </w:t>
      </w:r>
      <w:hyperlink w:history="1">
        <w:r w:rsidR="00732CBF" w:rsidRPr="005F676A">
          <w:rPr>
            <w:rStyle w:val="Hyperlink"/>
            <w:rFonts w:ascii="Arial" w:hAnsi="Arial" w:cs="Arial"/>
            <w:sz w:val="20"/>
            <w:szCs w:val="20"/>
          </w:rPr>
          <w:t>https://beeindia.gov. in/en/programmes/carbon-market</w:t>
        </w:r>
      </w:hyperlink>
    </w:p>
    <w:p w14:paraId="4605AF33"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Cames, M., Harthan, R. O., </w:t>
      </w:r>
      <w:proofErr w:type="spellStart"/>
      <w:r w:rsidRPr="00732CBF">
        <w:rPr>
          <w:rFonts w:ascii="Arial" w:hAnsi="Arial" w:cs="Arial"/>
          <w:sz w:val="20"/>
          <w:szCs w:val="20"/>
        </w:rPr>
        <w:t>Füssler</w:t>
      </w:r>
      <w:proofErr w:type="spellEnd"/>
      <w:r w:rsidRPr="00732CBF">
        <w:rPr>
          <w:rFonts w:ascii="Arial" w:hAnsi="Arial" w:cs="Arial"/>
          <w:sz w:val="20"/>
          <w:szCs w:val="20"/>
        </w:rPr>
        <w:t xml:space="preserve">, J., Lazarus, M., Lee, C. M., Erickson, P., &amp; Spalding-Fecher, R. (2016). How additional is the Clean Development Mechanism? </w:t>
      </w:r>
      <w:proofErr w:type="spellStart"/>
      <w:r w:rsidRPr="00732CBF">
        <w:rPr>
          <w:rFonts w:ascii="Arial" w:hAnsi="Arial" w:cs="Arial"/>
          <w:sz w:val="20"/>
          <w:szCs w:val="20"/>
        </w:rPr>
        <w:t>Öko-Institut</w:t>
      </w:r>
      <w:proofErr w:type="spellEnd"/>
      <w:r w:rsidRPr="00732CBF">
        <w:rPr>
          <w:rFonts w:ascii="Arial" w:hAnsi="Arial" w:cs="Arial"/>
          <w:sz w:val="20"/>
          <w:szCs w:val="20"/>
        </w:rPr>
        <w:t xml:space="preserve"> </w:t>
      </w:r>
      <w:proofErr w:type="spellStart"/>
      <w:r w:rsidRPr="00732CBF">
        <w:rPr>
          <w:rFonts w:ascii="Arial" w:hAnsi="Arial" w:cs="Arial"/>
          <w:sz w:val="20"/>
          <w:szCs w:val="20"/>
        </w:rPr>
        <w:t>e.V.</w:t>
      </w:r>
      <w:proofErr w:type="spellEnd"/>
      <w:r w:rsidRPr="00732CBF">
        <w:rPr>
          <w:rFonts w:ascii="Arial" w:hAnsi="Arial" w:cs="Arial"/>
          <w:sz w:val="20"/>
          <w:szCs w:val="20"/>
        </w:rPr>
        <w:t xml:space="preserve"> Retrieved from </w:t>
      </w:r>
      <w:hyperlink r:id="rId16" w:tgtFrame="_new" w:history="1">
        <w:r w:rsidRPr="00732CBF">
          <w:rPr>
            <w:rStyle w:val="Hyperlink"/>
            <w:rFonts w:ascii="Arial" w:hAnsi="Arial" w:cs="Arial"/>
            <w:sz w:val="20"/>
            <w:szCs w:val="20"/>
          </w:rPr>
          <w:t>https://ec.europa.eu/clima/sites/clima/files/ets/docs/clean_dev%20mechanism_en.pdf</w:t>
        </w:r>
      </w:hyperlink>
    </w:p>
    <w:p w14:paraId="631F0D2B"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California Air Resources Board. (2022). California cap-and-trade program. </w:t>
      </w:r>
      <w:hyperlink r:id="rId17" w:tgtFrame="_new" w:history="1">
        <w:r w:rsidRPr="00732CBF">
          <w:rPr>
            <w:rStyle w:val="Hyperlink"/>
            <w:rFonts w:ascii="Arial" w:hAnsi="Arial" w:cs="Arial"/>
            <w:sz w:val="20"/>
            <w:szCs w:val="20"/>
          </w:rPr>
          <w:t>https://ww2.arb.ca.gov/our-work/programs/cap-and-trade-program</w:t>
        </w:r>
      </w:hyperlink>
    </w:p>
    <w:p w14:paraId="39491C10"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Carbon Market Watch. (2024). Annual report on carbon credit retirements.</w:t>
      </w:r>
    </w:p>
    <w:p w14:paraId="44C66BCD"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Climate Watch. (2024). Buildings [Dataset]. Greenhouse gas emissions by sector. [Original data processed by Our World in Data].</w:t>
      </w:r>
    </w:p>
    <w:p w14:paraId="0B227716"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Department for Environment, Food &amp; Rural Affairs. (2023). Overview of greenhouse gases. </w:t>
      </w:r>
      <w:hyperlink r:id="rId18" w:history="1">
        <w:r w:rsidRPr="00732CBF">
          <w:rPr>
            <w:rStyle w:val="Hyperlink"/>
            <w:rFonts w:ascii="Arial" w:hAnsi="Arial" w:cs="Arial"/>
            <w:sz w:val="20"/>
            <w:szCs w:val="20"/>
          </w:rPr>
          <w:t>https://www.gov.uk/government/collections/greenhouse-gas-reporting-guidance</w:t>
        </w:r>
      </w:hyperlink>
    </w:p>
    <w:p w14:paraId="443F31C7"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Donofrio, S., Maguire, P., &amp; Zwick, S. (2020). Voluntary carbon and the post-pandemic recovery. Forest Trends’ Ecosystem Marketplace.</w:t>
      </w:r>
    </w:p>
    <w:p w14:paraId="47656E44"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Ecosystem Marketplace. (2021). Voluntary carbon markets outlook 2021. Forest Trends. </w:t>
      </w:r>
      <w:hyperlink r:id="rId19" w:tgtFrame="_new" w:history="1">
        <w:r w:rsidRPr="00732CBF">
          <w:rPr>
            <w:rStyle w:val="Hyperlink"/>
            <w:rFonts w:ascii="Arial" w:hAnsi="Arial" w:cs="Arial"/>
            <w:sz w:val="20"/>
            <w:szCs w:val="20"/>
          </w:rPr>
          <w:t>https://www.ecosystemmarketplace.com</w:t>
        </w:r>
      </w:hyperlink>
    </w:p>
    <w:p w14:paraId="194411C7"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Ellerman, A. D., &amp; Buchner, B. K. (2007). The European Union Emissions Trading Scheme: Origins, allocation, and early results. Review of Environmental Economics and Policy, 1(1), 66–87. </w:t>
      </w:r>
      <w:hyperlink r:id="rId20" w:tgtFrame="_new" w:history="1">
        <w:r w:rsidRPr="00732CBF">
          <w:rPr>
            <w:rStyle w:val="Hyperlink"/>
            <w:rFonts w:ascii="Arial" w:hAnsi="Arial" w:cs="Arial"/>
            <w:sz w:val="20"/>
            <w:szCs w:val="20"/>
          </w:rPr>
          <w:t>https://doi.org/10.1093/reep/rem003</w:t>
        </w:r>
      </w:hyperlink>
    </w:p>
    <w:p w14:paraId="636AC86C" w14:textId="77777777" w:rsidR="00626DD1"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Ellerman, A. D., Convery, F. J., &amp; De </w:t>
      </w:r>
      <w:proofErr w:type="spellStart"/>
      <w:r w:rsidRPr="00732CBF">
        <w:rPr>
          <w:rFonts w:ascii="Arial" w:hAnsi="Arial" w:cs="Arial"/>
          <w:sz w:val="20"/>
          <w:szCs w:val="20"/>
        </w:rPr>
        <w:t>Perthuis</w:t>
      </w:r>
      <w:proofErr w:type="spellEnd"/>
      <w:r w:rsidRPr="00732CBF">
        <w:rPr>
          <w:rFonts w:ascii="Arial" w:hAnsi="Arial" w:cs="Arial"/>
          <w:sz w:val="20"/>
          <w:szCs w:val="20"/>
        </w:rPr>
        <w:t xml:space="preserve">, C. (2010). Pricing carbon: The European Union Emissions Trading Scheme. Cambridge University Press. </w:t>
      </w:r>
      <w:hyperlink r:id="rId21" w:history="1">
        <w:r w:rsidR="00732CBF" w:rsidRPr="005F676A">
          <w:rPr>
            <w:rStyle w:val="Hyperlink"/>
            <w:rFonts w:ascii="Arial" w:hAnsi="Arial" w:cs="Arial"/>
            <w:sz w:val="20"/>
            <w:szCs w:val="20"/>
          </w:rPr>
          <w:t>https://doi.org/10.1017/ CBO9780511760803</w:t>
        </w:r>
      </w:hyperlink>
    </w:p>
    <w:p w14:paraId="1297BBDE"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European Commission. (2022). EU Emissions Trading System (EU ETS). </w:t>
      </w:r>
      <w:hyperlink w:history="1">
        <w:r w:rsidR="00732CBF" w:rsidRPr="005F676A">
          <w:rPr>
            <w:rStyle w:val="Hyperlink"/>
            <w:rFonts w:ascii="Arial" w:hAnsi="Arial" w:cs="Arial"/>
            <w:sz w:val="20"/>
            <w:szCs w:val="20"/>
          </w:rPr>
          <w:t>https://climate.ec.europa.eu /eu-action/eu-emissions-trading-system-eu-ets_en</w:t>
        </w:r>
      </w:hyperlink>
    </w:p>
    <w:p w14:paraId="620EE4F3"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European Commission. (2023). EU carbon market continues to deliver emission reductions. </w:t>
      </w:r>
      <w:hyperlink r:id="rId22" w:tgtFrame="_new" w:history="1">
        <w:r w:rsidRPr="00732CBF">
          <w:rPr>
            <w:rStyle w:val="Hyperlink"/>
            <w:rFonts w:ascii="Arial" w:hAnsi="Arial" w:cs="Arial"/>
            <w:sz w:val="20"/>
            <w:szCs w:val="20"/>
          </w:rPr>
          <w:t>https://climate.ec.europa.eu/eu-action/eu-emissions-trading-system-eu-ets_en</w:t>
        </w:r>
      </w:hyperlink>
    </w:p>
    <w:p w14:paraId="70722C0B"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European Environment Agency. (2021). Trends and projections in the EU ETS. </w:t>
      </w:r>
      <w:hyperlink r:id="rId23" w:tgtFrame="_new" w:history="1">
        <w:r w:rsidRPr="00732CBF">
          <w:rPr>
            <w:rStyle w:val="Hyperlink"/>
            <w:rFonts w:ascii="Arial" w:hAnsi="Arial" w:cs="Arial"/>
            <w:sz w:val="20"/>
            <w:szCs w:val="20"/>
          </w:rPr>
          <w:t>https://www.eea.europa.eu</w:t>
        </w:r>
      </w:hyperlink>
    </w:p>
    <w:p w14:paraId="6710A62B"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Forest Trends. (2023). Voluntary carbon market insights. </w:t>
      </w:r>
      <w:hyperlink r:id="rId24" w:tgtFrame="_new" w:history="1">
        <w:r w:rsidRPr="00732CBF">
          <w:rPr>
            <w:rStyle w:val="Hyperlink"/>
            <w:rFonts w:ascii="Arial" w:hAnsi="Arial" w:cs="Arial"/>
            <w:sz w:val="20"/>
            <w:szCs w:val="20"/>
          </w:rPr>
          <w:t>https://www.forest-trends.org/</w:t>
        </w:r>
      </w:hyperlink>
    </w:p>
    <w:p w14:paraId="04C3A959"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Schmidt, G. A. (2010). Taking the measure of the greenhouse effect. NASA Goddard Institute for Space Studies – Science Briefs. </w:t>
      </w:r>
      <w:hyperlink r:id="rId25" w:tgtFrame="_new" w:history="1">
        <w:r w:rsidRPr="00732CBF">
          <w:rPr>
            <w:rStyle w:val="Hyperlink"/>
            <w:rFonts w:ascii="Arial" w:hAnsi="Arial" w:cs="Arial"/>
            <w:sz w:val="20"/>
            <w:szCs w:val="20"/>
          </w:rPr>
          <w:t>https://www.giss.nasa.gov/research/briefs/schmidt_05/</w:t>
        </w:r>
      </w:hyperlink>
    </w:p>
    <w:p w14:paraId="61447A1F" w14:textId="77777777" w:rsidR="00626DD1"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Gillenwater, M. (2012). What is additionality? Part 1: A long-standing problem. Greenhouse Gas Management Institute. </w:t>
      </w:r>
      <w:hyperlink r:id="rId26" w:history="1">
        <w:r w:rsidR="00732CBF" w:rsidRPr="005F676A">
          <w:rPr>
            <w:rStyle w:val="Hyperlink"/>
            <w:rFonts w:ascii="Arial" w:hAnsi="Arial" w:cs="Arial"/>
            <w:sz w:val="20"/>
            <w:szCs w:val="20"/>
          </w:rPr>
          <w:t>https://ghginstitute.org/2012/01/05/what-is-additionality-part-1/</w:t>
        </w:r>
      </w:hyperlink>
    </w:p>
    <w:p w14:paraId="1B0DD958"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Global Carbon Project. (2023). Annual CO</w:t>
      </w:r>
      <w:r w:rsidRPr="00732CBF">
        <w:rPr>
          <w:rFonts w:cs="Arial"/>
          <w:sz w:val="20"/>
          <w:szCs w:val="20"/>
        </w:rPr>
        <w:t>₂</w:t>
      </w:r>
      <w:r w:rsidRPr="00732CBF">
        <w:rPr>
          <w:rFonts w:ascii="Arial" w:hAnsi="Arial" w:cs="Arial"/>
          <w:sz w:val="20"/>
          <w:szCs w:val="20"/>
        </w:rPr>
        <w:t xml:space="preserve"> emissions – GCB [Data set]. In Global Carbon Budget (2023), processed by Our World in Data. </w:t>
      </w:r>
      <w:hyperlink r:id="rId27" w:history="1">
        <w:r w:rsidRPr="00732CBF">
          <w:rPr>
            <w:rStyle w:val="Hyperlink"/>
            <w:rFonts w:ascii="Arial" w:hAnsi="Arial" w:cs="Arial"/>
            <w:sz w:val="20"/>
            <w:szCs w:val="20"/>
          </w:rPr>
          <w:t>https://ourworldindata.org/co2-emissions</w:t>
        </w:r>
      </w:hyperlink>
    </w:p>
    <w:p w14:paraId="7D57D5E3"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Global Market Insights. (2025). Compliance carbon credit market size – By end use, analysis, share, growth forecast, 2025–2034. </w:t>
      </w:r>
      <w:hyperlink r:id="rId28" w:tgtFrame="_new" w:history="1">
        <w:r w:rsidRPr="00732CBF">
          <w:rPr>
            <w:rStyle w:val="Hyperlink"/>
            <w:rFonts w:ascii="Arial" w:hAnsi="Arial" w:cs="Arial"/>
            <w:sz w:val="20"/>
            <w:szCs w:val="20"/>
          </w:rPr>
          <w:t>https://www.gminsights.com/</w:t>
        </w:r>
      </w:hyperlink>
    </w:p>
    <w:p w14:paraId="2DB56C43"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lastRenderedPageBreak/>
        <w:t xml:space="preserve">Gold Standard. (2021). Gold Standard for the Global Goals. </w:t>
      </w:r>
      <w:hyperlink r:id="rId29" w:tgtFrame="_new" w:history="1">
        <w:r w:rsidRPr="00732CBF">
          <w:rPr>
            <w:rStyle w:val="Hyperlink"/>
            <w:rFonts w:ascii="Arial" w:hAnsi="Arial" w:cs="Arial"/>
            <w:sz w:val="20"/>
            <w:szCs w:val="20"/>
          </w:rPr>
          <w:t>https://www.goldstandard.org</w:t>
        </w:r>
      </w:hyperlink>
    </w:p>
    <w:p w14:paraId="2407177D"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Hamrick, K., &amp; Gallant, M. (2017). Unlocking potential: State of the voluntary carbon markets 2017. Forest Trends’ Ecosystem Marketplace. </w:t>
      </w:r>
      <w:hyperlink r:id="rId30" w:tgtFrame="_new" w:history="1">
        <w:r w:rsidRPr="00732CBF">
          <w:rPr>
            <w:rStyle w:val="Hyperlink"/>
            <w:rFonts w:ascii="Arial" w:hAnsi="Arial" w:cs="Arial"/>
            <w:sz w:val="20"/>
            <w:szCs w:val="20"/>
          </w:rPr>
          <w:t>https://www.ecosystemmarketplace.com</w:t>
        </w:r>
      </w:hyperlink>
    </w:p>
    <w:p w14:paraId="3F1CE563"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International Carbon Action Partnership (ICAP). (2023). Emissions trading worldwide: Status report 2023. </w:t>
      </w:r>
      <w:hyperlink r:id="rId31" w:tgtFrame="_new" w:history="1">
        <w:r w:rsidRPr="00732CBF">
          <w:rPr>
            <w:rStyle w:val="Hyperlink"/>
            <w:rFonts w:ascii="Arial" w:hAnsi="Arial" w:cs="Arial"/>
            <w:sz w:val="20"/>
            <w:szCs w:val="20"/>
          </w:rPr>
          <w:t>https://icapcarbonaction.com/en/status-report-2023</w:t>
        </w:r>
      </w:hyperlink>
    </w:p>
    <w:p w14:paraId="5298CBAC"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Integrity Council for the Voluntary Carbon Market (ICVCM). (2023). Core carbon principles and assessment framework. </w:t>
      </w:r>
      <w:hyperlink r:id="rId32" w:tgtFrame="_new" w:history="1">
        <w:r w:rsidRPr="00732CBF">
          <w:rPr>
            <w:rStyle w:val="Hyperlink"/>
            <w:rFonts w:ascii="Arial" w:hAnsi="Arial" w:cs="Arial"/>
            <w:sz w:val="20"/>
            <w:szCs w:val="20"/>
          </w:rPr>
          <w:t>https://icvcm.org</w:t>
        </w:r>
      </w:hyperlink>
    </w:p>
    <w:p w14:paraId="4ACA74FA"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Intergovernmental Panel on Climate Change (IPCC). (2021). Climate change 2021: The physical science basis. Contribution of Working Group I to the Sixth Assessment Report of the Intergovernmental Panel on Climate Change. </w:t>
      </w:r>
      <w:hyperlink r:id="rId33" w:history="1">
        <w:r w:rsidRPr="00732CBF">
          <w:rPr>
            <w:rStyle w:val="Hyperlink"/>
            <w:rFonts w:ascii="Arial" w:hAnsi="Arial" w:cs="Arial"/>
            <w:sz w:val="20"/>
            <w:szCs w:val="20"/>
          </w:rPr>
          <w:t>https://www.ipcc.ch/report/ar6/wg1/</w:t>
        </w:r>
      </w:hyperlink>
    </w:p>
    <w:p w14:paraId="53F67F73" w14:textId="77777777" w:rsidR="00626DD1" w:rsidRPr="00732CBF" w:rsidRDefault="00626DD1" w:rsidP="00732CBF">
      <w:pPr>
        <w:spacing w:after="0"/>
        <w:ind w:left="720" w:hanging="720"/>
        <w:jc w:val="both"/>
        <w:rPr>
          <w:rFonts w:ascii="Arial" w:hAnsi="Arial" w:cs="Arial"/>
          <w:sz w:val="20"/>
          <w:szCs w:val="20"/>
        </w:rPr>
      </w:pPr>
      <w:proofErr w:type="spellStart"/>
      <w:r w:rsidRPr="00732CBF">
        <w:rPr>
          <w:rFonts w:ascii="Arial" w:hAnsi="Arial" w:cs="Arial"/>
          <w:sz w:val="20"/>
          <w:szCs w:val="20"/>
        </w:rPr>
        <w:t>Kossoy</w:t>
      </w:r>
      <w:proofErr w:type="spellEnd"/>
      <w:r w:rsidRPr="00732CBF">
        <w:rPr>
          <w:rFonts w:ascii="Arial" w:hAnsi="Arial" w:cs="Arial"/>
          <w:sz w:val="20"/>
          <w:szCs w:val="20"/>
        </w:rPr>
        <w:t xml:space="preserve">, A., Peszko, G., Oppermann, K., Prytz, N., Klein, N., Blok, K., Lam, L., &amp; Wong, L. (2015). State and trends of carbon pricing 2015. World Bank Group. </w:t>
      </w:r>
      <w:hyperlink w:history="1">
        <w:r w:rsidR="00732CBF" w:rsidRPr="005F676A">
          <w:rPr>
            <w:rStyle w:val="Hyperlink"/>
            <w:rFonts w:ascii="Arial" w:hAnsi="Arial" w:cs="Arial"/>
            <w:sz w:val="20"/>
            <w:szCs w:val="20"/>
          </w:rPr>
          <w:t>https://openknowledge. worldbank.org</w:t>
        </w:r>
      </w:hyperlink>
    </w:p>
    <w:p w14:paraId="32843672"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Lazarus, M., Schneider, L., &amp; Broekhoff, D. (2016). Robust accounting of international transfers under Article 6 of the Paris Agreement. Stockholm Environment Institute. </w:t>
      </w:r>
      <w:hyperlink r:id="rId34" w:tgtFrame="_new" w:history="1">
        <w:r w:rsidRPr="00732CBF">
          <w:rPr>
            <w:rStyle w:val="Hyperlink"/>
            <w:rFonts w:ascii="Arial" w:hAnsi="Arial" w:cs="Arial"/>
            <w:sz w:val="20"/>
            <w:szCs w:val="20"/>
          </w:rPr>
          <w:t>https://www.sei.org</w:t>
        </w:r>
      </w:hyperlink>
    </w:p>
    <w:p w14:paraId="15297AD3"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LinkedIn. (2024). Voluntary carbon market 2024 updates. </w:t>
      </w:r>
      <w:hyperlink r:id="rId35" w:tgtFrame="_new" w:history="1">
        <w:r w:rsidRPr="00732CBF">
          <w:rPr>
            <w:rStyle w:val="Hyperlink"/>
            <w:rFonts w:ascii="Arial" w:hAnsi="Arial" w:cs="Arial"/>
            <w:sz w:val="20"/>
            <w:szCs w:val="20"/>
          </w:rPr>
          <w:t>https://www.linkedin.com</w:t>
        </w:r>
      </w:hyperlink>
    </w:p>
    <w:p w14:paraId="7359A819"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Mehling, M., Metcalf, G. E., &amp; Stavins, R. N. (2018). Linking climate policies to advance global mitigation: Joining jurisdictions can increase efficiency of mitigation. Science, 359(6379), 997–998. </w:t>
      </w:r>
      <w:hyperlink r:id="rId36" w:history="1">
        <w:r w:rsidRPr="00732CBF">
          <w:rPr>
            <w:rStyle w:val="Hyperlink"/>
            <w:rFonts w:ascii="Arial" w:hAnsi="Arial" w:cs="Arial"/>
            <w:sz w:val="20"/>
            <w:szCs w:val="20"/>
          </w:rPr>
          <w:t>https://doi.org/10.1126/science.aaq0409</w:t>
        </w:r>
      </w:hyperlink>
    </w:p>
    <w:p w14:paraId="5192B0CE"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Ministry of Environment, Forest and Climate Change (</w:t>
      </w:r>
      <w:proofErr w:type="spellStart"/>
      <w:r w:rsidRPr="00732CBF">
        <w:rPr>
          <w:rFonts w:ascii="Arial" w:hAnsi="Arial" w:cs="Arial"/>
          <w:sz w:val="20"/>
          <w:szCs w:val="20"/>
        </w:rPr>
        <w:t>MoEFCC</w:t>
      </w:r>
      <w:proofErr w:type="spellEnd"/>
      <w:r w:rsidRPr="00732CBF">
        <w:rPr>
          <w:rFonts w:ascii="Arial" w:hAnsi="Arial" w:cs="Arial"/>
          <w:sz w:val="20"/>
          <w:szCs w:val="20"/>
        </w:rPr>
        <w:t xml:space="preserve">). (2022). India’s long-term low-carbon development strategy. Government of India. </w:t>
      </w:r>
      <w:hyperlink r:id="rId37" w:tgtFrame="_new" w:history="1">
        <w:r w:rsidRPr="00732CBF">
          <w:rPr>
            <w:rStyle w:val="Hyperlink"/>
            <w:rFonts w:ascii="Arial" w:hAnsi="Arial" w:cs="Arial"/>
            <w:sz w:val="20"/>
            <w:szCs w:val="20"/>
          </w:rPr>
          <w:t>https://moef.gov.in</w:t>
        </w:r>
      </w:hyperlink>
    </w:p>
    <w:p w14:paraId="0395B411"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National Clean Development Mechanism Authority (NCDMA). (2022). Approved projects in NCDMA. </w:t>
      </w:r>
      <w:hyperlink r:id="rId38" w:tgtFrame="_new" w:history="1">
        <w:r w:rsidRPr="00732CBF">
          <w:rPr>
            <w:rStyle w:val="Hyperlink"/>
            <w:rFonts w:ascii="Arial" w:hAnsi="Arial" w:cs="Arial"/>
            <w:sz w:val="20"/>
            <w:szCs w:val="20"/>
          </w:rPr>
          <w:t>https://ncdmaindia.gov.in/2022</w:t>
        </w:r>
      </w:hyperlink>
    </w:p>
    <w:p w14:paraId="2129B2DD"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Newell, R. G., Pizer, W. A., &amp; Raimi, D. (2013). Carbon markets 15 years after Kyoto: Lessons learned, new challenges. Journal of Economic Perspectives, 27(1), 123–146. </w:t>
      </w:r>
      <w:hyperlink w:history="1">
        <w:r w:rsidR="00732CBF" w:rsidRPr="005F676A">
          <w:rPr>
            <w:rStyle w:val="Hyperlink"/>
            <w:rFonts w:ascii="Arial" w:hAnsi="Arial" w:cs="Arial"/>
            <w:sz w:val="20"/>
            <w:szCs w:val="20"/>
          </w:rPr>
          <w:t>https://doi.org /10.1257/jep.27.1.123</w:t>
        </w:r>
      </w:hyperlink>
    </w:p>
    <w:p w14:paraId="57BF9516" w14:textId="77777777" w:rsidR="00626DD1" w:rsidRPr="00732CBF" w:rsidRDefault="00626DD1" w:rsidP="00732CBF">
      <w:pPr>
        <w:spacing w:after="0"/>
        <w:ind w:left="720" w:hanging="720"/>
        <w:jc w:val="both"/>
        <w:rPr>
          <w:rFonts w:ascii="Arial" w:hAnsi="Arial" w:cs="Arial"/>
          <w:sz w:val="20"/>
          <w:szCs w:val="20"/>
        </w:rPr>
      </w:pPr>
      <w:proofErr w:type="spellStart"/>
      <w:r w:rsidRPr="00732CBF">
        <w:rPr>
          <w:rFonts w:ascii="Arial" w:hAnsi="Arial" w:cs="Arial"/>
          <w:sz w:val="20"/>
          <w:szCs w:val="20"/>
        </w:rPr>
        <w:t>Organisation</w:t>
      </w:r>
      <w:proofErr w:type="spellEnd"/>
      <w:r w:rsidRPr="00732CBF">
        <w:rPr>
          <w:rFonts w:ascii="Arial" w:hAnsi="Arial" w:cs="Arial"/>
          <w:sz w:val="20"/>
          <w:szCs w:val="20"/>
        </w:rPr>
        <w:t xml:space="preserve"> for Economic Co-operation and Development (OECD). (2020). Carbon pricing in times of COVID-19. </w:t>
      </w:r>
      <w:hyperlink r:id="rId39" w:tgtFrame="_new" w:history="1">
        <w:r w:rsidRPr="00732CBF">
          <w:rPr>
            <w:rStyle w:val="Hyperlink"/>
            <w:rFonts w:ascii="Arial" w:hAnsi="Arial" w:cs="Arial"/>
            <w:sz w:val="20"/>
            <w:szCs w:val="20"/>
          </w:rPr>
          <w:t>https://www.oecd.org/environment/</w:t>
        </w:r>
      </w:hyperlink>
    </w:p>
    <w:p w14:paraId="6BC74DCC"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Prag, A., Briner, G., &amp; Hood, C. (2012). Making markets work: Lessons for building effective carbon market mechanisms. </w:t>
      </w:r>
      <w:proofErr w:type="spellStart"/>
      <w:r w:rsidRPr="00732CBF">
        <w:rPr>
          <w:rFonts w:ascii="Arial" w:hAnsi="Arial" w:cs="Arial"/>
          <w:sz w:val="20"/>
          <w:szCs w:val="20"/>
        </w:rPr>
        <w:t>Organisation</w:t>
      </w:r>
      <w:proofErr w:type="spellEnd"/>
      <w:r w:rsidRPr="00732CBF">
        <w:rPr>
          <w:rFonts w:ascii="Arial" w:hAnsi="Arial" w:cs="Arial"/>
          <w:sz w:val="20"/>
          <w:szCs w:val="20"/>
        </w:rPr>
        <w:t xml:space="preserve"> for Economic Co-operation and Development. </w:t>
      </w:r>
      <w:hyperlink r:id="rId40" w:tgtFrame="_new" w:history="1">
        <w:r w:rsidRPr="00732CBF">
          <w:rPr>
            <w:rStyle w:val="Hyperlink"/>
            <w:rFonts w:ascii="Arial" w:hAnsi="Arial" w:cs="Arial"/>
            <w:sz w:val="20"/>
            <w:szCs w:val="20"/>
          </w:rPr>
          <w:t>https://www.oecd.org</w:t>
        </w:r>
      </w:hyperlink>
    </w:p>
    <w:p w14:paraId="58007F06"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Ranson, M., &amp; Stavins, R. N. (2016). Linkage of greenhouse gas emissions trading systems: Learning from experience. Climate Policy, 16(3), 284–300. </w:t>
      </w:r>
      <w:hyperlink r:id="rId41" w:history="1">
        <w:r w:rsidR="00732CBF" w:rsidRPr="005F676A">
          <w:rPr>
            <w:rStyle w:val="Hyperlink"/>
            <w:rFonts w:ascii="Arial" w:hAnsi="Arial" w:cs="Arial"/>
            <w:sz w:val="20"/>
            <w:szCs w:val="20"/>
          </w:rPr>
          <w:t>https://doi.org/10.1080/14693062. 2014.997658</w:t>
        </w:r>
      </w:hyperlink>
    </w:p>
    <w:p w14:paraId="2615E305"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Schneider, L. (2007). Is the CDM fulfilling its environmental and sustainable development objectives? Climatic Change, 84(1), 1–5. </w:t>
      </w:r>
      <w:hyperlink r:id="rId42" w:history="1">
        <w:r w:rsidRPr="00732CBF">
          <w:rPr>
            <w:rStyle w:val="Hyperlink"/>
            <w:rFonts w:ascii="Arial" w:hAnsi="Arial" w:cs="Arial"/>
            <w:sz w:val="20"/>
            <w:szCs w:val="20"/>
          </w:rPr>
          <w:t>https://doi.org/10.1007/s10584-007-9262-1</w:t>
        </w:r>
      </w:hyperlink>
    </w:p>
    <w:p w14:paraId="30B3087D"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Schneider, L. (2009). Assessing the additionality of CDM projects: Practical experiences and lessons learned. Climate Policy, 9(3), 242–254. </w:t>
      </w:r>
      <w:hyperlink r:id="rId43" w:history="1">
        <w:r w:rsidRPr="00732CBF">
          <w:rPr>
            <w:rStyle w:val="Hyperlink"/>
            <w:rFonts w:ascii="Arial" w:hAnsi="Arial" w:cs="Arial"/>
            <w:sz w:val="20"/>
            <w:szCs w:val="20"/>
          </w:rPr>
          <w:t>https://doi.org/10.3763/cpol.2008.0533</w:t>
        </w:r>
      </w:hyperlink>
    </w:p>
    <w:p w14:paraId="5F597CCC"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Stavins, R. N. (2008). A meaningful U.S. cap-and-trade system to address climate change. Harvard Environmental Law Review, 32(2), 293–371.</w:t>
      </w:r>
    </w:p>
    <w:p w14:paraId="071592B4"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Stern, N. (2007). The economics of climate change: The Stern review. Cambridge University Press</w:t>
      </w:r>
    </w:p>
    <w:p w14:paraId="61A9A8C7"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The Business Research Company. (2024). Voluntary carbon market global market report 2024. </w:t>
      </w:r>
      <w:hyperlink r:id="rId44" w:tgtFrame="_new" w:history="1">
        <w:r w:rsidRPr="00732CBF">
          <w:rPr>
            <w:rStyle w:val="Hyperlink"/>
            <w:rFonts w:ascii="Arial" w:hAnsi="Arial" w:cs="Arial"/>
            <w:sz w:val="20"/>
            <w:szCs w:val="20"/>
          </w:rPr>
          <w:t>https://www.thebusinessresearchcompany.com</w:t>
        </w:r>
      </w:hyperlink>
    </w:p>
    <w:p w14:paraId="44BCCCA2" w14:textId="77777777" w:rsidR="00626DD1" w:rsidRPr="00732CBF" w:rsidRDefault="00626DD1" w:rsidP="00732CBF">
      <w:pPr>
        <w:spacing w:after="0"/>
        <w:ind w:left="720" w:hanging="720"/>
        <w:jc w:val="both"/>
        <w:rPr>
          <w:rFonts w:ascii="Arial" w:hAnsi="Arial" w:cs="Arial"/>
          <w:sz w:val="20"/>
          <w:szCs w:val="20"/>
        </w:rPr>
      </w:pPr>
      <w:proofErr w:type="spellStart"/>
      <w:r w:rsidRPr="00732CBF">
        <w:rPr>
          <w:rFonts w:ascii="Arial" w:hAnsi="Arial" w:cs="Arial"/>
          <w:sz w:val="20"/>
          <w:szCs w:val="20"/>
        </w:rPr>
        <w:t>Tietenberg</w:t>
      </w:r>
      <w:proofErr w:type="spellEnd"/>
      <w:r w:rsidRPr="00732CBF">
        <w:rPr>
          <w:rFonts w:ascii="Arial" w:hAnsi="Arial" w:cs="Arial"/>
          <w:sz w:val="20"/>
          <w:szCs w:val="20"/>
        </w:rPr>
        <w:t>, T. (2010). Emissions trading: Principles and practice (2nd ed.). Routledge.</w:t>
      </w:r>
    </w:p>
    <w:p w14:paraId="1A0343BD"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Taskforce on Scaling Voluntary Carbon Markets (TSVCM). (2021). Final report. </w:t>
      </w:r>
      <w:hyperlink r:id="rId45" w:tgtFrame="_new" w:history="1">
        <w:r w:rsidRPr="00732CBF">
          <w:rPr>
            <w:rStyle w:val="Hyperlink"/>
            <w:rFonts w:ascii="Arial" w:hAnsi="Arial" w:cs="Arial"/>
            <w:sz w:val="20"/>
            <w:szCs w:val="20"/>
          </w:rPr>
          <w:t>https://www.iif.com/tsvcm</w:t>
        </w:r>
      </w:hyperlink>
    </w:p>
    <w:p w14:paraId="0A4A57D2"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UNEP DTU Partnership. (2018). CDM pipeline overview. </w:t>
      </w:r>
      <w:hyperlink r:id="rId46" w:tgtFrame="_new" w:history="1">
        <w:r w:rsidRPr="00732CBF">
          <w:rPr>
            <w:rStyle w:val="Hyperlink"/>
            <w:rFonts w:ascii="Arial" w:hAnsi="Arial" w:cs="Arial"/>
            <w:sz w:val="20"/>
            <w:szCs w:val="20"/>
          </w:rPr>
          <w:t>https://www.cdmpipeline.org</w:t>
        </w:r>
      </w:hyperlink>
    </w:p>
    <w:p w14:paraId="6117C291"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United Nations Environment Programme (UNEP). (2022). Emissions gap report 2022. </w:t>
      </w:r>
      <w:hyperlink r:id="rId47" w:tgtFrame="_new" w:history="1">
        <w:r w:rsidRPr="00732CBF">
          <w:rPr>
            <w:rStyle w:val="Hyperlink"/>
            <w:rFonts w:ascii="Arial" w:hAnsi="Arial" w:cs="Arial"/>
            <w:sz w:val="20"/>
            <w:szCs w:val="20"/>
          </w:rPr>
          <w:t>https://www.unep.org</w:t>
        </w:r>
      </w:hyperlink>
    </w:p>
    <w:p w14:paraId="6790261D"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UNFCCC. (2020). What is the CDM? United Nations Framework Convention on Climate Change. </w:t>
      </w:r>
      <w:hyperlink r:id="rId48" w:tgtFrame="_new" w:history="1">
        <w:r w:rsidRPr="00732CBF">
          <w:rPr>
            <w:rStyle w:val="Hyperlink"/>
            <w:rFonts w:ascii="Arial" w:hAnsi="Arial" w:cs="Arial"/>
            <w:sz w:val="20"/>
            <w:szCs w:val="20"/>
          </w:rPr>
          <w:t>https://unfccc.int</w:t>
        </w:r>
      </w:hyperlink>
    </w:p>
    <w:p w14:paraId="201326E4"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lastRenderedPageBreak/>
        <w:t xml:space="preserve">UNFCCC. (2021). Annual report 2021. United Nations Framework Convention on Climate Change. </w:t>
      </w:r>
      <w:hyperlink r:id="rId49" w:tgtFrame="_new" w:history="1">
        <w:r w:rsidRPr="00732CBF">
          <w:rPr>
            <w:rStyle w:val="Hyperlink"/>
            <w:rFonts w:ascii="Arial" w:hAnsi="Arial" w:cs="Arial"/>
            <w:sz w:val="20"/>
            <w:szCs w:val="20"/>
          </w:rPr>
          <w:t>https://unfccc.int</w:t>
        </w:r>
      </w:hyperlink>
    </w:p>
    <w:p w14:paraId="19C7B213"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UNFCCC. (2022). Article 6 of the Paris Agreement. </w:t>
      </w:r>
      <w:hyperlink r:id="rId50" w:history="1">
        <w:r w:rsidRPr="00732CBF">
          <w:rPr>
            <w:rStyle w:val="Hyperlink"/>
            <w:rFonts w:ascii="Arial" w:hAnsi="Arial" w:cs="Arial"/>
            <w:sz w:val="20"/>
            <w:szCs w:val="20"/>
          </w:rPr>
          <w:t>https://unfccc.int/process-and-meetings/the-paris-agreement/the-paris-agreement</w:t>
        </w:r>
      </w:hyperlink>
    </w:p>
    <w:p w14:paraId="1D07540D" w14:textId="77777777" w:rsidR="00626DD1" w:rsidRPr="00732CBF"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Verra. (2022). Voluntary carbon market insights. </w:t>
      </w:r>
      <w:hyperlink r:id="rId51" w:tgtFrame="_new" w:history="1">
        <w:r w:rsidRPr="00732CBF">
          <w:rPr>
            <w:rStyle w:val="Hyperlink"/>
            <w:rFonts w:ascii="Arial" w:hAnsi="Arial" w:cs="Arial"/>
            <w:sz w:val="20"/>
            <w:szCs w:val="20"/>
          </w:rPr>
          <w:t>https://verra.org</w:t>
        </w:r>
      </w:hyperlink>
    </w:p>
    <w:p w14:paraId="3D3045B3" w14:textId="77777777" w:rsidR="00AB6EFD" w:rsidRPr="00683336" w:rsidRDefault="00626DD1" w:rsidP="00732CBF">
      <w:pPr>
        <w:spacing w:after="0"/>
        <w:ind w:left="720" w:hanging="720"/>
        <w:jc w:val="both"/>
        <w:rPr>
          <w:rFonts w:ascii="Arial" w:hAnsi="Arial" w:cs="Arial"/>
          <w:sz w:val="20"/>
          <w:szCs w:val="20"/>
        </w:rPr>
      </w:pPr>
      <w:r w:rsidRPr="00732CBF">
        <w:rPr>
          <w:rFonts w:ascii="Arial" w:hAnsi="Arial" w:cs="Arial"/>
          <w:sz w:val="20"/>
          <w:szCs w:val="20"/>
        </w:rPr>
        <w:t xml:space="preserve">World Bank. (2022). State and trends of carbon pricing 2022. World Bank. </w:t>
      </w:r>
      <w:hyperlink r:id="rId52" w:tgtFrame="_new" w:history="1">
        <w:r w:rsidRPr="00732CBF">
          <w:rPr>
            <w:rStyle w:val="Hyperlink"/>
            <w:rFonts w:ascii="Arial" w:hAnsi="Arial" w:cs="Arial"/>
            <w:sz w:val="20"/>
            <w:szCs w:val="20"/>
          </w:rPr>
          <w:t>https://openknowledge.worldbank.org</w:t>
        </w:r>
      </w:hyperlink>
    </w:p>
    <w:sectPr w:rsidR="00AB6EFD" w:rsidRPr="00683336" w:rsidSect="00832A1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4DC"/>
    <w:multiLevelType w:val="multilevel"/>
    <w:tmpl w:val="EBC6A1D8"/>
    <w:lvl w:ilvl="0">
      <w:start w:val="1"/>
      <w:numFmt w:val="decimal"/>
      <w:lvlText w:val="%1."/>
      <w:lvlJc w:val="left"/>
      <w:pPr>
        <w:ind w:left="720" w:hanging="360"/>
      </w:pPr>
      <w:rPr>
        <w:rFonts w:hint="default"/>
        <w:b/>
      </w:rPr>
    </w:lvl>
    <w:lvl w:ilvl="1">
      <w:start w:val="1"/>
      <w:numFmt w:val="decimal"/>
      <w:isLgl/>
      <w:lvlText w:val="%1.%2."/>
      <w:lvlJc w:val="left"/>
      <w:pPr>
        <w:ind w:left="69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F37D27"/>
    <w:multiLevelType w:val="hybridMultilevel"/>
    <w:tmpl w:val="46383C88"/>
    <w:lvl w:ilvl="0" w:tplc="8FE0262E">
      <w:start w:val="1"/>
      <w:numFmt w:val="bullet"/>
      <w:lvlText w:val="•"/>
      <w:lvlJc w:val="left"/>
      <w:pPr>
        <w:tabs>
          <w:tab w:val="num" w:pos="720"/>
        </w:tabs>
        <w:ind w:left="720" w:hanging="360"/>
      </w:pPr>
      <w:rPr>
        <w:rFonts w:ascii="Arial" w:hAnsi="Arial" w:hint="default"/>
      </w:rPr>
    </w:lvl>
    <w:lvl w:ilvl="1" w:tplc="2CE80A4C" w:tentative="1">
      <w:start w:val="1"/>
      <w:numFmt w:val="bullet"/>
      <w:lvlText w:val="•"/>
      <w:lvlJc w:val="left"/>
      <w:pPr>
        <w:tabs>
          <w:tab w:val="num" w:pos="1440"/>
        </w:tabs>
        <w:ind w:left="1440" w:hanging="360"/>
      </w:pPr>
      <w:rPr>
        <w:rFonts w:ascii="Arial" w:hAnsi="Arial" w:hint="default"/>
      </w:rPr>
    </w:lvl>
    <w:lvl w:ilvl="2" w:tplc="765E88B4" w:tentative="1">
      <w:start w:val="1"/>
      <w:numFmt w:val="bullet"/>
      <w:lvlText w:val="•"/>
      <w:lvlJc w:val="left"/>
      <w:pPr>
        <w:tabs>
          <w:tab w:val="num" w:pos="2160"/>
        </w:tabs>
        <w:ind w:left="2160" w:hanging="360"/>
      </w:pPr>
      <w:rPr>
        <w:rFonts w:ascii="Arial" w:hAnsi="Arial" w:hint="default"/>
      </w:rPr>
    </w:lvl>
    <w:lvl w:ilvl="3" w:tplc="D7F2EBAA" w:tentative="1">
      <w:start w:val="1"/>
      <w:numFmt w:val="bullet"/>
      <w:lvlText w:val="•"/>
      <w:lvlJc w:val="left"/>
      <w:pPr>
        <w:tabs>
          <w:tab w:val="num" w:pos="2880"/>
        </w:tabs>
        <w:ind w:left="2880" w:hanging="360"/>
      </w:pPr>
      <w:rPr>
        <w:rFonts w:ascii="Arial" w:hAnsi="Arial" w:hint="default"/>
      </w:rPr>
    </w:lvl>
    <w:lvl w:ilvl="4" w:tplc="6180DA5E" w:tentative="1">
      <w:start w:val="1"/>
      <w:numFmt w:val="bullet"/>
      <w:lvlText w:val="•"/>
      <w:lvlJc w:val="left"/>
      <w:pPr>
        <w:tabs>
          <w:tab w:val="num" w:pos="3600"/>
        </w:tabs>
        <w:ind w:left="3600" w:hanging="360"/>
      </w:pPr>
      <w:rPr>
        <w:rFonts w:ascii="Arial" w:hAnsi="Arial" w:hint="default"/>
      </w:rPr>
    </w:lvl>
    <w:lvl w:ilvl="5" w:tplc="DEBA240C" w:tentative="1">
      <w:start w:val="1"/>
      <w:numFmt w:val="bullet"/>
      <w:lvlText w:val="•"/>
      <w:lvlJc w:val="left"/>
      <w:pPr>
        <w:tabs>
          <w:tab w:val="num" w:pos="4320"/>
        </w:tabs>
        <w:ind w:left="4320" w:hanging="360"/>
      </w:pPr>
      <w:rPr>
        <w:rFonts w:ascii="Arial" w:hAnsi="Arial" w:hint="default"/>
      </w:rPr>
    </w:lvl>
    <w:lvl w:ilvl="6" w:tplc="42843752" w:tentative="1">
      <w:start w:val="1"/>
      <w:numFmt w:val="bullet"/>
      <w:lvlText w:val="•"/>
      <w:lvlJc w:val="left"/>
      <w:pPr>
        <w:tabs>
          <w:tab w:val="num" w:pos="5040"/>
        </w:tabs>
        <w:ind w:left="5040" w:hanging="360"/>
      </w:pPr>
      <w:rPr>
        <w:rFonts w:ascii="Arial" w:hAnsi="Arial" w:hint="default"/>
      </w:rPr>
    </w:lvl>
    <w:lvl w:ilvl="7" w:tplc="9210D470" w:tentative="1">
      <w:start w:val="1"/>
      <w:numFmt w:val="bullet"/>
      <w:lvlText w:val="•"/>
      <w:lvlJc w:val="left"/>
      <w:pPr>
        <w:tabs>
          <w:tab w:val="num" w:pos="5760"/>
        </w:tabs>
        <w:ind w:left="5760" w:hanging="360"/>
      </w:pPr>
      <w:rPr>
        <w:rFonts w:ascii="Arial" w:hAnsi="Arial" w:hint="default"/>
      </w:rPr>
    </w:lvl>
    <w:lvl w:ilvl="8" w:tplc="50960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DA311B"/>
    <w:multiLevelType w:val="multilevel"/>
    <w:tmpl w:val="2006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64C4D"/>
    <w:multiLevelType w:val="multilevel"/>
    <w:tmpl w:val="7B04EF20"/>
    <w:lvl w:ilvl="0">
      <w:start w:val="1"/>
      <w:numFmt w:val="decimal"/>
      <w:lvlText w:val="%1."/>
      <w:lvlJc w:val="left"/>
      <w:pPr>
        <w:ind w:left="720" w:hanging="360"/>
      </w:pPr>
      <w:rPr>
        <w:rFonts w:hint="default"/>
      </w:rPr>
    </w:lvl>
    <w:lvl w:ilvl="1">
      <w:start w:val="1"/>
      <w:numFmt w:val="decimal"/>
      <w:isLgl/>
      <w:lvlText w:val="%1.%2."/>
      <w:lvlJc w:val="left"/>
      <w:pPr>
        <w:ind w:left="69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3C3405"/>
    <w:multiLevelType w:val="hybridMultilevel"/>
    <w:tmpl w:val="B10EE984"/>
    <w:lvl w:ilvl="0" w:tplc="2452D182">
      <w:start w:val="1"/>
      <w:numFmt w:val="bullet"/>
      <w:lvlText w:val="•"/>
      <w:lvlJc w:val="left"/>
      <w:pPr>
        <w:tabs>
          <w:tab w:val="num" w:pos="720"/>
        </w:tabs>
        <w:ind w:left="720" w:hanging="360"/>
      </w:pPr>
      <w:rPr>
        <w:rFonts w:ascii="Arial" w:hAnsi="Arial" w:hint="default"/>
      </w:rPr>
    </w:lvl>
    <w:lvl w:ilvl="1" w:tplc="13FE56DE" w:tentative="1">
      <w:start w:val="1"/>
      <w:numFmt w:val="bullet"/>
      <w:lvlText w:val="•"/>
      <w:lvlJc w:val="left"/>
      <w:pPr>
        <w:tabs>
          <w:tab w:val="num" w:pos="1440"/>
        </w:tabs>
        <w:ind w:left="1440" w:hanging="360"/>
      </w:pPr>
      <w:rPr>
        <w:rFonts w:ascii="Arial" w:hAnsi="Arial" w:hint="default"/>
      </w:rPr>
    </w:lvl>
    <w:lvl w:ilvl="2" w:tplc="E5EE64D2" w:tentative="1">
      <w:start w:val="1"/>
      <w:numFmt w:val="bullet"/>
      <w:lvlText w:val="•"/>
      <w:lvlJc w:val="left"/>
      <w:pPr>
        <w:tabs>
          <w:tab w:val="num" w:pos="2160"/>
        </w:tabs>
        <w:ind w:left="2160" w:hanging="360"/>
      </w:pPr>
      <w:rPr>
        <w:rFonts w:ascii="Arial" w:hAnsi="Arial" w:hint="default"/>
      </w:rPr>
    </w:lvl>
    <w:lvl w:ilvl="3" w:tplc="5D389460" w:tentative="1">
      <w:start w:val="1"/>
      <w:numFmt w:val="bullet"/>
      <w:lvlText w:val="•"/>
      <w:lvlJc w:val="left"/>
      <w:pPr>
        <w:tabs>
          <w:tab w:val="num" w:pos="2880"/>
        </w:tabs>
        <w:ind w:left="2880" w:hanging="360"/>
      </w:pPr>
      <w:rPr>
        <w:rFonts w:ascii="Arial" w:hAnsi="Arial" w:hint="default"/>
      </w:rPr>
    </w:lvl>
    <w:lvl w:ilvl="4" w:tplc="8A486066" w:tentative="1">
      <w:start w:val="1"/>
      <w:numFmt w:val="bullet"/>
      <w:lvlText w:val="•"/>
      <w:lvlJc w:val="left"/>
      <w:pPr>
        <w:tabs>
          <w:tab w:val="num" w:pos="3600"/>
        </w:tabs>
        <w:ind w:left="3600" w:hanging="360"/>
      </w:pPr>
      <w:rPr>
        <w:rFonts w:ascii="Arial" w:hAnsi="Arial" w:hint="default"/>
      </w:rPr>
    </w:lvl>
    <w:lvl w:ilvl="5" w:tplc="7F3A6632" w:tentative="1">
      <w:start w:val="1"/>
      <w:numFmt w:val="bullet"/>
      <w:lvlText w:val="•"/>
      <w:lvlJc w:val="left"/>
      <w:pPr>
        <w:tabs>
          <w:tab w:val="num" w:pos="4320"/>
        </w:tabs>
        <w:ind w:left="4320" w:hanging="360"/>
      </w:pPr>
      <w:rPr>
        <w:rFonts w:ascii="Arial" w:hAnsi="Arial" w:hint="default"/>
      </w:rPr>
    </w:lvl>
    <w:lvl w:ilvl="6" w:tplc="2872F54C" w:tentative="1">
      <w:start w:val="1"/>
      <w:numFmt w:val="bullet"/>
      <w:lvlText w:val="•"/>
      <w:lvlJc w:val="left"/>
      <w:pPr>
        <w:tabs>
          <w:tab w:val="num" w:pos="5040"/>
        </w:tabs>
        <w:ind w:left="5040" w:hanging="360"/>
      </w:pPr>
      <w:rPr>
        <w:rFonts w:ascii="Arial" w:hAnsi="Arial" w:hint="default"/>
      </w:rPr>
    </w:lvl>
    <w:lvl w:ilvl="7" w:tplc="FF366592" w:tentative="1">
      <w:start w:val="1"/>
      <w:numFmt w:val="bullet"/>
      <w:lvlText w:val="•"/>
      <w:lvlJc w:val="left"/>
      <w:pPr>
        <w:tabs>
          <w:tab w:val="num" w:pos="5760"/>
        </w:tabs>
        <w:ind w:left="5760" w:hanging="360"/>
      </w:pPr>
      <w:rPr>
        <w:rFonts w:ascii="Arial" w:hAnsi="Arial" w:hint="default"/>
      </w:rPr>
    </w:lvl>
    <w:lvl w:ilvl="8" w:tplc="2A64A9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C27ACD"/>
    <w:multiLevelType w:val="hybridMultilevel"/>
    <w:tmpl w:val="C78CFE52"/>
    <w:lvl w:ilvl="0" w:tplc="5CF6A654">
      <w:start w:val="1"/>
      <w:numFmt w:val="bullet"/>
      <w:lvlText w:val="•"/>
      <w:lvlJc w:val="left"/>
      <w:pPr>
        <w:tabs>
          <w:tab w:val="num" w:pos="720"/>
        </w:tabs>
        <w:ind w:left="720" w:hanging="360"/>
      </w:pPr>
      <w:rPr>
        <w:rFonts w:ascii="Arial" w:hAnsi="Arial" w:hint="default"/>
      </w:rPr>
    </w:lvl>
    <w:lvl w:ilvl="1" w:tplc="6A92CFE0" w:tentative="1">
      <w:start w:val="1"/>
      <w:numFmt w:val="bullet"/>
      <w:lvlText w:val="•"/>
      <w:lvlJc w:val="left"/>
      <w:pPr>
        <w:tabs>
          <w:tab w:val="num" w:pos="1440"/>
        </w:tabs>
        <w:ind w:left="1440" w:hanging="360"/>
      </w:pPr>
      <w:rPr>
        <w:rFonts w:ascii="Arial" w:hAnsi="Arial" w:hint="default"/>
      </w:rPr>
    </w:lvl>
    <w:lvl w:ilvl="2" w:tplc="5444390A" w:tentative="1">
      <w:start w:val="1"/>
      <w:numFmt w:val="bullet"/>
      <w:lvlText w:val="•"/>
      <w:lvlJc w:val="left"/>
      <w:pPr>
        <w:tabs>
          <w:tab w:val="num" w:pos="2160"/>
        </w:tabs>
        <w:ind w:left="2160" w:hanging="360"/>
      </w:pPr>
      <w:rPr>
        <w:rFonts w:ascii="Arial" w:hAnsi="Arial" w:hint="default"/>
      </w:rPr>
    </w:lvl>
    <w:lvl w:ilvl="3" w:tplc="86A293E8" w:tentative="1">
      <w:start w:val="1"/>
      <w:numFmt w:val="bullet"/>
      <w:lvlText w:val="•"/>
      <w:lvlJc w:val="left"/>
      <w:pPr>
        <w:tabs>
          <w:tab w:val="num" w:pos="2880"/>
        </w:tabs>
        <w:ind w:left="2880" w:hanging="360"/>
      </w:pPr>
      <w:rPr>
        <w:rFonts w:ascii="Arial" w:hAnsi="Arial" w:hint="default"/>
      </w:rPr>
    </w:lvl>
    <w:lvl w:ilvl="4" w:tplc="A266C2F4" w:tentative="1">
      <w:start w:val="1"/>
      <w:numFmt w:val="bullet"/>
      <w:lvlText w:val="•"/>
      <w:lvlJc w:val="left"/>
      <w:pPr>
        <w:tabs>
          <w:tab w:val="num" w:pos="3600"/>
        </w:tabs>
        <w:ind w:left="3600" w:hanging="360"/>
      </w:pPr>
      <w:rPr>
        <w:rFonts w:ascii="Arial" w:hAnsi="Arial" w:hint="default"/>
      </w:rPr>
    </w:lvl>
    <w:lvl w:ilvl="5" w:tplc="AA364DFC" w:tentative="1">
      <w:start w:val="1"/>
      <w:numFmt w:val="bullet"/>
      <w:lvlText w:val="•"/>
      <w:lvlJc w:val="left"/>
      <w:pPr>
        <w:tabs>
          <w:tab w:val="num" w:pos="4320"/>
        </w:tabs>
        <w:ind w:left="4320" w:hanging="360"/>
      </w:pPr>
      <w:rPr>
        <w:rFonts w:ascii="Arial" w:hAnsi="Arial" w:hint="default"/>
      </w:rPr>
    </w:lvl>
    <w:lvl w:ilvl="6" w:tplc="37B8F3FE" w:tentative="1">
      <w:start w:val="1"/>
      <w:numFmt w:val="bullet"/>
      <w:lvlText w:val="•"/>
      <w:lvlJc w:val="left"/>
      <w:pPr>
        <w:tabs>
          <w:tab w:val="num" w:pos="5040"/>
        </w:tabs>
        <w:ind w:left="5040" w:hanging="360"/>
      </w:pPr>
      <w:rPr>
        <w:rFonts w:ascii="Arial" w:hAnsi="Arial" w:hint="default"/>
      </w:rPr>
    </w:lvl>
    <w:lvl w:ilvl="7" w:tplc="F76A6202" w:tentative="1">
      <w:start w:val="1"/>
      <w:numFmt w:val="bullet"/>
      <w:lvlText w:val="•"/>
      <w:lvlJc w:val="left"/>
      <w:pPr>
        <w:tabs>
          <w:tab w:val="num" w:pos="5760"/>
        </w:tabs>
        <w:ind w:left="5760" w:hanging="360"/>
      </w:pPr>
      <w:rPr>
        <w:rFonts w:ascii="Arial" w:hAnsi="Arial" w:hint="default"/>
      </w:rPr>
    </w:lvl>
    <w:lvl w:ilvl="8" w:tplc="4AE81E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84D1C94"/>
    <w:multiLevelType w:val="multilevel"/>
    <w:tmpl w:val="3DFA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1046B3"/>
    <w:multiLevelType w:val="hybridMultilevel"/>
    <w:tmpl w:val="F064D8C6"/>
    <w:lvl w:ilvl="0" w:tplc="D5A473F8">
      <w:start w:val="1"/>
      <w:numFmt w:val="bullet"/>
      <w:lvlText w:val="•"/>
      <w:lvlJc w:val="left"/>
      <w:pPr>
        <w:tabs>
          <w:tab w:val="num" w:pos="720"/>
        </w:tabs>
        <w:ind w:left="720" w:hanging="360"/>
      </w:pPr>
      <w:rPr>
        <w:rFonts w:ascii="Arial" w:hAnsi="Arial" w:hint="default"/>
      </w:rPr>
    </w:lvl>
    <w:lvl w:ilvl="1" w:tplc="885A838C" w:tentative="1">
      <w:start w:val="1"/>
      <w:numFmt w:val="bullet"/>
      <w:lvlText w:val="•"/>
      <w:lvlJc w:val="left"/>
      <w:pPr>
        <w:tabs>
          <w:tab w:val="num" w:pos="1440"/>
        </w:tabs>
        <w:ind w:left="1440" w:hanging="360"/>
      </w:pPr>
      <w:rPr>
        <w:rFonts w:ascii="Arial" w:hAnsi="Arial" w:hint="default"/>
      </w:rPr>
    </w:lvl>
    <w:lvl w:ilvl="2" w:tplc="03B23336" w:tentative="1">
      <w:start w:val="1"/>
      <w:numFmt w:val="bullet"/>
      <w:lvlText w:val="•"/>
      <w:lvlJc w:val="left"/>
      <w:pPr>
        <w:tabs>
          <w:tab w:val="num" w:pos="2160"/>
        </w:tabs>
        <w:ind w:left="2160" w:hanging="360"/>
      </w:pPr>
      <w:rPr>
        <w:rFonts w:ascii="Arial" w:hAnsi="Arial" w:hint="default"/>
      </w:rPr>
    </w:lvl>
    <w:lvl w:ilvl="3" w:tplc="29E6D22E" w:tentative="1">
      <w:start w:val="1"/>
      <w:numFmt w:val="bullet"/>
      <w:lvlText w:val="•"/>
      <w:lvlJc w:val="left"/>
      <w:pPr>
        <w:tabs>
          <w:tab w:val="num" w:pos="2880"/>
        </w:tabs>
        <w:ind w:left="2880" w:hanging="360"/>
      </w:pPr>
      <w:rPr>
        <w:rFonts w:ascii="Arial" w:hAnsi="Arial" w:hint="default"/>
      </w:rPr>
    </w:lvl>
    <w:lvl w:ilvl="4" w:tplc="C47423F6" w:tentative="1">
      <w:start w:val="1"/>
      <w:numFmt w:val="bullet"/>
      <w:lvlText w:val="•"/>
      <w:lvlJc w:val="left"/>
      <w:pPr>
        <w:tabs>
          <w:tab w:val="num" w:pos="3600"/>
        </w:tabs>
        <w:ind w:left="3600" w:hanging="360"/>
      </w:pPr>
      <w:rPr>
        <w:rFonts w:ascii="Arial" w:hAnsi="Arial" w:hint="default"/>
      </w:rPr>
    </w:lvl>
    <w:lvl w:ilvl="5" w:tplc="E79CCD18" w:tentative="1">
      <w:start w:val="1"/>
      <w:numFmt w:val="bullet"/>
      <w:lvlText w:val="•"/>
      <w:lvlJc w:val="left"/>
      <w:pPr>
        <w:tabs>
          <w:tab w:val="num" w:pos="4320"/>
        </w:tabs>
        <w:ind w:left="4320" w:hanging="360"/>
      </w:pPr>
      <w:rPr>
        <w:rFonts w:ascii="Arial" w:hAnsi="Arial" w:hint="default"/>
      </w:rPr>
    </w:lvl>
    <w:lvl w:ilvl="6" w:tplc="9ABED50C" w:tentative="1">
      <w:start w:val="1"/>
      <w:numFmt w:val="bullet"/>
      <w:lvlText w:val="•"/>
      <w:lvlJc w:val="left"/>
      <w:pPr>
        <w:tabs>
          <w:tab w:val="num" w:pos="5040"/>
        </w:tabs>
        <w:ind w:left="5040" w:hanging="360"/>
      </w:pPr>
      <w:rPr>
        <w:rFonts w:ascii="Arial" w:hAnsi="Arial" w:hint="default"/>
      </w:rPr>
    </w:lvl>
    <w:lvl w:ilvl="7" w:tplc="D5083AA2" w:tentative="1">
      <w:start w:val="1"/>
      <w:numFmt w:val="bullet"/>
      <w:lvlText w:val="•"/>
      <w:lvlJc w:val="left"/>
      <w:pPr>
        <w:tabs>
          <w:tab w:val="num" w:pos="5760"/>
        </w:tabs>
        <w:ind w:left="5760" w:hanging="360"/>
      </w:pPr>
      <w:rPr>
        <w:rFonts w:ascii="Arial" w:hAnsi="Arial" w:hint="default"/>
      </w:rPr>
    </w:lvl>
    <w:lvl w:ilvl="8" w:tplc="CB32E1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5647D9F"/>
    <w:multiLevelType w:val="hybridMultilevel"/>
    <w:tmpl w:val="2CBA4046"/>
    <w:lvl w:ilvl="0" w:tplc="1630B3E0">
      <w:start w:val="1"/>
      <w:numFmt w:val="bullet"/>
      <w:lvlText w:val="•"/>
      <w:lvlJc w:val="left"/>
      <w:pPr>
        <w:tabs>
          <w:tab w:val="num" w:pos="720"/>
        </w:tabs>
        <w:ind w:left="720" w:hanging="360"/>
      </w:pPr>
      <w:rPr>
        <w:rFonts w:ascii="Arial" w:hAnsi="Arial" w:hint="default"/>
      </w:rPr>
    </w:lvl>
    <w:lvl w:ilvl="1" w:tplc="04FA3A60" w:tentative="1">
      <w:start w:val="1"/>
      <w:numFmt w:val="bullet"/>
      <w:lvlText w:val="•"/>
      <w:lvlJc w:val="left"/>
      <w:pPr>
        <w:tabs>
          <w:tab w:val="num" w:pos="1440"/>
        </w:tabs>
        <w:ind w:left="1440" w:hanging="360"/>
      </w:pPr>
      <w:rPr>
        <w:rFonts w:ascii="Arial" w:hAnsi="Arial" w:hint="default"/>
      </w:rPr>
    </w:lvl>
    <w:lvl w:ilvl="2" w:tplc="DAAEEE26" w:tentative="1">
      <w:start w:val="1"/>
      <w:numFmt w:val="bullet"/>
      <w:lvlText w:val="•"/>
      <w:lvlJc w:val="left"/>
      <w:pPr>
        <w:tabs>
          <w:tab w:val="num" w:pos="2160"/>
        </w:tabs>
        <w:ind w:left="2160" w:hanging="360"/>
      </w:pPr>
      <w:rPr>
        <w:rFonts w:ascii="Arial" w:hAnsi="Arial" w:hint="default"/>
      </w:rPr>
    </w:lvl>
    <w:lvl w:ilvl="3" w:tplc="AFC227AC" w:tentative="1">
      <w:start w:val="1"/>
      <w:numFmt w:val="bullet"/>
      <w:lvlText w:val="•"/>
      <w:lvlJc w:val="left"/>
      <w:pPr>
        <w:tabs>
          <w:tab w:val="num" w:pos="2880"/>
        </w:tabs>
        <w:ind w:left="2880" w:hanging="360"/>
      </w:pPr>
      <w:rPr>
        <w:rFonts w:ascii="Arial" w:hAnsi="Arial" w:hint="default"/>
      </w:rPr>
    </w:lvl>
    <w:lvl w:ilvl="4" w:tplc="7FAEDA86" w:tentative="1">
      <w:start w:val="1"/>
      <w:numFmt w:val="bullet"/>
      <w:lvlText w:val="•"/>
      <w:lvlJc w:val="left"/>
      <w:pPr>
        <w:tabs>
          <w:tab w:val="num" w:pos="3600"/>
        </w:tabs>
        <w:ind w:left="3600" w:hanging="360"/>
      </w:pPr>
      <w:rPr>
        <w:rFonts w:ascii="Arial" w:hAnsi="Arial" w:hint="default"/>
      </w:rPr>
    </w:lvl>
    <w:lvl w:ilvl="5" w:tplc="EAE4C458" w:tentative="1">
      <w:start w:val="1"/>
      <w:numFmt w:val="bullet"/>
      <w:lvlText w:val="•"/>
      <w:lvlJc w:val="left"/>
      <w:pPr>
        <w:tabs>
          <w:tab w:val="num" w:pos="4320"/>
        </w:tabs>
        <w:ind w:left="4320" w:hanging="360"/>
      </w:pPr>
      <w:rPr>
        <w:rFonts w:ascii="Arial" w:hAnsi="Arial" w:hint="default"/>
      </w:rPr>
    </w:lvl>
    <w:lvl w:ilvl="6" w:tplc="163A2908" w:tentative="1">
      <w:start w:val="1"/>
      <w:numFmt w:val="bullet"/>
      <w:lvlText w:val="•"/>
      <w:lvlJc w:val="left"/>
      <w:pPr>
        <w:tabs>
          <w:tab w:val="num" w:pos="5040"/>
        </w:tabs>
        <w:ind w:left="5040" w:hanging="360"/>
      </w:pPr>
      <w:rPr>
        <w:rFonts w:ascii="Arial" w:hAnsi="Arial" w:hint="default"/>
      </w:rPr>
    </w:lvl>
    <w:lvl w:ilvl="7" w:tplc="79A2D2B2" w:tentative="1">
      <w:start w:val="1"/>
      <w:numFmt w:val="bullet"/>
      <w:lvlText w:val="•"/>
      <w:lvlJc w:val="left"/>
      <w:pPr>
        <w:tabs>
          <w:tab w:val="num" w:pos="5760"/>
        </w:tabs>
        <w:ind w:left="5760" w:hanging="360"/>
      </w:pPr>
      <w:rPr>
        <w:rFonts w:ascii="Arial" w:hAnsi="Arial" w:hint="default"/>
      </w:rPr>
    </w:lvl>
    <w:lvl w:ilvl="8" w:tplc="8B06DD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801BA8"/>
    <w:multiLevelType w:val="hybridMultilevel"/>
    <w:tmpl w:val="4872D070"/>
    <w:lvl w:ilvl="0" w:tplc="D3C4C824">
      <w:start w:val="1"/>
      <w:numFmt w:val="bullet"/>
      <w:lvlText w:val="•"/>
      <w:lvlJc w:val="left"/>
      <w:pPr>
        <w:tabs>
          <w:tab w:val="num" w:pos="720"/>
        </w:tabs>
        <w:ind w:left="720" w:hanging="360"/>
      </w:pPr>
      <w:rPr>
        <w:rFonts w:ascii="Arial" w:hAnsi="Arial" w:hint="default"/>
      </w:rPr>
    </w:lvl>
    <w:lvl w:ilvl="1" w:tplc="922877DC" w:tentative="1">
      <w:start w:val="1"/>
      <w:numFmt w:val="bullet"/>
      <w:lvlText w:val="•"/>
      <w:lvlJc w:val="left"/>
      <w:pPr>
        <w:tabs>
          <w:tab w:val="num" w:pos="1440"/>
        </w:tabs>
        <w:ind w:left="1440" w:hanging="360"/>
      </w:pPr>
      <w:rPr>
        <w:rFonts w:ascii="Arial" w:hAnsi="Arial" w:hint="default"/>
      </w:rPr>
    </w:lvl>
    <w:lvl w:ilvl="2" w:tplc="D1A430F0" w:tentative="1">
      <w:start w:val="1"/>
      <w:numFmt w:val="bullet"/>
      <w:lvlText w:val="•"/>
      <w:lvlJc w:val="left"/>
      <w:pPr>
        <w:tabs>
          <w:tab w:val="num" w:pos="2160"/>
        </w:tabs>
        <w:ind w:left="2160" w:hanging="360"/>
      </w:pPr>
      <w:rPr>
        <w:rFonts w:ascii="Arial" w:hAnsi="Arial" w:hint="default"/>
      </w:rPr>
    </w:lvl>
    <w:lvl w:ilvl="3" w:tplc="E4F62C80" w:tentative="1">
      <w:start w:val="1"/>
      <w:numFmt w:val="bullet"/>
      <w:lvlText w:val="•"/>
      <w:lvlJc w:val="left"/>
      <w:pPr>
        <w:tabs>
          <w:tab w:val="num" w:pos="2880"/>
        </w:tabs>
        <w:ind w:left="2880" w:hanging="360"/>
      </w:pPr>
      <w:rPr>
        <w:rFonts w:ascii="Arial" w:hAnsi="Arial" w:hint="default"/>
      </w:rPr>
    </w:lvl>
    <w:lvl w:ilvl="4" w:tplc="7F960EC8" w:tentative="1">
      <w:start w:val="1"/>
      <w:numFmt w:val="bullet"/>
      <w:lvlText w:val="•"/>
      <w:lvlJc w:val="left"/>
      <w:pPr>
        <w:tabs>
          <w:tab w:val="num" w:pos="3600"/>
        </w:tabs>
        <w:ind w:left="3600" w:hanging="360"/>
      </w:pPr>
      <w:rPr>
        <w:rFonts w:ascii="Arial" w:hAnsi="Arial" w:hint="default"/>
      </w:rPr>
    </w:lvl>
    <w:lvl w:ilvl="5" w:tplc="56B4B5E0" w:tentative="1">
      <w:start w:val="1"/>
      <w:numFmt w:val="bullet"/>
      <w:lvlText w:val="•"/>
      <w:lvlJc w:val="left"/>
      <w:pPr>
        <w:tabs>
          <w:tab w:val="num" w:pos="4320"/>
        </w:tabs>
        <w:ind w:left="4320" w:hanging="360"/>
      </w:pPr>
      <w:rPr>
        <w:rFonts w:ascii="Arial" w:hAnsi="Arial" w:hint="default"/>
      </w:rPr>
    </w:lvl>
    <w:lvl w:ilvl="6" w:tplc="F1D2B01A" w:tentative="1">
      <w:start w:val="1"/>
      <w:numFmt w:val="bullet"/>
      <w:lvlText w:val="•"/>
      <w:lvlJc w:val="left"/>
      <w:pPr>
        <w:tabs>
          <w:tab w:val="num" w:pos="5040"/>
        </w:tabs>
        <w:ind w:left="5040" w:hanging="360"/>
      </w:pPr>
      <w:rPr>
        <w:rFonts w:ascii="Arial" w:hAnsi="Arial" w:hint="default"/>
      </w:rPr>
    </w:lvl>
    <w:lvl w:ilvl="7" w:tplc="78362AB6" w:tentative="1">
      <w:start w:val="1"/>
      <w:numFmt w:val="bullet"/>
      <w:lvlText w:val="•"/>
      <w:lvlJc w:val="left"/>
      <w:pPr>
        <w:tabs>
          <w:tab w:val="num" w:pos="5760"/>
        </w:tabs>
        <w:ind w:left="5760" w:hanging="360"/>
      </w:pPr>
      <w:rPr>
        <w:rFonts w:ascii="Arial" w:hAnsi="Arial" w:hint="default"/>
      </w:rPr>
    </w:lvl>
    <w:lvl w:ilvl="8" w:tplc="F34C42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17495C"/>
    <w:multiLevelType w:val="hybridMultilevel"/>
    <w:tmpl w:val="FEF480E2"/>
    <w:lvl w:ilvl="0" w:tplc="C1BCDAE0">
      <w:start w:val="1"/>
      <w:numFmt w:val="bullet"/>
      <w:lvlText w:val="•"/>
      <w:lvlJc w:val="left"/>
      <w:pPr>
        <w:tabs>
          <w:tab w:val="num" w:pos="720"/>
        </w:tabs>
        <w:ind w:left="720" w:hanging="360"/>
      </w:pPr>
      <w:rPr>
        <w:rFonts w:ascii="Arial" w:hAnsi="Arial" w:hint="default"/>
      </w:rPr>
    </w:lvl>
    <w:lvl w:ilvl="1" w:tplc="55DC6D6A" w:tentative="1">
      <w:start w:val="1"/>
      <w:numFmt w:val="bullet"/>
      <w:lvlText w:val="•"/>
      <w:lvlJc w:val="left"/>
      <w:pPr>
        <w:tabs>
          <w:tab w:val="num" w:pos="1440"/>
        </w:tabs>
        <w:ind w:left="1440" w:hanging="360"/>
      </w:pPr>
      <w:rPr>
        <w:rFonts w:ascii="Arial" w:hAnsi="Arial" w:hint="default"/>
      </w:rPr>
    </w:lvl>
    <w:lvl w:ilvl="2" w:tplc="05A01436" w:tentative="1">
      <w:start w:val="1"/>
      <w:numFmt w:val="bullet"/>
      <w:lvlText w:val="•"/>
      <w:lvlJc w:val="left"/>
      <w:pPr>
        <w:tabs>
          <w:tab w:val="num" w:pos="2160"/>
        </w:tabs>
        <w:ind w:left="2160" w:hanging="360"/>
      </w:pPr>
      <w:rPr>
        <w:rFonts w:ascii="Arial" w:hAnsi="Arial" w:hint="default"/>
      </w:rPr>
    </w:lvl>
    <w:lvl w:ilvl="3" w:tplc="B4C8FE92" w:tentative="1">
      <w:start w:val="1"/>
      <w:numFmt w:val="bullet"/>
      <w:lvlText w:val="•"/>
      <w:lvlJc w:val="left"/>
      <w:pPr>
        <w:tabs>
          <w:tab w:val="num" w:pos="2880"/>
        </w:tabs>
        <w:ind w:left="2880" w:hanging="360"/>
      </w:pPr>
      <w:rPr>
        <w:rFonts w:ascii="Arial" w:hAnsi="Arial" w:hint="default"/>
      </w:rPr>
    </w:lvl>
    <w:lvl w:ilvl="4" w:tplc="C76AC3AC" w:tentative="1">
      <w:start w:val="1"/>
      <w:numFmt w:val="bullet"/>
      <w:lvlText w:val="•"/>
      <w:lvlJc w:val="left"/>
      <w:pPr>
        <w:tabs>
          <w:tab w:val="num" w:pos="3600"/>
        </w:tabs>
        <w:ind w:left="3600" w:hanging="360"/>
      </w:pPr>
      <w:rPr>
        <w:rFonts w:ascii="Arial" w:hAnsi="Arial" w:hint="default"/>
      </w:rPr>
    </w:lvl>
    <w:lvl w:ilvl="5" w:tplc="45BA49B6" w:tentative="1">
      <w:start w:val="1"/>
      <w:numFmt w:val="bullet"/>
      <w:lvlText w:val="•"/>
      <w:lvlJc w:val="left"/>
      <w:pPr>
        <w:tabs>
          <w:tab w:val="num" w:pos="4320"/>
        </w:tabs>
        <w:ind w:left="4320" w:hanging="360"/>
      </w:pPr>
      <w:rPr>
        <w:rFonts w:ascii="Arial" w:hAnsi="Arial" w:hint="default"/>
      </w:rPr>
    </w:lvl>
    <w:lvl w:ilvl="6" w:tplc="46E07EE2" w:tentative="1">
      <w:start w:val="1"/>
      <w:numFmt w:val="bullet"/>
      <w:lvlText w:val="•"/>
      <w:lvlJc w:val="left"/>
      <w:pPr>
        <w:tabs>
          <w:tab w:val="num" w:pos="5040"/>
        </w:tabs>
        <w:ind w:left="5040" w:hanging="360"/>
      </w:pPr>
      <w:rPr>
        <w:rFonts w:ascii="Arial" w:hAnsi="Arial" w:hint="default"/>
      </w:rPr>
    </w:lvl>
    <w:lvl w:ilvl="7" w:tplc="092C549E" w:tentative="1">
      <w:start w:val="1"/>
      <w:numFmt w:val="bullet"/>
      <w:lvlText w:val="•"/>
      <w:lvlJc w:val="left"/>
      <w:pPr>
        <w:tabs>
          <w:tab w:val="num" w:pos="5760"/>
        </w:tabs>
        <w:ind w:left="5760" w:hanging="360"/>
      </w:pPr>
      <w:rPr>
        <w:rFonts w:ascii="Arial" w:hAnsi="Arial" w:hint="default"/>
      </w:rPr>
    </w:lvl>
    <w:lvl w:ilvl="8" w:tplc="A7282E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EF61E46"/>
    <w:multiLevelType w:val="multilevel"/>
    <w:tmpl w:val="2992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091062">
    <w:abstractNumId w:val="0"/>
  </w:num>
  <w:num w:numId="2" w16cid:durableId="1181697106">
    <w:abstractNumId w:val="2"/>
  </w:num>
  <w:num w:numId="3" w16cid:durableId="1185023172">
    <w:abstractNumId w:val="11"/>
  </w:num>
  <w:num w:numId="4" w16cid:durableId="1895696608">
    <w:abstractNumId w:val="4"/>
  </w:num>
  <w:num w:numId="5" w16cid:durableId="1368600120">
    <w:abstractNumId w:val="5"/>
  </w:num>
  <w:num w:numId="6" w16cid:durableId="1314025971">
    <w:abstractNumId w:val="8"/>
  </w:num>
  <w:num w:numId="7" w16cid:durableId="1991520075">
    <w:abstractNumId w:val="10"/>
  </w:num>
  <w:num w:numId="8" w16cid:durableId="1835025359">
    <w:abstractNumId w:val="9"/>
  </w:num>
  <w:num w:numId="9" w16cid:durableId="706679886">
    <w:abstractNumId w:val="3"/>
  </w:num>
  <w:num w:numId="10" w16cid:durableId="1951474847">
    <w:abstractNumId w:val="1"/>
  </w:num>
  <w:num w:numId="11" w16cid:durableId="1008924">
    <w:abstractNumId w:val="7"/>
  </w:num>
  <w:num w:numId="12" w16cid:durableId="1173841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43C4C"/>
    <w:rsid w:val="000569D7"/>
    <w:rsid w:val="00071749"/>
    <w:rsid w:val="000B30E9"/>
    <w:rsid w:val="000F0F95"/>
    <w:rsid w:val="00106609"/>
    <w:rsid w:val="00171D18"/>
    <w:rsid w:val="001E1A06"/>
    <w:rsid w:val="001F3A35"/>
    <w:rsid w:val="00263DDC"/>
    <w:rsid w:val="00274E2B"/>
    <w:rsid w:val="002D53D8"/>
    <w:rsid w:val="003C161E"/>
    <w:rsid w:val="003C30B9"/>
    <w:rsid w:val="00443C4C"/>
    <w:rsid w:val="004D2351"/>
    <w:rsid w:val="00520B79"/>
    <w:rsid w:val="00523AA2"/>
    <w:rsid w:val="005246D0"/>
    <w:rsid w:val="005F67AA"/>
    <w:rsid w:val="006153A5"/>
    <w:rsid w:val="00626096"/>
    <w:rsid w:val="00626DD1"/>
    <w:rsid w:val="00683336"/>
    <w:rsid w:val="006D6823"/>
    <w:rsid w:val="006F17C7"/>
    <w:rsid w:val="00732CBF"/>
    <w:rsid w:val="00743072"/>
    <w:rsid w:val="00791D60"/>
    <w:rsid w:val="007A481D"/>
    <w:rsid w:val="00832A1E"/>
    <w:rsid w:val="00841824"/>
    <w:rsid w:val="00893BA2"/>
    <w:rsid w:val="00974F3C"/>
    <w:rsid w:val="009F5D7E"/>
    <w:rsid w:val="00A53816"/>
    <w:rsid w:val="00AA48C5"/>
    <w:rsid w:val="00AB6EFD"/>
    <w:rsid w:val="00AF6DB6"/>
    <w:rsid w:val="00B06B14"/>
    <w:rsid w:val="00B413F7"/>
    <w:rsid w:val="00B64CE9"/>
    <w:rsid w:val="00B722D5"/>
    <w:rsid w:val="00B730E9"/>
    <w:rsid w:val="00B766D0"/>
    <w:rsid w:val="00B8560D"/>
    <w:rsid w:val="00BB1726"/>
    <w:rsid w:val="00C103E7"/>
    <w:rsid w:val="00C53EB9"/>
    <w:rsid w:val="00D1297E"/>
    <w:rsid w:val="00D160D6"/>
    <w:rsid w:val="00D606B0"/>
    <w:rsid w:val="00D831F5"/>
    <w:rsid w:val="00D85F4E"/>
    <w:rsid w:val="00DB52E8"/>
    <w:rsid w:val="00DC153F"/>
    <w:rsid w:val="00DE3F69"/>
    <w:rsid w:val="00E220AC"/>
    <w:rsid w:val="00E74BB0"/>
    <w:rsid w:val="00E97343"/>
    <w:rsid w:val="00EC48AD"/>
    <w:rsid w:val="00EC7B37"/>
    <w:rsid w:val="00EE534B"/>
    <w:rsid w:val="00F66AA3"/>
    <w:rsid w:val="00F928BA"/>
    <w:rsid w:val="00FE6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7189"/>
  <w15:docId w15:val="{F1915736-C182-42F6-A290-C69A34CB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EFD"/>
  </w:style>
  <w:style w:type="paragraph" w:styleId="Heading3">
    <w:name w:val="heading 3"/>
    <w:basedOn w:val="Normal"/>
    <w:link w:val="Heading3Char"/>
    <w:uiPriority w:val="9"/>
    <w:qFormat/>
    <w:rsid w:val="00B72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23AA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43C4C"/>
    <w:rPr>
      <w:b/>
      <w:bCs/>
    </w:rPr>
  </w:style>
  <w:style w:type="character" w:styleId="Hyperlink">
    <w:name w:val="Hyperlink"/>
    <w:basedOn w:val="DefaultParagraphFont"/>
    <w:uiPriority w:val="99"/>
    <w:unhideWhenUsed/>
    <w:rsid w:val="000F0F95"/>
    <w:rPr>
      <w:color w:val="0000FF" w:themeColor="hyperlink"/>
      <w:u w:val="single"/>
    </w:rPr>
  </w:style>
  <w:style w:type="paragraph" w:styleId="ListParagraph">
    <w:name w:val="List Paragraph"/>
    <w:basedOn w:val="Normal"/>
    <w:uiPriority w:val="34"/>
    <w:qFormat/>
    <w:rsid w:val="000F0F95"/>
    <w:pPr>
      <w:ind w:left="720"/>
      <w:contextualSpacing/>
    </w:pPr>
  </w:style>
  <w:style w:type="character" w:customStyle="1" w:styleId="red">
    <w:name w:val="red"/>
    <w:basedOn w:val="DefaultParagraphFont"/>
    <w:rsid w:val="00520B79"/>
  </w:style>
  <w:style w:type="character" w:customStyle="1" w:styleId="Heading3Char">
    <w:name w:val="Heading 3 Char"/>
    <w:basedOn w:val="DefaultParagraphFont"/>
    <w:link w:val="Heading3"/>
    <w:uiPriority w:val="9"/>
    <w:rsid w:val="00B722D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23AA2"/>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7A4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81D"/>
    <w:rPr>
      <w:rFonts w:ascii="Tahoma" w:hAnsi="Tahoma" w:cs="Tahoma"/>
      <w:sz w:val="16"/>
      <w:szCs w:val="16"/>
    </w:rPr>
  </w:style>
  <w:style w:type="paragraph" w:styleId="NormalWeb">
    <w:name w:val="Normal (Web)"/>
    <w:basedOn w:val="Normal"/>
    <w:uiPriority w:val="99"/>
    <w:semiHidden/>
    <w:unhideWhenUsed/>
    <w:rsid w:val="000B30E9"/>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5F67AA"/>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5F6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F67AA"/>
    <w:rPr>
      <w:rFonts w:ascii="Courier New" w:eastAsia="Times New Roman" w:hAnsi="Courier New" w:cs="Courier New"/>
      <w:sz w:val="20"/>
      <w:szCs w:val="20"/>
    </w:rPr>
  </w:style>
  <w:style w:type="table" w:styleId="TableGrid">
    <w:name w:val="Table Grid"/>
    <w:basedOn w:val="TableNormal"/>
    <w:uiPriority w:val="59"/>
    <w:rsid w:val="00FE6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D85F4E"/>
  </w:style>
  <w:style w:type="character" w:styleId="Emphasis">
    <w:name w:val="Emphasis"/>
    <w:uiPriority w:val="20"/>
    <w:qFormat/>
    <w:rsid w:val="00841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67758">
      <w:bodyDiv w:val="1"/>
      <w:marLeft w:val="0"/>
      <w:marRight w:val="0"/>
      <w:marTop w:val="0"/>
      <w:marBottom w:val="0"/>
      <w:divBdr>
        <w:top w:val="none" w:sz="0" w:space="0" w:color="auto"/>
        <w:left w:val="none" w:sz="0" w:space="0" w:color="auto"/>
        <w:bottom w:val="none" w:sz="0" w:space="0" w:color="auto"/>
        <w:right w:val="none" w:sz="0" w:space="0" w:color="auto"/>
      </w:divBdr>
    </w:div>
    <w:div w:id="306012322">
      <w:bodyDiv w:val="1"/>
      <w:marLeft w:val="0"/>
      <w:marRight w:val="0"/>
      <w:marTop w:val="0"/>
      <w:marBottom w:val="0"/>
      <w:divBdr>
        <w:top w:val="none" w:sz="0" w:space="0" w:color="auto"/>
        <w:left w:val="none" w:sz="0" w:space="0" w:color="auto"/>
        <w:bottom w:val="none" w:sz="0" w:space="0" w:color="auto"/>
        <w:right w:val="none" w:sz="0" w:space="0" w:color="auto"/>
      </w:divBdr>
    </w:div>
    <w:div w:id="325520107">
      <w:bodyDiv w:val="1"/>
      <w:marLeft w:val="0"/>
      <w:marRight w:val="0"/>
      <w:marTop w:val="0"/>
      <w:marBottom w:val="0"/>
      <w:divBdr>
        <w:top w:val="none" w:sz="0" w:space="0" w:color="auto"/>
        <w:left w:val="none" w:sz="0" w:space="0" w:color="auto"/>
        <w:bottom w:val="none" w:sz="0" w:space="0" w:color="auto"/>
        <w:right w:val="none" w:sz="0" w:space="0" w:color="auto"/>
      </w:divBdr>
    </w:div>
    <w:div w:id="415520545">
      <w:bodyDiv w:val="1"/>
      <w:marLeft w:val="0"/>
      <w:marRight w:val="0"/>
      <w:marTop w:val="0"/>
      <w:marBottom w:val="0"/>
      <w:divBdr>
        <w:top w:val="none" w:sz="0" w:space="0" w:color="auto"/>
        <w:left w:val="none" w:sz="0" w:space="0" w:color="auto"/>
        <w:bottom w:val="none" w:sz="0" w:space="0" w:color="auto"/>
        <w:right w:val="none" w:sz="0" w:space="0" w:color="auto"/>
      </w:divBdr>
    </w:div>
    <w:div w:id="441386982">
      <w:bodyDiv w:val="1"/>
      <w:marLeft w:val="0"/>
      <w:marRight w:val="0"/>
      <w:marTop w:val="0"/>
      <w:marBottom w:val="0"/>
      <w:divBdr>
        <w:top w:val="none" w:sz="0" w:space="0" w:color="auto"/>
        <w:left w:val="none" w:sz="0" w:space="0" w:color="auto"/>
        <w:bottom w:val="none" w:sz="0" w:space="0" w:color="auto"/>
        <w:right w:val="none" w:sz="0" w:space="0" w:color="auto"/>
      </w:divBdr>
      <w:divsChild>
        <w:div w:id="550387350">
          <w:marLeft w:val="446"/>
          <w:marRight w:val="0"/>
          <w:marTop w:val="67"/>
          <w:marBottom w:val="120"/>
          <w:divBdr>
            <w:top w:val="none" w:sz="0" w:space="0" w:color="auto"/>
            <w:left w:val="none" w:sz="0" w:space="0" w:color="auto"/>
            <w:bottom w:val="none" w:sz="0" w:space="0" w:color="auto"/>
            <w:right w:val="none" w:sz="0" w:space="0" w:color="auto"/>
          </w:divBdr>
        </w:div>
      </w:divsChild>
    </w:div>
    <w:div w:id="738676696">
      <w:bodyDiv w:val="1"/>
      <w:marLeft w:val="0"/>
      <w:marRight w:val="0"/>
      <w:marTop w:val="0"/>
      <w:marBottom w:val="0"/>
      <w:divBdr>
        <w:top w:val="none" w:sz="0" w:space="0" w:color="auto"/>
        <w:left w:val="none" w:sz="0" w:space="0" w:color="auto"/>
        <w:bottom w:val="none" w:sz="0" w:space="0" w:color="auto"/>
        <w:right w:val="none" w:sz="0" w:space="0" w:color="auto"/>
      </w:divBdr>
      <w:divsChild>
        <w:div w:id="1352412157">
          <w:marLeft w:val="446"/>
          <w:marRight w:val="0"/>
          <w:marTop w:val="96"/>
          <w:marBottom w:val="120"/>
          <w:divBdr>
            <w:top w:val="none" w:sz="0" w:space="0" w:color="auto"/>
            <w:left w:val="none" w:sz="0" w:space="0" w:color="auto"/>
            <w:bottom w:val="none" w:sz="0" w:space="0" w:color="auto"/>
            <w:right w:val="none" w:sz="0" w:space="0" w:color="auto"/>
          </w:divBdr>
        </w:div>
      </w:divsChild>
    </w:div>
    <w:div w:id="847057575">
      <w:bodyDiv w:val="1"/>
      <w:marLeft w:val="0"/>
      <w:marRight w:val="0"/>
      <w:marTop w:val="0"/>
      <w:marBottom w:val="0"/>
      <w:divBdr>
        <w:top w:val="none" w:sz="0" w:space="0" w:color="auto"/>
        <w:left w:val="none" w:sz="0" w:space="0" w:color="auto"/>
        <w:bottom w:val="none" w:sz="0" w:space="0" w:color="auto"/>
        <w:right w:val="none" w:sz="0" w:space="0" w:color="auto"/>
      </w:divBdr>
    </w:div>
    <w:div w:id="861437161">
      <w:bodyDiv w:val="1"/>
      <w:marLeft w:val="0"/>
      <w:marRight w:val="0"/>
      <w:marTop w:val="0"/>
      <w:marBottom w:val="0"/>
      <w:divBdr>
        <w:top w:val="none" w:sz="0" w:space="0" w:color="auto"/>
        <w:left w:val="none" w:sz="0" w:space="0" w:color="auto"/>
        <w:bottom w:val="none" w:sz="0" w:space="0" w:color="auto"/>
        <w:right w:val="none" w:sz="0" w:space="0" w:color="auto"/>
      </w:divBdr>
    </w:div>
    <w:div w:id="999817704">
      <w:bodyDiv w:val="1"/>
      <w:marLeft w:val="0"/>
      <w:marRight w:val="0"/>
      <w:marTop w:val="0"/>
      <w:marBottom w:val="0"/>
      <w:divBdr>
        <w:top w:val="none" w:sz="0" w:space="0" w:color="auto"/>
        <w:left w:val="none" w:sz="0" w:space="0" w:color="auto"/>
        <w:bottom w:val="none" w:sz="0" w:space="0" w:color="auto"/>
        <w:right w:val="none" w:sz="0" w:space="0" w:color="auto"/>
      </w:divBdr>
    </w:div>
    <w:div w:id="1255164944">
      <w:bodyDiv w:val="1"/>
      <w:marLeft w:val="0"/>
      <w:marRight w:val="0"/>
      <w:marTop w:val="0"/>
      <w:marBottom w:val="0"/>
      <w:divBdr>
        <w:top w:val="none" w:sz="0" w:space="0" w:color="auto"/>
        <w:left w:val="none" w:sz="0" w:space="0" w:color="auto"/>
        <w:bottom w:val="none" w:sz="0" w:space="0" w:color="auto"/>
        <w:right w:val="none" w:sz="0" w:space="0" w:color="auto"/>
      </w:divBdr>
    </w:div>
    <w:div w:id="1342703122">
      <w:bodyDiv w:val="1"/>
      <w:marLeft w:val="0"/>
      <w:marRight w:val="0"/>
      <w:marTop w:val="0"/>
      <w:marBottom w:val="0"/>
      <w:divBdr>
        <w:top w:val="none" w:sz="0" w:space="0" w:color="auto"/>
        <w:left w:val="none" w:sz="0" w:space="0" w:color="auto"/>
        <w:bottom w:val="none" w:sz="0" w:space="0" w:color="auto"/>
        <w:right w:val="none" w:sz="0" w:space="0" w:color="auto"/>
      </w:divBdr>
    </w:div>
    <w:div w:id="1356880626">
      <w:bodyDiv w:val="1"/>
      <w:marLeft w:val="0"/>
      <w:marRight w:val="0"/>
      <w:marTop w:val="0"/>
      <w:marBottom w:val="0"/>
      <w:divBdr>
        <w:top w:val="none" w:sz="0" w:space="0" w:color="auto"/>
        <w:left w:val="none" w:sz="0" w:space="0" w:color="auto"/>
        <w:bottom w:val="none" w:sz="0" w:space="0" w:color="auto"/>
        <w:right w:val="none" w:sz="0" w:space="0" w:color="auto"/>
      </w:divBdr>
    </w:div>
    <w:div w:id="1362432634">
      <w:bodyDiv w:val="1"/>
      <w:marLeft w:val="0"/>
      <w:marRight w:val="0"/>
      <w:marTop w:val="0"/>
      <w:marBottom w:val="0"/>
      <w:divBdr>
        <w:top w:val="none" w:sz="0" w:space="0" w:color="auto"/>
        <w:left w:val="none" w:sz="0" w:space="0" w:color="auto"/>
        <w:bottom w:val="none" w:sz="0" w:space="0" w:color="auto"/>
        <w:right w:val="none" w:sz="0" w:space="0" w:color="auto"/>
      </w:divBdr>
      <w:divsChild>
        <w:div w:id="881790632">
          <w:marLeft w:val="446"/>
          <w:marRight w:val="0"/>
          <w:marTop w:val="106"/>
          <w:marBottom w:val="120"/>
          <w:divBdr>
            <w:top w:val="none" w:sz="0" w:space="0" w:color="auto"/>
            <w:left w:val="none" w:sz="0" w:space="0" w:color="auto"/>
            <w:bottom w:val="none" w:sz="0" w:space="0" w:color="auto"/>
            <w:right w:val="none" w:sz="0" w:space="0" w:color="auto"/>
          </w:divBdr>
        </w:div>
        <w:div w:id="1600986847">
          <w:marLeft w:val="446"/>
          <w:marRight w:val="0"/>
          <w:marTop w:val="106"/>
          <w:marBottom w:val="120"/>
          <w:divBdr>
            <w:top w:val="none" w:sz="0" w:space="0" w:color="auto"/>
            <w:left w:val="none" w:sz="0" w:space="0" w:color="auto"/>
            <w:bottom w:val="none" w:sz="0" w:space="0" w:color="auto"/>
            <w:right w:val="none" w:sz="0" w:space="0" w:color="auto"/>
          </w:divBdr>
        </w:div>
        <w:div w:id="1363050467">
          <w:marLeft w:val="446"/>
          <w:marRight w:val="0"/>
          <w:marTop w:val="106"/>
          <w:marBottom w:val="120"/>
          <w:divBdr>
            <w:top w:val="none" w:sz="0" w:space="0" w:color="auto"/>
            <w:left w:val="none" w:sz="0" w:space="0" w:color="auto"/>
            <w:bottom w:val="none" w:sz="0" w:space="0" w:color="auto"/>
            <w:right w:val="none" w:sz="0" w:space="0" w:color="auto"/>
          </w:divBdr>
        </w:div>
      </w:divsChild>
    </w:div>
    <w:div w:id="1383821528">
      <w:bodyDiv w:val="1"/>
      <w:marLeft w:val="0"/>
      <w:marRight w:val="0"/>
      <w:marTop w:val="0"/>
      <w:marBottom w:val="0"/>
      <w:divBdr>
        <w:top w:val="none" w:sz="0" w:space="0" w:color="auto"/>
        <w:left w:val="none" w:sz="0" w:space="0" w:color="auto"/>
        <w:bottom w:val="none" w:sz="0" w:space="0" w:color="auto"/>
        <w:right w:val="none" w:sz="0" w:space="0" w:color="auto"/>
      </w:divBdr>
      <w:divsChild>
        <w:div w:id="236868072">
          <w:marLeft w:val="446"/>
          <w:marRight w:val="0"/>
          <w:marTop w:val="91"/>
          <w:marBottom w:val="120"/>
          <w:divBdr>
            <w:top w:val="none" w:sz="0" w:space="0" w:color="auto"/>
            <w:left w:val="none" w:sz="0" w:space="0" w:color="auto"/>
            <w:bottom w:val="none" w:sz="0" w:space="0" w:color="auto"/>
            <w:right w:val="none" w:sz="0" w:space="0" w:color="auto"/>
          </w:divBdr>
        </w:div>
      </w:divsChild>
    </w:div>
    <w:div w:id="1466971934">
      <w:bodyDiv w:val="1"/>
      <w:marLeft w:val="0"/>
      <w:marRight w:val="0"/>
      <w:marTop w:val="0"/>
      <w:marBottom w:val="0"/>
      <w:divBdr>
        <w:top w:val="none" w:sz="0" w:space="0" w:color="auto"/>
        <w:left w:val="none" w:sz="0" w:space="0" w:color="auto"/>
        <w:bottom w:val="none" w:sz="0" w:space="0" w:color="auto"/>
        <w:right w:val="none" w:sz="0" w:space="0" w:color="auto"/>
      </w:divBdr>
    </w:div>
    <w:div w:id="1620333410">
      <w:bodyDiv w:val="1"/>
      <w:marLeft w:val="0"/>
      <w:marRight w:val="0"/>
      <w:marTop w:val="0"/>
      <w:marBottom w:val="0"/>
      <w:divBdr>
        <w:top w:val="none" w:sz="0" w:space="0" w:color="auto"/>
        <w:left w:val="none" w:sz="0" w:space="0" w:color="auto"/>
        <w:bottom w:val="none" w:sz="0" w:space="0" w:color="auto"/>
        <w:right w:val="none" w:sz="0" w:space="0" w:color="auto"/>
      </w:divBdr>
      <w:divsChild>
        <w:div w:id="1737627018">
          <w:marLeft w:val="446"/>
          <w:marRight w:val="0"/>
          <w:marTop w:val="72"/>
          <w:marBottom w:val="120"/>
          <w:divBdr>
            <w:top w:val="none" w:sz="0" w:space="0" w:color="auto"/>
            <w:left w:val="none" w:sz="0" w:space="0" w:color="auto"/>
            <w:bottom w:val="none" w:sz="0" w:space="0" w:color="auto"/>
            <w:right w:val="none" w:sz="0" w:space="0" w:color="auto"/>
          </w:divBdr>
        </w:div>
      </w:divsChild>
    </w:div>
    <w:div w:id="1620794166">
      <w:bodyDiv w:val="1"/>
      <w:marLeft w:val="0"/>
      <w:marRight w:val="0"/>
      <w:marTop w:val="0"/>
      <w:marBottom w:val="0"/>
      <w:divBdr>
        <w:top w:val="none" w:sz="0" w:space="0" w:color="auto"/>
        <w:left w:val="none" w:sz="0" w:space="0" w:color="auto"/>
        <w:bottom w:val="none" w:sz="0" w:space="0" w:color="auto"/>
        <w:right w:val="none" w:sz="0" w:space="0" w:color="auto"/>
      </w:divBdr>
    </w:div>
    <w:div w:id="1792244715">
      <w:bodyDiv w:val="1"/>
      <w:marLeft w:val="0"/>
      <w:marRight w:val="0"/>
      <w:marTop w:val="0"/>
      <w:marBottom w:val="0"/>
      <w:divBdr>
        <w:top w:val="none" w:sz="0" w:space="0" w:color="auto"/>
        <w:left w:val="none" w:sz="0" w:space="0" w:color="auto"/>
        <w:bottom w:val="none" w:sz="0" w:space="0" w:color="auto"/>
        <w:right w:val="none" w:sz="0" w:space="0" w:color="auto"/>
      </w:divBdr>
    </w:div>
    <w:div w:id="1820151706">
      <w:bodyDiv w:val="1"/>
      <w:marLeft w:val="0"/>
      <w:marRight w:val="0"/>
      <w:marTop w:val="0"/>
      <w:marBottom w:val="0"/>
      <w:divBdr>
        <w:top w:val="none" w:sz="0" w:space="0" w:color="auto"/>
        <w:left w:val="none" w:sz="0" w:space="0" w:color="auto"/>
        <w:bottom w:val="none" w:sz="0" w:space="0" w:color="auto"/>
        <w:right w:val="none" w:sz="0" w:space="0" w:color="auto"/>
      </w:divBdr>
    </w:div>
    <w:div w:id="1938828111">
      <w:bodyDiv w:val="1"/>
      <w:marLeft w:val="0"/>
      <w:marRight w:val="0"/>
      <w:marTop w:val="0"/>
      <w:marBottom w:val="0"/>
      <w:divBdr>
        <w:top w:val="none" w:sz="0" w:space="0" w:color="auto"/>
        <w:left w:val="none" w:sz="0" w:space="0" w:color="auto"/>
        <w:bottom w:val="none" w:sz="0" w:space="0" w:color="auto"/>
        <w:right w:val="none" w:sz="0" w:space="0" w:color="auto"/>
      </w:divBdr>
      <w:divsChild>
        <w:div w:id="1353997558">
          <w:marLeft w:val="446"/>
          <w:marRight w:val="0"/>
          <w:marTop w:val="72"/>
          <w:marBottom w:val="120"/>
          <w:divBdr>
            <w:top w:val="none" w:sz="0" w:space="0" w:color="auto"/>
            <w:left w:val="none" w:sz="0" w:space="0" w:color="auto"/>
            <w:bottom w:val="none" w:sz="0" w:space="0" w:color="auto"/>
            <w:right w:val="none" w:sz="0" w:space="0" w:color="auto"/>
          </w:divBdr>
        </w:div>
      </w:divsChild>
    </w:div>
    <w:div w:id="1981692272">
      <w:bodyDiv w:val="1"/>
      <w:marLeft w:val="0"/>
      <w:marRight w:val="0"/>
      <w:marTop w:val="0"/>
      <w:marBottom w:val="0"/>
      <w:divBdr>
        <w:top w:val="none" w:sz="0" w:space="0" w:color="auto"/>
        <w:left w:val="none" w:sz="0" w:space="0" w:color="auto"/>
        <w:bottom w:val="none" w:sz="0" w:space="0" w:color="auto"/>
        <w:right w:val="none" w:sz="0" w:space="0" w:color="auto"/>
      </w:divBdr>
    </w:div>
    <w:div w:id="2089381314">
      <w:bodyDiv w:val="1"/>
      <w:marLeft w:val="0"/>
      <w:marRight w:val="0"/>
      <w:marTop w:val="0"/>
      <w:marBottom w:val="0"/>
      <w:divBdr>
        <w:top w:val="none" w:sz="0" w:space="0" w:color="auto"/>
        <w:left w:val="none" w:sz="0" w:space="0" w:color="auto"/>
        <w:bottom w:val="none" w:sz="0" w:space="0" w:color="auto"/>
        <w:right w:val="none" w:sz="0" w:space="0" w:color="auto"/>
      </w:divBdr>
      <w:divsChild>
        <w:div w:id="1105541224">
          <w:marLeft w:val="446"/>
          <w:marRight w:val="0"/>
          <w:marTop w:val="91"/>
          <w:marBottom w:val="120"/>
          <w:divBdr>
            <w:top w:val="none" w:sz="0" w:space="0" w:color="auto"/>
            <w:left w:val="none" w:sz="0" w:space="0" w:color="auto"/>
            <w:bottom w:val="none" w:sz="0" w:space="0" w:color="auto"/>
            <w:right w:val="none" w:sz="0" w:space="0" w:color="auto"/>
          </w:divBdr>
        </w:div>
        <w:div w:id="394360683">
          <w:marLeft w:val="446"/>
          <w:marRight w:val="0"/>
          <w:marTop w:val="91"/>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eindia.gov.in" TargetMode="External"/><Relationship Id="rId18" Type="http://schemas.openxmlformats.org/officeDocument/2006/relationships/hyperlink" Target="https://www.gov.uk/government/collections/greenhouse-gas-reporting-guidance" TargetMode="External"/><Relationship Id="rId26" Type="http://schemas.openxmlformats.org/officeDocument/2006/relationships/hyperlink" Target="https://ghginstitute.org/2012/01/05/what-is-additionality-part-1/" TargetMode="External"/><Relationship Id="rId39" Type="http://schemas.openxmlformats.org/officeDocument/2006/relationships/hyperlink" Target="https://www.oecd.org/environment/" TargetMode="External"/><Relationship Id="rId21" Type="http://schemas.openxmlformats.org/officeDocument/2006/relationships/hyperlink" Target="https://doi.org/10.1017/%20CBO9780511760803" TargetMode="External"/><Relationship Id="rId34" Type="http://schemas.openxmlformats.org/officeDocument/2006/relationships/hyperlink" Target="https://www.sei.org" TargetMode="External"/><Relationship Id="rId42" Type="http://schemas.openxmlformats.org/officeDocument/2006/relationships/hyperlink" Target="https://doi.org/10.1007/s10584-007-9262-1" TargetMode="External"/><Relationship Id="rId47" Type="http://schemas.openxmlformats.org/officeDocument/2006/relationships/hyperlink" Target="https://www.unep.org" TargetMode="External"/><Relationship Id="rId50" Type="http://schemas.openxmlformats.org/officeDocument/2006/relationships/hyperlink" Target="https://unfccc.int/process-and-meetings/the-paris-agreement/the-paris-agreement" TargetMode="External"/><Relationship Id="rId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hyperlink" Target="https://ec.europa.eu/clima/sites/clima/files/ets/docs/clean_dev%20mechanism_en.pdf" TargetMode="External"/><Relationship Id="rId29" Type="http://schemas.openxmlformats.org/officeDocument/2006/relationships/hyperlink" Target="https://www.goldstandard.org" TargetMode="External"/><Relationship Id="rId11" Type="http://schemas.openxmlformats.org/officeDocument/2006/relationships/chart" Target="charts/chart4.xml"/><Relationship Id="rId24" Type="http://schemas.openxmlformats.org/officeDocument/2006/relationships/hyperlink" Target="https://www.forest-trends.org/" TargetMode="External"/><Relationship Id="rId32" Type="http://schemas.openxmlformats.org/officeDocument/2006/relationships/hyperlink" Target="https://icvcm.org" TargetMode="External"/><Relationship Id="rId37" Type="http://schemas.openxmlformats.org/officeDocument/2006/relationships/hyperlink" Target="https://moef.gov.in" TargetMode="External"/><Relationship Id="rId40" Type="http://schemas.openxmlformats.org/officeDocument/2006/relationships/hyperlink" Target="https://www.oecd.org" TargetMode="External"/><Relationship Id="rId45" Type="http://schemas.openxmlformats.org/officeDocument/2006/relationships/hyperlink" Target="https://www.iif.com/tsvcm" TargetMode="External"/><Relationship Id="rId53"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www.climatewatchdata.org/data-explorer/historical-emissions" TargetMode="External"/><Relationship Id="rId19" Type="http://schemas.openxmlformats.org/officeDocument/2006/relationships/hyperlink" Target="https://www.ecosystemmarketplace.com" TargetMode="External"/><Relationship Id="rId31" Type="http://schemas.openxmlformats.org/officeDocument/2006/relationships/hyperlink" Target="https://icapcarbonaction.com/en/status-report-2023" TargetMode="External"/><Relationship Id="rId44" Type="http://schemas.openxmlformats.org/officeDocument/2006/relationships/hyperlink" Target="https://www.thebusinessresearchcompany.com" TargetMode="External"/><Relationship Id="rId52" Type="http://schemas.openxmlformats.org/officeDocument/2006/relationships/hyperlink" Target="https://openknowledge.worldbank.org"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mckinsey.com" TargetMode="External"/><Relationship Id="rId22" Type="http://schemas.openxmlformats.org/officeDocument/2006/relationships/hyperlink" Target="https://climate.ec.europa.eu/eu-action/eu-emissions-trading-system-eu-ets_en" TargetMode="External"/><Relationship Id="rId27" Type="http://schemas.openxmlformats.org/officeDocument/2006/relationships/hyperlink" Target="https://ourworldindata.org/co2-emissions" TargetMode="External"/><Relationship Id="rId30" Type="http://schemas.openxmlformats.org/officeDocument/2006/relationships/hyperlink" Target="https://www.ecosystemmarketplace.com" TargetMode="External"/><Relationship Id="rId35" Type="http://schemas.openxmlformats.org/officeDocument/2006/relationships/hyperlink" Target="https://www.linkedin.com" TargetMode="External"/><Relationship Id="rId43" Type="http://schemas.openxmlformats.org/officeDocument/2006/relationships/hyperlink" Target="https://doi.org/10.3763/cpol.2008.0533" TargetMode="External"/><Relationship Id="rId48" Type="http://schemas.openxmlformats.org/officeDocument/2006/relationships/hyperlink" Target="https://unfccc.int" TargetMode="External"/><Relationship Id="rId8" Type="http://schemas.openxmlformats.org/officeDocument/2006/relationships/hyperlink" Target="https://www.climatewatchdata.org/data-explorer/historical-emissions" TargetMode="External"/><Relationship Id="rId51" Type="http://schemas.openxmlformats.org/officeDocument/2006/relationships/hyperlink" Target="https://verra.org" TargetMode="External"/><Relationship Id="rId3" Type="http://schemas.openxmlformats.org/officeDocument/2006/relationships/settings" Target="settings.xml"/><Relationship Id="rId12" Type="http://schemas.openxmlformats.org/officeDocument/2006/relationships/hyperlink" Target="https://www.abatable.com" TargetMode="External"/><Relationship Id="rId17" Type="http://schemas.openxmlformats.org/officeDocument/2006/relationships/hyperlink" Target="https://ww2.arb.ca.gov/our-work/programs/cap-and-trade-program" TargetMode="External"/><Relationship Id="rId25" Type="http://schemas.openxmlformats.org/officeDocument/2006/relationships/hyperlink" Target="https://www.giss.nasa.gov/research/briefs/schmidt_05/" TargetMode="External"/><Relationship Id="rId33" Type="http://schemas.openxmlformats.org/officeDocument/2006/relationships/hyperlink" Target="https://www.ipcc.ch/report/ar6/wg1/" TargetMode="External"/><Relationship Id="rId38" Type="http://schemas.openxmlformats.org/officeDocument/2006/relationships/hyperlink" Target="https://ncdmaindia.gov.in/2022" TargetMode="External"/><Relationship Id="rId46" Type="http://schemas.openxmlformats.org/officeDocument/2006/relationships/hyperlink" Target="https://www.cdmpipeline.org" TargetMode="External"/><Relationship Id="rId20" Type="http://schemas.openxmlformats.org/officeDocument/2006/relationships/hyperlink" Target="https://doi.org/10.1093/reep/rem003" TargetMode="External"/><Relationship Id="rId41" Type="http://schemas.openxmlformats.org/officeDocument/2006/relationships/hyperlink" Target="https://doi.org/10.1080/14693062.%202014.997658"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limatewatchdata.org/data-explorer/historical-emissions" TargetMode="External"/><Relationship Id="rId15" Type="http://schemas.openxmlformats.org/officeDocument/2006/relationships/hyperlink" Target="https://www.sei.org" TargetMode="External"/><Relationship Id="rId23" Type="http://schemas.openxmlformats.org/officeDocument/2006/relationships/hyperlink" Target="https://www.eea.europa.eu" TargetMode="External"/><Relationship Id="rId28" Type="http://schemas.openxmlformats.org/officeDocument/2006/relationships/hyperlink" Target="https://www.gminsights.com/" TargetMode="External"/><Relationship Id="rId36" Type="http://schemas.openxmlformats.org/officeDocument/2006/relationships/hyperlink" Target="https://doi.org/10.1126/science.aaq0409" TargetMode="External"/><Relationship Id="rId49" Type="http://schemas.openxmlformats.org/officeDocument/2006/relationships/hyperlink" Target="https://unfccc.in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nju\AppData\Local\Temp\Temp1_ghg-emissions-by-sector.zip\ghg-emissions-by-sector.csv"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nju\AppData\Local\Temp\Temp1_ghg-emissions-by-sector.zip\ghg-emissions-by-sector.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nju\AppData\Local\Temp\Temp1_ghg-emissions-by-sector.zip\ghg-emissions-by-sector.csv"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latin typeface="Arial" pitchFamily="34" charset="0"/>
                <a:cs typeface="Arial" pitchFamily="34" charset="0"/>
              </a:rPr>
              <a:t>Figure -1, Decadal-wise Sectoral Contribution to Global GHG Emissions (1991- 2021)</a:t>
            </a:r>
          </a:p>
        </c:rich>
      </c:tx>
      <c:layout>
        <c:manualLayout>
          <c:xMode val="edge"/>
          <c:yMode val="edge"/>
          <c:x val="0.11300262742112922"/>
          <c:y val="1.234567901234569E-2"/>
        </c:manualLayout>
      </c:layout>
      <c:overlay val="0"/>
    </c:title>
    <c:autoTitleDeleted val="0"/>
    <c:plotArea>
      <c:layout>
        <c:manualLayout>
          <c:layoutTarget val="inner"/>
          <c:xMode val="edge"/>
          <c:yMode val="edge"/>
          <c:x val="9.8527951472008268E-2"/>
          <c:y val="6.5804548162469848E-2"/>
          <c:w val="0.79916395154599318"/>
          <c:h val="0.85563704898261728"/>
        </c:manualLayout>
      </c:layout>
      <c:barChart>
        <c:barDir val="bar"/>
        <c:grouping val="clustered"/>
        <c:varyColors val="0"/>
        <c:ser>
          <c:idx val="0"/>
          <c:order val="0"/>
          <c:tx>
            <c:strRef>
              <c:f>Sheet4!$B$9</c:f>
              <c:strCache>
                <c:ptCount val="1"/>
                <c:pt idx="0">
                  <c:v>Agriculture</c:v>
                </c:pt>
              </c:strCache>
            </c:strRef>
          </c:tx>
          <c:spPr>
            <a:solidFill>
              <a:srgbClr val="CC0066"/>
            </a:solidFill>
          </c:spPr>
          <c:invertIfNegative val="0"/>
          <c:cat>
            <c:numRef>
              <c:f>Sheet4!$A$10:$A$13</c:f>
              <c:numCache>
                <c:formatCode>General</c:formatCode>
                <c:ptCount val="4"/>
                <c:pt idx="0">
                  <c:v>1991</c:v>
                </c:pt>
                <c:pt idx="1">
                  <c:v>2001</c:v>
                </c:pt>
                <c:pt idx="2">
                  <c:v>2011</c:v>
                </c:pt>
                <c:pt idx="3">
                  <c:v>2021</c:v>
                </c:pt>
              </c:numCache>
            </c:numRef>
          </c:cat>
          <c:val>
            <c:numRef>
              <c:f>Sheet4!$B$10:$B$13</c:f>
              <c:numCache>
                <c:formatCode>General</c:formatCode>
                <c:ptCount val="4"/>
                <c:pt idx="0">
                  <c:v>4945.1900000000014</c:v>
                </c:pt>
                <c:pt idx="1">
                  <c:v>5080.29</c:v>
                </c:pt>
                <c:pt idx="2">
                  <c:v>5619.07</c:v>
                </c:pt>
                <c:pt idx="3">
                  <c:v>5864</c:v>
                </c:pt>
              </c:numCache>
            </c:numRef>
          </c:val>
          <c:extLst>
            <c:ext xmlns:c16="http://schemas.microsoft.com/office/drawing/2014/chart" uri="{C3380CC4-5D6E-409C-BE32-E72D297353CC}">
              <c16:uniqueId val="{00000000-D93B-49F3-BE8E-A98D913F75A5}"/>
            </c:ext>
          </c:extLst>
        </c:ser>
        <c:ser>
          <c:idx val="1"/>
          <c:order val="1"/>
          <c:tx>
            <c:strRef>
              <c:f>Sheet4!$C$9</c:f>
              <c:strCache>
                <c:ptCount val="1"/>
                <c:pt idx="0">
                  <c:v>Land use change and forestry</c:v>
                </c:pt>
              </c:strCache>
            </c:strRef>
          </c:tx>
          <c:spPr>
            <a:solidFill>
              <a:srgbClr val="00B050"/>
            </a:solidFill>
          </c:spPr>
          <c:invertIfNegative val="0"/>
          <c:cat>
            <c:numRef>
              <c:f>Sheet4!$A$10:$A$13</c:f>
              <c:numCache>
                <c:formatCode>General</c:formatCode>
                <c:ptCount val="4"/>
                <c:pt idx="0">
                  <c:v>1991</c:v>
                </c:pt>
                <c:pt idx="1">
                  <c:v>2001</c:v>
                </c:pt>
                <c:pt idx="2">
                  <c:v>2011</c:v>
                </c:pt>
                <c:pt idx="3">
                  <c:v>2021</c:v>
                </c:pt>
              </c:numCache>
            </c:numRef>
          </c:cat>
          <c:val>
            <c:numRef>
              <c:f>Sheet4!$C$10:$C$13</c:f>
              <c:numCache>
                <c:formatCode>General</c:formatCode>
                <c:ptCount val="4"/>
                <c:pt idx="0">
                  <c:v>2026.71</c:v>
                </c:pt>
                <c:pt idx="1">
                  <c:v>1486.6998999999998</c:v>
                </c:pt>
                <c:pt idx="2">
                  <c:v>558.85996999999918</c:v>
                </c:pt>
                <c:pt idx="3">
                  <c:v>1343.98</c:v>
                </c:pt>
              </c:numCache>
            </c:numRef>
          </c:val>
          <c:extLst>
            <c:ext xmlns:c16="http://schemas.microsoft.com/office/drawing/2014/chart" uri="{C3380CC4-5D6E-409C-BE32-E72D297353CC}">
              <c16:uniqueId val="{00000001-D93B-49F3-BE8E-A98D913F75A5}"/>
            </c:ext>
          </c:extLst>
        </c:ser>
        <c:ser>
          <c:idx val="2"/>
          <c:order val="2"/>
          <c:tx>
            <c:strRef>
              <c:f>Sheet4!$D$9</c:f>
              <c:strCache>
                <c:ptCount val="1"/>
                <c:pt idx="0">
                  <c:v>Waste</c:v>
                </c:pt>
              </c:strCache>
            </c:strRef>
          </c:tx>
          <c:spPr>
            <a:solidFill>
              <a:srgbClr val="FF0000"/>
            </a:solidFill>
          </c:spPr>
          <c:invertIfNegative val="0"/>
          <c:cat>
            <c:numRef>
              <c:f>Sheet4!$A$10:$A$13</c:f>
              <c:numCache>
                <c:formatCode>General</c:formatCode>
                <c:ptCount val="4"/>
                <c:pt idx="0">
                  <c:v>1991</c:v>
                </c:pt>
                <c:pt idx="1">
                  <c:v>2001</c:v>
                </c:pt>
                <c:pt idx="2">
                  <c:v>2011</c:v>
                </c:pt>
                <c:pt idx="3">
                  <c:v>2021</c:v>
                </c:pt>
              </c:numCache>
            </c:numRef>
          </c:cat>
          <c:val>
            <c:numRef>
              <c:f>Sheet4!$D$10:$D$13</c:f>
              <c:numCache>
                <c:formatCode>General</c:formatCode>
                <c:ptCount val="4"/>
                <c:pt idx="0">
                  <c:v>1395.1799999999998</c:v>
                </c:pt>
                <c:pt idx="1">
                  <c:v>1452.9101000000001</c:v>
                </c:pt>
                <c:pt idx="2">
                  <c:v>1467.3100999999999</c:v>
                </c:pt>
                <c:pt idx="3">
                  <c:v>1677.36</c:v>
                </c:pt>
              </c:numCache>
            </c:numRef>
          </c:val>
          <c:extLst>
            <c:ext xmlns:c16="http://schemas.microsoft.com/office/drawing/2014/chart" uri="{C3380CC4-5D6E-409C-BE32-E72D297353CC}">
              <c16:uniqueId val="{00000002-D93B-49F3-BE8E-A98D913F75A5}"/>
            </c:ext>
          </c:extLst>
        </c:ser>
        <c:ser>
          <c:idx val="3"/>
          <c:order val="3"/>
          <c:tx>
            <c:strRef>
              <c:f>Sheet4!$E$9</c:f>
              <c:strCache>
                <c:ptCount val="1"/>
                <c:pt idx="0">
                  <c:v>Buildings</c:v>
                </c:pt>
              </c:strCache>
            </c:strRef>
          </c:tx>
          <c:invertIfNegative val="0"/>
          <c:cat>
            <c:numRef>
              <c:f>Sheet4!$A$10:$A$13</c:f>
              <c:numCache>
                <c:formatCode>General</c:formatCode>
                <c:ptCount val="4"/>
                <c:pt idx="0">
                  <c:v>1991</c:v>
                </c:pt>
                <c:pt idx="1">
                  <c:v>2001</c:v>
                </c:pt>
                <c:pt idx="2">
                  <c:v>2011</c:v>
                </c:pt>
                <c:pt idx="3">
                  <c:v>2021</c:v>
                </c:pt>
              </c:numCache>
            </c:numRef>
          </c:cat>
          <c:val>
            <c:numRef>
              <c:f>Sheet4!$E$10:$E$13</c:f>
              <c:numCache>
                <c:formatCode>General</c:formatCode>
                <c:ptCount val="4"/>
                <c:pt idx="0">
                  <c:v>2908.8402000000001</c:v>
                </c:pt>
                <c:pt idx="1">
                  <c:v>2829.8998000000001</c:v>
                </c:pt>
                <c:pt idx="2">
                  <c:v>2936.8798999999999</c:v>
                </c:pt>
                <c:pt idx="3">
                  <c:v>3054.94</c:v>
                </c:pt>
              </c:numCache>
            </c:numRef>
          </c:val>
          <c:extLst>
            <c:ext xmlns:c16="http://schemas.microsoft.com/office/drawing/2014/chart" uri="{C3380CC4-5D6E-409C-BE32-E72D297353CC}">
              <c16:uniqueId val="{00000003-D93B-49F3-BE8E-A98D913F75A5}"/>
            </c:ext>
          </c:extLst>
        </c:ser>
        <c:ser>
          <c:idx val="4"/>
          <c:order val="4"/>
          <c:tx>
            <c:strRef>
              <c:f>Sheet4!$F$9</c:f>
              <c:strCache>
                <c:ptCount val="1"/>
                <c:pt idx="0">
                  <c:v> Industry</c:v>
                </c:pt>
              </c:strCache>
            </c:strRef>
          </c:tx>
          <c:invertIfNegative val="0"/>
          <c:cat>
            <c:numRef>
              <c:f>Sheet4!$A$10:$A$13</c:f>
              <c:numCache>
                <c:formatCode>General</c:formatCode>
                <c:ptCount val="4"/>
                <c:pt idx="0">
                  <c:v>1991</c:v>
                </c:pt>
                <c:pt idx="1">
                  <c:v>2001</c:v>
                </c:pt>
                <c:pt idx="2">
                  <c:v>2011</c:v>
                </c:pt>
                <c:pt idx="3">
                  <c:v>2021</c:v>
                </c:pt>
              </c:numCache>
            </c:numRef>
          </c:cat>
          <c:val>
            <c:numRef>
              <c:f>Sheet4!$F$10:$F$13</c:f>
              <c:numCache>
                <c:formatCode>General</c:formatCode>
                <c:ptCount val="4"/>
                <c:pt idx="0">
                  <c:v>1008.3300499999995</c:v>
                </c:pt>
                <c:pt idx="1">
                  <c:v>1422.09</c:v>
                </c:pt>
                <c:pt idx="2">
                  <c:v>2390.3900000000012</c:v>
                </c:pt>
                <c:pt idx="3">
                  <c:v>3260.3502000000012</c:v>
                </c:pt>
              </c:numCache>
            </c:numRef>
          </c:val>
          <c:extLst>
            <c:ext xmlns:c16="http://schemas.microsoft.com/office/drawing/2014/chart" uri="{C3380CC4-5D6E-409C-BE32-E72D297353CC}">
              <c16:uniqueId val="{00000004-D93B-49F3-BE8E-A98D913F75A5}"/>
            </c:ext>
          </c:extLst>
        </c:ser>
        <c:ser>
          <c:idx val="5"/>
          <c:order val="5"/>
          <c:tx>
            <c:strRef>
              <c:f>Sheet4!$G$9</c:f>
              <c:strCache>
                <c:ptCount val="1"/>
                <c:pt idx="0">
                  <c:v>Manufacturing and construction</c:v>
                </c:pt>
              </c:strCache>
            </c:strRef>
          </c:tx>
          <c:invertIfNegative val="0"/>
          <c:cat>
            <c:numRef>
              <c:f>Sheet4!$A$10:$A$13</c:f>
              <c:numCache>
                <c:formatCode>General</c:formatCode>
                <c:ptCount val="4"/>
                <c:pt idx="0">
                  <c:v>1991</c:v>
                </c:pt>
                <c:pt idx="1">
                  <c:v>2001</c:v>
                </c:pt>
                <c:pt idx="2">
                  <c:v>2011</c:v>
                </c:pt>
                <c:pt idx="3">
                  <c:v>2021</c:v>
                </c:pt>
              </c:numCache>
            </c:numRef>
          </c:cat>
          <c:val>
            <c:numRef>
              <c:f>Sheet4!$G$10:$G$13</c:f>
              <c:numCache>
                <c:formatCode>General</c:formatCode>
                <c:ptCount val="4"/>
                <c:pt idx="0">
                  <c:v>3904.72</c:v>
                </c:pt>
                <c:pt idx="1">
                  <c:v>3924.74</c:v>
                </c:pt>
                <c:pt idx="2">
                  <c:v>6359.8597</c:v>
                </c:pt>
                <c:pt idx="3">
                  <c:v>6384.0497000000005</c:v>
                </c:pt>
              </c:numCache>
            </c:numRef>
          </c:val>
          <c:extLst>
            <c:ext xmlns:c16="http://schemas.microsoft.com/office/drawing/2014/chart" uri="{C3380CC4-5D6E-409C-BE32-E72D297353CC}">
              <c16:uniqueId val="{00000005-D93B-49F3-BE8E-A98D913F75A5}"/>
            </c:ext>
          </c:extLst>
        </c:ser>
        <c:ser>
          <c:idx val="6"/>
          <c:order val="6"/>
          <c:tx>
            <c:strRef>
              <c:f>Sheet4!$H$9</c:f>
              <c:strCache>
                <c:ptCount val="1"/>
                <c:pt idx="0">
                  <c:v>Transport</c:v>
                </c:pt>
              </c:strCache>
            </c:strRef>
          </c:tx>
          <c:spPr>
            <a:solidFill>
              <a:srgbClr val="FFFF00"/>
            </a:solidFill>
          </c:spPr>
          <c:invertIfNegative val="0"/>
          <c:cat>
            <c:numRef>
              <c:f>Sheet4!$A$10:$A$13</c:f>
              <c:numCache>
                <c:formatCode>General</c:formatCode>
                <c:ptCount val="4"/>
                <c:pt idx="0">
                  <c:v>1991</c:v>
                </c:pt>
                <c:pt idx="1">
                  <c:v>2001</c:v>
                </c:pt>
                <c:pt idx="2">
                  <c:v>2011</c:v>
                </c:pt>
                <c:pt idx="3">
                  <c:v>2021</c:v>
                </c:pt>
              </c:numCache>
            </c:numRef>
          </c:cat>
          <c:val>
            <c:numRef>
              <c:f>Sheet4!$H$10:$H$13</c:f>
              <c:numCache>
                <c:formatCode>General</c:formatCode>
                <c:ptCount val="4"/>
                <c:pt idx="0">
                  <c:v>4771.95</c:v>
                </c:pt>
                <c:pt idx="1">
                  <c:v>5951.2700000000013</c:v>
                </c:pt>
                <c:pt idx="2">
                  <c:v>7312.02</c:v>
                </c:pt>
                <c:pt idx="3">
                  <c:v>7835.1</c:v>
                </c:pt>
              </c:numCache>
            </c:numRef>
          </c:val>
          <c:extLst>
            <c:ext xmlns:c16="http://schemas.microsoft.com/office/drawing/2014/chart" uri="{C3380CC4-5D6E-409C-BE32-E72D297353CC}">
              <c16:uniqueId val="{00000006-D93B-49F3-BE8E-A98D913F75A5}"/>
            </c:ext>
          </c:extLst>
        </c:ser>
        <c:ser>
          <c:idx val="7"/>
          <c:order val="7"/>
          <c:tx>
            <c:strRef>
              <c:f>Sheet4!$I$9</c:f>
              <c:strCache>
                <c:ptCount val="1"/>
                <c:pt idx="0">
                  <c:v>Electricity and heat</c:v>
                </c:pt>
              </c:strCache>
            </c:strRef>
          </c:tx>
          <c:spPr>
            <a:solidFill>
              <a:schemeClr val="accent2">
                <a:lumMod val="75000"/>
              </a:schemeClr>
            </a:solidFill>
          </c:spPr>
          <c:invertIfNegative val="0"/>
          <c:cat>
            <c:numRef>
              <c:f>Sheet4!$A$10:$A$13</c:f>
              <c:numCache>
                <c:formatCode>General</c:formatCode>
                <c:ptCount val="4"/>
                <c:pt idx="0">
                  <c:v>1991</c:v>
                </c:pt>
                <c:pt idx="1">
                  <c:v>2001</c:v>
                </c:pt>
                <c:pt idx="2">
                  <c:v>2011</c:v>
                </c:pt>
                <c:pt idx="3">
                  <c:v>2021</c:v>
                </c:pt>
              </c:numCache>
            </c:numRef>
          </c:cat>
          <c:val>
            <c:numRef>
              <c:f>Sheet4!$I$10:$I$13</c:f>
              <c:numCache>
                <c:formatCode>General</c:formatCode>
                <c:ptCount val="4"/>
                <c:pt idx="0">
                  <c:v>8794.41</c:v>
                </c:pt>
                <c:pt idx="1">
                  <c:v>10871.859999999984</c:v>
                </c:pt>
                <c:pt idx="2">
                  <c:v>14849.191000000004</c:v>
                </c:pt>
                <c:pt idx="3">
                  <c:v>16302.191000000004</c:v>
                </c:pt>
              </c:numCache>
            </c:numRef>
          </c:val>
          <c:extLst>
            <c:ext xmlns:c16="http://schemas.microsoft.com/office/drawing/2014/chart" uri="{C3380CC4-5D6E-409C-BE32-E72D297353CC}">
              <c16:uniqueId val="{00000007-D93B-49F3-BE8E-A98D913F75A5}"/>
            </c:ext>
          </c:extLst>
        </c:ser>
        <c:ser>
          <c:idx val="8"/>
          <c:order val="8"/>
          <c:tx>
            <c:strRef>
              <c:f>Sheet4!$J$9</c:f>
              <c:strCache>
                <c:ptCount val="1"/>
                <c:pt idx="0">
                  <c:v>Fugitive emissions </c:v>
                </c:pt>
              </c:strCache>
            </c:strRef>
          </c:tx>
          <c:spPr>
            <a:solidFill>
              <a:schemeClr val="accent3">
                <a:lumMod val="75000"/>
              </a:schemeClr>
            </a:solidFill>
          </c:spPr>
          <c:invertIfNegative val="0"/>
          <c:cat>
            <c:numRef>
              <c:f>Sheet4!$A$10:$A$13</c:f>
              <c:numCache>
                <c:formatCode>General</c:formatCode>
                <c:ptCount val="4"/>
                <c:pt idx="0">
                  <c:v>1991</c:v>
                </c:pt>
                <c:pt idx="1">
                  <c:v>2001</c:v>
                </c:pt>
                <c:pt idx="2">
                  <c:v>2011</c:v>
                </c:pt>
                <c:pt idx="3">
                  <c:v>2021</c:v>
                </c:pt>
              </c:numCache>
            </c:numRef>
          </c:cat>
          <c:val>
            <c:numRef>
              <c:f>Sheet4!$J$10:$J$13</c:f>
              <c:numCache>
                <c:formatCode>General</c:formatCode>
                <c:ptCount val="4"/>
                <c:pt idx="0">
                  <c:v>2356.8300000000022</c:v>
                </c:pt>
                <c:pt idx="1">
                  <c:v>2538.4</c:v>
                </c:pt>
                <c:pt idx="2">
                  <c:v>3132.7298999999975</c:v>
                </c:pt>
                <c:pt idx="3">
                  <c:v>3232.4500000000012</c:v>
                </c:pt>
              </c:numCache>
            </c:numRef>
          </c:val>
          <c:extLst>
            <c:ext xmlns:c16="http://schemas.microsoft.com/office/drawing/2014/chart" uri="{C3380CC4-5D6E-409C-BE32-E72D297353CC}">
              <c16:uniqueId val="{00000008-D93B-49F3-BE8E-A98D913F75A5}"/>
            </c:ext>
          </c:extLst>
        </c:ser>
        <c:ser>
          <c:idx val="9"/>
          <c:order val="9"/>
          <c:tx>
            <c:strRef>
              <c:f>Sheet4!$K$9</c:f>
              <c:strCache>
                <c:ptCount val="1"/>
                <c:pt idx="0">
                  <c:v>Other fuel combustion</c:v>
                </c:pt>
              </c:strCache>
            </c:strRef>
          </c:tx>
          <c:spPr>
            <a:solidFill>
              <a:schemeClr val="bg2">
                <a:lumMod val="25000"/>
              </a:schemeClr>
            </a:solidFill>
          </c:spPr>
          <c:invertIfNegative val="0"/>
          <c:cat>
            <c:numRef>
              <c:f>Sheet4!$A$10:$A$13</c:f>
              <c:numCache>
                <c:formatCode>General</c:formatCode>
                <c:ptCount val="4"/>
                <c:pt idx="0">
                  <c:v>1991</c:v>
                </c:pt>
                <c:pt idx="1">
                  <c:v>2001</c:v>
                </c:pt>
                <c:pt idx="2">
                  <c:v>2011</c:v>
                </c:pt>
                <c:pt idx="3">
                  <c:v>2021</c:v>
                </c:pt>
              </c:numCache>
            </c:numRef>
          </c:cat>
          <c:val>
            <c:numRef>
              <c:f>Sheet4!$K$10:$K$13</c:f>
              <c:numCache>
                <c:formatCode>General</c:formatCode>
                <c:ptCount val="4"/>
                <c:pt idx="0">
                  <c:v>768.63</c:v>
                </c:pt>
                <c:pt idx="1">
                  <c:v>533.07000000000005</c:v>
                </c:pt>
                <c:pt idx="2">
                  <c:v>621.35999999999945</c:v>
                </c:pt>
                <c:pt idx="3">
                  <c:v>599.07000000000005</c:v>
                </c:pt>
              </c:numCache>
            </c:numRef>
          </c:val>
          <c:extLst>
            <c:ext xmlns:c16="http://schemas.microsoft.com/office/drawing/2014/chart" uri="{C3380CC4-5D6E-409C-BE32-E72D297353CC}">
              <c16:uniqueId val="{00000009-D93B-49F3-BE8E-A98D913F75A5}"/>
            </c:ext>
          </c:extLst>
        </c:ser>
        <c:ser>
          <c:idx val="10"/>
          <c:order val="10"/>
          <c:tx>
            <c:strRef>
              <c:f>Sheet4!$L$9</c:f>
              <c:strCache>
                <c:ptCount val="1"/>
                <c:pt idx="0">
                  <c:v>Bunker fuels</c:v>
                </c:pt>
              </c:strCache>
            </c:strRef>
          </c:tx>
          <c:spPr>
            <a:solidFill>
              <a:schemeClr val="accent5">
                <a:lumMod val="75000"/>
              </a:schemeClr>
            </a:solidFill>
          </c:spPr>
          <c:invertIfNegative val="0"/>
          <c:cat>
            <c:numRef>
              <c:f>Sheet4!$A$10:$A$13</c:f>
              <c:numCache>
                <c:formatCode>General</c:formatCode>
                <c:ptCount val="4"/>
                <c:pt idx="0">
                  <c:v>1991</c:v>
                </c:pt>
                <c:pt idx="1">
                  <c:v>2001</c:v>
                </c:pt>
                <c:pt idx="2">
                  <c:v>2011</c:v>
                </c:pt>
                <c:pt idx="3">
                  <c:v>2021</c:v>
                </c:pt>
              </c:numCache>
            </c:numRef>
          </c:cat>
          <c:val>
            <c:numRef>
              <c:f>Sheet4!$L$10:$L$13</c:f>
              <c:numCache>
                <c:formatCode>General</c:formatCode>
                <c:ptCount val="4"/>
                <c:pt idx="0">
                  <c:v>645.75</c:v>
                </c:pt>
                <c:pt idx="1">
                  <c:v>834.05997000000002</c:v>
                </c:pt>
                <c:pt idx="2">
                  <c:v>1154.54</c:v>
                </c:pt>
                <c:pt idx="3">
                  <c:v>994.69</c:v>
                </c:pt>
              </c:numCache>
            </c:numRef>
          </c:val>
          <c:extLst>
            <c:ext xmlns:c16="http://schemas.microsoft.com/office/drawing/2014/chart" uri="{C3380CC4-5D6E-409C-BE32-E72D297353CC}">
              <c16:uniqueId val="{0000000A-D93B-49F3-BE8E-A98D913F75A5}"/>
            </c:ext>
          </c:extLst>
        </c:ser>
        <c:dLbls>
          <c:showLegendKey val="0"/>
          <c:showVal val="0"/>
          <c:showCatName val="0"/>
          <c:showSerName val="0"/>
          <c:showPercent val="0"/>
          <c:showBubbleSize val="0"/>
        </c:dLbls>
        <c:gapWidth val="150"/>
        <c:axId val="107952384"/>
        <c:axId val="107974656"/>
      </c:barChart>
      <c:catAx>
        <c:axId val="107952384"/>
        <c:scaling>
          <c:orientation val="minMax"/>
        </c:scaling>
        <c:delete val="0"/>
        <c:axPos val="l"/>
        <c:numFmt formatCode="General" sourceLinked="1"/>
        <c:majorTickMark val="out"/>
        <c:minorTickMark val="none"/>
        <c:tickLblPos val="nextTo"/>
        <c:txPr>
          <a:bodyPr/>
          <a:lstStyle/>
          <a:p>
            <a:pPr>
              <a:defRPr>
                <a:latin typeface="Arial" pitchFamily="34" charset="0"/>
                <a:cs typeface="Arial" pitchFamily="34" charset="0"/>
              </a:defRPr>
            </a:pPr>
            <a:endParaRPr lang="en-US"/>
          </a:p>
        </c:txPr>
        <c:crossAx val="107974656"/>
        <c:crosses val="autoZero"/>
        <c:auto val="1"/>
        <c:lblAlgn val="ctr"/>
        <c:lblOffset val="100"/>
        <c:noMultiLvlLbl val="0"/>
      </c:catAx>
      <c:valAx>
        <c:axId val="107974656"/>
        <c:scaling>
          <c:orientation val="minMax"/>
        </c:scaling>
        <c:delete val="0"/>
        <c:axPos val="b"/>
        <c:title>
          <c:tx>
            <c:rich>
              <a:bodyPr/>
              <a:lstStyle/>
              <a:p>
                <a:pPr>
                  <a:defRPr/>
                </a:pPr>
                <a:r>
                  <a:rPr lang="en-US">
                    <a:latin typeface="Arial" pitchFamily="34" charset="0"/>
                    <a:cs typeface="Arial" pitchFamily="34" charset="0"/>
                  </a:rPr>
                  <a:t>Million Tons</a:t>
                </a:r>
              </a:p>
            </c:rich>
          </c:tx>
          <c:layout>
            <c:manualLayout>
              <c:xMode val="edge"/>
              <c:yMode val="edge"/>
              <c:x val="0.43384002882276451"/>
              <c:y val="0.97174823404640798"/>
            </c:manualLayout>
          </c:layout>
          <c:overlay val="0"/>
        </c:title>
        <c:numFmt formatCode="General" sourceLinked="1"/>
        <c:majorTickMark val="out"/>
        <c:minorTickMark val="none"/>
        <c:tickLblPos val="nextTo"/>
        <c:crossAx val="107952384"/>
        <c:crosses val="autoZero"/>
        <c:crossBetween val="between"/>
        <c:majorUnit val="2500"/>
      </c:valAx>
    </c:plotArea>
    <c:legend>
      <c:legendPos val="r"/>
      <c:layout>
        <c:manualLayout>
          <c:xMode val="edge"/>
          <c:yMode val="edge"/>
          <c:x val="0.70759294303863429"/>
          <c:y val="0.19491226791095556"/>
          <c:w val="0.2688526213884439"/>
          <c:h val="0.59645128979532946"/>
        </c:manualLayout>
      </c:layout>
      <c:overlay val="0"/>
      <c:spPr>
        <a:noFill/>
        <a:ln w="25400" cap="flat" cmpd="sng" algn="ctr">
          <a:noFill/>
          <a:prstDash val="solid"/>
        </a:ln>
        <a:effectLst/>
      </c:spPr>
      <c:txPr>
        <a:bodyPr/>
        <a:lstStyle/>
        <a:p>
          <a:pPr>
            <a:defRPr>
              <a:solidFill>
                <a:schemeClr val="dk1"/>
              </a:solidFill>
              <a:latin typeface="Arial" pitchFamily="34" charset="0"/>
              <a:ea typeface="+mn-ea"/>
              <a:cs typeface="Arial" pitchFamily="34" charset="0"/>
            </a:defRPr>
          </a:pPr>
          <a:endParaRPr lang="en-US"/>
        </a:p>
      </c:tx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rtl="0">
              <a:defRPr/>
            </a:pPr>
            <a:r>
              <a:rPr lang="en-US" sz="1000"/>
              <a:t>Figure -2, Decadal-wise Sectoral Contribution to GHG Emissions in India (1991-</a:t>
            </a:r>
            <a:r>
              <a:rPr lang="en-US" sz="1000" baseline="0"/>
              <a:t> 2021)</a:t>
            </a:r>
            <a:endParaRPr lang="en-US" sz="1000"/>
          </a:p>
        </c:rich>
      </c:tx>
      <c:overlay val="0"/>
    </c:title>
    <c:autoTitleDeleted val="0"/>
    <c:plotArea>
      <c:layout>
        <c:manualLayout>
          <c:layoutTarget val="inner"/>
          <c:xMode val="edge"/>
          <c:yMode val="edge"/>
          <c:x val="3.6863250611451279E-2"/>
          <c:y val="5.2217900544774119E-2"/>
          <c:w val="0.82244542962266798"/>
          <c:h val="0.86727736596667626"/>
        </c:manualLayout>
      </c:layout>
      <c:barChart>
        <c:barDir val="bar"/>
        <c:grouping val="clustered"/>
        <c:varyColors val="0"/>
        <c:ser>
          <c:idx val="0"/>
          <c:order val="0"/>
          <c:tx>
            <c:strRef>
              <c:f>Sheet4!$B$26</c:f>
              <c:strCache>
                <c:ptCount val="1"/>
                <c:pt idx="0">
                  <c:v>Agriculture</c:v>
                </c:pt>
              </c:strCache>
            </c:strRef>
          </c:tx>
          <c:spPr>
            <a:solidFill>
              <a:srgbClr val="CC0066"/>
            </a:solidFill>
          </c:spPr>
          <c:invertIfNegative val="0"/>
          <c:cat>
            <c:numRef>
              <c:f>Sheet4!$A$27:$A$30</c:f>
              <c:numCache>
                <c:formatCode>General</c:formatCode>
                <c:ptCount val="4"/>
                <c:pt idx="0">
                  <c:v>1991</c:v>
                </c:pt>
                <c:pt idx="1">
                  <c:v>2001</c:v>
                </c:pt>
                <c:pt idx="2">
                  <c:v>2011</c:v>
                </c:pt>
                <c:pt idx="3">
                  <c:v>2021</c:v>
                </c:pt>
              </c:numCache>
            </c:numRef>
          </c:cat>
          <c:val>
            <c:numRef>
              <c:f>Sheet4!$B$27:$B$30</c:f>
              <c:numCache>
                <c:formatCode>General</c:formatCode>
                <c:ptCount val="4"/>
                <c:pt idx="0">
                  <c:v>573.39</c:v>
                </c:pt>
                <c:pt idx="1">
                  <c:v>622.57000000000005</c:v>
                </c:pt>
                <c:pt idx="2">
                  <c:v>701.28000000000054</c:v>
                </c:pt>
                <c:pt idx="3">
                  <c:v>752.08</c:v>
                </c:pt>
              </c:numCache>
            </c:numRef>
          </c:val>
          <c:extLst>
            <c:ext xmlns:c16="http://schemas.microsoft.com/office/drawing/2014/chart" uri="{C3380CC4-5D6E-409C-BE32-E72D297353CC}">
              <c16:uniqueId val="{00000000-C349-447D-8075-313913F58786}"/>
            </c:ext>
          </c:extLst>
        </c:ser>
        <c:ser>
          <c:idx val="1"/>
          <c:order val="1"/>
          <c:tx>
            <c:strRef>
              <c:f>Sheet4!$C$26</c:f>
              <c:strCache>
                <c:ptCount val="1"/>
                <c:pt idx="0">
                  <c:v>Land use change and forestry</c:v>
                </c:pt>
              </c:strCache>
            </c:strRef>
          </c:tx>
          <c:spPr>
            <a:solidFill>
              <a:srgbClr val="00B050"/>
            </a:solidFill>
          </c:spPr>
          <c:invertIfNegative val="0"/>
          <c:cat>
            <c:numRef>
              <c:f>Sheet4!$A$27:$A$30</c:f>
              <c:numCache>
                <c:formatCode>General</c:formatCode>
                <c:ptCount val="4"/>
                <c:pt idx="0">
                  <c:v>1991</c:v>
                </c:pt>
                <c:pt idx="1">
                  <c:v>2001</c:v>
                </c:pt>
                <c:pt idx="2">
                  <c:v>2011</c:v>
                </c:pt>
                <c:pt idx="3">
                  <c:v>2021</c:v>
                </c:pt>
              </c:numCache>
            </c:numRef>
          </c:cat>
          <c:val>
            <c:numRef>
              <c:f>Sheet4!$C$27:$C$30</c:f>
              <c:numCache>
                <c:formatCode>General</c:formatCode>
                <c:ptCount val="4"/>
                <c:pt idx="0">
                  <c:v>-217.78</c:v>
                </c:pt>
                <c:pt idx="1">
                  <c:v>4.6199999999999966</c:v>
                </c:pt>
                <c:pt idx="2">
                  <c:v>-61.809999999999995</c:v>
                </c:pt>
                <c:pt idx="3">
                  <c:v>-24.57</c:v>
                </c:pt>
              </c:numCache>
            </c:numRef>
          </c:val>
          <c:extLst>
            <c:ext xmlns:c16="http://schemas.microsoft.com/office/drawing/2014/chart" uri="{C3380CC4-5D6E-409C-BE32-E72D297353CC}">
              <c16:uniqueId val="{00000001-C349-447D-8075-313913F58786}"/>
            </c:ext>
          </c:extLst>
        </c:ser>
        <c:ser>
          <c:idx val="2"/>
          <c:order val="2"/>
          <c:tx>
            <c:strRef>
              <c:f>Sheet4!$D$26</c:f>
              <c:strCache>
                <c:ptCount val="1"/>
                <c:pt idx="0">
                  <c:v>Waste</c:v>
                </c:pt>
              </c:strCache>
            </c:strRef>
          </c:tx>
          <c:spPr>
            <a:solidFill>
              <a:srgbClr val="FF0000"/>
            </a:solidFill>
          </c:spPr>
          <c:invertIfNegative val="0"/>
          <c:cat>
            <c:numRef>
              <c:f>Sheet4!$A$27:$A$30</c:f>
              <c:numCache>
                <c:formatCode>General</c:formatCode>
                <c:ptCount val="4"/>
                <c:pt idx="0">
                  <c:v>1991</c:v>
                </c:pt>
                <c:pt idx="1">
                  <c:v>2001</c:v>
                </c:pt>
                <c:pt idx="2">
                  <c:v>2011</c:v>
                </c:pt>
                <c:pt idx="3">
                  <c:v>2021</c:v>
                </c:pt>
              </c:numCache>
            </c:numRef>
          </c:cat>
          <c:val>
            <c:numRef>
              <c:f>Sheet4!$D$27:$D$30</c:f>
              <c:numCache>
                <c:formatCode>General</c:formatCode>
                <c:ptCount val="4"/>
                <c:pt idx="0">
                  <c:v>25.19</c:v>
                </c:pt>
                <c:pt idx="1">
                  <c:v>62.89</c:v>
                </c:pt>
                <c:pt idx="2">
                  <c:v>75.45</c:v>
                </c:pt>
                <c:pt idx="3">
                  <c:v>86.4</c:v>
                </c:pt>
              </c:numCache>
            </c:numRef>
          </c:val>
          <c:extLst>
            <c:ext xmlns:c16="http://schemas.microsoft.com/office/drawing/2014/chart" uri="{C3380CC4-5D6E-409C-BE32-E72D297353CC}">
              <c16:uniqueId val="{00000002-C349-447D-8075-313913F58786}"/>
            </c:ext>
          </c:extLst>
        </c:ser>
        <c:ser>
          <c:idx val="3"/>
          <c:order val="3"/>
          <c:tx>
            <c:strRef>
              <c:f>Sheet4!$E$26</c:f>
              <c:strCache>
                <c:ptCount val="1"/>
                <c:pt idx="0">
                  <c:v>Buildings</c:v>
                </c:pt>
              </c:strCache>
            </c:strRef>
          </c:tx>
          <c:spPr>
            <a:solidFill>
              <a:schemeClr val="accent4">
                <a:lumMod val="75000"/>
              </a:schemeClr>
            </a:solidFill>
          </c:spPr>
          <c:invertIfNegative val="0"/>
          <c:cat>
            <c:numRef>
              <c:f>Sheet4!$A$27:$A$30</c:f>
              <c:numCache>
                <c:formatCode>General</c:formatCode>
                <c:ptCount val="4"/>
                <c:pt idx="0">
                  <c:v>1991</c:v>
                </c:pt>
                <c:pt idx="1">
                  <c:v>2001</c:v>
                </c:pt>
                <c:pt idx="2">
                  <c:v>2011</c:v>
                </c:pt>
                <c:pt idx="3">
                  <c:v>2021</c:v>
                </c:pt>
              </c:numCache>
            </c:numRef>
          </c:cat>
          <c:val>
            <c:numRef>
              <c:f>Sheet4!$E$27:$E$30</c:f>
              <c:numCache>
                <c:formatCode>General</c:formatCode>
                <c:ptCount val="4"/>
                <c:pt idx="0">
                  <c:v>92.410000000000025</c:v>
                </c:pt>
                <c:pt idx="1">
                  <c:v>106.04</c:v>
                </c:pt>
                <c:pt idx="2">
                  <c:v>135.05000000000001</c:v>
                </c:pt>
                <c:pt idx="3">
                  <c:v>167.12</c:v>
                </c:pt>
              </c:numCache>
            </c:numRef>
          </c:val>
          <c:extLst>
            <c:ext xmlns:c16="http://schemas.microsoft.com/office/drawing/2014/chart" uri="{C3380CC4-5D6E-409C-BE32-E72D297353CC}">
              <c16:uniqueId val="{00000003-C349-447D-8075-313913F58786}"/>
            </c:ext>
          </c:extLst>
        </c:ser>
        <c:ser>
          <c:idx val="4"/>
          <c:order val="4"/>
          <c:tx>
            <c:strRef>
              <c:f>Sheet4!$F$26</c:f>
              <c:strCache>
                <c:ptCount val="1"/>
                <c:pt idx="0">
                  <c:v> Industry</c:v>
                </c:pt>
              </c:strCache>
            </c:strRef>
          </c:tx>
          <c:invertIfNegative val="0"/>
          <c:cat>
            <c:numRef>
              <c:f>Sheet4!$A$27:$A$30</c:f>
              <c:numCache>
                <c:formatCode>General</c:formatCode>
                <c:ptCount val="4"/>
                <c:pt idx="0">
                  <c:v>1991</c:v>
                </c:pt>
                <c:pt idx="1">
                  <c:v>2001</c:v>
                </c:pt>
                <c:pt idx="2">
                  <c:v>2011</c:v>
                </c:pt>
                <c:pt idx="3">
                  <c:v>2021</c:v>
                </c:pt>
              </c:numCache>
            </c:numRef>
          </c:cat>
          <c:val>
            <c:numRef>
              <c:f>Sheet4!$F$27:$F$30</c:f>
              <c:numCache>
                <c:formatCode>General</c:formatCode>
                <c:ptCount val="4"/>
                <c:pt idx="0">
                  <c:v>29</c:v>
                </c:pt>
                <c:pt idx="1">
                  <c:v>58.290000000000013</c:v>
                </c:pt>
                <c:pt idx="2">
                  <c:v>106.23</c:v>
                </c:pt>
                <c:pt idx="3">
                  <c:v>178.60999999999999</c:v>
                </c:pt>
              </c:numCache>
            </c:numRef>
          </c:val>
          <c:extLst>
            <c:ext xmlns:c16="http://schemas.microsoft.com/office/drawing/2014/chart" uri="{C3380CC4-5D6E-409C-BE32-E72D297353CC}">
              <c16:uniqueId val="{00000004-C349-447D-8075-313913F58786}"/>
            </c:ext>
          </c:extLst>
        </c:ser>
        <c:ser>
          <c:idx val="5"/>
          <c:order val="5"/>
          <c:tx>
            <c:strRef>
              <c:f>Sheet4!$G$26</c:f>
              <c:strCache>
                <c:ptCount val="1"/>
                <c:pt idx="0">
                  <c:v>Manufacturing and construction</c:v>
                </c:pt>
              </c:strCache>
            </c:strRef>
          </c:tx>
          <c:spPr>
            <a:solidFill>
              <a:schemeClr val="accent6">
                <a:lumMod val="75000"/>
              </a:schemeClr>
            </a:solidFill>
          </c:spPr>
          <c:invertIfNegative val="0"/>
          <c:cat>
            <c:numRef>
              <c:f>Sheet4!$A$27:$A$30</c:f>
              <c:numCache>
                <c:formatCode>General</c:formatCode>
                <c:ptCount val="4"/>
                <c:pt idx="0">
                  <c:v>1991</c:v>
                </c:pt>
                <c:pt idx="1">
                  <c:v>2001</c:v>
                </c:pt>
                <c:pt idx="2">
                  <c:v>2011</c:v>
                </c:pt>
                <c:pt idx="3">
                  <c:v>2021</c:v>
                </c:pt>
              </c:numCache>
            </c:numRef>
          </c:cat>
          <c:val>
            <c:numRef>
              <c:f>Sheet4!$G$27:$G$30</c:f>
              <c:numCache>
                <c:formatCode>General</c:formatCode>
                <c:ptCount val="4"/>
                <c:pt idx="0">
                  <c:v>155.29</c:v>
                </c:pt>
                <c:pt idx="1">
                  <c:v>197.16</c:v>
                </c:pt>
                <c:pt idx="2">
                  <c:v>448.02998000000002</c:v>
                </c:pt>
                <c:pt idx="3">
                  <c:v>568.16</c:v>
                </c:pt>
              </c:numCache>
            </c:numRef>
          </c:val>
          <c:extLst>
            <c:ext xmlns:c16="http://schemas.microsoft.com/office/drawing/2014/chart" uri="{C3380CC4-5D6E-409C-BE32-E72D297353CC}">
              <c16:uniqueId val="{00000005-C349-447D-8075-313913F58786}"/>
            </c:ext>
          </c:extLst>
        </c:ser>
        <c:ser>
          <c:idx val="6"/>
          <c:order val="6"/>
          <c:tx>
            <c:strRef>
              <c:f>Sheet4!$H$26</c:f>
              <c:strCache>
                <c:ptCount val="1"/>
                <c:pt idx="0">
                  <c:v>Transport</c:v>
                </c:pt>
              </c:strCache>
            </c:strRef>
          </c:tx>
          <c:spPr>
            <a:solidFill>
              <a:srgbClr val="FFFF00"/>
            </a:solidFill>
          </c:spPr>
          <c:invertIfNegative val="0"/>
          <c:cat>
            <c:numRef>
              <c:f>Sheet4!$A$27:$A$30</c:f>
              <c:numCache>
                <c:formatCode>General</c:formatCode>
                <c:ptCount val="4"/>
                <c:pt idx="0">
                  <c:v>1991</c:v>
                </c:pt>
                <c:pt idx="1">
                  <c:v>2001</c:v>
                </c:pt>
                <c:pt idx="2">
                  <c:v>2011</c:v>
                </c:pt>
                <c:pt idx="3">
                  <c:v>2021</c:v>
                </c:pt>
              </c:numCache>
            </c:numRef>
          </c:cat>
          <c:val>
            <c:numRef>
              <c:f>Sheet4!$H$27:$H$30</c:f>
              <c:numCache>
                <c:formatCode>General</c:formatCode>
                <c:ptCount val="4"/>
                <c:pt idx="0">
                  <c:v>68.61</c:v>
                </c:pt>
                <c:pt idx="1">
                  <c:v>97.43</c:v>
                </c:pt>
                <c:pt idx="2">
                  <c:v>214.56</c:v>
                </c:pt>
                <c:pt idx="3">
                  <c:v>302.97999999999973</c:v>
                </c:pt>
              </c:numCache>
            </c:numRef>
          </c:val>
          <c:extLst>
            <c:ext xmlns:c16="http://schemas.microsoft.com/office/drawing/2014/chart" uri="{C3380CC4-5D6E-409C-BE32-E72D297353CC}">
              <c16:uniqueId val="{00000006-C349-447D-8075-313913F58786}"/>
            </c:ext>
          </c:extLst>
        </c:ser>
        <c:ser>
          <c:idx val="7"/>
          <c:order val="7"/>
          <c:tx>
            <c:strRef>
              <c:f>Sheet4!$I$26</c:f>
              <c:strCache>
                <c:ptCount val="1"/>
                <c:pt idx="0">
                  <c:v>Electricity and heat</c:v>
                </c:pt>
              </c:strCache>
            </c:strRef>
          </c:tx>
          <c:spPr>
            <a:solidFill>
              <a:schemeClr val="accent2"/>
            </a:solidFill>
          </c:spPr>
          <c:invertIfNegative val="0"/>
          <c:cat>
            <c:numRef>
              <c:f>Sheet4!$A$27:$A$30</c:f>
              <c:numCache>
                <c:formatCode>General</c:formatCode>
                <c:ptCount val="4"/>
                <c:pt idx="0">
                  <c:v>1991</c:v>
                </c:pt>
                <c:pt idx="1">
                  <c:v>2001</c:v>
                </c:pt>
                <c:pt idx="2">
                  <c:v>2011</c:v>
                </c:pt>
                <c:pt idx="3">
                  <c:v>2021</c:v>
                </c:pt>
              </c:numCache>
            </c:numRef>
          </c:cat>
          <c:val>
            <c:numRef>
              <c:f>Sheet4!$I$27:$I$30</c:f>
              <c:numCache>
                <c:formatCode>General</c:formatCode>
                <c:ptCount val="4"/>
                <c:pt idx="0">
                  <c:v>260.14001999999999</c:v>
                </c:pt>
                <c:pt idx="1">
                  <c:v>507.63</c:v>
                </c:pt>
                <c:pt idx="2">
                  <c:v>864.63</c:v>
                </c:pt>
                <c:pt idx="3">
                  <c:v>1230.6199999999999</c:v>
                </c:pt>
              </c:numCache>
            </c:numRef>
          </c:val>
          <c:extLst>
            <c:ext xmlns:c16="http://schemas.microsoft.com/office/drawing/2014/chart" uri="{C3380CC4-5D6E-409C-BE32-E72D297353CC}">
              <c16:uniqueId val="{00000007-C349-447D-8075-313913F58786}"/>
            </c:ext>
          </c:extLst>
        </c:ser>
        <c:ser>
          <c:idx val="8"/>
          <c:order val="8"/>
          <c:tx>
            <c:strRef>
              <c:f>Sheet4!$J$26</c:f>
              <c:strCache>
                <c:ptCount val="1"/>
                <c:pt idx="0">
                  <c:v>Fugitive emissions </c:v>
                </c:pt>
              </c:strCache>
            </c:strRef>
          </c:tx>
          <c:spPr>
            <a:solidFill>
              <a:schemeClr val="accent3">
                <a:lumMod val="75000"/>
              </a:schemeClr>
            </a:solidFill>
          </c:spPr>
          <c:invertIfNegative val="0"/>
          <c:cat>
            <c:numRef>
              <c:f>Sheet4!$A$27:$A$30</c:f>
              <c:numCache>
                <c:formatCode>General</c:formatCode>
                <c:ptCount val="4"/>
                <c:pt idx="0">
                  <c:v>1991</c:v>
                </c:pt>
                <c:pt idx="1">
                  <c:v>2001</c:v>
                </c:pt>
                <c:pt idx="2">
                  <c:v>2011</c:v>
                </c:pt>
                <c:pt idx="3">
                  <c:v>2021</c:v>
                </c:pt>
              </c:numCache>
            </c:numRef>
          </c:cat>
          <c:val>
            <c:numRef>
              <c:f>Sheet4!$J$27:$J$30</c:f>
              <c:numCache>
                <c:formatCode>General</c:formatCode>
                <c:ptCount val="4"/>
                <c:pt idx="0">
                  <c:v>60.09</c:v>
                </c:pt>
                <c:pt idx="1">
                  <c:v>51.879999999999995</c:v>
                </c:pt>
                <c:pt idx="2">
                  <c:v>83.69</c:v>
                </c:pt>
                <c:pt idx="3">
                  <c:v>85.8</c:v>
                </c:pt>
              </c:numCache>
            </c:numRef>
          </c:val>
          <c:extLst>
            <c:ext xmlns:c16="http://schemas.microsoft.com/office/drawing/2014/chart" uri="{C3380CC4-5D6E-409C-BE32-E72D297353CC}">
              <c16:uniqueId val="{00000008-C349-447D-8075-313913F58786}"/>
            </c:ext>
          </c:extLst>
        </c:ser>
        <c:ser>
          <c:idx val="9"/>
          <c:order val="9"/>
          <c:tx>
            <c:strRef>
              <c:f>Sheet4!$K$26</c:f>
              <c:strCache>
                <c:ptCount val="1"/>
                <c:pt idx="0">
                  <c:v>Other fuel combustion</c:v>
                </c:pt>
              </c:strCache>
            </c:strRef>
          </c:tx>
          <c:spPr>
            <a:solidFill>
              <a:schemeClr val="bg2">
                <a:lumMod val="25000"/>
              </a:schemeClr>
            </a:solidFill>
          </c:spPr>
          <c:invertIfNegative val="0"/>
          <c:cat>
            <c:numRef>
              <c:f>Sheet4!$A$27:$A$30</c:f>
              <c:numCache>
                <c:formatCode>General</c:formatCode>
                <c:ptCount val="4"/>
                <c:pt idx="0">
                  <c:v>1991</c:v>
                </c:pt>
                <c:pt idx="1">
                  <c:v>2001</c:v>
                </c:pt>
                <c:pt idx="2">
                  <c:v>2011</c:v>
                </c:pt>
                <c:pt idx="3">
                  <c:v>2021</c:v>
                </c:pt>
              </c:numCache>
            </c:numRef>
          </c:cat>
          <c:val>
            <c:numRef>
              <c:f>Sheet4!$K$27:$K$30</c:f>
              <c:numCache>
                <c:formatCode>General</c:formatCode>
                <c:ptCount val="4"/>
                <c:pt idx="0">
                  <c:v>33.550000000000004</c:v>
                </c:pt>
                <c:pt idx="1">
                  <c:v>39.630000000000003</c:v>
                </c:pt>
                <c:pt idx="2">
                  <c:v>53.39</c:v>
                </c:pt>
                <c:pt idx="3">
                  <c:v>72.679999999999978</c:v>
                </c:pt>
              </c:numCache>
            </c:numRef>
          </c:val>
          <c:extLst>
            <c:ext xmlns:c16="http://schemas.microsoft.com/office/drawing/2014/chart" uri="{C3380CC4-5D6E-409C-BE32-E72D297353CC}">
              <c16:uniqueId val="{00000009-C349-447D-8075-313913F58786}"/>
            </c:ext>
          </c:extLst>
        </c:ser>
        <c:ser>
          <c:idx val="10"/>
          <c:order val="10"/>
          <c:tx>
            <c:strRef>
              <c:f>Sheet4!$L$26</c:f>
              <c:strCache>
                <c:ptCount val="1"/>
                <c:pt idx="0">
                  <c:v>Bunker fuels</c:v>
                </c:pt>
              </c:strCache>
            </c:strRef>
          </c:tx>
          <c:invertIfNegative val="0"/>
          <c:cat>
            <c:numRef>
              <c:f>Sheet4!$A$27:$A$30</c:f>
              <c:numCache>
                <c:formatCode>General</c:formatCode>
                <c:ptCount val="4"/>
                <c:pt idx="0">
                  <c:v>1991</c:v>
                </c:pt>
                <c:pt idx="1">
                  <c:v>2001</c:v>
                </c:pt>
                <c:pt idx="2">
                  <c:v>2011</c:v>
                </c:pt>
                <c:pt idx="3">
                  <c:v>2021</c:v>
                </c:pt>
              </c:numCache>
            </c:numRef>
          </c:cat>
          <c:val>
            <c:numRef>
              <c:f>Sheet4!$L$27:$L$30</c:f>
              <c:numCache>
                <c:formatCode>General</c:formatCode>
                <c:ptCount val="4"/>
                <c:pt idx="0">
                  <c:v>4.9000000000000004</c:v>
                </c:pt>
                <c:pt idx="1">
                  <c:v>7.35</c:v>
                </c:pt>
                <c:pt idx="2">
                  <c:v>14.53</c:v>
                </c:pt>
                <c:pt idx="3">
                  <c:v>10.92</c:v>
                </c:pt>
              </c:numCache>
            </c:numRef>
          </c:val>
          <c:extLst>
            <c:ext xmlns:c16="http://schemas.microsoft.com/office/drawing/2014/chart" uri="{C3380CC4-5D6E-409C-BE32-E72D297353CC}">
              <c16:uniqueId val="{0000000A-C349-447D-8075-313913F58786}"/>
            </c:ext>
          </c:extLst>
        </c:ser>
        <c:dLbls>
          <c:showLegendKey val="0"/>
          <c:showVal val="0"/>
          <c:showCatName val="0"/>
          <c:showSerName val="0"/>
          <c:showPercent val="0"/>
          <c:showBubbleSize val="0"/>
        </c:dLbls>
        <c:gapWidth val="150"/>
        <c:axId val="132048384"/>
        <c:axId val="138187904"/>
      </c:barChart>
      <c:catAx>
        <c:axId val="132048384"/>
        <c:scaling>
          <c:orientation val="minMax"/>
        </c:scaling>
        <c:delete val="0"/>
        <c:axPos val="l"/>
        <c:numFmt formatCode="General" sourceLinked="1"/>
        <c:majorTickMark val="out"/>
        <c:minorTickMark val="none"/>
        <c:tickLblPos val="nextTo"/>
        <c:crossAx val="138187904"/>
        <c:crosses val="autoZero"/>
        <c:auto val="1"/>
        <c:lblAlgn val="ctr"/>
        <c:lblOffset val="100"/>
        <c:noMultiLvlLbl val="0"/>
      </c:catAx>
      <c:valAx>
        <c:axId val="138187904"/>
        <c:scaling>
          <c:orientation val="minMax"/>
        </c:scaling>
        <c:delete val="0"/>
        <c:axPos val="b"/>
        <c:title>
          <c:tx>
            <c:rich>
              <a:bodyPr/>
              <a:lstStyle/>
              <a:p>
                <a:pPr>
                  <a:defRPr/>
                </a:pPr>
                <a:r>
                  <a:rPr lang="en-US"/>
                  <a:t>Million tons</a:t>
                </a:r>
              </a:p>
            </c:rich>
          </c:tx>
          <c:layout>
            <c:manualLayout>
              <c:xMode val="edge"/>
              <c:yMode val="edge"/>
              <c:x val="0.37723378625614939"/>
              <c:y val="0.97059418386676533"/>
            </c:manualLayout>
          </c:layout>
          <c:overlay val="0"/>
        </c:title>
        <c:numFmt formatCode="General" sourceLinked="1"/>
        <c:majorTickMark val="out"/>
        <c:minorTickMark val="none"/>
        <c:tickLblPos val="nextTo"/>
        <c:crossAx val="132048384"/>
        <c:crosses val="autoZero"/>
        <c:crossBetween val="between"/>
      </c:valAx>
    </c:plotArea>
    <c:legend>
      <c:legendPos val="r"/>
      <c:layout>
        <c:manualLayout>
          <c:xMode val="edge"/>
          <c:yMode val="edge"/>
          <c:x val="0.7114622593118759"/>
          <c:y val="0.20748254575882621"/>
          <c:w val="0.25080405617486345"/>
          <c:h val="0.63619588199013677"/>
        </c:manualLayout>
      </c:layout>
      <c:overlay val="0"/>
      <c:spPr>
        <a:noFill/>
        <a:ln w="25400" cap="flat" cmpd="sng" algn="ctr">
          <a:noFill/>
          <a:prstDash val="solid"/>
        </a:ln>
        <a:effectLst/>
      </c:spPr>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Arial" pitchFamily="34" charset="0"/>
          <a:ea typeface="+mn-ea"/>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Figure -3, Sectoral Contribution of GHG Emission Shares in the World and India (2021)</a:t>
            </a:r>
          </a:p>
        </c:rich>
      </c:tx>
      <c:layout>
        <c:manualLayout>
          <c:xMode val="edge"/>
          <c:yMode val="edge"/>
          <c:x val="0.12073381224006707"/>
          <c:y val="1.6771488469601695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35895350692757838"/>
          <c:y val="0.10592044314337029"/>
          <c:w val="0.59971587926509184"/>
          <c:h val="0.79055137624832705"/>
        </c:manualLayout>
      </c:layout>
      <c:bar3DChart>
        <c:barDir val="bar"/>
        <c:grouping val="clustered"/>
        <c:varyColors val="0"/>
        <c:ser>
          <c:idx val="0"/>
          <c:order val="0"/>
          <c:tx>
            <c:strRef>
              <c:f>Sheet4!$A$33</c:f>
              <c:strCache>
                <c:ptCount val="1"/>
                <c:pt idx="0">
                  <c:v>India</c:v>
                </c:pt>
              </c:strCache>
            </c:strRef>
          </c:tx>
          <c:spPr>
            <a:solidFill>
              <a:srgbClr val="D60093"/>
            </a:solidFill>
          </c:spPr>
          <c:invertIfNegative val="0"/>
          <c:cat>
            <c:strRef>
              <c:f>Sheet4!$B$32:$L$32</c:f>
              <c:strCache>
                <c:ptCount val="11"/>
                <c:pt idx="0">
                  <c:v>Agriculture</c:v>
                </c:pt>
                <c:pt idx="1">
                  <c:v>Land use change and forestry</c:v>
                </c:pt>
                <c:pt idx="2">
                  <c:v>Waste</c:v>
                </c:pt>
                <c:pt idx="3">
                  <c:v>Buildings</c:v>
                </c:pt>
                <c:pt idx="4">
                  <c:v> Industry</c:v>
                </c:pt>
                <c:pt idx="5">
                  <c:v>Manufacturing and construction</c:v>
                </c:pt>
                <c:pt idx="6">
                  <c:v>Transport</c:v>
                </c:pt>
                <c:pt idx="7">
                  <c:v>Electricity and heat</c:v>
                </c:pt>
                <c:pt idx="8">
                  <c:v>Fugitive emissions </c:v>
                </c:pt>
                <c:pt idx="9">
                  <c:v>Other fuel combustion</c:v>
                </c:pt>
                <c:pt idx="10">
                  <c:v>Bunker fuels</c:v>
                </c:pt>
              </c:strCache>
            </c:strRef>
          </c:cat>
          <c:val>
            <c:numRef>
              <c:f>Sheet4!$B$33:$L$33</c:f>
              <c:numCache>
                <c:formatCode>General</c:formatCode>
                <c:ptCount val="11"/>
                <c:pt idx="0">
                  <c:v>21.92141774513231</c:v>
                </c:pt>
                <c:pt idx="1">
                  <c:v>-0.71615949632738818</c:v>
                </c:pt>
                <c:pt idx="2">
                  <c:v>2.5183630640083949</c:v>
                </c:pt>
                <c:pt idx="3">
                  <c:v>4.8711670747347613</c:v>
                </c:pt>
                <c:pt idx="4">
                  <c:v>5.2060743849830997</c:v>
                </c:pt>
                <c:pt idx="5">
                  <c:v>16.560568963507052</c:v>
                </c:pt>
                <c:pt idx="6">
                  <c:v>8.8311764020053634</c:v>
                </c:pt>
                <c:pt idx="7">
                  <c:v>35.869767984143607</c:v>
                </c:pt>
                <c:pt idx="8">
                  <c:v>2.5008744316194478</c:v>
                </c:pt>
                <c:pt idx="9">
                  <c:v>2.1184563367144671</c:v>
                </c:pt>
                <c:pt idx="10">
                  <c:v>0.31829310947883876</c:v>
                </c:pt>
              </c:numCache>
            </c:numRef>
          </c:val>
          <c:extLst>
            <c:ext xmlns:c16="http://schemas.microsoft.com/office/drawing/2014/chart" uri="{C3380CC4-5D6E-409C-BE32-E72D297353CC}">
              <c16:uniqueId val="{00000000-77BE-4549-9F4B-D4BED4E1994A}"/>
            </c:ext>
          </c:extLst>
        </c:ser>
        <c:ser>
          <c:idx val="1"/>
          <c:order val="1"/>
          <c:tx>
            <c:strRef>
              <c:f>Sheet4!$A$34</c:f>
              <c:strCache>
                <c:ptCount val="1"/>
                <c:pt idx="0">
                  <c:v>World</c:v>
                </c:pt>
              </c:strCache>
            </c:strRef>
          </c:tx>
          <c:spPr>
            <a:solidFill>
              <a:srgbClr val="00B050"/>
            </a:solidFill>
          </c:spPr>
          <c:invertIfNegative val="0"/>
          <c:cat>
            <c:strRef>
              <c:f>Sheet4!$B$32:$L$32</c:f>
              <c:strCache>
                <c:ptCount val="11"/>
                <c:pt idx="0">
                  <c:v>Agriculture</c:v>
                </c:pt>
                <c:pt idx="1">
                  <c:v>Land use change and forestry</c:v>
                </c:pt>
                <c:pt idx="2">
                  <c:v>Waste</c:v>
                </c:pt>
                <c:pt idx="3">
                  <c:v>Buildings</c:v>
                </c:pt>
                <c:pt idx="4">
                  <c:v> Industry</c:v>
                </c:pt>
                <c:pt idx="5">
                  <c:v>Manufacturing and construction</c:v>
                </c:pt>
                <c:pt idx="6">
                  <c:v>Transport</c:v>
                </c:pt>
                <c:pt idx="7">
                  <c:v>Electricity and heat</c:v>
                </c:pt>
                <c:pt idx="8">
                  <c:v>Fugitive emissions </c:v>
                </c:pt>
                <c:pt idx="9">
                  <c:v>Other fuel combustion</c:v>
                </c:pt>
                <c:pt idx="10">
                  <c:v>Bunker fuels</c:v>
                </c:pt>
              </c:strCache>
            </c:strRef>
          </c:cat>
          <c:val>
            <c:numRef>
              <c:f>Sheet4!$B$34:$L$34</c:f>
              <c:numCache>
                <c:formatCode>General</c:formatCode>
                <c:ptCount val="11"/>
                <c:pt idx="0">
                  <c:v>11.600813116501294</c:v>
                </c:pt>
                <c:pt idx="1">
                  <c:v>2.6588098247468266</c:v>
                </c:pt>
                <c:pt idx="2">
                  <c:v>3.3183389988224086</c:v>
                </c:pt>
                <c:pt idx="3">
                  <c:v>6.0436200583431914</c:v>
                </c:pt>
                <c:pt idx="4">
                  <c:v>6.4499852258778319</c:v>
                </c:pt>
                <c:pt idx="5">
                  <c:v>12.629632929085304</c:v>
                </c:pt>
                <c:pt idx="6">
                  <c:v>15.50026105885048</c:v>
                </c:pt>
                <c:pt idx="7">
                  <c:v>32.250796586035008</c:v>
                </c:pt>
                <c:pt idx="8">
                  <c:v>6.3947899656266367</c:v>
                </c:pt>
                <c:pt idx="9">
                  <c:v>1.1851465064294728</c:v>
                </c:pt>
                <c:pt idx="10">
                  <c:v>1.9678057296815621</c:v>
                </c:pt>
              </c:numCache>
            </c:numRef>
          </c:val>
          <c:extLst>
            <c:ext xmlns:c16="http://schemas.microsoft.com/office/drawing/2014/chart" uri="{C3380CC4-5D6E-409C-BE32-E72D297353CC}">
              <c16:uniqueId val="{00000001-77BE-4549-9F4B-D4BED4E1994A}"/>
            </c:ext>
          </c:extLst>
        </c:ser>
        <c:dLbls>
          <c:showLegendKey val="0"/>
          <c:showVal val="0"/>
          <c:showCatName val="0"/>
          <c:showSerName val="0"/>
          <c:showPercent val="0"/>
          <c:showBubbleSize val="0"/>
        </c:dLbls>
        <c:gapWidth val="150"/>
        <c:shape val="box"/>
        <c:axId val="142696832"/>
        <c:axId val="142725120"/>
        <c:axId val="0"/>
      </c:bar3DChart>
      <c:catAx>
        <c:axId val="142696832"/>
        <c:scaling>
          <c:orientation val="minMax"/>
        </c:scaling>
        <c:delete val="0"/>
        <c:axPos val="l"/>
        <c:title>
          <c:tx>
            <c:rich>
              <a:bodyPr rot="-5400000" vert="horz"/>
              <a:lstStyle/>
              <a:p>
                <a:pPr>
                  <a:defRPr/>
                </a:pPr>
                <a:r>
                  <a:rPr lang="en-US"/>
                  <a:t>Different Sectors</a:t>
                </a:r>
              </a:p>
            </c:rich>
          </c:tx>
          <c:layout>
            <c:manualLayout>
              <c:xMode val="edge"/>
              <c:yMode val="edge"/>
              <c:x val="2.4961497019537447E-2"/>
              <c:y val="0.18468956995315844"/>
            </c:manualLayout>
          </c:layout>
          <c:overlay val="0"/>
        </c:title>
        <c:numFmt formatCode="General" sourceLinked="0"/>
        <c:majorTickMark val="out"/>
        <c:minorTickMark val="none"/>
        <c:tickLblPos val="nextTo"/>
        <c:crossAx val="142725120"/>
        <c:crosses val="autoZero"/>
        <c:auto val="1"/>
        <c:lblAlgn val="ctr"/>
        <c:lblOffset val="100"/>
        <c:noMultiLvlLbl val="0"/>
      </c:catAx>
      <c:valAx>
        <c:axId val="142725120"/>
        <c:scaling>
          <c:orientation val="minMax"/>
        </c:scaling>
        <c:delete val="0"/>
        <c:axPos val="b"/>
        <c:majorGridlines/>
        <c:title>
          <c:tx>
            <c:rich>
              <a:bodyPr/>
              <a:lstStyle/>
              <a:p>
                <a:pPr>
                  <a:defRPr/>
                </a:pPr>
                <a:r>
                  <a:rPr lang="en-US"/>
                  <a:t>Percentage</a:t>
                </a:r>
              </a:p>
            </c:rich>
          </c:tx>
          <c:layout>
            <c:manualLayout>
              <c:xMode val="edge"/>
              <c:yMode val="edge"/>
              <c:x val="0.55912246583557945"/>
              <c:y val="0.9552758438569946"/>
            </c:manualLayout>
          </c:layout>
          <c:overlay val="0"/>
        </c:title>
        <c:numFmt formatCode="General" sourceLinked="1"/>
        <c:majorTickMark val="out"/>
        <c:minorTickMark val="none"/>
        <c:tickLblPos val="nextTo"/>
        <c:crossAx val="142696832"/>
        <c:crosses val="autoZero"/>
        <c:crossBetween val="between"/>
      </c:valAx>
    </c:plotArea>
    <c:legend>
      <c:legendPos val="r"/>
      <c:layout>
        <c:manualLayout>
          <c:xMode val="edge"/>
          <c:yMode val="edge"/>
          <c:x val="5.0290901137358124E-3"/>
          <c:y val="0.93938175958568182"/>
          <c:w val="0.31163757655293084"/>
          <c:h val="5.778669087275639E-2"/>
        </c:manualLayout>
      </c:layout>
      <c:overlay val="0"/>
    </c:legend>
    <c:plotVisOnly val="1"/>
    <c:dispBlanksAs val="gap"/>
    <c:showDLblsOverMax val="0"/>
  </c:chart>
  <c:txPr>
    <a:bodyPr/>
    <a:lstStyle/>
    <a:p>
      <a:pPr>
        <a:defRPr sz="100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a:pPr>
            <a:r>
              <a:rPr lang="en-US" sz="1100"/>
              <a:t>Figure 4, Approved Projects in NCDMA upto 2020</a:t>
            </a:r>
          </a:p>
        </c:rich>
      </c:tx>
      <c:layout>
        <c:manualLayout>
          <c:xMode val="edge"/>
          <c:yMode val="edge"/>
          <c:x val="0.24314640958341813"/>
          <c:y val="1.1209812381281908E-2"/>
        </c:manualLayout>
      </c:layout>
      <c:overlay val="0"/>
    </c:title>
    <c:autoTitleDeleted val="0"/>
    <c:plotArea>
      <c:layout>
        <c:manualLayout>
          <c:layoutTarget val="inner"/>
          <c:xMode val="edge"/>
          <c:yMode val="edge"/>
          <c:x val="8.9437209771855444E-2"/>
          <c:y val="7.967381505516051E-2"/>
          <c:w val="0.89774227740763168"/>
          <c:h val="0.59731471912232936"/>
        </c:manualLayout>
      </c:layout>
      <c:barChart>
        <c:barDir val="col"/>
        <c:grouping val="clustered"/>
        <c:varyColors val="0"/>
        <c:ser>
          <c:idx val="0"/>
          <c:order val="0"/>
          <c:tx>
            <c:strRef>
              <c:f>Sheet1!$B$2</c:f>
              <c:strCache>
                <c:ptCount val="1"/>
                <c:pt idx="0">
                  <c:v>Project</c:v>
                </c:pt>
              </c:strCache>
            </c:strRef>
          </c:tx>
          <c:invertIfNegative val="0"/>
          <c:dLbls>
            <c:dLbl>
              <c:idx val="4"/>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0-ED7A-44C9-9E94-48B9356653C1}"/>
                </c:ext>
              </c:extLst>
            </c:dLbl>
            <c:dLbl>
              <c:idx val="11"/>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1-ED7A-44C9-9E94-48B9356653C1}"/>
                </c:ext>
              </c:extLst>
            </c:dLbl>
            <c:dLbl>
              <c:idx val="20"/>
              <c:spPr>
                <a:solidFill>
                  <a:schemeClr val="lt1"/>
                </a:solidFill>
                <a:ln w="25400" cap="flat" cmpd="sng" algn="ctr">
                  <a:solidFill>
                    <a:schemeClr val="accent5"/>
                  </a:solidFill>
                  <a:prstDash val="solid"/>
                </a:ln>
                <a:effectLst/>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2-ED7A-44C9-9E94-48B9356653C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Sheet1!$A$3:$A$32</c:f>
              <c:strCache>
                <c:ptCount val="30"/>
                <c:pt idx="0">
                  <c:v>Andhra Pradesh </c:v>
                </c:pt>
                <c:pt idx="1">
                  <c:v>Chattisgarh </c:v>
                </c:pt>
                <c:pt idx="2">
                  <c:v>Uttarakhand </c:v>
                </c:pt>
                <c:pt idx="3">
                  <c:v>Meghalaya</c:v>
                </c:pt>
                <c:pt idx="4">
                  <c:v>Gujarat </c:v>
                </c:pt>
                <c:pt idx="5">
                  <c:v>Assam</c:v>
                </c:pt>
                <c:pt idx="6">
                  <c:v> Sikkim </c:v>
                </c:pt>
                <c:pt idx="7">
                  <c:v>Tripura </c:v>
                </c:pt>
                <c:pt idx="8">
                  <c:v>Orissa</c:v>
                </c:pt>
                <c:pt idx="9">
                  <c:v> Punjab</c:v>
                </c:pt>
                <c:pt idx="10">
                  <c:v>Uttar Pradesh</c:v>
                </c:pt>
                <c:pt idx="11">
                  <c:v> Maharashtra</c:v>
                </c:pt>
                <c:pt idx="12">
                  <c:v>Haryana</c:v>
                </c:pt>
                <c:pt idx="13">
                  <c:v>Himachal Pradesh </c:v>
                </c:pt>
                <c:pt idx="14">
                  <c:v> Jammu &amp; Kashmir</c:v>
                </c:pt>
                <c:pt idx="15">
                  <c:v>Jharkhand </c:v>
                </c:pt>
                <c:pt idx="16">
                  <c:v>Karnataka</c:v>
                </c:pt>
                <c:pt idx="17">
                  <c:v>Kerala</c:v>
                </c:pt>
                <c:pt idx="18">
                  <c:v> Madhya Pradesh</c:v>
                </c:pt>
                <c:pt idx="19">
                  <c:v>Multi State</c:v>
                </c:pt>
                <c:pt idx="20">
                  <c:v>Tamil Nadu</c:v>
                </c:pt>
                <c:pt idx="21">
                  <c:v>  West Bengal </c:v>
                </c:pt>
                <c:pt idx="22">
                  <c:v>  Rajasthan</c:v>
                </c:pt>
                <c:pt idx="23">
                  <c:v> Chandigarh</c:v>
                </c:pt>
                <c:pt idx="24">
                  <c:v>Delhi </c:v>
                </c:pt>
                <c:pt idx="25">
                  <c:v>Puducherry</c:v>
                </c:pt>
                <c:pt idx="26">
                  <c:v>Bihar </c:v>
                </c:pt>
                <c:pt idx="27">
                  <c:v>Goa</c:v>
                </c:pt>
                <c:pt idx="28">
                  <c:v>Arunachal Pradesh</c:v>
                </c:pt>
                <c:pt idx="29">
                  <c:v>Telangana </c:v>
                </c:pt>
              </c:strCache>
            </c:strRef>
          </c:cat>
          <c:val>
            <c:numRef>
              <c:f>Sheet1!$B$3:$B$32</c:f>
              <c:numCache>
                <c:formatCode>General</c:formatCode>
                <c:ptCount val="30"/>
                <c:pt idx="0">
                  <c:v>227</c:v>
                </c:pt>
                <c:pt idx="1">
                  <c:v>107</c:v>
                </c:pt>
                <c:pt idx="2">
                  <c:v>51</c:v>
                </c:pt>
                <c:pt idx="3">
                  <c:v>4</c:v>
                </c:pt>
                <c:pt idx="4">
                  <c:v>389</c:v>
                </c:pt>
                <c:pt idx="5">
                  <c:v>16</c:v>
                </c:pt>
                <c:pt idx="6">
                  <c:v>10</c:v>
                </c:pt>
                <c:pt idx="7">
                  <c:v>1</c:v>
                </c:pt>
                <c:pt idx="8">
                  <c:v>83</c:v>
                </c:pt>
                <c:pt idx="9">
                  <c:v>76</c:v>
                </c:pt>
                <c:pt idx="10">
                  <c:v>175</c:v>
                </c:pt>
                <c:pt idx="11">
                  <c:v>393</c:v>
                </c:pt>
                <c:pt idx="12">
                  <c:v>37</c:v>
                </c:pt>
                <c:pt idx="13">
                  <c:v>101</c:v>
                </c:pt>
                <c:pt idx="14">
                  <c:v>6</c:v>
                </c:pt>
                <c:pt idx="15">
                  <c:v>32</c:v>
                </c:pt>
                <c:pt idx="16">
                  <c:v>261</c:v>
                </c:pt>
                <c:pt idx="17">
                  <c:v>19</c:v>
                </c:pt>
                <c:pt idx="18">
                  <c:v>84</c:v>
                </c:pt>
                <c:pt idx="19">
                  <c:v>202</c:v>
                </c:pt>
                <c:pt idx="20">
                  <c:v>378</c:v>
                </c:pt>
                <c:pt idx="21">
                  <c:v>82</c:v>
                </c:pt>
                <c:pt idx="22">
                  <c:v>247</c:v>
                </c:pt>
                <c:pt idx="23">
                  <c:v>1</c:v>
                </c:pt>
                <c:pt idx="24">
                  <c:v>17</c:v>
                </c:pt>
                <c:pt idx="25">
                  <c:v>3</c:v>
                </c:pt>
                <c:pt idx="26">
                  <c:v>10</c:v>
                </c:pt>
                <c:pt idx="27">
                  <c:v>5</c:v>
                </c:pt>
                <c:pt idx="28">
                  <c:v>2</c:v>
                </c:pt>
                <c:pt idx="29">
                  <c:v>3</c:v>
                </c:pt>
              </c:numCache>
            </c:numRef>
          </c:val>
          <c:extLst>
            <c:ext xmlns:c16="http://schemas.microsoft.com/office/drawing/2014/chart" uri="{C3380CC4-5D6E-409C-BE32-E72D297353CC}">
              <c16:uniqueId val="{00000003-ED7A-44C9-9E94-48B9356653C1}"/>
            </c:ext>
          </c:extLst>
        </c:ser>
        <c:dLbls>
          <c:showLegendKey val="0"/>
          <c:showVal val="1"/>
          <c:showCatName val="0"/>
          <c:showSerName val="0"/>
          <c:showPercent val="0"/>
          <c:showBubbleSize val="0"/>
        </c:dLbls>
        <c:gapWidth val="75"/>
        <c:axId val="107987328"/>
        <c:axId val="107989248"/>
      </c:barChart>
      <c:catAx>
        <c:axId val="107987328"/>
        <c:scaling>
          <c:orientation val="minMax"/>
        </c:scaling>
        <c:delete val="0"/>
        <c:axPos val="b"/>
        <c:title>
          <c:tx>
            <c:rich>
              <a:bodyPr/>
              <a:lstStyle/>
              <a:p>
                <a:pPr>
                  <a:defRPr/>
                </a:pPr>
                <a:r>
                  <a:rPr lang="en-US"/>
                  <a:t>States and UTs of India</a:t>
                </a:r>
              </a:p>
            </c:rich>
          </c:tx>
          <c:layout>
            <c:manualLayout>
              <c:xMode val="edge"/>
              <c:yMode val="edge"/>
              <c:x val="0.17189743147480599"/>
              <c:y val="0.93168304331160778"/>
            </c:manualLayout>
          </c:layout>
          <c:overlay val="0"/>
          <c:spPr>
            <a:solidFill>
              <a:schemeClr val="lt1"/>
            </a:solidFill>
            <a:ln w="25400" cap="flat" cmpd="sng" algn="ctr">
              <a:solidFill>
                <a:schemeClr val="accent4"/>
              </a:solidFill>
              <a:prstDash val="solid"/>
            </a:ln>
            <a:effectLst/>
          </c:spPr>
        </c:title>
        <c:numFmt formatCode="General" sourceLinked="0"/>
        <c:majorTickMark val="none"/>
        <c:minorTickMark val="none"/>
        <c:tickLblPos val="nextTo"/>
        <c:crossAx val="107989248"/>
        <c:crosses val="autoZero"/>
        <c:auto val="1"/>
        <c:lblAlgn val="ctr"/>
        <c:lblOffset val="100"/>
        <c:noMultiLvlLbl val="0"/>
      </c:catAx>
      <c:valAx>
        <c:axId val="107989248"/>
        <c:scaling>
          <c:orientation val="minMax"/>
        </c:scaling>
        <c:delete val="0"/>
        <c:axPos val="l"/>
        <c:numFmt formatCode="General" sourceLinked="1"/>
        <c:majorTickMark val="none"/>
        <c:minorTickMark val="none"/>
        <c:tickLblPos val="nextTo"/>
        <c:crossAx val="107987328"/>
        <c:crosses val="autoZero"/>
        <c:crossBetween val="between"/>
      </c:valAx>
    </c:plotArea>
    <c:legend>
      <c:legendPos val="b"/>
      <c:layout>
        <c:manualLayout>
          <c:xMode val="edge"/>
          <c:yMode val="edge"/>
          <c:x val="0.79999043260621916"/>
          <c:y val="0.10556957131923662"/>
          <c:w val="0.19622097718554413"/>
          <c:h val="6.7568688787363093E-2"/>
        </c:manualLayout>
      </c:layout>
      <c:overlay val="0"/>
    </c:legend>
    <c:plotVisOnly val="1"/>
    <c:dispBlanksAs val="gap"/>
    <c:showDLblsOverMax val="0"/>
  </c:chart>
  <c:txPr>
    <a:bodyPr/>
    <a:lstStyle/>
    <a:p>
      <a:pPr>
        <a:defRPr sz="1000">
          <a:latin typeface="Arial" pitchFamily="34" charset="0"/>
          <a:cs typeface="Arial"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0.58603</cdr:x>
      <cdr:y>0.94348</cdr:y>
    </cdr:from>
    <cdr:to>
      <cdr:x>0.91801</cdr:x>
      <cdr:y>1</cdr:y>
    </cdr:to>
    <cdr:sp macro="" textlink="">
      <cdr:nvSpPr>
        <cdr:cNvPr id="2" name="TextBox 1"/>
        <cdr:cNvSpPr txBox="1"/>
      </cdr:nvSpPr>
      <cdr:spPr>
        <a:xfrm xmlns:a="http://schemas.openxmlformats.org/drawingml/2006/main">
          <a:off x="3479188" y="3743864"/>
          <a:ext cx="1970909" cy="22428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100" b="0" dirty="0">
              <a:latin typeface="Arial" pitchFamily="34" charset="0"/>
              <a:cs typeface="Arial" pitchFamily="34" charset="0"/>
            </a:rPr>
            <a:t>Source:</a:t>
          </a:r>
          <a:r>
            <a:rPr lang="en-US" sz="1100" b="0" baseline="0" dirty="0">
              <a:latin typeface="Arial" pitchFamily="34" charset="0"/>
              <a:cs typeface="Arial" pitchFamily="34" charset="0"/>
            </a:rPr>
            <a:t> </a:t>
          </a:r>
          <a:r>
            <a:rPr lang="en-US" sz="1100" b="0" dirty="0">
              <a:latin typeface="Arial" pitchFamily="34" charset="0"/>
              <a:cs typeface="Arial" pitchFamily="34" charset="0"/>
            </a:rPr>
            <a:t>ncdmaindia,</a:t>
          </a:r>
          <a:r>
            <a:rPr lang="en-US" sz="1100" b="0" baseline="0" dirty="0">
              <a:latin typeface="Arial" pitchFamily="34" charset="0"/>
              <a:cs typeface="Arial" pitchFamily="34" charset="0"/>
            </a:rPr>
            <a:t> </a:t>
          </a:r>
          <a:r>
            <a:rPr lang="en-US" sz="1100" b="0" dirty="0">
              <a:latin typeface="Arial" pitchFamily="34" charset="0"/>
              <a:cs typeface="Arial" pitchFamily="34" charset="0"/>
            </a:rPr>
            <a:t>2022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5738</Words>
  <Characters>32711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Nandhini Venkatraman</dc:creator>
  <cp:lastModifiedBy>Editor-28</cp:lastModifiedBy>
  <cp:revision>4</cp:revision>
  <dcterms:created xsi:type="dcterms:W3CDTF">2025-05-17T17:00:00Z</dcterms:created>
  <dcterms:modified xsi:type="dcterms:W3CDTF">2025-05-19T06:26:00Z</dcterms:modified>
</cp:coreProperties>
</file>