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EA4A" w14:textId="20BCBC43" w:rsidR="00156C3D" w:rsidRPr="00953A3E" w:rsidRDefault="00B66451" w:rsidP="00953A3E">
      <w:pPr>
        <w:jc w:val="center"/>
        <w:rPr>
          <w:rFonts w:ascii="Times New Roman" w:hAnsi="Times New Roman" w:cs="Times New Roman"/>
          <w:b/>
          <w:sz w:val="24"/>
          <w:szCs w:val="24"/>
        </w:rPr>
      </w:pPr>
      <w:r w:rsidRPr="00953A3E">
        <w:rPr>
          <w:rFonts w:ascii="Times New Roman" w:hAnsi="Times New Roman" w:cs="Times New Roman"/>
          <w:b/>
          <w:sz w:val="24"/>
          <w:szCs w:val="24"/>
        </w:rPr>
        <w:t>DETERMINANTS OF NEEDLE</w:t>
      </w:r>
      <w:r w:rsidR="005B76DF">
        <w:rPr>
          <w:rFonts w:ascii="Times New Roman" w:hAnsi="Times New Roman" w:cs="Times New Roman"/>
          <w:b/>
          <w:sz w:val="24"/>
          <w:szCs w:val="24"/>
        </w:rPr>
        <w:t>-</w:t>
      </w:r>
      <w:r w:rsidRPr="00953A3E">
        <w:rPr>
          <w:rFonts w:ascii="Times New Roman" w:hAnsi="Times New Roman" w:cs="Times New Roman"/>
          <w:b/>
          <w:sz w:val="24"/>
          <w:szCs w:val="24"/>
        </w:rPr>
        <w:t>STICK INJURIES AMONG HEALTHCARE WORKERS IN TERTIARY HEALTH INSTITUTIONS, RIVERS STATE</w:t>
      </w:r>
    </w:p>
    <w:p w14:paraId="633E514F" w14:textId="72320711" w:rsidR="00747712" w:rsidRDefault="00335381" w:rsidP="00511BA8">
      <w:pPr>
        <w:spacing w:line="240" w:lineRule="auto"/>
        <w:jc w:val="center"/>
        <w:rPr>
          <w:rFonts w:ascii="Times New Roman" w:hAnsi="Times New Roman" w:cs="Times New Roman"/>
          <w:sz w:val="24"/>
          <w:szCs w:val="24"/>
        </w:rPr>
      </w:pPr>
      <w:r w:rsidRPr="00953A3E">
        <w:rPr>
          <w:rFonts w:ascii="Times New Roman" w:hAnsi="Times New Roman" w:cs="Times New Roman"/>
          <w:sz w:val="24"/>
          <w:szCs w:val="24"/>
        </w:rPr>
        <w:t xml:space="preserve"> </w:t>
      </w:r>
    </w:p>
    <w:p w14:paraId="3A5C4A77" w14:textId="77777777" w:rsidR="005B7BA4" w:rsidRPr="004E3022" w:rsidRDefault="005B7BA4" w:rsidP="00BE32F2">
      <w:pPr>
        <w:pStyle w:val="Heading1"/>
        <w:spacing w:before="0" w:beforeAutospacing="0" w:after="160" w:afterAutospacing="0"/>
        <w:jc w:val="center"/>
        <w:rPr>
          <w:sz w:val="24"/>
          <w:szCs w:val="24"/>
        </w:rPr>
      </w:pPr>
      <w:bookmarkStart w:id="0" w:name="_Toc184223503"/>
      <w:r w:rsidRPr="004E3022">
        <w:rPr>
          <w:sz w:val="24"/>
          <w:szCs w:val="24"/>
        </w:rPr>
        <w:t>ABSTRACT</w:t>
      </w:r>
      <w:bookmarkEnd w:id="0"/>
    </w:p>
    <w:p w14:paraId="01A181B7" w14:textId="2A98216D" w:rsidR="005B7BA4" w:rsidRDefault="005B7BA4" w:rsidP="005B7BA4">
      <w:pPr>
        <w:spacing w:after="0" w:line="240" w:lineRule="auto"/>
        <w:jc w:val="both"/>
        <w:rPr>
          <w:rFonts w:ascii="Times New Roman" w:eastAsia="Times New Roman" w:hAnsi="Times New Roman" w:cs="Times New Roman"/>
          <w:color w:val="000000"/>
          <w:kern w:val="24"/>
          <w:sz w:val="24"/>
          <w:szCs w:val="24"/>
          <w:lang w:eastAsia="en-GB"/>
        </w:rPr>
      </w:pPr>
      <w:r w:rsidRPr="0083149F">
        <w:rPr>
          <w:rFonts w:ascii="Times New Roman" w:hAnsi="Times New Roman" w:cs="Times New Roman"/>
          <w:sz w:val="24"/>
          <w:szCs w:val="24"/>
        </w:rPr>
        <w:t>Healthcare workers in Rivers State’s tertiary health institutions in the course of their daily activities make one error or the other, one of which may be Needle</w:t>
      </w:r>
      <w:r w:rsidR="005B76DF">
        <w:rPr>
          <w:rFonts w:ascii="Times New Roman" w:hAnsi="Times New Roman" w:cs="Times New Roman"/>
          <w:sz w:val="24"/>
          <w:szCs w:val="24"/>
        </w:rPr>
        <w:t>-</w:t>
      </w:r>
      <w:r w:rsidRPr="0083149F">
        <w:rPr>
          <w:rFonts w:ascii="Times New Roman" w:hAnsi="Times New Roman" w:cs="Times New Roman"/>
          <w:sz w:val="24"/>
          <w:szCs w:val="24"/>
        </w:rPr>
        <w:t xml:space="preserve">Stick Injuries (NSI). </w:t>
      </w:r>
      <w:r w:rsidR="00DB1F7A" w:rsidRPr="0083149F">
        <w:rPr>
          <w:rFonts w:ascii="Times New Roman" w:hAnsi="Times New Roman" w:cs="Times New Roman"/>
          <w:sz w:val="24"/>
          <w:szCs w:val="24"/>
        </w:rPr>
        <w:t xml:space="preserve">This </w:t>
      </w:r>
      <w:r w:rsidRPr="0083149F">
        <w:rPr>
          <w:rFonts w:ascii="Times New Roman" w:hAnsi="Times New Roman" w:cs="Times New Roman"/>
          <w:sz w:val="24"/>
          <w:szCs w:val="24"/>
        </w:rPr>
        <w:t>study investigated the determinants of needle</w:t>
      </w:r>
      <w:r w:rsidR="005B76DF">
        <w:rPr>
          <w:rFonts w:ascii="Times New Roman" w:hAnsi="Times New Roman" w:cs="Times New Roman"/>
          <w:sz w:val="24"/>
          <w:szCs w:val="24"/>
        </w:rPr>
        <w:t>-</w:t>
      </w:r>
      <w:r w:rsidRPr="0083149F">
        <w:rPr>
          <w:rFonts w:ascii="Times New Roman" w:hAnsi="Times New Roman" w:cs="Times New Roman"/>
          <w:sz w:val="24"/>
          <w:szCs w:val="24"/>
        </w:rPr>
        <w:t xml:space="preserve">stick injuries among healthcare workers in tertiary health institutions, Rivers State. </w:t>
      </w:r>
      <w:r w:rsidRPr="0083149F">
        <w:rPr>
          <w:rFonts w:ascii="Times New Roman" w:hAnsi="Times New Roman" w:cs="Times New Roman"/>
          <w:bCs/>
          <w:sz w:val="24"/>
          <w:szCs w:val="24"/>
        </w:rPr>
        <w:t>The study adopted descriptive</w:t>
      </w:r>
      <w:r w:rsidRPr="0083149F">
        <w:rPr>
          <w:rFonts w:ascii="Times New Roman" w:hAnsi="Times New Roman" w:cs="Times New Roman"/>
          <w:sz w:val="24"/>
          <w:szCs w:val="24"/>
        </w:rPr>
        <w:t xml:space="preserve"> cross sectional survey </w:t>
      </w:r>
      <w:r w:rsidRPr="0083149F">
        <w:rPr>
          <w:rFonts w:ascii="Times New Roman" w:hAnsi="Times New Roman" w:cs="Times New Roman"/>
          <w:bCs/>
          <w:sz w:val="24"/>
          <w:szCs w:val="24"/>
        </w:rPr>
        <w:t xml:space="preserve">design with a population of </w:t>
      </w:r>
      <w:r w:rsidRPr="0083149F">
        <w:rPr>
          <w:rFonts w:ascii="Times New Roman" w:hAnsi="Times New Roman" w:cs="Times New Roman"/>
          <w:sz w:val="24"/>
          <w:szCs w:val="24"/>
        </w:rPr>
        <w:t>4,100 healthcare workers in the three functional tertiary health institutions in Rivers state</w:t>
      </w:r>
      <w:r w:rsidRPr="0083149F">
        <w:rPr>
          <w:rFonts w:ascii="Times New Roman" w:hAnsi="Times New Roman" w:cs="Times New Roman"/>
          <w:bCs/>
          <w:sz w:val="24"/>
          <w:szCs w:val="24"/>
        </w:rPr>
        <w:t xml:space="preserve">. </w:t>
      </w:r>
      <w:r w:rsidRPr="0083149F">
        <w:rPr>
          <w:rFonts w:ascii="Times New Roman" w:hAnsi="Times New Roman" w:cs="Times New Roman"/>
          <w:sz w:val="24"/>
          <w:szCs w:val="24"/>
        </w:rPr>
        <w:t>A sample size of 879 was determined using Cochran formula and</w:t>
      </w:r>
      <w:r w:rsidRPr="0083149F">
        <w:rPr>
          <w:rFonts w:ascii="Times New Roman" w:hAnsi="Times New Roman" w:cs="Times New Roman"/>
          <w:bCs/>
          <w:sz w:val="24"/>
          <w:szCs w:val="24"/>
        </w:rPr>
        <w:t xml:space="preserve"> </w:t>
      </w:r>
      <w:r w:rsidRPr="0083149F">
        <w:rPr>
          <w:rFonts w:ascii="Times New Roman" w:hAnsi="Times New Roman" w:cs="Times New Roman"/>
          <w:sz w:val="24"/>
          <w:szCs w:val="24"/>
        </w:rPr>
        <w:t xml:space="preserve">a multi-stage sampling procedure. </w:t>
      </w:r>
      <w:r w:rsidRPr="0083149F">
        <w:rPr>
          <w:rFonts w:ascii="Times New Roman" w:hAnsi="Times New Roman" w:cs="Times New Roman"/>
          <w:bCs/>
          <w:sz w:val="24"/>
          <w:szCs w:val="24"/>
        </w:rPr>
        <w:t xml:space="preserve">Instrument for data collection was a structured questionnaire </w:t>
      </w:r>
      <w:r w:rsidRPr="0083149F">
        <w:rPr>
          <w:rFonts w:ascii="Times New Roman" w:hAnsi="Times New Roman" w:cs="Times New Roman"/>
          <w:sz w:val="24"/>
          <w:szCs w:val="24"/>
        </w:rPr>
        <w:t>titled “Determinants of Needle</w:t>
      </w:r>
      <w:r w:rsidR="005B76DF">
        <w:rPr>
          <w:rFonts w:ascii="Times New Roman" w:hAnsi="Times New Roman" w:cs="Times New Roman"/>
          <w:sz w:val="24"/>
          <w:szCs w:val="24"/>
        </w:rPr>
        <w:t>-</w:t>
      </w:r>
      <w:r w:rsidRPr="0083149F">
        <w:rPr>
          <w:rFonts w:ascii="Times New Roman" w:hAnsi="Times New Roman" w:cs="Times New Roman"/>
          <w:sz w:val="24"/>
          <w:szCs w:val="24"/>
        </w:rPr>
        <w:t>Stick Injuries among Heal</w:t>
      </w:r>
      <w:r w:rsidR="00DB1F7A">
        <w:rPr>
          <w:rFonts w:ascii="Times New Roman" w:hAnsi="Times New Roman" w:cs="Times New Roman"/>
          <w:sz w:val="24"/>
          <w:szCs w:val="24"/>
        </w:rPr>
        <w:t>thcare Workers Questionnaire” (</w:t>
      </w:r>
      <w:r w:rsidRPr="0083149F">
        <w:rPr>
          <w:rFonts w:ascii="Times New Roman" w:hAnsi="Times New Roman" w:cs="Times New Roman"/>
          <w:sz w:val="24"/>
          <w:szCs w:val="24"/>
        </w:rPr>
        <w:t>DNIHWQ)</w:t>
      </w:r>
      <w:r w:rsidR="00DB1F7A">
        <w:rPr>
          <w:rFonts w:ascii="Times New Roman" w:hAnsi="Times New Roman" w:cs="Times New Roman"/>
          <w:bCs/>
          <w:sz w:val="24"/>
          <w:szCs w:val="24"/>
        </w:rPr>
        <w:t>. The instrument has a reliability coefficient of 0.82. Analysis was done</w:t>
      </w:r>
      <w:r w:rsidR="00DB1F7A" w:rsidRPr="0083149F">
        <w:rPr>
          <w:rFonts w:ascii="Times New Roman" w:hAnsi="Times New Roman" w:cs="Times New Roman"/>
          <w:bCs/>
          <w:sz w:val="24"/>
          <w:szCs w:val="24"/>
        </w:rPr>
        <w:t xml:space="preserve"> </w:t>
      </w:r>
      <w:r w:rsidRPr="0083149F">
        <w:rPr>
          <w:rFonts w:ascii="Times New Roman" w:hAnsi="Times New Roman" w:cs="Times New Roman"/>
          <w:bCs/>
          <w:sz w:val="24"/>
          <w:szCs w:val="24"/>
        </w:rPr>
        <w:t xml:space="preserve">using statistical tools such as mean, percentage, frequency, standard deviation and logistic regression at 0.05 level of significance. </w:t>
      </w:r>
      <w:r w:rsidRPr="0083149F">
        <w:rPr>
          <w:rFonts w:ascii="Times New Roman" w:hAnsi="Times New Roman" w:cs="Times New Roman"/>
          <w:bCs/>
          <w:sz w:val="24"/>
          <w:szCs w:val="24"/>
          <w:lang w:val="en-GB"/>
        </w:rPr>
        <w:t xml:space="preserve">The result of the study showed that, </w:t>
      </w:r>
      <w:bookmarkStart w:id="1" w:name="_Hlk194216965"/>
      <w:r w:rsidRPr="0083149F">
        <w:rPr>
          <w:rFonts w:ascii="Times New Roman" w:hAnsi="Times New Roman" w:cs="Times New Roman"/>
          <w:bCs/>
          <w:sz w:val="24"/>
          <w:szCs w:val="24"/>
          <w:lang w:val="en-GB"/>
        </w:rPr>
        <w:t xml:space="preserve">the extent to which case acuity </w:t>
      </w:r>
      <w:r w:rsidRPr="0083149F">
        <w:rPr>
          <w:rFonts w:ascii="Times New Roman" w:hAnsi="Times New Roman" w:cs="Times New Roman"/>
          <w:sz w:val="24"/>
          <w:szCs w:val="24"/>
          <w:lang w:val="en-GB"/>
        </w:rPr>
        <w:t>constituted a determinant to needle</w:t>
      </w:r>
      <w:r w:rsidR="00FD32DA">
        <w:rPr>
          <w:rFonts w:ascii="Times New Roman" w:hAnsi="Times New Roman" w:cs="Times New Roman"/>
          <w:sz w:val="24"/>
          <w:szCs w:val="24"/>
          <w:lang w:val="en-GB"/>
        </w:rPr>
        <w:t>-</w:t>
      </w:r>
      <w:r w:rsidRPr="0083149F">
        <w:rPr>
          <w:rFonts w:ascii="Times New Roman" w:hAnsi="Times New Roman" w:cs="Times New Roman"/>
          <w:sz w:val="24"/>
          <w:szCs w:val="24"/>
          <w:lang w:val="en-GB"/>
        </w:rPr>
        <w:t xml:space="preserve">stick injuries </w:t>
      </w:r>
      <w:r w:rsidRPr="0083149F">
        <w:rPr>
          <w:rFonts w:ascii="Times New Roman" w:hAnsi="Times New Roman" w:cs="Times New Roman"/>
          <w:bCs/>
          <w:sz w:val="24"/>
          <w:szCs w:val="24"/>
          <w:lang w:val="en-GB"/>
        </w:rPr>
        <w:t>was high as the grand mean of 2.70±0.806 was higher than the criterion mean of 2.5</w:t>
      </w:r>
      <w:bookmarkEnd w:id="1"/>
      <w:r w:rsidRPr="0083149F">
        <w:rPr>
          <w:rFonts w:ascii="Times New Roman" w:hAnsi="Times New Roman" w:cs="Times New Roman"/>
          <w:bCs/>
          <w:sz w:val="24"/>
          <w:szCs w:val="24"/>
          <w:lang w:val="en-GB"/>
        </w:rPr>
        <w:t xml:space="preserve">. </w:t>
      </w:r>
      <w:r w:rsidRPr="0083149F">
        <w:rPr>
          <w:rFonts w:ascii="Times New Roman" w:eastAsia="Aptos" w:hAnsi="Times New Roman" w:cs="Times New Roman"/>
          <w:kern w:val="2"/>
          <w:sz w:val="24"/>
          <w:szCs w:val="24"/>
        </w:rPr>
        <w:t xml:space="preserve">Furthermore, </w:t>
      </w:r>
      <w:r w:rsidRPr="0093191A">
        <w:rPr>
          <w:rFonts w:ascii="Times New Roman" w:hAnsi="Times New Roman"/>
          <w:sz w:val="24"/>
          <w:szCs w:val="24"/>
        </w:rPr>
        <w:t xml:space="preserve">the extent to which </w:t>
      </w:r>
      <w:r w:rsidRPr="000848CF">
        <w:rPr>
          <w:rFonts w:ascii="Times New Roman" w:hAnsi="Times New Roman"/>
          <w:sz w:val="24"/>
          <w:szCs w:val="24"/>
        </w:rPr>
        <w:t>safe injection practices</w:t>
      </w:r>
      <w:r w:rsidRPr="00E65313">
        <w:rPr>
          <w:rFonts w:ascii="Times New Roman" w:hAnsi="Times New Roman"/>
          <w:sz w:val="24"/>
          <w:szCs w:val="24"/>
        </w:rPr>
        <w:t xml:space="preserve"> </w:t>
      </w:r>
      <w:r w:rsidRPr="0093191A">
        <w:rPr>
          <w:rFonts w:ascii="Times New Roman" w:hAnsi="Times New Roman"/>
          <w:sz w:val="24"/>
          <w:szCs w:val="24"/>
        </w:rPr>
        <w:t>constituted a determinant to needle</w:t>
      </w:r>
      <w:r w:rsidR="00FD32DA">
        <w:rPr>
          <w:rFonts w:ascii="Times New Roman" w:hAnsi="Times New Roman"/>
          <w:sz w:val="24"/>
          <w:szCs w:val="24"/>
        </w:rPr>
        <w:t>-</w:t>
      </w:r>
      <w:r w:rsidRPr="0093191A">
        <w:rPr>
          <w:rFonts w:ascii="Times New Roman" w:hAnsi="Times New Roman"/>
          <w:sz w:val="24"/>
          <w:szCs w:val="24"/>
        </w:rPr>
        <w:t xml:space="preserve">stick injuries </w:t>
      </w:r>
      <w:r w:rsidRPr="00E65313">
        <w:rPr>
          <w:rFonts w:ascii="Times New Roman" w:hAnsi="Times New Roman"/>
          <w:sz w:val="24"/>
          <w:szCs w:val="24"/>
        </w:rPr>
        <w:t>wa</w:t>
      </w:r>
      <w:r w:rsidRPr="0093191A">
        <w:rPr>
          <w:rFonts w:ascii="Times New Roman" w:hAnsi="Times New Roman"/>
          <w:sz w:val="24"/>
          <w:szCs w:val="24"/>
        </w:rPr>
        <w:t>s high</w:t>
      </w:r>
      <w:r w:rsidRPr="00E65313">
        <w:rPr>
          <w:rFonts w:ascii="Times New Roman" w:hAnsi="Times New Roman"/>
          <w:sz w:val="24"/>
          <w:szCs w:val="24"/>
        </w:rPr>
        <w:t xml:space="preserve"> as the grand mean of 2.71±0.767 was also higher than the criterion mean of 2.5</w:t>
      </w:r>
      <w:r w:rsidRPr="0083149F">
        <w:rPr>
          <w:rFonts w:ascii="Times New Roman" w:eastAsia="Aptos" w:hAnsi="Times New Roman" w:cs="Times New Roman"/>
          <w:kern w:val="2"/>
          <w:sz w:val="24"/>
          <w:szCs w:val="24"/>
        </w:rPr>
        <w:t>.</w:t>
      </w:r>
      <w:r>
        <w:rPr>
          <w:rFonts w:ascii="Times New Roman" w:eastAsia="Aptos" w:hAnsi="Times New Roman" w:cs="Times New Roman"/>
          <w:kern w:val="2"/>
          <w:sz w:val="24"/>
          <w:szCs w:val="24"/>
        </w:rPr>
        <w:t xml:space="preserve"> </w:t>
      </w:r>
      <w:bookmarkStart w:id="2" w:name="_Hlk194235396"/>
      <w:r w:rsidRPr="0083149F">
        <w:rPr>
          <w:rFonts w:ascii="Times New Roman" w:hAnsi="Times New Roman" w:cs="Times New Roman"/>
          <w:bCs/>
          <w:sz w:val="24"/>
          <w:szCs w:val="24"/>
          <w:lang w:val="en-GB"/>
        </w:rPr>
        <w:t xml:space="preserve">There was a significant association between </w:t>
      </w:r>
      <w:bookmarkStart w:id="3" w:name="_Hlk194232189"/>
      <w:r w:rsidRPr="0083149F">
        <w:rPr>
          <w:rFonts w:ascii="Times New Roman" w:hAnsi="Times New Roman" w:cs="Times New Roman"/>
          <w:sz w:val="24"/>
          <w:szCs w:val="24"/>
        </w:rPr>
        <w:t xml:space="preserve">availability of </w:t>
      </w:r>
      <w:bookmarkStart w:id="4" w:name="_Hlk194231524"/>
      <w:r w:rsidRPr="0083149F">
        <w:rPr>
          <w:rFonts w:ascii="Times New Roman" w:hAnsi="Times New Roman" w:cs="Times New Roman"/>
          <w:sz w:val="24"/>
          <w:szCs w:val="24"/>
        </w:rPr>
        <w:t xml:space="preserve">safety devices </w:t>
      </w:r>
      <w:bookmarkEnd w:id="3"/>
      <w:bookmarkEnd w:id="4"/>
      <w:r w:rsidRPr="0083149F">
        <w:rPr>
          <w:rFonts w:ascii="Times New Roman" w:hAnsi="Times New Roman" w:cs="Times New Roman"/>
          <w:sz w:val="24"/>
          <w:szCs w:val="24"/>
        </w:rPr>
        <w:t>and needle</w:t>
      </w:r>
      <w:r w:rsidR="00FD32DA">
        <w:rPr>
          <w:rFonts w:ascii="Times New Roman" w:hAnsi="Times New Roman" w:cs="Times New Roman"/>
          <w:sz w:val="24"/>
          <w:szCs w:val="24"/>
        </w:rPr>
        <w:t>-</w:t>
      </w:r>
      <w:r w:rsidRPr="0083149F">
        <w:rPr>
          <w:rFonts w:ascii="Times New Roman" w:hAnsi="Times New Roman" w:cs="Times New Roman"/>
          <w:sz w:val="24"/>
          <w:szCs w:val="24"/>
        </w:rPr>
        <w:t>stick injuries</w:t>
      </w:r>
      <w:r w:rsidRPr="0083149F">
        <w:rPr>
          <w:rFonts w:ascii="Times New Roman" w:hAnsi="Times New Roman" w:cs="Times New Roman"/>
          <w:bCs/>
          <w:sz w:val="24"/>
          <w:szCs w:val="24"/>
          <w:lang w:val="en-GB"/>
        </w:rPr>
        <w:t xml:space="preserve"> (F-value = </w:t>
      </w:r>
      <w:r w:rsidRPr="0083149F">
        <w:rPr>
          <w:rFonts w:ascii="Times New Roman" w:hAnsi="Times New Roman" w:cs="Times New Roman"/>
          <w:sz w:val="24"/>
          <w:szCs w:val="24"/>
        </w:rPr>
        <w:t>66.319</w:t>
      </w:r>
      <w:r w:rsidRPr="0083149F">
        <w:rPr>
          <w:rFonts w:ascii="Times New Roman" w:hAnsi="Times New Roman" w:cs="Times New Roman"/>
          <w:bCs/>
          <w:sz w:val="24"/>
          <w:szCs w:val="24"/>
          <w:lang w:val="en-GB"/>
        </w:rPr>
        <w:t>, df = 1, p-value = 0.000)</w:t>
      </w:r>
      <w:bookmarkEnd w:id="2"/>
      <w:r w:rsidRPr="0083149F">
        <w:rPr>
          <w:rFonts w:ascii="Times New Roman" w:hAnsi="Times New Roman" w:cs="Times New Roman"/>
          <w:bCs/>
          <w:sz w:val="24"/>
          <w:szCs w:val="24"/>
          <w:lang w:val="en-GB"/>
        </w:rPr>
        <w:t xml:space="preserve">. In conclusion, </w:t>
      </w:r>
      <w:r w:rsidRPr="0083149F">
        <w:rPr>
          <w:rFonts w:ascii="Times New Roman" w:hAnsi="Times New Roman" w:cs="Times New Roman"/>
          <w:sz w:val="24"/>
          <w:szCs w:val="24"/>
          <w:lang w:val="en-GB"/>
        </w:rPr>
        <w:t xml:space="preserve">the </w:t>
      </w:r>
      <w:r w:rsidR="00E164CD">
        <w:rPr>
          <w:rFonts w:ascii="Times New Roman" w:hAnsi="Times New Roman" w:cs="Times New Roman"/>
          <w:sz w:val="24"/>
          <w:szCs w:val="24"/>
          <w:lang w:val="en-GB"/>
        </w:rPr>
        <w:t xml:space="preserve">determinants </w:t>
      </w:r>
      <w:r w:rsidRPr="0083149F">
        <w:rPr>
          <w:rFonts w:ascii="Times New Roman" w:hAnsi="Times New Roman" w:cs="Times New Roman"/>
          <w:sz w:val="24"/>
          <w:szCs w:val="24"/>
          <w:lang w:val="en-GB"/>
        </w:rPr>
        <w:t>of needle</w:t>
      </w:r>
      <w:r w:rsidR="00122EC0">
        <w:rPr>
          <w:rFonts w:ascii="Times New Roman" w:hAnsi="Times New Roman" w:cs="Times New Roman"/>
          <w:sz w:val="24"/>
          <w:szCs w:val="24"/>
          <w:lang w:val="en-GB"/>
        </w:rPr>
        <w:t>-</w:t>
      </w:r>
      <w:r w:rsidRPr="0083149F">
        <w:rPr>
          <w:rFonts w:ascii="Times New Roman" w:hAnsi="Times New Roman" w:cs="Times New Roman"/>
          <w:sz w:val="24"/>
          <w:szCs w:val="24"/>
          <w:lang w:val="en-GB"/>
        </w:rPr>
        <w:t xml:space="preserve">stick injury </w:t>
      </w:r>
      <w:r w:rsidRPr="0083149F">
        <w:rPr>
          <w:rFonts w:ascii="Times New Roman" w:hAnsi="Times New Roman" w:cs="Times New Roman"/>
          <w:bCs/>
          <w:sz w:val="24"/>
          <w:szCs w:val="24"/>
          <w:lang w:val="en-GB"/>
        </w:rPr>
        <w:t>among healthcare workers in public tertiary health institutions, Rivers State</w:t>
      </w:r>
      <w:r w:rsidR="00E164CD">
        <w:rPr>
          <w:rFonts w:ascii="Times New Roman" w:hAnsi="Times New Roman" w:cs="Times New Roman"/>
          <w:bCs/>
          <w:sz w:val="24"/>
          <w:szCs w:val="24"/>
          <w:lang w:val="en-GB"/>
        </w:rPr>
        <w:t xml:space="preserve"> were case acuity, availability of safety devices and safe injection practice</w:t>
      </w:r>
      <w:r w:rsidRPr="0083149F">
        <w:rPr>
          <w:rFonts w:ascii="Times New Roman" w:hAnsi="Times New Roman" w:cs="Times New Roman"/>
          <w:bCs/>
          <w:sz w:val="24"/>
          <w:szCs w:val="24"/>
          <w:lang w:val="en-GB"/>
        </w:rPr>
        <w:t>. It was recommended among others that, managers of health institutions should provide safety devices like puncture resistant disposal containers, to further reduce the NSI incidents among healthcare workers</w:t>
      </w:r>
      <w:r w:rsidR="009317E6">
        <w:rPr>
          <w:rFonts w:ascii="Times New Roman" w:hAnsi="Times New Roman" w:cs="Times New Roman"/>
          <w:bCs/>
          <w:sz w:val="24"/>
          <w:szCs w:val="24"/>
          <w:lang w:val="en-GB"/>
        </w:rPr>
        <w:t xml:space="preserve"> and </w:t>
      </w:r>
      <w:r w:rsidR="009317E6" w:rsidRPr="0083149F">
        <w:rPr>
          <w:rFonts w:ascii="Times New Roman" w:eastAsia="Times New Roman" w:hAnsi="Times New Roman" w:cs="Times New Roman"/>
          <w:color w:val="000000"/>
          <w:kern w:val="24"/>
          <w:sz w:val="24"/>
          <w:szCs w:val="24"/>
          <w:lang w:eastAsia="en-GB"/>
        </w:rPr>
        <w:t>healthcare</w:t>
      </w:r>
      <w:r w:rsidRPr="0083149F">
        <w:rPr>
          <w:rFonts w:ascii="Times New Roman" w:eastAsia="Times New Roman" w:hAnsi="Times New Roman" w:cs="Times New Roman"/>
          <w:color w:val="000000"/>
          <w:kern w:val="24"/>
          <w:sz w:val="24"/>
          <w:szCs w:val="24"/>
          <w:lang w:eastAsia="en-GB"/>
        </w:rPr>
        <w:t xml:space="preserve"> workers should adhere to relevant guidelines &amp; policies for preventive action to reduce</w:t>
      </w:r>
      <w:r>
        <w:rPr>
          <w:rFonts w:ascii="Times New Roman" w:eastAsia="Times New Roman" w:hAnsi="Times New Roman" w:cs="Times New Roman"/>
          <w:color w:val="000000"/>
          <w:kern w:val="24"/>
          <w:sz w:val="24"/>
          <w:szCs w:val="24"/>
          <w:lang w:eastAsia="en-GB"/>
        </w:rPr>
        <w:t xml:space="preserve"> the incidence of needle</w:t>
      </w:r>
      <w:r w:rsidR="005531E2">
        <w:rPr>
          <w:rFonts w:ascii="Times New Roman" w:eastAsia="Times New Roman" w:hAnsi="Times New Roman" w:cs="Times New Roman"/>
          <w:color w:val="000000"/>
          <w:kern w:val="24"/>
          <w:sz w:val="24"/>
          <w:szCs w:val="24"/>
          <w:lang w:eastAsia="en-GB"/>
        </w:rPr>
        <w:t>-</w:t>
      </w:r>
      <w:r>
        <w:rPr>
          <w:rFonts w:ascii="Times New Roman" w:eastAsia="Times New Roman" w:hAnsi="Times New Roman" w:cs="Times New Roman"/>
          <w:color w:val="000000"/>
          <w:kern w:val="24"/>
          <w:sz w:val="24"/>
          <w:szCs w:val="24"/>
          <w:lang w:eastAsia="en-GB"/>
        </w:rPr>
        <w:t>stick injuries.</w:t>
      </w:r>
    </w:p>
    <w:p w14:paraId="2BF9EBB9" w14:textId="77777777" w:rsidR="00BE32F2" w:rsidRDefault="00BE32F2" w:rsidP="005B7BA4">
      <w:pPr>
        <w:spacing w:after="0" w:line="240" w:lineRule="auto"/>
        <w:jc w:val="both"/>
        <w:rPr>
          <w:rFonts w:ascii="Times New Roman" w:eastAsia="Times New Roman" w:hAnsi="Times New Roman" w:cs="Times New Roman"/>
          <w:color w:val="000000"/>
          <w:kern w:val="24"/>
          <w:sz w:val="24"/>
          <w:szCs w:val="24"/>
          <w:lang w:eastAsia="en-GB"/>
        </w:rPr>
      </w:pPr>
    </w:p>
    <w:p w14:paraId="2DD4F26C" w14:textId="5032D49B" w:rsidR="00BE32F2" w:rsidRPr="00BE32F2" w:rsidRDefault="00BE32F2" w:rsidP="005B7BA4">
      <w:pPr>
        <w:spacing w:after="0" w:line="240" w:lineRule="auto"/>
        <w:jc w:val="both"/>
        <w:rPr>
          <w:rFonts w:ascii="Times New Roman" w:eastAsia="Times New Roman" w:hAnsi="Times New Roman" w:cs="Times New Roman"/>
          <w:color w:val="000000"/>
          <w:kern w:val="24"/>
          <w:sz w:val="24"/>
          <w:szCs w:val="24"/>
          <w:lang w:eastAsia="en-GB"/>
        </w:rPr>
      </w:pPr>
      <w:r>
        <w:rPr>
          <w:rFonts w:ascii="Times New Roman" w:eastAsia="Times New Roman" w:hAnsi="Times New Roman" w:cs="Times New Roman"/>
          <w:b/>
          <w:color w:val="000000"/>
          <w:kern w:val="24"/>
          <w:sz w:val="24"/>
          <w:szCs w:val="24"/>
          <w:lang w:eastAsia="en-GB"/>
        </w:rPr>
        <w:t xml:space="preserve">Keywords: </w:t>
      </w:r>
      <w:r>
        <w:rPr>
          <w:rFonts w:ascii="Times New Roman" w:eastAsia="Times New Roman" w:hAnsi="Times New Roman" w:cs="Times New Roman"/>
          <w:color w:val="000000"/>
          <w:kern w:val="24"/>
          <w:sz w:val="24"/>
          <w:szCs w:val="24"/>
          <w:lang w:eastAsia="en-GB"/>
        </w:rPr>
        <w:t xml:space="preserve">Determinant, Healthcare, </w:t>
      </w:r>
      <w:r w:rsidR="002A2FFD">
        <w:rPr>
          <w:rFonts w:ascii="Times New Roman" w:eastAsia="Times New Roman" w:hAnsi="Times New Roman" w:cs="Times New Roman"/>
          <w:color w:val="000000"/>
          <w:kern w:val="24"/>
          <w:sz w:val="24"/>
          <w:szCs w:val="24"/>
          <w:lang w:eastAsia="en-GB"/>
        </w:rPr>
        <w:t>Injury, Needle</w:t>
      </w:r>
      <w:r w:rsidR="00D800BB">
        <w:rPr>
          <w:rFonts w:ascii="Times New Roman" w:eastAsia="Times New Roman" w:hAnsi="Times New Roman" w:cs="Times New Roman"/>
          <w:color w:val="000000"/>
          <w:kern w:val="24"/>
          <w:sz w:val="24"/>
          <w:szCs w:val="24"/>
          <w:lang w:eastAsia="en-GB"/>
        </w:rPr>
        <w:t>-</w:t>
      </w:r>
      <w:r w:rsidR="002A2FFD">
        <w:rPr>
          <w:rFonts w:ascii="Times New Roman" w:eastAsia="Times New Roman" w:hAnsi="Times New Roman" w:cs="Times New Roman"/>
          <w:color w:val="000000"/>
          <w:kern w:val="24"/>
          <w:sz w:val="24"/>
          <w:szCs w:val="24"/>
          <w:lang w:eastAsia="en-GB"/>
        </w:rPr>
        <w:t xml:space="preserve">Stick. </w:t>
      </w:r>
    </w:p>
    <w:p w14:paraId="5D64F2E2" w14:textId="77777777" w:rsidR="002D7A5D" w:rsidRDefault="002D7A5D">
      <w:pPr>
        <w:rPr>
          <w:rFonts w:ascii="Times New Roman" w:hAnsi="Times New Roman" w:cs="Times New Roman"/>
          <w:b/>
          <w:sz w:val="24"/>
          <w:szCs w:val="24"/>
        </w:rPr>
      </w:pPr>
      <w:r>
        <w:rPr>
          <w:rFonts w:ascii="Times New Roman" w:hAnsi="Times New Roman" w:cs="Times New Roman"/>
          <w:b/>
          <w:sz w:val="24"/>
          <w:szCs w:val="24"/>
        </w:rPr>
        <w:br w:type="page"/>
      </w:r>
    </w:p>
    <w:p w14:paraId="04C6C1E7" w14:textId="77777777" w:rsidR="002D7A5D" w:rsidRDefault="002D7A5D" w:rsidP="002D7A5D">
      <w:pPr>
        <w:spacing w:line="240" w:lineRule="auto"/>
        <w:rPr>
          <w:rFonts w:ascii="Times New Roman" w:hAnsi="Times New Roman" w:cs="Times New Roman"/>
          <w:sz w:val="24"/>
          <w:szCs w:val="24"/>
        </w:rPr>
      </w:pPr>
      <w:r w:rsidRPr="002D7A5D">
        <w:rPr>
          <w:rFonts w:ascii="Times New Roman" w:hAnsi="Times New Roman" w:cs="Times New Roman"/>
          <w:b/>
          <w:sz w:val="24"/>
          <w:szCs w:val="24"/>
        </w:rPr>
        <w:lastRenderedPageBreak/>
        <w:t>Introduction</w:t>
      </w:r>
      <w:r>
        <w:rPr>
          <w:rFonts w:ascii="Times New Roman" w:hAnsi="Times New Roman" w:cs="Times New Roman"/>
          <w:sz w:val="24"/>
          <w:szCs w:val="24"/>
        </w:rPr>
        <w:t xml:space="preserve"> </w:t>
      </w:r>
    </w:p>
    <w:p w14:paraId="5809651A" w14:textId="7B51278E" w:rsidR="002D7A5D" w:rsidRPr="006D050E" w:rsidRDefault="002D7A5D" w:rsidP="00AF2615">
      <w:pPr>
        <w:shd w:val="clear" w:color="auto" w:fill="FFFFFF"/>
        <w:spacing w:before="166" w:line="480" w:lineRule="auto"/>
        <w:jc w:val="both"/>
        <w:rPr>
          <w:rFonts w:ascii="Times New Roman" w:eastAsia="Times New Roman" w:hAnsi="Times New Roman"/>
          <w:sz w:val="24"/>
          <w:szCs w:val="24"/>
          <w:lang w:eastAsia="en-GB"/>
        </w:rPr>
      </w:pPr>
      <w:r w:rsidRPr="006D050E">
        <w:rPr>
          <w:rFonts w:ascii="Times New Roman" w:hAnsi="Times New Roman"/>
          <w:sz w:val="24"/>
          <w:szCs w:val="24"/>
        </w:rPr>
        <w:t>Needle</w:t>
      </w:r>
      <w:r w:rsidR="00256900">
        <w:rPr>
          <w:rFonts w:ascii="Times New Roman" w:hAnsi="Times New Roman"/>
          <w:sz w:val="24"/>
          <w:szCs w:val="24"/>
        </w:rPr>
        <w:t>-</w:t>
      </w:r>
      <w:r w:rsidRPr="006D050E">
        <w:rPr>
          <w:rFonts w:ascii="Times New Roman" w:hAnsi="Times New Roman"/>
          <w:sz w:val="24"/>
          <w:szCs w:val="24"/>
        </w:rPr>
        <w:t>stick injury</w:t>
      </w:r>
      <w:r>
        <w:rPr>
          <w:rFonts w:ascii="Times New Roman" w:hAnsi="Times New Roman"/>
          <w:sz w:val="24"/>
          <w:szCs w:val="24"/>
        </w:rPr>
        <w:t xml:space="preserve"> </w:t>
      </w:r>
      <w:r w:rsidRPr="006D050E">
        <w:rPr>
          <w:rFonts w:ascii="Times New Roman" w:hAnsi="Times New Roman"/>
          <w:sz w:val="24"/>
          <w:szCs w:val="24"/>
        </w:rPr>
        <w:t>(NSI) is very common among healthcare workers and is one major cause of infection among those healthcare workers who are exposed to a diverse range of medical procedures and patients. Tarigan et al. (2015) noted that, more than 25% of blood-borne virus infections were caused by needle</w:t>
      </w:r>
      <w:r w:rsidR="006E79F1">
        <w:rPr>
          <w:rFonts w:ascii="Times New Roman" w:hAnsi="Times New Roman"/>
          <w:sz w:val="24"/>
          <w:szCs w:val="24"/>
        </w:rPr>
        <w:t>-</w:t>
      </w:r>
      <w:r w:rsidRPr="006D050E">
        <w:rPr>
          <w:rFonts w:ascii="Times New Roman" w:hAnsi="Times New Roman"/>
          <w:sz w:val="24"/>
          <w:szCs w:val="24"/>
        </w:rPr>
        <w:t xml:space="preserve">stick injuries among healthcare workers. Though such injury is preventable, its prevalence is widely evidenced. A </w:t>
      </w:r>
      <w:r w:rsidR="005531E2">
        <w:rPr>
          <w:rFonts w:ascii="Times New Roman" w:hAnsi="Times New Roman"/>
          <w:sz w:val="24"/>
          <w:szCs w:val="24"/>
        </w:rPr>
        <w:t>needle-stick</w:t>
      </w:r>
      <w:r w:rsidRPr="006D050E">
        <w:rPr>
          <w:rFonts w:ascii="Times New Roman" w:hAnsi="Times New Roman"/>
          <w:sz w:val="24"/>
          <w:szCs w:val="24"/>
        </w:rPr>
        <w:t xml:space="preserve"> injury is the penetration of the skin by a hypodermic needle or </w:t>
      </w:r>
      <w:r w:rsidR="00A4714E">
        <w:rPr>
          <w:rFonts w:ascii="Times New Roman" w:hAnsi="Times New Roman"/>
          <w:sz w:val="24"/>
          <w:szCs w:val="24"/>
        </w:rPr>
        <w:t xml:space="preserve">other </w:t>
      </w:r>
      <w:r w:rsidRPr="006D050E">
        <w:rPr>
          <w:rFonts w:ascii="Times New Roman" w:hAnsi="Times New Roman"/>
          <w:sz w:val="24"/>
          <w:szCs w:val="24"/>
        </w:rPr>
        <w:t>sharp objects that have been in contact with blood tissue or other body fluids before exposure (Centre for Disease Control and Prevention, 2017).</w:t>
      </w:r>
      <w:r w:rsidRPr="006D050E">
        <w:rPr>
          <w:rFonts w:ascii="Times New Roman" w:eastAsia="Times New Roman" w:hAnsi="Times New Roman"/>
          <w:sz w:val="24"/>
          <w:szCs w:val="24"/>
          <w:lang w:eastAsia="en-GB"/>
        </w:rPr>
        <w:t xml:space="preserve"> The National Institute for Occupational Safety and Health (2020) reported that, needle</w:t>
      </w:r>
      <w:r w:rsidR="00A4714E">
        <w:rPr>
          <w:rFonts w:ascii="Times New Roman" w:eastAsia="Times New Roman" w:hAnsi="Times New Roman"/>
          <w:sz w:val="24"/>
          <w:szCs w:val="24"/>
          <w:lang w:eastAsia="en-GB"/>
        </w:rPr>
        <w:t>-</w:t>
      </w:r>
      <w:r w:rsidRPr="006D050E">
        <w:rPr>
          <w:rFonts w:ascii="Times New Roman" w:eastAsia="Times New Roman" w:hAnsi="Times New Roman"/>
          <w:sz w:val="24"/>
          <w:szCs w:val="24"/>
          <w:lang w:eastAsia="en-GB"/>
        </w:rPr>
        <w:t>stick injuries are the cause of 95% of the HIV occupational sero</w:t>
      </w:r>
      <w:r>
        <w:rPr>
          <w:rFonts w:ascii="Times New Roman" w:eastAsia="Times New Roman" w:hAnsi="Times New Roman"/>
          <w:sz w:val="24"/>
          <w:szCs w:val="24"/>
          <w:lang w:eastAsia="en-GB"/>
        </w:rPr>
        <w:t xml:space="preserve"> </w:t>
      </w:r>
      <w:r w:rsidRPr="006D050E">
        <w:rPr>
          <w:rFonts w:ascii="Times New Roman" w:eastAsia="Times New Roman" w:hAnsi="Times New Roman"/>
          <w:sz w:val="24"/>
          <w:szCs w:val="24"/>
          <w:lang w:eastAsia="en-GB"/>
        </w:rPr>
        <w:t>conversions and annually causes an estimated 600,000 to 800,000 percutaneous injuries to healthcare workers.</w:t>
      </w:r>
      <w:r w:rsidRPr="006D050E">
        <w:rPr>
          <w:rFonts w:ascii="Times New Roman" w:hAnsi="Times New Roman" w:cs="Times New Roman"/>
          <w:sz w:val="24"/>
          <w:szCs w:val="24"/>
        </w:rPr>
        <w:t xml:space="preserve"> In addition, the Occupational Health and Safety Administration (2013) stated that, the circumstances in which most </w:t>
      </w:r>
      <w:r w:rsidR="005531E2">
        <w:rPr>
          <w:rFonts w:ascii="Times New Roman" w:hAnsi="Times New Roman" w:cs="Times New Roman"/>
          <w:sz w:val="24"/>
          <w:szCs w:val="24"/>
        </w:rPr>
        <w:t>needle-stick</w:t>
      </w:r>
      <w:r w:rsidRPr="006D050E">
        <w:rPr>
          <w:rFonts w:ascii="Times New Roman" w:hAnsi="Times New Roman" w:cs="Times New Roman"/>
          <w:sz w:val="24"/>
          <w:szCs w:val="24"/>
        </w:rPr>
        <w:t xml:space="preserve"> injuries occur involve manipulating a needle in a patient (26%), sharp disposal (21%), collision with a worker or sharp (10%), clean-up (9%), and recapping needles (5%). </w:t>
      </w:r>
      <w:r w:rsidR="00AF2615">
        <w:rPr>
          <w:rFonts w:ascii="Times New Roman" w:hAnsi="Times New Roman" w:cs="Times New Roman"/>
          <w:sz w:val="24"/>
          <w:szCs w:val="24"/>
        </w:rPr>
        <w:t>Health</w:t>
      </w:r>
      <w:r w:rsidRPr="006D050E">
        <w:rPr>
          <w:rFonts w:ascii="Times New Roman" w:hAnsi="Times New Roman" w:cs="Times New Roman"/>
          <w:sz w:val="24"/>
          <w:szCs w:val="24"/>
        </w:rPr>
        <w:t>care workers at risk of occupational hazards work in a variety of settings, which include intensive care units, operating rooms, emergency rooms, inpatient units, and transport teams, as well as home care. They include physicians; surgeons; nurses; nursing assistants; laboratory staff; technicians; students; and service employees in departments such as laundry, dietary, environmental services and maintenance.</w:t>
      </w:r>
    </w:p>
    <w:p w14:paraId="7B787A65" w14:textId="1B7CA3A6" w:rsidR="002D7A5D" w:rsidRPr="006D050E" w:rsidRDefault="002D7A5D" w:rsidP="002D7A5D">
      <w:pPr>
        <w:autoSpaceDE w:val="0"/>
        <w:autoSpaceDN w:val="0"/>
        <w:adjustRightInd w:val="0"/>
        <w:spacing w:after="0" w:line="480" w:lineRule="auto"/>
        <w:jc w:val="both"/>
        <w:rPr>
          <w:rFonts w:ascii="Times New Roman" w:hAnsi="Times New Roman"/>
          <w:sz w:val="24"/>
          <w:szCs w:val="24"/>
        </w:rPr>
      </w:pPr>
      <w:r w:rsidRPr="006D050E">
        <w:rPr>
          <w:rFonts w:ascii="Times New Roman" w:eastAsia="Times New Roman" w:hAnsi="Times New Roman"/>
          <w:sz w:val="24"/>
          <w:szCs w:val="24"/>
          <w:lang w:eastAsia="en-GB"/>
        </w:rPr>
        <w:t xml:space="preserve">Globally, over 59% of workers in health care institutions </w:t>
      </w:r>
      <w:bookmarkStart w:id="5" w:name="_Int_TM0nz6FK"/>
      <w:r w:rsidRPr="006D050E">
        <w:rPr>
          <w:rFonts w:ascii="Times New Roman" w:eastAsia="Times New Roman" w:hAnsi="Times New Roman"/>
          <w:sz w:val="24"/>
          <w:szCs w:val="24"/>
          <w:lang w:eastAsia="en-GB"/>
        </w:rPr>
        <w:t>are exposed</w:t>
      </w:r>
      <w:bookmarkEnd w:id="5"/>
      <w:r w:rsidRPr="006D050E">
        <w:rPr>
          <w:rFonts w:ascii="Times New Roman" w:eastAsia="Times New Roman" w:hAnsi="Times New Roman"/>
          <w:sz w:val="24"/>
          <w:szCs w:val="24"/>
          <w:lang w:eastAsia="en-GB"/>
        </w:rPr>
        <w:t xml:space="preserve"> to a wide range of health risks daily including needle</w:t>
      </w:r>
      <w:r w:rsidR="00563D8A">
        <w:rPr>
          <w:rFonts w:ascii="Times New Roman" w:eastAsia="Times New Roman" w:hAnsi="Times New Roman"/>
          <w:sz w:val="24"/>
          <w:szCs w:val="24"/>
          <w:lang w:eastAsia="en-GB"/>
        </w:rPr>
        <w:t>-</w:t>
      </w:r>
      <w:r w:rsidRPr="006D050E">
        <w:rPr>
          <w:rFonts w:ascii="Times New Roman" w:eastAsia="Times New Roman" w:hAnsi="Times New Roman"/>
          <w:sz w:val="24"/>
          <w:szCs w:val="24"/>
          <w:lang w:eastAsia="en-GB"/>
        </w:rPr>
        <w:t>stick injuries (World Health Organization, 2017). This report from WHO above is high considering the number of healthcare workers who handle needles. Similarly, t</w:t>
      </w:r>
      <w:r w:rsidRPr="006D050E">
        <w:rPr>
          <w:rFonts w:ascii="Times New Roman" w:hAnsi="Times New Roman"/>
          <w:sz w:val="24"/>
          <w:szCs w:val="24"/>
        </w:rPr>
        <w:t xml:space="preserve">he Occupational Safety and Health Administration OSHA as cited in Amira and Awobusuyi (2014), estimated that 5.6 million health workers worldwide who handle sharp devices are at risk </w:t>
      </w:r>
      <w:r w:rsidRPr="006D050E">
        <w:rPr>
          <w:rFonts w:ascii="Times New Roman" w:hAnsi="Times New Roman"/>
          <w:sz w:val="24"/>
          <w:szCs w:val="24"/>
        </w:rPr>
        <w:lastRenderedPageBreak/>
        <w:t>of blood borne pathogens from needle</w:t>
      </w:r>
      <w:r w:rsidR="001361D2">
        <w:rPr>
          <w:rFonts w:ascii="Times New Roman" w:hAnsi="Times New Roman"/>
          <w:sz w:val="24"/>
          <w:szCs w:val="24"/>
        </w:rPr>
        <w:t>-</w:t>
      </w:r>
      <w:r w:rsidRPr="006D050E">
        <w:rPr>
          <w:rFonts w:ascii="Times New Roman" w:hAnsi="Times New Roman"/>
          <w:sz w:val="24"/>
          <w:szCs w:val="24"/>
        </w:rPr>
        <w:t>stick injuries. Again, the International Labor Organization (2021) estimated that 5–7% of global fatalities are attributable to work-related illnesses and occupational injuries.</w:t>
      </w:r>
      <w:r>
        <w:rPr>
          <w:rFonts w:ascii="Times New Roman" w:hAnsi="Times New Roman"/>
          <w:sz w:val="24"/>
          <w:szCs w:val="24"/>
        </w:rPr>
        <w:t xml:space="preserve"> </w:t>
      </w:r>
      <w:r w:rsidRPr="006D050E">
        <w:rPr>
          <w:rFonts w:ascii="Times New Roman" w:hAnsi="Times New Roman" w:cs="Times New Roman"/>
          <w:sz w:val="24"/>
          <w:szCs w:val="24"/>
        </w:rPr>
        <w:t>In Africa, around 41.7% of healthcare workers sustain needle</w:t>
      </w:r>
      <w:r w:rsidR="001361D2">
        <w:rPr>
          <w:rFonts w:ascii="Times New Roman" w:hAnsi="Times New Roman" w:cs="Times New Roman"/>
          <w:sz w:val="24"/>
          <w:szCs w:val="24"/>
        </w:rPr>
        <w:t>-</w:t>
      </w:r>
      <w:r w:rsidRPr="006D050E">
        <w:rPr>
          <w:rFonts w:ascii="Times New Roman" w:hAnsi="Times New Roman" w:cs="Times New Roman"/>
          <w:sz w:val="24"/>
          <w:szCs w:val="24"/>
        </w:rPr>
        <w:t>stick injuries (Bouya et al., 2020). However, more than 90% of NSIs occur in low- and middle-income countries (LMICs) with sub-Saharan Africa’s prevalence ranging from 28.8% to 68% (Yazie et al., 2019).</w:t>
      </w:r>
      <w:r w:rsidRPr="006D050E">
        <w:rPr>
          <w:rFonts w:ascii="Times New Roman" w:hAnsi="Times New Roman"/>
          <w:sz w:val="24"/>
          <w:szCs w:val="24"/>
        </w:rPr>
        <w:t xml:space="preserve">In Ethiopia, Berhan et al. (2021) reported a prevalence of 29.5%. In Uganda, Basaza et al. (2021) reported a prevalence of 27.2%. In Nigeria, Isara et al. (2015) revealed that the prevalence of </w:t>
      </w:r>
      <w:r w:rsidR="005531E2">
        <w:rPr>
          <w:rFonts w:ascii="Times New Roman" w:hAnsi="Times New Roman"/>
          <w:sz w:val="24"/>
          <w:szCs w:val="24"/>
        </w:rPr>
        <w:t>needle-stick</w:t>
      </w:r>
      <w:r w:rsidRPr="006D050E">
        <w:rPr>
          <w:rFonts w:ascii="Times New Roman" w:hAnsi="Times New Roman"/>
          <w:sz w:val="24"/>
          <w:szCs w:val="24"/>
        </w:rPr>
        <w:t xml:space="preserve"> injuries among healthcare workers is 51.0%. In Rivers State, Obuzor and Gabriel-Job (2021) found a 53.8% prevalence of </w:t>
      </w:r>
      <w:r w:rsidR="005531E2">
        <w:rPr>
          <w:rFonts w:ascii="Times New Roman" w:hAnsi="Times New Roman"/>
          <w:sz w:val="24"/>
          <w:szCs w:val="24"/>
        </w:rPr>
        <w:t>needle-stick</w:t>
      </w:r>
      <w:r w:rsidRPr="006D050E">
        <w:rPr>
          <w:rFonts w:ascii="Times New Roman" w:hAnsi="Times New Roman"/>
          <w:sz w:val="24"/>
          <w:szCs w:val="24"/>
        </w:rPr>
        <w:t xml:space="preserve"> injuries with </w:t>
      </w:r>
      <w:r w:rsidR="002311F8" w:rsidRPr="006D050E">
        <w:rPr>
          <w:rFonts w:ascii="Times New Roman" w:hAnsi="Times New Roman"/>
          <w:sz w:val="24"/>
          <w:szCs w:val="24"/>
        </w:rPr>
        <w:t>an annual</w:t>
      </w:r>
      <w:r w:rsidRPr="006D050E">
        <w:rPr>
          <w:rFonts w:ascii="Times New Roman" w:hAnsi="Times New Roman"/>
          <w:sz w:val="24"/>
          <w:szCs w:val="24"/>
        </w:rPr>
        <w:t xml:space="preserve"> prevalence of 50.9%. The foregoing revealed a widespread prevalence of needle</w:t>
      </w:r>
      <w:r w:rsidR="00D5667D">
        <w:rPr>
          <w:rFonts w:ascii="Times New Roman" w:hAnsi="Times New Roman"/>
          <w:sz w:val="24"/>
          <w:szCs w:val="24"/>
        </w:rPr>
        <w:t>-</w:t>
      </w:r>
      <w:r w:rsidRPr="006D050E">
        <w:rPr>
          <w:rFonts w:ascii="Times New Roman" w:hAnsi="Times New Roman"/>
          <w:sz w:val="24"/>
          <w:szCs w:val="24"/>
        </w:rPr>
        <w:t xml:space="preserve">stick injuries which </w:t>
      </w:r>
      <w:bookmarkStart w:id="6" w:name="_Int_MHoU2JNC"/>
      <w:r w:rsidR="004515F4">
        <w:rPr>
          <w:rFonts w:ascii="Times New Roman" w:hAnsi="Times New Roman"/>
          <w:sz w:val="24"/>
          <w:szCs w:val="24"/>
        </w:rPr>
        <w:t>necessitated</w:t>
      </w:r>
      <w:bookmarkEnd w:id="6"/>
      <w:r w:rsidR="004515F4">
        <w:rPr>
          <w:rFonts w:ascii="Times New Roman" w:hAnsi="Times New Roman"/>
          <w:sz w:val="24"/>
          <w:szCs w:val="24"/>
        </w:rPr>
        <w:t xml:space="preserve"> </w:t>
      </w:r>
      <w:r w:rsidRPr="006D050E">
        <w:rPr>
          <w:rFonts w:ascii="Times New Roman" w:hAnsi="Times New Roman"/>
          <w:sz w:val="24"/>
          <w:szCs w:val="24"/>
        </w:rPr>
        <w:t xml:space="preserve">the need to investigate the determinants of such injuries. </w:t>
      </w:r>
    </w:p>
    <w:p w14:paraId="57FC80BB" w14:textId="1A7F1B74" w:rsidR="002D7A5D" w:rsidRPr="006D050E" w:rsidRDefault="002D7A5D" w:rsidP="00535667">
      <w:pPr>
        <w:autoSpaceDE w:val="0"/>
        <w:autoSpaceDN w:val="0"/>
        <w:adjustRightInd w:val="0"/>
        <w:spacing w:after="0" w:line="480" w:lineRule="auto"/>
        <w:jc w:val="both"/>
        <w:rPr>
          <w:rFonts w:ascii="Times New Roman" w:eastAsia="Times New Roman" w:hAnsi="Times New Roman"/>
          <w:sz w:val="24"/>
          <w:szCs w:val="24"/>
          <w:lang w:eastAsia="en-GB"/>
        </w:rPr>
      </w:pPr>
      <w:r w:rsidRPr="006D050E">
        <w:rPr>
          <w:rFonts w:ascii="Times New Roman" w:hAnsi="Times New Roman"/>
          <w:sz w:val="24"/>
          <w:szCs w:val="24"/>
        </w:rPr>
        <w:t>Several factors could determine needle</w:t>
      </w:r>
      <w:r w:rsidR="00D5667D">
        <w:rPr>
          <w:rFonts w:ascii="Times New Roman" w:hAnsi="Times New Roman"/>
          <w:sz w:val="24"/>
          <w:szCs w:val="24"/>
        </w:rPr>
        <w:t>-</w:t>
      </w:r>
      <w:r w:rsidRPr="006D050E">
        <w:rPr>
          <w:rFonts w:ascii="Times New Roman" w:hAnsi="Times New Roman"/>
          <w:sz w:val="24"/>
          <w:szCs w:val="24"/>
        </w:rPr>
        <w:t xml:space="preserve">stick injuries among healthcare workers. </w:t>
      </w:r>
      <w:r w:rsidR="00F30C32" w:rsidRPr="006D050E">
        <w:rPr>
          <w:rFonts w:ascii="Times New Roman" w:hAnsi="Times New Roman"/>
          <w:sz w:val="24"/>
          <w:szCs w:val="24"/>
        </w:rPr>
        <w:t>Determinants</w:t>
      </w:r>
      <w:r w:rsidRPr="006D050E">
        <w:rPr>
          <w:rFonts w:ascii="Times New Roman" w:hAnsi="Times New Roman"/>
          <w:sz w:val="24"/>
          <w:szCs w:val="24"/>
        </w:rPr>
        <w:t xml:space="preserve"> used in this study refers to factors that contribute to the prevalence of </w:t>
      </w:r>
      <w:r w:rsidR="005531E2">
        <w:rPr>
          <w:rFonts w:ascii="Times New Roman" w:hAnsi="Times New Roman"/>
          <w:sz w:val="24"/>
          <w:szCs w:val="24"/>
        </w:rPr>
        <w:t>needle-stick</w:t>
      </w:r>
      <w:r w:rsidRPr="006D050E">
        <w:rPr>
          <w:rFonts w:ascii="Times New Roman" w:hAnsi="Times New Roman"/>
          <w:sz w:val="24"/>
          <w:szCs w:val="24"/>
        </w:rPr>
        <w:t xml:space="preserve"> injuries. The determinants of NSI reported by Mengistu and Tolera (2020) are: workload, needle recapping, overuse of injection, practice of universal precautions, training, years of working experience, and use of personal protective equipment.</w:t>
      </w:r>
      <w:r>
        <w:rPr>
          <w:rFonts w:ascii="Times New Roman" w:hAnsi="Times New Roman"/>
          <w:sz w:val="24"/>
          <w:szCs w:val="24"/>
        </w:rPr>
        <w:t xml:space="preserve"> </w:t>
      </w:r>
      <w:r w:rsidRPr="006D050E">
        <w:rPr>
          <w:rFonts w:ascii="Times New Roman" w:eastAsia="Times New Roman" w:hAnsi="Times New Roman"/>
          <w:sz w:val="24"/>
          <w:szCs w:val="24"/>
          <w:lang w:eastAsia="en-GB"/>
        </w:rPr>
        <w:t>Studies have proven that most needle</w:t>
      </w:r>
      <w:r w:rsidR="004E2169">
        <w:rPr>
          <w:rFonts w:ascii="Times New Roman" w:eastAsia="Times New Roman" w:hAnsi="Times New Roman"/>
          <w:sz w:val="24"/>
          <w:szCs w:val="24"/>
          <w:lang w:eastAsia="en-GB"/>
        </w:rPr>
        <w:t>-</w:t>
      </w:r>
      <w:r w:rsidRPr="006D050E">
        <w:rPr>
          <w:rFonts w:ascii="Times New Roman" w:eastAsia="Times New Roman" w:hAnsi="Times New Roman"/>
          <w:sz w:val="24"/>
          <w:szCs w:val="24"/>
          <w:lang w:eastAsia="en-GB"/>
        </w:rPr>
        <w:t>stick injuries result from unsafe needle devices rather than carelessness by HCWs. Safer needle devices have built-in safety control devices, such as those that use a self-sheathing needle, to help prevent injuries before, during, and after use through safer design features (Tirthankar, 2013). However, where such is not available, the occurrence of needle</w:t>
      </w:r>
      <w:r w:rsidR="00F9393B">
        <w:rPr>
          <w:rFonts w:ascii="Times New Roman" w:eastAsia="Times New Roman" w:hAnsi="Times New Roman"/>
          <w:sz w:val="24"/>
          <w:szCs w:val="24"/>
          <w:lang w:eastAsia="en-GB"/>
        </w:rPr>
        <w:t>-</w:t>
      </w:r>
      <w:r w:rsidRPr="006D050E">
        <w:rPr>
          <w:rFonts w:ascii="Times New Roman" w:eastAsia="Times New Roman" w:hAnsi="Times New Roman"/>
          <w:sz w:val="24"/>
          <w:szCs w:val="24"/>
          <w:lang w:eastAsia="en-GB"/>
        </w:rPr>
        <w:t>st</w:t>
      </w:r>
      <w:r>
        <w:rPr>
          <w:rFonts w:ascii="Times New Roman" w:eastAsia="Times New Roman" w:hAnsi="Times New Roman"/>
          <w:sz w:val="24"/>
          <w:szCs w:val="24"/>
          <w:lang w:eastAsia="en-GB"/>
        </w:rPr>
        <w:t xml:space="preserve">ick injury might be inevitable, </w:t>
      </w:r>
      <w:r w:rsidR="00B82739">
        <w:rPr>
          <w:rFonts w:ascii="Times New Roman" w:eastAsia="Times New Roman" w:hAnsi="Times New Roman"/>
          <w:sz w:val="24"/>
          <w:szCs w:val="24"/>
          <w:lang w:eastAsia="en-GB"/>
        </w:rPr>
        <w:t xml:space="preserve">due to </w:t>
      </w:r>
      <w:r w:rsidR="00C41C3D">
        <w:rPr>
          <w:rFonts w:ascii="Times New Roman" w:eastAsia="Times New Roman" w:hAnsi="Times New Roman"/>
          <w:sz w:val="24"/>
          <w:szCs w:val="24"/>
          <w:lang w:eastAsia="en-GB"/>
        </w:rPr>
        <w:t xml:space="preserve">non </w:t>
      </w:r>
      <w:r w:rsidRPr="006D050E">
        <w:rPr>
          <w:rFonts w:ascii="Times New Roman" w:eastAsia="Times New Roman" w:hAnsi="Times New Roman"/>
          <w:sz w:val="24"/>
          <w:szCs w:val="24"/>
          <w:lang w:eastAsia="en-GB"/>
        </w:rPr>
        <w:t xml:space="preserve">availability of </w:t>
      </w:r>
      <w:r>
        <w:rPr>
          <w:rFonts w:ascii="Times New Roman" w:eastAsia="Times New Roman" w:hAnsi="Times New Roman"/>
          <w:sz w:val="24"/>
          <w:szCs w:val="24"/>
          <w:lang w:eastAsia="en-GB"/>
        </w:rPr>
        <w:t xml:space="preserve">safety devices, </w:t>
      </w:r>
      <w:r w:rsidR="00E21E34">
        <w:rPr>
          <w:rFonts w:ascii="Times New Roman" w:eastAsia="Times New Roman" w:hAnsi="Times New Roman"/>
          <w:sz w:val="24"/>
          <w:szCs w:val="24"/>
          <w:lang w:eastAsia="en-GB"/>
        </w:rPr>
        <w:t xml:space="preserve">poor </w:t>
      </w:r>
      <w:r w:rsidRPr="006D050E">
        <w:rPr>
          <w:rFonts w:ascii="Times New Roman" w:eastAsia="Times New Roman" w:hAnsi="Times New Roman"/>
          <w:sz w:val="24"/>
          <w:szCs w:val="24"/>
          <w:lang w:eastAsia="en-GB"/>
        </w:rPr>
        <w:t xml:space="preserve">safe injection practices, and </w:t>
      </w:r>
      <w:r w:rsidR="00C41C3D">
        <w:rPr>
          <w:rFonts w:ascii="Times New Roman" w:eastAsia="Times New Roman" w:hAnsi="Times New Roman"/>
          <w:sz w:val="24"/>
          <w:szCs w:val="24"/>
          <w:lang w:eastAsia="en-GB"/>
        </w:rPr>
        <w:t xml:space="preserve">the </w:t>
      </w:r>
      <w:r w:rsidRPr="006D050E">
        <w:rPr>
          <w:rFonts w:ascii="Times New Roman" w:eastAsia="Times New Roman" w:hAnsi="Times New Roman"/>
          <w:sz w:val="24"/>
          <w:szCs w:val="24"/>
          <w:lang w:eastAsia="en-GB"/>
        </w:rPr>
        <w:t>case acuity.</w:t>
      </w:r>
    </w:p>
    <w:p w14:paraId="0CE37282" w14:textId="5C11030D" w:rsidR="002D7A5D" w:rsidRPr="006D050E" w:rsidRDefault="002D7A5D" w:rsidP="002D7A5D">
      <w:pPr>
        <w:autoSpaceDE w:val="0"/>
        <w:autoSpaceDN w:val="0"/>
        <w:adjustRightInd w:val="0"/>
        <w:spacing w:after="0" w:line="480" w:lineRule="auto"/>
        <w:jc w:val="both"/>
        <w:rPr>
          <w:rFonts w:ascii="Times New Roman" w:hAnsi="Times New Roman"/>
          <w:sz w:val="24"/>
          <w:szCs w:val="24"/>
        </w:rPr>
      </w:pPr>
      <w:r w:rsidRPr="006D050E">
        <w:rPr>
          <w:rFonts w:ascii="Times New Roman" w:hAnsi="Times New Roman"/>
          <w:sz w:val="24"/>
          <w:szCs w:val="24"/>
        </w:rPr>
        <w:t>The acuity of the patient's case and the specific procedures being</w:t>
      </w:r>
      <w:r>
        <w:rPr>
          <w:rFonts w:ascii="Times New Roman" w:hAnsi="Times New Roman"/>
          <w:sz w:val="24"/>
          <w:szCs w:val="24"/>
        </w:rPr>
        <w:t xml:space="preserve"> </w:t>
      </w:r>
      <w:r w:rsidRPr="006D050E">
        <w:rPr>
          <w:rFonts w:ascii="Times New Roman" w:hAnsi="Times New Roman"/>
          <w:sz w:val="24"/>
          <w:szCs w:val="24"/>
        </w:rPr>
        <w:t xml:space="preserve">performed are critical determinants of </w:t>
      </w:r>
      <w:r w:rsidR="005531E2">
        <w:rPr>
          <w:rFonts w:ascii="Times New Roman" w:hAnsi="Times New Roman"/>
          <w:sz w:val="24"/>
          <w:szCs w:val="24"/>
        </w:rPr>
        <w:t>needle-stick</w:t>
      </w:r>
      <w:r w:rsidRPr="006D050E">
        <w:rPr>
          <w:rFonts w:ascii="Times New Roman" w:hAnsi="Times New Roman"/>
          <w:sz w:val="24"/>
          <w:szCs w:val="24"/>
        </w:rPr>
        <w:t xml:space="preserve"> injuries. Case acuity refers to the severity of the case. Patients with </w:t>
      </w:r>
      <w:r w:rsidRPr="006D050E">
        <w:rPr>
          <w:rFonts w:ascii="Times New Roman" w:hAnsi="Times New Roman"/>
          <w:sz w:val="24"/>
          <w:szCs w:val="24"/>
        </w:rPr>
        <w:lastRenderedPageBreak/>
        <w:t>severe illnesses, complex medical conditions, or those requiring invasive procedures may necessitate a higher number of needle-related tasks. Consequently, healthcare workers dealing with such cases may face an elevated risk of needle</w:t>
      </w:r>
      <w:r w:rsidR="006F231B">
        <w:rPr>
          <w:rFonts w:ascii="Times New Roman" w:hAnsi="Times New Roman"/>
          <w:sz w:val="24"/>
          <w:szCs w:val="24"/>
        </w:rPr>
        <w:t>-</w:t>
      </w:r>
      <w:r w:rsidRPr="006D050E">
        <w:rPr>
          <w:rFonts w:ascii="Times New Roman" w:hAnsi="Times New Roman"/>
          <w:sz w:val="24"/>
          <w:szCs w:val="24"/>
        </w:rPr>
        <w:t xml:space="preserve">stick injuries due to the increased frequency of needle use. In addition, certain medical procedures, such as central line insertions, arterial line placements, or the handling of contaminated surgical instruments, pose a higher inherent risk of </w:t>
      </w:r>
      <w:r w:rsidR="005531E2">
        <w:rPr>
          <w:rFonts w:ascii="Times New Roman" w:hAnsi="Times New Roman"/>
          <w:sz w:val="24"/>
          <w:szCs w:val="24"/>
        </w:rPr>
        <w:t>needle-stick</w:t>
      </w:r>
      <w:r w:rsidRPr="006D050E">
        <w:rPr>
          <w:rFonts w:ascii="Times New Roman" w:hAnsi="Times New Roman"/>
          <w:sz w:val="24"/>
          <w:szCs w:val="24"/>
        </w:rPr>
        <w:t xml:space="preserve"> injuries (Ogbuehi </w:t>
      </w:r>
      <w:r w:rsidRPr="006D050E">
        <w:rPr>
          <w:rFonts w:ascii="Times New Roman" w:hAnsi="Times New Roman"/>
          <w:iCs/>
          <w:sz w:val="24"/>
          <w:szCs w:val="24"/>
        </w:rPr>
        <w:t>et al</w:t>
      </w:r>
      <w:r w:rsidRPr="006D050E">
        <w:rPr>
          <w:rFonts w:ascii="Times New Roman" w:hAnsi="Times New Roman"/>
          <w:sz w:val="24"/>
          <w:szCs w:val="24"/>
        </w:rPr>
        <w:t xml:space="preserve">., 2022). These procedures often involve sharps with higher potential for </w:t>
      </w:r>
      <w:r w:rsidR="005531E2">
        <w:rPr>
          <w:rFonts w:ascii="Times New Roman" w:hAnsi="Times New Roman"/>
          <w:sz w:val="24"/>
          <w:szCs w:val="24"/>
        </w:rPr>
        <w:t>needle-stick</w:t>
      </w:r>
      <w:r w:rsidRPr="006D050E">
        <w:rPr>
          <w:rFonts w:ascii="Times New Roman" w:hAnsi="Times New Roman"/>
          <w:sz w:val="24"/>
          <w:szCs w:val="24"/>
        </w:rPr>
        <w:t xml:space="preserve"> injuries, such as larger-gauge needles or instruments with more substantial risk of contamination.</w:t>
      </w:r>
      <w:r w:rsidR="0032488C">
        <w:rPr>
          <w:rFonts w:ascii="Times New Roman" w:hAnsi="Times New Roman"/>
          <w:sz w:val="24"/>
          <w:szCs w:val="24"/>
        </w:rPr>
        <w:t xml:space="preserve"> A study by Smith and Martinez</w:t>
      </w:r>
      <w:r w:rsidRPr="006D050E">
        <w:rPr>
          <w:rFonts w:ascii="Times New Roman" w:hAnsi="Times New Roman"/>
          <w:sz w:val="24"/>
          <w:szCs w:val="24"/>
        </w:rPr>
        <w:t xml:space="preserve"> (2020) highlighted the correlation between the acuity of patient cases and an increased incidence of </w:t>
      </w:r>
      <w:r w:rsidR="005531E2">
        <w:rPr>
          <w:rFonts w:ascii="Times New Roman" w:hAnsi="Times New Roman"/>
          <w:sz w:val="24"/>
          <w:szCs w:val="24"/>
        </w:rPr>
        <w:t>needle-stick</w:t>
      </w:r>
      <w:r w:rsidRPr="006D050E">
        <w:rPr>
          <w:rFonts w:ascii="Times New Roman" w:hAnsi="Times New Roman"/>
          <w:sz w:val="24"/>
          <w:szCs w:val="24"/>
        </w:rPr>
        <w:t xml:space="preserve"> injuries, especially during invasive and high-risk procedures. Understanding these patient-related factors is essential for healthcare workers and institutions to take appropriate precautions. Adapting safety protocols and using protective measures, such as personal protective equipment and safe needle handling techniques, can help reduce the risk of needle</w:t>
      </w:r>
      <w:r w:rsidR="006F231B">
        <w:rPr>
          <w:rFonts w:ascii="Times New Roman" w:hAnsi="Times New Roman"/>
          <w:sz w:val="24"/>
          <w:szCs w:val="24"/>
        </w:rPr>
        <w:t>-</w:t>
      </w:r>
      <w:r w:rsidRPr="006D050E">
        <w:rPr>
          <w:rFonts w:ascii="Times New Roman" w:hAnsi="Times New Roman"/>
          <w:sz w:val="24"/>
          <w:szCs w:val="24"/>
        </w:rPr>
        <w:t xml:space="preserve">stick injuries during procedures on patients with challenging conditions or in high-acuity cases. Moreover, Ibeh </w:t>
      </w:r>
      <w:r w:rsidRPr="006D050E">
        <w:rPr>
          <w:rFonts w:ascii="Times New Roman" w:hAnsi="Times New Roman"/>
          <w:iCs/>
          <w:sz w:val="24"/>
          <w:szCs w:val="24"/>
        </w:rPr>
        <w:t>et al</w:t>
      </w:r>
      <w:r w:rsidRPr="006D050E">
        <w:rPr>
          <w:rFonts w:ascii="Times New Roman" w:hAnsi="Times New Roman"/>
          <w:sz w:val="24"/>
          <w:szCs w:val="24"/>
        </w:rPr>
        <w:t xml:space="preserve">. (2021) noted that continuous training and awareness programs for healthcare workers can emphasize the importance of risk assessment and the adoption of best practices in different patient care scenarios. </w:t>
      </w:r>
    </w:p>
    <w:p w14:paraId="0CACA046" w14:textId="57FEF55F" w:rsidR="00535667" w:rsidRPr="006D050E" w:rsidRDefault="00535667" w:rsidP="00535667">
      <w:pPr>
        <w:spacing w:after="0" w:line="480" w:lineRule="auto"/>
        <w:jc w:val="both"/>
        <w:rPr>
          <w:rFonts w:ascii="Times New Roman" w:hAnsi="Times New Roman"/>
          <w:sz w:val="24"/>
          <w:szCs w:val="24"/>
        </w:rPr>
      </w:pPr>
      <w:r w:rsidRPr="006D050E">
        <w:rPr>
          <w:rFonts w:ascii="Times New Roman" w:hAnsi="Times New Roman"/>
          <w:sz w:val="24"/>
          <w:szCs w:val="24"/>
        </w:rPr>
        <w:t>The availability of safety devices, such as personal protective equipment (PPE) like gloves and sharps containers, is paramount in reducing the risk of needle</w:t>
      </w:r>
      <w:r w:rsidR="0011753E">
        <w:rPr>
          <w:rFonts w:ascii="Times New Roman" w:hAnsi="Times New Roman"/>
          <w:sz w:val="24"/>
          <w:szCs w:val="24"/>
        </w:rPr>
        <w:t>-</w:t>
      </w:r>
      <w:r w:rsidRPr="006D050E">
        <w:rPr>
          <w:rFonts w:ascii="Times New Roman" w:hAnsi="Times New Roman"/>
          <w:sz w:val="24"/>
          <w:szCs w:val="24"/>
        </w:rPr>
        <w:t xml:space="preserve">stick injuries among healthcare workers. PPE, including gloves and gowns, serves as a barrier that protects healthcare workers from contact with potentially contaminated materials and sharp instruments (Ibeh </w:t>
      </w:r>
      <w:r w:rsidRPr="006D050E">
        <w:rPr>
          <w:rFonts w:ascii="Times New Roman" w:hAnsi="Times New Roman"/>
          <w:iCs/>
          <w:sz w:val="24"/>
          <w:szCs w:val="24"/>
        </w:rPr>
        <w:t>et al</w:t>
      </w:r>
      <w:r w:rsidRPr="006D050E">
        <w:rPr>
          <w:rFonts w:ascii="Times New Roman" w:hAnsi="Times New Roman"/>
          <w:sz w:val="24"/>
          <w:szCs w:val="24"/>
        </w:rPr>
        <w:t>., 2021).</w:t>
      </w:r>
      <w:r>
        <w:rPr>
          <w:rFonts w:ascii="Times New Roman" w:hAnsi="Times New Roman"/>
          <w:sz w:val="24"/>
          <w:szCs w:val="24"/>
        </w:rPr>
        <w:t xml:space="preserve"> </w:t>
      </w:r>
      <w:r w:rsidRPr="006D050E">
        <w:rPr>
          <w:rFonts w:ascii="Times New Roman" w:hAnsi="Times New Roman"/>
          <w:sz w:val="24"/>
          <w:szCs w:val="24"/>
        </w:rPr>
        <w:t xml:space="preserve">Availability of properly designed needle and safety devices is necessary to forestall </w:t>
      </w:r>
      <w:r w:rsidR="005531E2">
        <w:rPr>
          <w:rFonts w:ascii="Times New Roman" w:hAnsi="Times New Roman"/>
          <w:sz w:val="24"/>
          <w:szCs w:val="24"/>
        </w:rPr>
        <w:t>needle-stick</w:t>
      </w:r>
      <w:r w:rsidRPr="006D050E">
        <w:rPr>
          <w:rFonts w:ascii="Times New Roman" w:hAnsi="Times New Roman"/>
          <w:sz w:val="24"/>
          <w:szCs w:val="24"/>
        </w:rPr>
        <w:t xml:space="preserve"> injuries. According to the </w:t>
      </w:r>
      <w:r w:rsidRPr="006D050E">
        <w:rPr>
          <w:rStyle w:val="animating"/>
          <w:rFonts w:ascii="Times New Roman" w:hAnsi="Times New Roman"/>
          <w:sz w:val="24"/>
          <w:szCs w:val="24"/>
        </w:rPr>
        <w:t>Joint Commission on Accreditation of Healthcare Organizations, (2023), h</w:t>
      </w:r>
      <w:r w:rsidRPr="006D050E">
        <w:rPr>
          <w:rFonts w:ascii="Times New Roman" w:hAnsi="Times New Roman"/>
          <w:sz w:val="24"/>
          <w:szCs w:val="24"/>
        </w:rPr>
        <w:t>ealthcare equipment and practices are crucial determinants of needle</w:t>
      </w:r>
      <w:r w:rsidR="0011753E">
        <w:rPr>
          <w:rFonts w:ascii="Times New Roman" w:hAnsi="Times New Roman"/>
          <w:sz w:val="24"/>
          <w:szCs w:val="24"/>
        </w:rPr>
        <w:t>-</w:t>
      </w:r>
      <w:r w:rsidRPr="006D050E">
        <w:rPr>
          <w:rFonts w:ascii="Times New Roman" w:hAnsi="Times New Roman"/>
          <w:sz w:val="24"/>
          <w:szCs w:val="24"/>
        </w:rPr>
        <w:t xml:space="preserve">stick injuries among </w:t>
      </w:r>
      <w:r w:rsidRPr="006D050E">
        <w:rPr>
          <w:rFonts w:ascii="Times New Roman" w:hAnsi="Times New Roman"/>
          <w:sz w:val="24"/>
          <w:szCs w:val="24"/>
        </w:rPr>
        <w:lastRenderedPageBreak/>
        <w:t>healthcare workers. This category includes aspects such as needle design, safe injection practices, and the utilization of safety devices and engineering controls, which collectively influence the risk of needle</w:t>
      </w:r>
      <w:r w:rsidR="0011753E">
        <w:rPr>
          <w:rFonts w:ascii="Times New Roman" w:hAnsi="Times New Roman"/>
          <w:sz w:val="24"/>
          <w:szCs w:val="24"/>
        </w:rPr>
        <w:t>-</w:t>
      </w:r>
      <w:r w:rsidRPr="006D050E">
        <w:rPr>
          <w:rFonts w:ascii="Times New Roman" w:hAnsi="Times New Roman"/>
          <w:sz w:val="24"/>
          <w:szCs w:val="24"/>
        </w:rPr>
        <w:t xml:space="preserve">stick injuries in clinical settings. Needle design and the incorporation of safety features are critical in reducing the risk of </w:t>
      </w:r>
      <w:r w:rsidR="005531E2">
        <w:rPr>
          <w:rFonts w:ascii="Times New Roman" w:hAnsi="Times New Roman"/>
          <w:sz w:val="24"/>
          <w:szCs w:val="24"/>
        </w:rPr>
        <w:t>needle-stick</w:t>
      </w:r>
      <w:r w:rsidRPr="006D050E">
        <w:rPr>
          <w:rFonts w:ascii="Times New Roman" w:hAnsi="Times New Roman"/>
          <w:sz w:val="24"/>
          <w:szCs w:val="24"/>
        </w:rPr>
        <w:t xml:space="preserve"> injuries among healthcare workers. Traditional needles lack safety mechanisms and can easily cause injuries during use or disposal. However, safety-engineered devices, such as retractable needles, sheathed needles, and needleless IV systems, are designed to minimize the risk of needle</w:t>
      </w:r>
      <w:r w:rsidR="006F231B">
        <w:rPr>
          <w:rFonts w:ascii="Times New Roman" w:hAnsi="Times New Roman"/>
          <w:sz w:val="24"/>
          <w:szCs w:val="24"/>
        </w:rPr>
        <w:t>-</w:t>
      </w:r>
      <w:r w:rsidRPr="006D050E">
        <w:rPr>
          <w:rFonts w:ascii="Times New Roman" w:hAnsi="Times New Roman"/>
          <w:sz w:val="24"/>
          <w:szCs w:val="24"/>
        </w:rPr>
        <w:t>stick injuries. Research by Brown and Wilson (2018) highlight</w:t>
      </w:r>
      <w:r>
        <w:rPr>
          <w:rFonts w:ascii="Times New Roman" w:hAnsi="Times New Roman"/>
          <w:sz w:val="24"/>
          <w:szCs w:val="24"/>
        </w:rPr>
        <w:t>ed</w:t>
      </w:r>
      <w:r w:rsidRPr="006D050E">
        <w:rPr>
          <w:rFonts w:ascii="Times New Roman" w:hAnsi="Times New Roman"/>
          <w:sz w:val="24"/>
          <w:szCs w:val="24"/>
        </w:rPr>
        <w:t xml:space="preserve"> that healthcare facilities adopting safety-engineered devices have observed a significant decrease in the incidence of needle</w:t>
      </w:r>
      <w:r w:rsidR="006D3307">
        <w:rPr>
          <w:rFonts w:ascii="Times New Roman" w:hAnsi="Times New Roman"/>
          <w:sz w:val="24"/>
          <w:szCs w:val="24"/>
        </w:rPr>
        <w:t>-</w:t>
      </w:r>
      <w:r w:rsidRPr="006D050E">
        <w:rPr>
          <w:rFonts w:ascii="Times New Roman" w:hAnsi="Times New Roman"/>
          <w:sz w:val="24"/>
          <w:szCs w:val="24"/>
        </w:rPr>
        <w:t>stick injuries. These devices often require intentional action to activate, which prevents accidental needle</w:t>
      </w:r>
      <w:r w:rsidR="0011753E">
        <w:rPr>
          <w:rFonts w:ascii="Times New Roman" w:hAnsi="Times New Roman"/>
          <w:sz w:val="24"/>
          <w:szCs w:val="24"/>
        </w:rPr>
        <w:t>-</w:t>
      </w:r>
      <w:r w:rsidRPr="006D050E">
        <w:rPr>
          <w:rFonts w:ascii="Times New Roman" w:hAnsi="Times New Roman"/>
          <w:sz w:val="24"/>
          <w:szCs w:val="24"/>
        </w:rPr>
        <w:t>sticks during disposal. Furthermore, needle design improvements have led to the development of sharps with engineered safety features like blunted or recessed needles, which reduce the potential for injury upon contact. These engineered features are particularly important in high-risk settings where healthcare workers are at increased risk of needle</w:t>
      </w:r>
      <w:r w:rsidR="00623CAD">
        <w:rPr>
          <w:rFonts w:ascii="Times New Roman" w:hAnsi="Times New Roman"/>
          <w:sz w:val="24"/>
          <w:szCs w:val="24"/>
        </w:rPr>
        <w:t>-</w:t>
      </w:r>
      <w:r w:rsidRPr="006D050E">
        <w:rPr>
          <w:rFonts w:ascii="Times New Roman" w:hAnsi="Times New Roman"/>
          <w:sz w:val="24"/>
          <w:szCs w:val="24"/>
        </w:rPr>
        <w:t xml:space="preserve">stick injuries. A study by Davis </w:t>
      </w:r>
      <w:r w:rsidRPr="006D050E">
        <w:rPr>
          <w:rFonts w:ascii="Times New Roman" w:hAnsi="Times New Roman"/>
          <w:iCs/>
          <w:sz w:val="24"/>
          <w:szCs w:val="24"/>
        </w:rPr>
        <w:t>et al</w:t>
      </w:r>
      <w:r w:rsidRPr="006D050E">
        <w:rPr>
          <w:rFonts w:ascii="Times New Roman" w:hAnsi="Times New Roman"/>
          <w:sz w:val="24"/>
          <w:szCs w:val="24"/>
        </w:rPr>
        <w:t xml:space="preserve">. (2019) emphasized the positive impact of these safety features, reporting a substantial reduction in </w:t>
      </w:r>
      <w:r w:rsidR="005531E2">
        <w:rPr>
          <w:rFonts w:ascii="Times New Roman" w:hAnsi="Times New Roman"/>
          <w:sz w:val="24"/>
          <w:szCs w:val="24"/>
        </w:rPr>
        <w:t>needle-stick</w:t>
      </w:r>
      <w:r w:rsidRPr="006D050E">
        <w:rPr>
          <w:rFonts w:ascii="Times New Roman" w:hAnsi="Times New Roman"/>
          <w:sz w:val="24"/>
          <w:szCs w:val="24"/>
        </w:rPr>
        <w:t xml:space="preserve"> injuries when using safety-engineered needles, especially during high-stress procedures.</w:t>
      </w:r>
    </w:p>
    <w:p w14:paraId="558D5600" w14:textId="0EC3B23D" w:rsidR="002D7A5D" w:rsidRPr="002D7A5D" w:rsidRDefault="00535667" w:rsidP="00535667">
      <w:pPr>
        <w:autoSpaceDE w:val="0"/>
        <w:autoSpaceDN w:val="0"/>
        <w:adjustRightInd w:val="0"/>
        <w:spacing w:after="0" w:line="480" w:lineRule="auto"/>
        <w:jc w:val="both"/>
        <w:rPr>
          <w:rFonts w:ascii="Times New Roman" w:hAnsi="Times New Roman" w:cs="Times New Roman"/>
          <w:sz w:val="24"/>
          <w:szCs w:val="24"/>
        </w:rPr>
      </w:pPr>
      <w:r w:rsidRPr="006D050E">
        <w:rPr>
          <w:rFonts w:ascii="Times New Roman" w:hAnsi="Times New Roman"/>
          <w:sz w:val="24"/>
          <w:szCs w:val="24"/>
        </w:rPr>
        <w:t>Safe injection practices play a pivotal role in reducing the risk of needle</w:t>
      </w:r>
      <w:r w:rsidR="0090715C">
        <w:rPr>
          <w:rFonts w:ascii="Times New Roman" w:hAnsi="Times New Roman"/>
          <w:sz w:val="24"/>
          <w:szCs w:val="24"/>
        </w:rPr>
        <w:t>-</w:t>
      </w:r>
      <w:r w:rsidRPr="006D050E">
        <w:rPr>
          <w:rFonts w:ascii="Times New Roman" w:hAnsi="Times New Roman"/>
          <w:sz w:val="24"/>
          <w:szCs w:val="24"/>
        </w:rPr>
        <w:t>stick injuries among healthcare workers. Proper injection techniques involve not only the safe handling of needles but also the correct disposal of sharps and adherence to aseptic procedures. Healthcare organizations should enforce guidelines that promote single-use needles, ensuring that needles and syringes are not reused, which can significantly reduce the risk of contamination and needle</w:t>
      </w:r>
      <w:r w:rsidR="00D27518">
        <w:rPr>
          <w:rFonts w:ascii="Times New Roman" w:hAnsi="Times New Roman"/>
          <w:sz w:val="24"/>
          <w:szCs w:val="24"/>
        </w:rPr>
        <w:t>-</w:t>
      </w:r>
      <w:r w:rsidRPr="006D050E">
        <w:rPr>
          <w:rFonts w:ascii="Times New Roman" w:hAnsi="Times New Roman"/>
          <w:sz w:val="24"/>
          <w:szCs w:val="24"/>
        </w:rPr>
        <w:t xml:space="preserve">stick injuries. The Centers for Disease Control and Prevention (CDC) (2020) emphasizes the importance of single-use devices and safe injection practices to protect both healthcare workers and patients. Moreover, </w:t>
      </w:r>
      <w:r w:rsidRPr="006D050E">
        <w:rPr>
          <w:rFonts w:ascii="Times New Roman" w:hAnsi="Times New Roman"/>
          <w:sz w:val="24"/>
          <w:szCs w:val="24"/>
        </w:rPr>
        <w:lastRenderedPageBreak/>
        <w:t>healthcare workers must be trained to maintain aseptic conditions during injections, including hand hygiene, using appropriate personal protective equipment (PPE), and employing sterile techniques. Training programs, such as those outlined in guidelines from the WHO, underscore the significance of safe injection practices and provide healthcare workers with the knowledge and skills necessary to minimize the risk of needle</w:t>
      </w:r>
      <w:r w:rsidR="00457C84">
        <w:rPr>
          <w:rFonts w:ascii="Times New Roman" w:hAnsi="Times New Roman"/>
          <w:sz w:val="24"/>
          <w:szCs w:val="24"/>
        </w:rPr>
        <w:t>-</w:t>
      </w:r>
      <w:r w:rsidRPr="006D050E">
        <w:rPr>
          <w:rFonts w:ascii="Times New Roman" w:hAnsi="Times New Roman"/>
          <w:sz w:val="24"/>
          <w:szCs w:val="24"/>
        </w:rPr>
        <w:t>stick injuries during medical procedures (WHO, 2020). These safe practices can prevent inadvertent needle</w:t>
      </w:r>
      <w:r w:rsidR="00CF4049">
        <w:rPr>
          <w:rFonts w:ascii="Times New Roman" w:hAnsi="Times New Roman"/>
          <w:sz w:val="24"/>
          <w:szCs w:val="24"/>
        </w:rPr>
        <w:t>-</w:t>
      </w:r>
      <w:r w:rsidRPr="006D050E">
        <w:rPr>
          <w:rFonts w:ascii="Times New Roman" w:hAnsi="Times New Roman"/>
          <w:sz w:val="24"/>
          <w:szCs w:val="24"/>
        </w:rPr>
        <w:t xml:space="preserve">sticks and protect both healthcare workers and patients from the potential transmission of </w:t>
      </w:r>
      <w:r w:rsidR="00CE32E4" w:rsidRPr="006D050E">
        <w:rPr>
          <w:rFonts w:ascii="Times New Roman" w:hAnsi="Times New Roman"/>
          <w:sz w:val="24"/>
          <w:szCs w:val="24"/>
        </w:rPr>
        <w:t>blood borne</w:t>
      </w:r>
      <w:r w:rsidRPr="006D050E">
        <w:rPr>
          <w:rFonts w:ascii="Times New Roman" w:hAnsi="Times New Roman"/>
          <w:sz w:val="24"/>
          <w:szCs w:val="24"/>
        </w:rPr>
        <w:t xml:space="preserve"> pathogens.</w:t>
      </w:r>
      <w:r>
        <w:rPr>
          <w:rFonts w:ascii="Times New Roman" w:hAnsi="Times New Roman"/>
          <w:sz w:val="24"/>
          <w:szCs w:val="24"/>
        </w:rPr>
        <w:t xml:space="preserve"> </w:t>
      </w:r>
      <w:r w:rsidRPr="006D050E">
        <w:rPr>
          <w:rFonts w:ascii="Times New Roman" w:hAnsi="Times New Roman"/>
          <w:sz w:val="24"/>
          <w:szCs w:val="24"/>
        </w:rPr>
        <w:t>In Rivers State, the tertiary health institutions typically handle complex cases, surgeries, and specialized treatments, which may involve the use of a greater number of sharp medical instruments.</w:t>
      </w:r>
      <w:r w:rsidR="00E62972">
        <w:rPr>
          <w:rFonts w:ascii="Times New Roman" w:hAnsi="Times New Roman"/>
          <w:sz w:val="24"/>
          <w:szCs w:val="24"/>
        </w:rPr>
        <w:t xml:space="preserve"> The study provided answers to the following research questions: </w:t>
      </w:r>
    </w:p>
    <w:p w14:paraId="2A291D29" w14:textId="1F582DB6" w:rsidR="005B7BA4" w:rsidRPr="006D050E" w:rsidRDefault="005B7BA4" w:rsidP="0032488C">
      <w:pPr>
        <w:pStyle w:val="ListParagraph"/>
        <w:numPr>
          <w:ilvl w:val="0"/>
          <w:numId w:val="1"/>
        </w:numPr>
        <w:spacing w:line="480" w:lineRule="auto"/>
        <w:jc w:val="both"/>
        <w:rPr>
          <w:rFonts w:ascii="Times New Roman" w:hAnsi="Times New Roman"/>
          <w:sz w:val="24"/>
          <w:szCs w:val="24"/>
        </w:rPr>
      </w:pPr>
      <w:r w:rsidRPr="006D050E">
        <w:rPr>
          <w:rFonts w:ascii="Times New Roman" w:hAnsi="Times New Roman"/>
          <w:sz w:val="24"/>
          <w:szCs w:val="24"/>
        </w:rPr>
        <w:t>To what extent does case acuity constitute a determinant to needle</w:t>
      </w:r>
      <w:r w:rsidR="00F763D4">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06507B99" w14:textId="1FF0A815" w:rsidR="005B7BA4" w:rsidRPr="006D050E" w:rsidRDefault="005B7BA4" w:rsidP="0032488C">
      <w:pPr>
        <w:pStyle w:val="ListParagraph"/>
        <w:numPr>
          <w:ilvl w:val="0"/>
          <w:numId w:val="1"/>
        </w:numPr>
        <w:spacing w:line="480" w:lineRule="auto"/>
        <w:jc w:val="both"/>
        <w:rPr>
          <w:rFonts w:ascii="Times New Roman" w:hAnsi="Times New Roman"/>
          <w:sz w:val="24"/>
          <w:szCs w:val="24"/>
        </w:rPr>
      </w:pPr>
      <w:r w:rsidRPr="006D050E">
        <w:rPr>
          <w:rFonts w:ascii="Times New Roman" w:hAnsi="Times New Roman"/>
          <w:sz w:val="24"/>
          <w:szCs w:val="24"/>
        </w:rPr>
        <w:t xml:space="preserve">What is the extent to which availability of </w:t>
      </w:r>
      <w:r>
        <w:rPr>
          <w:rFonts w:ascii="Times New Roman" w:hAnsi="Times New Roman"/>
          <w:sz w:val="24"/>
          <w:szCs w:val="24"/>
        </w:rPr>
        <w:t>safety devices constitute</w:t>
      </w:r>
      <w:r w:rsidRPr="006D050E">
        <w:rPr>
          <w:rFonts w:ascii="Times New Roman" w:hAnsi="Times New Roman"/>
          <w:sz w:val="24"/>
          <w:szCs w:val="24"/>
        </w:rPr>
        <w:t xml:space="preserve"> a determinant to needle</w:t>
      </w:r>
      <w:r w:rsidR="009F21A3">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58A25DEB" w14:textId="631B6DEF" w:rsidR="005B7BA4" w:rsidRPr="006D050E" w:rsidRDefault="005B7BA4" w:rsidP="0032488C">
      <w:pPr>
        <w:pStyle w:val="ListParagraph"/>
        <w:numPr>
          <w:ilvl w:val="0"/>
          <w:numId w:val="1"/>
        </w:numPr>
        <w:spacing w:line="480" w:lineRule="auto"/>
        <w:jc w:val="both"/>
        <w:rPr>
          <w:rFonts w:ascii="Times New Roman" w:hAnsi="Times New Roman"/>
          <w:sz w:val="24"/>
          <w:szCs w:val="24"/>
        </w:rPr>
      </w:pPr>
      <w:r w:rsidRPr="006D050E">
        <w:rPr>
          <w:rFonts w:ascii="Times New Roman" w:hAnsi="Times New Roman"/>
          <w:sz w:val="24"/>
          <w:szCs w:val="24"/>
        </w:rPr>
        <w:t>What is the extent to which safe</w:t>
      </w:r>
      <w:r>
        <w:rPr>
          <w:rFonts w:ascii="Times New Roman" w:hAnsi="Times New Roman"/>
          <w:sz w:val="24"/>
          <w:szCs w:val="24"/>
        </w:rPr>
        <w:t xml:space="preserve"> injection practices constitute</w:t>
      </w:r>
      <w:r w:rsidRPr="006D050E">
        <w:rPr>
          <w:rFonts w:ascii="Times New Roman" w:hAnsi="Times New Roman"/>
          <w:sz w:val="24"/>
          <w:szCs w:val="24"/>
        </w:rPr>
        <w:t xml:space="preserve"> a determinant to needle</w:t>
      </w:r>
      <w:r w:rsidR="009F21A3">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67F9E932" w14:textId="77777777" w:rsidR="00E62972" w:rsidRPr="0053446A" w:rsidRDefault="00E62972" w:rsidP="00E62972">
      <w:pPr>
        <w:pStyle w:val="Heading1"/>
        <w:spacing w:before="0" w:beforeAutospacing="0" w:after="160" w:afterAutospacing="0" w:line="480" w:lineRule="auto"/>
        <w:jc w:val="both"/>
        <w:rPr>
          <w:sz w:val="24"/>
          <w:szCs w:val="24"/>
        </w:rPr>
      </w:pPr>
      <w:r w:rsidRPr="006D050E">
        <w:rPr>
          <w:sz w:val="24"/>
          <w:szCs w:val="24"/>
        </w:rPr>
        <w:t>Hypotheses</w:t>
      </w:r>
    </w:p>
    <w:p w14:paraId="7974016C" w14:textId="77777777" w:rsidR="00E62972" w:rsidRPr="006D050E" w:rsidRDefault="00E62972" w:rsidP="00E62972">
      <w:pPr>
        <w:spacing w:line="480" w:lineRule="auto"/>
        <w:jc w:val="both"/>
        <w:rPr>
          <w:rFonts w:ascii="Times New Roman" w:hAnsi="Times New Roman"/>
          <w:sz w:val="24"/>
          <w:szCs w:val="24"/>
        </w:rPr>
      </w:pPr>
      <w:r w:rsidRPr="006D050E">
        <w:rPr>
          <w:rFonts w:ascii="Times New Roman" w:hAnsi="Times New Roman"/>
          <w:sz w:val="24"/>
          <w:szCs w:val="24"/>
        </w:rPr>
        <w:t xml:space="preserve">The following hypotheses were </w:t>
      </w:r>
      <w:r>
        <w:rPr>
          <w:rFonts w:ascii="Times New Roman" w:hAnsi="Times New Roman"/>
          <w:sz w:val="24"/>
          <w:szCs w:val="24"/>
        </w:rPr>
        <w:t xml:space="preserve">formulated and </w:t>
      </w:r>
      <w:r w:rsidRPr="006D050E">
        <w:rPr>
          <w:rFonts w:ascii="Times New Roman" w:hAnsi="Times New Roman"/>
          <w:sz w:val="24"/>
          <w:szCs w:val="24"/>
        </w:rPr>
        <w:t>tested at 0.05 level of significance:</w:t>
      </w:r>
    </w:p>
    <w:p w14:paraId="72677967" w14:textId="4B26CB8B" w:rsidR="00E62972" w:rsidRPr="006D050E" w:rsidRDefault="00E62972" w:rsidP="00E62972">
      <w:pPr>
        <w:pStyle w:val="ListParagraph"/>
        <w:numPr>
          <w:ilvl w:val="0"/>
          <w:numId w:val="2"/>
        </w:numPr>
        <w:spacing w:line="480" w:lineRule="auto"/>
        <w:jc w:val="both"/>
        <w:rPr>
          <w:rFonts w:ascii="Times New Roman" w:hAnsi="Times New Roman"/>
          <w:sz w:val="24"/>
          <w:szCs w:val="24"/>
        </w:rPr>
      </w:pPr>
      <w:r w:rsidRPr="006D050E">
        <w:rPr>
          <w:rFonts w:ascii="Times New Roman" w:hAnsi="Times New Roman"/>
          <w:sz w:val="24"/>
          <w:szCs w:val="24"/>
        </w:rPr>
        <w:t>There is no significant association between case acuity and needle</w:t>
      </w:r>
      <w:r w:rsidR="006F3657">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06A95749" w14:textId="113EE541" w:rsidR="00E62972" w:rsidRPr="006D050E" w:rsidRDefault="00E62972" w:rsidP="00E62972">
      <w:pPr>
        <w:pStyle w:val="ListParagraph"/>
        <w:numPr>
          <w:ilvl w:val="0"/>
          <w:numId w:val="2"/>
        </w:numPr>
        <w:spacing w:line="480" w:lineRule="auto"/>
        <w:jc w:val="both"/>
        <w:rPr>
          <w:rFonts w:ascii="Times New Roman" w:hAnsi="Times New Roman"/>
          <w:sz w:val="24"/>
          <w:szCs w:val="24"/>
        </w:rPr>
      </w:pPr>
      <w:r w:rsidRPr="006D050E">
        <w:rPr>
          <w:rFonts w:ascii="Times New Roman" w:hAnsi="Times New Roman"/>
          <w:sz w:val="24"/>
          <w:szCs w:val="24"/>
        </w:rPr>
        <w:t xml:space="preserve">There is no significant association between availability of </w:t>
      </w:r>
      <w:r>
        <w:rPr>
          <w:rFonts w:ascii="Times New Roman" w:hAnsi="Times New Roman"/>
          <w:sz w:val="24"/>
          <w:szCs w:val="24"/>
        </w:rPr>
        <w:t>safety devices</w:t>
      </w:r>
      <w:r w:rsidRPr="006D050E">
        <w:rPr>
          <w:rFonts w:ascii="Times New Roman" w:hAnsi="Times New Roman"/>
          <w:sz w:val="24"/>
          <w:szCs w:val="24"/>
        </w:rPr>
        <w:t xml:space="preserve"> and needle</w:t>
      </w:r>
      <w:r w:rsidR="006F3657">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29865088" w14:textId="457495BA" w:rsidR="00E62972" w:rsidRPr="006D050E" w:rsidRDefault="00E62972" w:rsidP="00E62972">
      <w:pPr>
        <w:pStyle w:val="ListParagraph"/>
        <w:numPr>
          <w:ilvl w:val="0"/>
          <w:numId w:val="2"/>
        </w:numPr>
        <w:spacing w:line="480" w:lineRule="auto"/>
        <w:jc w:val="both"/>
        <w:rPr>
          <w:rFonts w:ascii="Times New Roman" w:hAnsi="Times New Roman"/>
          <w:sz w:val="24"/>
          <w:szCs w:val="24"/>
        </w:rPr>
      </w:pPr>
      <w:r w:rsidRPr="006D050E">
        <w:rPr>
          <w:rFonts w:ascii="Times New Roman" w:hAnsi="Times New Roman"/>
          <w:sz w:val="24"/>
          <w:szCs w:val="24"/>
        </w:rPr>
        <w:lastRenderedPageBreak/>
        <w:t>There is no significant association between safe injection practices and needle</w:t>
      </w:r>
      <w:r w:rsidR="00C27299">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20CC300C" w14:textId="77777777" w:rsidR="00E62972" w:rsidRDefault="00E62972">
      <w:pPr>
        <w:rPr>
          <w:b/>
        </w:rPr>
      </w:pPr>
      <w:r>
        <w:rPr>
          <w:b/>
        </w:rPr>
        <w:t xml:space="preserve">Methodology </w:t>
      </w:r>
    </w:p>
    <w:p w14:paraId="545C1081" w14:textId="77777777" w:rsidR="001E0D40" w:rsidRDefault="003D3E61" w:rsidP="001E0D40">
      <w:pPr>
        <w:spacing w:line="480" w:lineRule="auto"/>
        <w:jc w:val="both"/>
        <w:rPr>
          <w:rFonts w:ascii="Times New Roman" w:hAnsi="Times New Roman"/>
          <w:sz w:val="24"/>
          <w:szCs w:val="24"/>
        </w:rPr>
      </w:pPr>
      <w:r>
        <w:rPr>
          <w:rFonts w:ascii="Times New Roman" w:hAnsi="Times New Roman"/>
          <w:sz w:val="24"/>
          <w:szCs w:val="24"/>
        </w:rPr>
        <w:t xml:space="preserve">The </w:t>
      </w:r>
      <w:r w:rsidRPr="006D050E">
        <w:rPr>
          <w:rFonts w:ascii="Times New Roman" w:hAnsi="Times New Roman"/>
          <w:sz w:val="24"/>
          <w:szCs w:val="24"/>
        </w:rPr>
        <w:t>descriptive cross sectional survey design was adopted</w:t>
      </w:r>
      <w:r>
        <w:rPr>
          <w:rFonts w:ascii="Times New Roman" w:hAnsi="Times New Roman"/>
          <w:sz w:val="24"/>
          <w:szCs w:val="24"/>
        </w:rPr>
        <w:t xml:space="preserve"> with a </w:t>
      </w:r>
      <w:r w:rsidRPr="006D050E">
        <w:rPr>
          <w:rFonts w:ascii="Times New Roman" w:hAnsi="Times New Roman"/>
          <w:sz w:val="24"/>
          <w:szCs w:val="24"/>
        </w:rPr>
        <w:t>population of the study comprised of all health personnel both male and female in Tertiary health institutions in Rivers State</w:t>
      </w:r>
      <w:r>
        <w:rPr>
          <w:rFonts w:ascii="Times New Roman" w:hAnsi="Times New Roman"/>
          <w:sz w:val="24"/>
          <w:szCs w:val="24"/>
        </w:rPr>
        <w:t xml:space="preserve"> -</w:t>
      </w:r>
      <w:r w:rsidRPr="006D050E">
        <w:rPr>
          <w:rFonts w:ascii="Times New Roman" w:hAnsi="Times New Roman"/>
          <w:sz w:val="24"/>
          <w:szCs w:val="24"/>
        </w:rPr>
        <w:t xml:space="preserve"> in which University of Port Harcourt Teaching Hospital was (3000), Rivers State University Teaching Hospitals was (650), and Madonna University Teaching Hospital was 450 which accounts for four thousand one hundred (4100) used for the study</w:t>
      </w:r>
      <w:r>
        <w:rPr>
          <w:rFonts w:ascii="Times New Roman" w:hAnsi="Times New Roman"/>
          <w:sz w:val="24"/>
          <w:szCs w:val="24"/>
        </w:rPr>
        <w:t xml:space="preserve"> </w:t>
      </w:r>
      <w:r w:rsidRPr="006D050E">
        <w:rPr>
          <w:rFonts w:ascii="Times New Roman" w:hAnsi="Times New Roman"/>
          <w:sz w:val="24"/>
          <w:szCs w:val="24"/>
        </w:rPr>
        <w:t>(Rivers State Hospital Management Board, 2020).</w:t>
      </w:r>
      <w:r w:rsidR="001E0D40">
        <w:rPr>
          <w:rFonts w:ascii="Times New Roman" w:hAnsi="Times New Roman"/>
          <w:sz w:val="24"/>
          <w:szCs w:val="24"/>
        </w:rPr>
        <w:t xml:space="preserve"> </w:t>
      </w:r>
      <w:r w:rsidR="001E0D40" w:rsidRPr="006D050E">
        <w:rPr>
          <w:rFonts w:ascii="Times New Roman" w:hAnsi="Times New Roman"/>
          <w:sz w:val="24"/>
          <w:szCs w:val="24"/>
        </w:rPr>
        <w:t xml:space="preserve">The sample size for this study was 879 which was determined using Cochran formula </w:t>
      </w:r>
      <w:r w:rsidR="001E0D40">
        <w:rPr>
          <w:rFonts w:ascii="Times New Roman" w:hAnsi="Times New Roman"/>
          <w:sz w:val="24"/>
          <w:szCs w:val="24"/>
        </w:rPr>
        <w:t>for estimated</w:t>
      </w:r>
      <w:r w:rsidR="001E0D40" w:rsidRPr="006D050E">
        <w:rPr>
          <w:rFonts w:ascii="Times New Roman" w:hAnsi="Times New Roman"/>
          <w:sz w:val="24"/>
          <w:szCs w:val="24"/>
        </w:rPr>
        <w:t xml:space="preserve"> population </w:t>
      </w:r>
      <w:r w:rsidR="001E0D40">
        <w:rPr>
          <w:rFonts w:ascii="Times New Roman" w:hAnsi="Times New Roman"/>
          <w:sz w:val="24"/>
          <w:szCs w:val="24"/>
        </w:rPr>
        <w:t xml:space="preserve">given as </w:t>
      </w:r>
      <w:r w:rsidR="001E0D40" w:rsidRPr="006D050E">
        <w:rPr>
          <w:rFonts w:ascii="Times New Roman" w:hAnsi="Times New Roman"/>
          <w:sz w:val="24"/>
          <w:szCs w:val="24"/>
        </w:rPr>
        <w:t>n</w:t>
      </w:r>
      <w:r w:rsidR="001E0D40">
        <w:rPr>
          <w:rFonts w:ascii="Times New Roman" w:hAnsi="Times New Roman"/>
          <w:sz w:val="24"/>
          <w:szCs w:val="24"/>
        </w:rPr>
        <w:t xml:space="preserve"> </w:t>
      </w:r>
      <w:r w:rsidR="001E0D40" w:rsidRPr="006D050E">
        <w:rPr>
          <w:rFonts w:ascii="Times New Roman" w:hAnsi="Times New Roman"/>
          <w:sz w:val="24"/>
          <w:szCs w:val="24"/>
        </w:rPr>
        <w:t>=</w:t>
      </w:r>
      <w:r w:rsidR="001E0D40">
        <w:rPr>
          <w:rFonts w:ascii="Times New Roman" w:hAnsi="Times New Roman"/>
          <w:sz w:val="24"/>
          <w:szCs w:val="24"/>
        </w:rPr>
        <w:t xml:space="preserve"> </w:t>
      </w:r>
      <w:r w:rsidR="001E0D40" w:rsidRPr="006D050E">
        <w:rPr>
          <w:rFonts w:ascii="Times New Roman" w:hAnsi="Times New Roman"/>
          <w:sz w:val="24"/>
          <w:szCs w:val="24"/>
        </w:rPr>
        <w:t>P(1-P)Z</w:t>
      </w:r>
      <w:r w:rsidR="001E0D40" w:rsidRPr="006D050E">
        <w:rPr>
          <w:rFonts w:ascii="Times New Roman" w:hAnsi="Times New Roman"/>
          <w:sz w:val="24"/>
          <w:szCs w:val="24"/>
          <w:vertAlign w:val="superscript"/>
        </w:rPr>
        <w:t>2</w:t>
      </w:r>
      <w:r w:rsidR="001E0D40" w:rsidRPr="006D050E">
        <w:rPr>
          <w:rFonts w:ascii="Times New Roman" w:hAnsi="Times New Roman"/>
          <w:sz w:val="24"/>
          <w:szCs w:val="24"/>
        </w:rPr>
        <w:t>/e</w:t>
      </w:r>
      <w:r w:rsidR="001E0D40" w:rsidRPr="006D050E">
        <w:rPr>
          <w:rFonts w:ascii="Times New Roman" w:hAnsi="Times New Roman"/>
          <w:sz w:val="24"/>
          <w:szCs w:val="24"/>
          <w:vertAlign w:val="superscript"/>
        </w:rPr>
        <w:t>2</w:t>
      </w:r>
      <w:r w:rsidR="001E0D40">
        <w:rPr>
          <w:rFonts w:ascii="Times New Roman" w:hAnsi="Times New Roman"/>
          <w:sz w:val="24"/>
          <w:szCs w:val="24"/>
        </w:rPr>
        <w:t xml:space="preserve">. Where, </w:t>
      </w:r>
      <w:r w:rsidR="001E0D40" w:rsidRPr="006D050E">
        <w:rPr>
          <w:rFonts w:ascii="Times New Roman" w:hAnsi="Times New Roman"/>
          <w:sz w:val="24"/>
          <w:szCs w:val="24"/>
        </w:rPr>
        <w:t>n</w:t>
      </w:r>
      <w:r w:rsidR="001E0D40">
        <w:rPr>
          <w:rFonts w:ascii="Times New Roman" w:hAnsi="Times New Roman"/>
          <w:sz w:val="24"/>
          <w:szCs w:val="24"/>
        </w:rPr>
        <w:t xml:space="preserve"> </w:t>
      </w:r>
      <w:r w:rsidR="001E0D40" w:rsidRPr="006D050E">
        <w:rPr>
          <w:rFonts w:ascii="Times New Roman" w:hAnsi="Times New Roman"/>
          <w:sz w:val="24"/>
          <w:szCs w:val="24"/>
        </w:rPr>
        <w:t>= sample size</w:t>
      </w:r>
      <w:r w:rsidR="001E0D40">
        <w:rPr>
          <w:rFonts w:ascii="Times New Roman" w:hAnsi="Times New Roman"/>
          <w:sz w:val="24"/>
          <w:szCs w:val="24"/>
        </w:rPr>
        <w:t xml:space="preserve">; </w:t>
      </w:r>
      <w:r w:rsidR="001E0D40" w:rsidRPr="006D050E">
        <w:rPr>
          <w:rFonts w:ascii="Times New Roman" w:hAnsi="Times New Roman"/>
          <w:sz w:val="24"/>
          <w:szCs w:val="24"/>
        </w:rPr>
        <w:t>p</w:t>
      </w:r>
      <w:r w:rsidR="001E0D40">
        <w:rPr>
          <w:rFonts w:ascii="Times New Roman" w:hAnsi="Times New Roman"/>
          <w:sz w:val="24"/>
          <w:szCs w:val="24"/>
        </w:rPr>
        <w:t xml:space="preserve"> </w:t>
      </w:r>
      <w:r w:rsidR="001E0D40" w:rsidRPr="006D050E">
        <w:rPr>
          <w:rFonts w:ascii="Times New Roman" w:hAnsi="Times New Roman"/>
          <w:sz w:val="24"/>
          <w:szCs w:val="24"/>
        </w:rPr>
        <w:t>=</w:t>
      </w:r>
      <w:r w:rsidR="001E0D40">
        <w:rPr>
          <w:rFonts w:ascii="Times New Roman" w:hAnsi="Times New Roman"/>
          <w:sz w:val="24"/>
          <w:szCs w:val="24"/>
        </w:rPr>
        <w:t xml:space="preserve"> </w:t>
      </w:r>
      <w:r w:rsidR="001E0D40" w:rsidRPr="006D050E">
        <w:rPr>
          <w:rFonts w:ascii="Times New Roman" w:hAnsi="Times New Roman"/>
          <w:sz w:val="24"/>
          <w:szCs w:val="24"/>
        </w:rPr>
        <w:t>the proportion of the population (0.80) based on difference in prior studies of Isara et al (2015) in Nigeria prevalence rate of 51.0% and Bazie (2020) in Ethiopia with the prevalence of 60.2% given a difference of 9.2% used for t</w:t>
      </w:r>
      <w:r w:rsidR="001E0D40">
        <w:rPr>
          <w:rFonts w:ascii="Times New Roman" w:hAnsi="Times New Roman"/>
          <w:sz w:val="24"/>
          <w:szCs w:val="24"/>
        </w:rPr>
        <w:t xml:space="preserve">he study; </w:t>
      </w:r>
      <w:r w:rsidR="001E0D40" w:rsidRPr="006D050E">
        <w:rPr>
          <w:rFonts w:ascii="Times New Roman" w:hAnsi="Times New Roman"/>
          <w:sz w:val="24"/>
          <w:szCs w:val="24"/>
        </w:rPr>
        <w:t>e</w:t>
      </w:r>
      <w:r w:rsidR="001E0D40">
        <w:rPr>
          <w:rFonts w:ascii="Times New Roman" w:hAnsi="Times New Roman"/>
          <w:sz w:val="24"/>
          <w:szCs w:val="24"/>
        </w:rPr>
        <w:t xml:space="preserve"> </w:t>
      </w:r>
      <w:r w:rsidR="001E0D40" w:rsidRPr="006D050E">
        <w:rPr>
          <w:rFonts w:ascii="Times New Roman" w:hAnsi="Times New Roman"/>
          <w:sz w:val="24"/>
          <w:szCs w:val="24"/>
        </w:rPr>
        <w:t>= acceptable sampling error (e=0.05)</w:t>
      </w:r>
      <w:r w:rsidR="001E0D40">
        <w:rPr>
          <w:rFonts w:ascii="Times New Roman" w:hAnsi="Times New Roman"/>
          <w:sz w:val="24"/>
          <w:szCs w:val="24"/>
        </w:rPr>
        <w:t xml:space="preserve">; </w:t>
      </w:r>
      <w:r w:rsidR="001E0D40" w:rsidRPr="006D050E">
        <w:rPr>
          <w:rFonts w:ascii="Times New Roman" w:hAnsi="Times New Roman"/>
          <w:sz w:val="24"/>
          <w:szCs w:val="24"/>
        </w:rPr>
        <w:t>z</w:t>
      </w:r>
      <w:r w:rsidR="001E0D40">
        <w:rPr>
          <w:rFonts w:ascii="Times New Roman" w:hAnsi="Times New Roman"/>
          <w:sz w:val="24"/>
          <w:szCs w:val="24"/>
        </w:rPr>
        <w:t xml:space="preserve"> </w:t>
      </w:r>
      <w:r w:rsidR="001E0D40" w:rsidRPr="006D050E">
        <w:rPr>
          <w:rFonts w:ascii="Times New Roman" w:hAnsi="Times New Roman"/>
          <w:sz w:val="24"/>
          <w:szCs w:val="24"/>
        </w:rPr>
        <w:t>= value at reliability level or significance 95% for 1.96 at 0.05 level of significance</w:t>
      </w:r>
      <w:r w:rsidR="001E0D40">
        <w:rPr>
          <w:rFonts w:ascii="Times New Roman" w:hAnsi="Times New Roman"/>
          <w:sz w:val="24"/>
          <w:szCs w:val="24"/>
        </w:rPr>
        <w:t xml:space="preserve">. </w:t>
      </w:r>
    </w:p>
    <w:p w14:paraId="6AF1FE07" w14:textId="15AC5039" w:rsidR="00D31B86" w:rsidRDefault="009C341E" w:rsidP="00D31B86">
      <w:pPr>
        <w:spacing w:line="480" w:lineRule="auto"/>
        <w:jc w:val="both"/>
        <w:rPr>
          <w:rFonts w:ascii="Times New Roman" w:hAnsi="Times New Roman"/>
          <w:sz w:val="24"/>
          <w:szCs w:val="24"/>
        </w:rPr>
      </w:pPr>
      <w:r w:rsidRPr="006D050E">
        <w:rPr>
          <w:rFonts w:ascii="Times New Roman" w:hAnsi="Times New Roman"/>
          <w:sz w:val="24"/>
          <w:szCs w:val="24"/>
        </w:rPr>
        <w:t>A multi-stage sampling procedure was adopted for the study which was presented in t</w:t>
      </w:r>
      <w:r>
        <w:rPr>
          <w:rFonts w:ascii="Times New Roman" w:hAnsi="Times New Roman"/>
          <w:sz w:val="24"/>
          <w:szCs w:val="24"/>
        </w:rPr>
        <w:t>hree</w:t>
      </w:r>
      <w:r w:rsidRPr="006D050E">
        <w:rPr>
          <w:rFonts w:ascii="Times New Roman" w:hAnsi="Times New Roman"/>
          <w:sz w:val="24"/>
          <w:szCs w:val="24"/>
        </w:rPr>
        <w:t xml:space="preserve"> stages</w:t>
      </w:r>
      <w:r>
        <w:rPr>
          <w:rFonts w:ascii="Times New Roman" w:hAnsi="Times New Roman"/>
          <w:sz w:val="24"/>
          <w:szCs w:val="24"/>
        </w:rPr>
        <w:t xml:space="preserve">. </w:t>
      </w:r>
      <w:r>
        <w:rPr>
          <w:sz w:val="20"/>
          <w:szCs w:val="20"/>
        </w:rPr>
        <w:t>The first step was purposive sampling technique by which the hospitals were chosen. The second step was a stratified proportionate sampling technique which was used to select the number of healthcare workers from each</w:t>
      </w:r>
      <w:r w:rsidRPr="009C341E">
        <w:rPr>
          <w:sz w:val="20"/>
          <w:szCs w:val="20"/>
        </w:rPr>
        <w:t xml:space="preserve"> </w:t>
      </w:r>
      <w:r>
        <w:rPr>
          <w:sz w:val="20"/>
          <w:szCs w:val="20"/>
        </w:rPr>
        <w:t xml:space="preserve">tertiary health institution for the study respectively. For the third step, simple random sampling technique was used to select the healthcare workers that participated in the study. </w:t>
      </w:r>
      <w:r w:rsidRPr="00D31B86">
        <w:rPr>
          <w:rFonts w:eastAsia="Calibri" w:cs="Arial"/>
          <w:bCs/>
          <w:sz w:val="24"/>
          <w:szCs w:val="24"/>
        </w:rPr>
        <w:t xml:space="preserve">The instrument for </w:t>
      </w:r>
      <w:r w:rsidRPr="00D31B86">
        <w:rPr>
          <w:rFonts w:eastAsia="Calibri"/>
          <w:bCs/>
        </w:rPr>
        <w:t>data collection</w:t>
      </w:r>
      <w:r w:rsidRPr="00D31B86">
        <w:rPr>
          <w:rFonts w:eastAsia="Calibri" w:cs="Arial"/>
          <w:bCs/>
          <w:sz w:val="24"/>
          <w:szCs w:val="24"/>
        </w:rPr>
        <w:t xml:space="preserve"> was a self-developed and structured questionnaire titled ‘Determinants of </w:t>
      </w:r>
      <w:r w:rsidR="005531E2">
        <w:rPr>
          <w:rFonts w:eastAsia="Calibri" w:cs="Arial"/>
          <w:bCs/>
          <w:sz w:val="24"/>
          <w:szCs w:val="24"/>
        </w:rPr>
        <w:t>Needle-stick</w:t>
      </w:r>
      <w:r w:rsidRPr="00D31B86">
        <w:rPr>
          <w:rFonts w:eastAsia="Calibri" w:cs="Arial"/>
          <w:bCs/>
          <w:sz w:val="24"/>
          <w:szCs w:val="24"/>
        </w:rPr>
        <w:t xml:space="preserve"> Injuries among Hea</w:t>
      </w:r>
      <w:r w:rsidRPr="00D31B86">
        <w:rPr>
          <w:rFonts w:eastAsia="Calibri"/>
          <w:bCs/>
        </w:rPr>
        <w:t xml:space="preserve">lthcare Workers Questionnaire (DNIHWQ) with a reliability coefficient of 0.82. </w:t>
      </w:r>
      <w:bookmarkStart w:id="7" w:name="_Hlk142051083"/>
      <w:r w:rsidR="00D31B86" w:rsidRPr="006D050E">
        <w:rPr>
          <w:rFonts w:ascii="Times New Roman" w:hAnsi="Times New Roman"/>
          <w:sz w:val="24"/>
          <w:szCs w:val="24"/>
        </w:rPr>
        <w:t xml:space="preserve">Collected data were coded and analyzed with </w:t>
      </w:r>
      <w:r w:rsidR="008F333E">
        <w:rPr>
          <w:rFonts w:ascii="Times New Roman" w:hAnsi="Times New Roman"/>
          <w:sz w:val="24"/>
          <w:szCs w:val="24"/>
        </w:rPr>
        <w:t xml:space="preserve">the </w:t>
      </w:r>
      <w:r w:rsidR="00D31B86" w:rsidRPr="006D050E">
        <w:rPr>
          <w:rFonts w:ascii="Times New Roman" w:hAnsi="Times New Roman"/>
          <w:sz w:val="24"/>
          <w:szCs w:val="24"/>
        </w:rPr>
        <w:t xml:space="preserve">aid of Statistical Products for Service Solution (version 25.0). </w:t>
      </w:r>
      <w:bookmarkEnd w:id="7"/>
      <w:r w:rsidR="00D31B86" w:rsidRPr="006D050E">
        <w:rPr>
          <w:rFonts w:ascii="Times New Roman" w:hAnsi="Times New Roman"/>
          <w:sz w:val="24"/>
          <w:szCs w:val="24"/>
        </w:rPr>
        <w:t>Descrip</w:t>
      </w:r>
      <w:r w:rsidR="00D31B86">
        <w:rPr>
          <w:rFonts w:ascii="Times New Roman" w:hAnsi="Times New Roman"/>
          <w:sz w:val="24"/>
          <w:szCs w:val="24"/>
        </w:rPr>
        <w:t xml:space="preserve">tive statistical tools such as </w:t>
      </w:r>
      <w:r w:rsidR="00D31B86" w:rsidRPr="006D050E">
        <w:rPr>
          <w:rFonts w:ascii="Times New Roman" w:hAnsi="Times New Roman"/>
          <w:sz w:val="24"/>
          <w:szCs w:val="24"/>
        </w:rPr>
        <w:t xml:space="preserve">mean and standard deviation for answering research questions </w:t>
      </w:r>
      <w:r w:rsidR="00D31B86" w:rsidRPr="006D050E">
        <w:rPr>
          <w:rFonts w:ascii="Times New Roman" w:hAnsi="Times New Roman"/>
          <w:sz w:val="24"/>
          <w:szCs w:val="24"/>
        </w:rPr>
        <w:lastRenderedPageBreak/>
        <w:t>while inferential statistical tools</w:t>
      </w:r>
      <w:r w:rsidR="0012071C">
        <w:rPr>
          <w:rFonts w:ascii="Times New Roman" w:hAnsi="Times New Roman"/>
          <w:sz w:val="24"/>
          <w:szCs w:val="24"/>
        </w:rPr>
        <w:t xml:space="preserve">, </w:t>
      </w:r>
      <w:r w:rsidR="00D31B86" w:rsidRPr="006D050E">
        <w:rPr>
          <w:rFonts w:ascii="Times New Roman" w:hAnsi="Times New Roman"/>
          <w:sz w:val="24"/>
          <w:szCs w:val="24"/>
        </w:rPr>
        <w:t>such as regression</w:t>
      </w:r>
      <w:r w:rsidR="0012071C">
        <w:rPr>
          <w:rFonts w:ascii="Times New Roman" w:hAnsi="Times New Roman"/>
          <w:sz w:val="24"/>
          <w:szCs w:val="24"/>
        </w:rPr>
        <w:t>,</w:t>
      </w:r>
      <w:r w:rsidR="00D31B86" w:rsidRPr="006D050E">
        <w:rPr>
          <w:rFonts w:ascii="Times New Roman" w:hAnsi="Times New Roman"/>
          <w:sz w:val="24"/>
          <w:szCs w:val="24"/>
        </w:rPr>
        <w:t xml:space="preserve"> </w:t>
      </w:r>
      <w:bookmarkStart w:id="8" w:name="_Int_U5dmou7P"/>
      <w:r w:rsidR="0025317E">
        <w:rPr>
          <w:rFonts w:ascii="Times New Roman" w:hAnsi="Times New Roman"/>
          <w:sz w:val="24"/>
          <w:szCs w:val="24"/>
        </w:rPr>
        <w:t xml:space="preserve">were </w:t>
      </w:r>
      <w:r w:rsidR="00D31B86" w:rsidRPr="006D050E">
        <w:rPr>
          <w:rFonts w:ascii="Times New Roman" w:hAnsi="Times New Roman"/>
          <w:sz w:val="24"/>
          <w:szCs w:val="24"/>
        </w:rPr>
        <w:t>used</w:t>
      </w:r>
      <w:bookmarkEnd w:id="8"/>
      <w:r w:rsidR="00D31B86" w:rsidRPr="006D050E">
        <w:rPr>
          <w:rFonts w:ascii="Times New Roman" w:hAnsi="Times New Roman"/>
          <w:sz w:val="24"/>
          <w:szCs w:val="24"/>
        </w:rPr>
        <w:t xml:space="preserve"> to test the hypotheses at 0.05 level of significance. </w:t>
      </w:r>
    </w:p>
    <w:p w14:paraId="60AB323A" w14:textId="77777777" w:rsidR="00D31B86" w:rsidRDefault="00D31B86" w:rsidP="00D31B86">
      <w:pPr>
        <w:spacing w:line="480" w:lineRule="auto"/>
        <w:jc w:val="both"/>
        <w:rPr>
          <w:rFonts w:ascii="Times New Roman" w:hAnsi="Times New Roman"/>
          <w:b/>
          <w:sz w:val="24"/>
          <w:szCs w:val="24"/>
        </w:rPr>
      </w:pPr>
      <w:r>
        <w:rPr>
          <w:rFonts w:ascii="Times New Roman" w:hAnsi="Times New Roman"/>
          <w:b/>
          <w:sz w:val="24"/>
          <w:szCs w:val="24"/>
        </w:rPr>
        <w:t>Results</w:t>
      </w:r>
    </w:p>
    <w:p w14:paraId="22B2B343" w14:textId="77777777" w:rsidR="00D31B86" w:rsidRDefault="00D31B86" w:rsidP="00D31B86">
      <w:pPr>
        <w:spacing w:line="480" w:lineRule="auto"/>
        <w:jc w:val="both"/>
        <w:rPr>
          <w:rFonts w:ascii="Times New Roman" w:hAnsi="Times New Roman"/>
          <w:sz w:val="24"/>
          <w:szCs w:val="24"/>
        </w:rPr>
      </w:pPr>
      <w:r>
        <w:rPr>
          <w:rFonts w:ascii="Times New Roman" w:hAnsi="Times New Roman"/>
          <w:sz w:val="24"/>
          <w:szCs w:val="24"/>
        </w:rPr>
        <w:t xml:space="preserve">The result of the study is shown below: </w:t>
      </w:r>
    </w:p>
    <w:p w14:paraId="3C93E329" w14:textId="6A08FC7D" w:rsidR="00404AD2" w:rsidRPr="006D050E" w:rsidRDefault="00404AD2" w:rsidP="00404AD2">
      <w:pPr>
        <w:spacing w:after="0" w:line="240" w:lineRule="auto"/>
        <w:jc w:val="both"/>
        <w:rPr>
          <w:rFonts w:ascii="Times New Roman" w:hAnsi="Times New Roman"/>
          <w:b/>
          <w:sz w:val="24"/>
          <w:szCs w:val="24"/>
        </w:rPr>
      </w:pPr>
      <w:r>
        <w:rPr>
          <w:rFonts w:ascii="Times New Roman" w:hAnsi="Times New Roman"/>
          <w:b/>
          <w:sz w:val="24"/>
          <w:szCs w:val="24"/>
        </w:rPr>
        <w:t>Table 1</w:t>
      </w:r>
      <w:r w:rsidRPr="006D050E">
        <w:rPr>
          <w:rFonts w:ascii="Times New Roman" w:hAnsi="Times New Roman"/>
          <w:b/>
          <w:sz w:val="24"/>
          <w:szCs w:val="24"/>
        </w:rPr>
        <w:t>: Case acuity</w:t>
      </w:r>
      <w:r>
        <w:rPr>
          <w:rFonts w:ascii="Times New Roman" w:hAnsi="Times New Roman"/>
          <w:b/>
          <w:sz w:val="24"/>
          <w:szCs w:val="24"/>
        </w:rPr>
        <w:t xml:space="preserve"> </w:t>
      </w:r>
      <w:r w:rsidRPr="006D050E">
        <w:rPr>
          <w:rFonts w:ascii="Times New Roman" w:hAnsi="Times New Roman"/>
          <w:b/>
          <w:sz w:val="24"/>
          <w:szCs w:val="24"/>
        </w:rPr>
        <w:t>constituted a determinant to needle</w:t>
      </w:r>
      <w:r w:rsidR="00FD5893">
        <w:rPr>
          <w:rFonts w:ascii="Times New Roman" w:hAnsi="Times New Roman"/>
          <w:b/>
          <w:sz w:val="24"/>
          <w:szCs w:val="24"/>
        </w:rPr>
        <w:t>-</w:t>
      </w:r>
      <w:r w:rsidRPr="006D050E">
        <w:rPr>
          <w:rFonts w:ascii="Times New Roman" w:hAnsi="Times New Roman"/>
          <w:b/>
          <w:sz w:val="24"/>
          <w:szCs w:val="24"/>
        </w:rPr>
        <w:t>stick injuries</w:t>
      </w:r>
    </w:p>
    <w:tbl>
      <w:tblPr>
        <w:tblW w:w="9918" w:type="dxa"/>
        <w:tblBorders>
          <w:top w:val="single" w:sz="4" w:space="0" w:color="auto"/>
          <w:bottom w:val="single" w:sz="4" w:space="0" w:color="auto"/>
        </w:tblBorders>
        <w:tblLook w:val="04A0" w:firstRow="1" w:lastRow="0" w:firstColumn="1" w:lastColumn="0" w:noHBand="0" w:noVBand="1"/>
      </w:tblPr>
      <w:tblGrid>
        <w:gridCol w:w="284"/>
        <w:gridCol w:w="6574"/>
        <w:gridCol w:w="810"/>
        <w:gridCol w:w="1080"/>
        <w:gridCol w:w="1170"/>
      </w:tblGrid>
      <w:tr w:rsidR="00404AD2" w:rsidRPr="00092598" w14:paraId="2A940F36" w14:textId="77777777" w:rsidTr="00404AD2">
        <w:tc>
          <w:tcPr>
            <w:tcW w:w="284" w:type="dxa"/>
            <w:shd w:val="clear" w:color="auto" w:fill="auto"/>
          </w:tcPr>
          <w:p w14:paraId="107E8339"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tcBorders>
              <w:top w:val="single" w:sz="4" w:space="0" w:color="auto"/>
              <w:bottom w:val="single" w:sz="4" w:space="0" w:color="auto"/>
            </w:tcBorders>
            <w:shd w:val="clear" w:color="auto" w:fill="auto"/>
          </w:tcPr>
          <w:p w14:paraId="607CE7B0"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Case Acuity</w:t>
            </w:r>
          </w:p>
        </w:tc>
        <w:tc>
          <w:tcPr>
            <w:tcW w:w="810" w:type="dxa"/>
            <w:tcBorders>
              <w:top w:val="single" w:sz="4" w:space="0" w:color="auto"/>
              <w:bottom w:val="single" w:sz="4" w:space="0" w:color="auto"/>
            </w:tcBorders>
            <w:shd w:val="clear" w:color="auto" w:fill="auto"/>
          </w:tcPr>
          <w:p w14:paraId="32D13DCE"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M</w:t>
            </w:r>
          </w:p>
        </w:tc>
        <w:tc>
          <w:tcPr>
            <w:tcW w:w="1080" w:type="dxa"/>
            <w:tcBorders>
              <w:top w:val="single" w:sz="4" w:space="0" w:color="auto"/>
              <w:bottom w:val="single" w:sz="4" w:space="0" w:color="auto"/>
            </w:tcBorders>
            <w:shd w:val="clear" w:color="auto" w:fill="auto"/>
          </w:tcPr>
          <w:p w14:paraId="203CCCC6"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 xml:space="preserve"> Std. Dev.</w:t>
            </w:r>
          </w:p>
        </w:tc>
        <w:tc>
          <w:tcPr>
            <w:tcW w:w="1170" w:type="dxa"/>
            <w:tcBorders>
              <w:top w:val="single" w:sz="4" w:space="0" w:color="auto"/>
              <w:bottom w:val="single" w:sz="4" w:space="0" w:color="auto"/>
            </w:tcBorders>
            <w:shd w:val="clear" w:color="auto" w:fill="auto"/>
          </w:tcPr>
          <w:p w14:paraId="57887F9A"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Remark</w:t>
            </w:r>
          </w:p>
        </w:tc>
      </w:tr>
      <w:tr w:rsidR="00404AD2" w:rsidRPr="00092598" w14:paraId="5BEBA285" w14:textId="77777777" w:rsidTr="00404AD2">
        <w:trPr>
          <w:trHeight w:val="449"/>
        </w:trPr>
        <w:tc>
          <w:tcPr>
            <w:tcW w:w="284" w:type="dxa"/>
            <w:shd w:val="clear" w:color="auto" w:fill="auto"/>
          </w:tcPr>
          <w:p w14:paraId="0D186369"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tcBorders>
              <w:top w:val="single" w:sz="4" w:space="0" w:color="auto"/>
            </w:tcBorders>
            <w:shd w:val="clear" w:color="auto" w:fill="auto"/>
          </w:tcPr>
          <w:p w14:paraId="7BAA6FFC"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Health personnel are likely to suffer for injury if he/she handles emergency condition.</w:t>
            </w:r>
          </w:p>
        </w:tc>
        <w:tc>
          <w:tcPr>
            <w:tcW w:w="810" w:type="dxa"/>
            <w:tcBorders>
              <w:top w:val="single" w:sz="4" w:space="0" w:color="auto"/>
            </w:tcBorders>
            <w:shd w:val="clear" w:color="auto" w:fill="auto"/>
          </w:tcPr>
          <w:p w14:paraId="54970344"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2.81</w:t>
            </w:r>
          </w:p>
        </w:tc>
        <w:tc>
          <w:tcPr>
            <w:tcW w:w="1080" w:type="dxa"/>
            <w:tcBorders>
              <w:top w:val="single" w:sz="4" w:space="0" w:color="auto"/>
            </w:tcBorders>
            <w:shd w:val="clear" w:color="auto" w:fill="auto"/>
          </w:tcPr>
          <w:p w14:paraId="4065371F"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0.93</w:t>
            </w:r>
          </w:p>
        </w:tc>
        <w:tc>
          <w:tcPr>
            <w:tcW w:w="1170" w:type="dxa"/>
            <w:tcBorders>
              <w:top w:val="single" w:sz="4" w:space="0" w:color="auto"/>
            </w:tcBorders>
            <w:shd w:val="clear" w:color="auto" w:fill="auto"/>
          </w:tcPr>
          <w:p w14:paraId="06007DED" w14:textId="77777777" w:rsidR="00404AD2" w:rsidRPr="00092598" w:rsidRDefault="00404AD2" w:rsidP="002B504E">
            <w:pPr>
              <w:spacing w:after="0" w:line="276" w:lineRule="auto"/>
            </w:pPr>
            <w:r w:rsidRPr="00092598">
              <w:rPr>
                <w:rFonts w:ascii="Times New Roman" w:hAnsi="Times New Roman" w:cs="Times New Roman"/>
                <w:sz w:val="24"/>
                <w:szCs w:val="24"/>
              </w:rPr>
              <w:t>HE</w:t>
            </w:r>
          </w:p>
        </w:tc>
      </w:tr>
      <w:tr w:rsidR="00404AD2" w:rsidRPr="00092598" w14:paraId="2C13FAD2" w14:textId="77777777" w:rsidTr="00404AD2">
        <w:tc>
          <w:tcPr>
            <w:tcW w:w="284" w:type="dxa"/>
            <w:shd w:val="clear" w:color="auto" w:fill="auto"/>
          </w:tcPr>
          <w:p w14:paraId="79C6B5B5"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shd w:val="clear" w:color="auto" w:fill="auto"/>
          </w:tcPr>
          <w:p w14:paraId="5735E873"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Health personnel could be injured based on the urgency of the condition he is attending to.</w:t>
            </w:r>
          </w:p>
        </w:tc>
        <w:tc>
          <w:tcPr>
            <w:tcW w:w="810" w:type="dxa"/>
            <w:shd w:val="clear" w:color="auto" w:fill="auto"/>
          </w:tcPr>
          <w:p w14:paraId="4A235BD1"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2.65</w:t>
            </w:r>
          </w:p>
        </w:tc>
        <w:tc>
          <w:tcPr>
            <w:tcW w:w="1080" w:type="dxa"/>
            <w:shd w:val="clear" w:color="auto" w:fill="auto"/>
          </w:tcPr>
          <w:p w14:paraId="49864B2D"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0.75</w:t>
            </w:r>
          </w:p>
        </w:tc>
        <w:tc>
          <w:tcPr>
            <w:tcW w:w="1170" w:type="dxa"/>
            <w:shd w:val="clear" w:color="auto" w:fill="auto"/>
          </w:tcPr>
          <w:p w14:paraId="3FFEC68E" w14:textId="77777777" w:rsidR="00404AD2" w:rsidRPr="00092598" w:rsidRDefault="00404AD2" w:rsidP="002B504E">
            <w:pPr>
              <w:spacing w:after="0" w:line="276" w:lineRule="auto"/>
            </w:pPr>
            <w:r w:rsidRPr="00092598">
              <w:rPr>
                <w:rFonts w:ascii="Times New Roman" w:hAnsi="Times New Roman" w:cs="Times New Roman"/>
                <w:sz w:val="24"/>
                <w:szCs w:val="24"/>
              </w:rPr>
              <w:t>HE</w:t>
            </w:r>
          </w:p>
        </w:tc>
      </w:tr>
      <w:tr w:rsidR="00404AD2" w:rsidRPr="00092598" w14:paraId="5CEE194E" w14:textId="77777777" w:rsidTr="00404AD2">
        <w:tc>
          <w:tcPr>
            <w:tcW w:w="284" w:type="dxa"/>
            <w:shd w:val="clear" w:color="auto" w:fill="auto"/>
          </w:tcPr>
          <w:p w14:paraId="158A1DD6"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shd w:val="clear" w:color="auto" w:fill="auto"/>
          </w:tcPr>
          <w:p w14:paraId="6EA76285"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Severity of the health conditions is likely to expose personnel to injury during medical proceedings.</w:t>
            </w:r>
          </w:p>
        </w:tc>
        <w:tc>
          <w:tcPr>
            <w:tcW w:w="810" w:type="dxa"/>
            <w:shd w:val="clear" w:color="auto" w:fill="auto"/>
          </w:tcPr>
          <w:p w14:paraId="267B88F8"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2.73</w:t>
            </w:r>
          </w:p>
        </w:tc>
        <w:tc>
          <w:tcPr>
            <w:tcW w:w="1080" w:type="dxa"/>
            <w:shd w:val="clear" w:color="auto" w:fill="auto"/>
          </w:tcPr>
          <w:p w14:paraId="6C426749"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0.82</w:t>
            </w:r>
          </w:p>
        </w:tc>
        <w:tc>
          <w:tcPr>
            <w:tcW w:w="1170" w:type="dxa"/>
            <w:shd w:val="clear" w:color="auto" w:fill="auto"/>
          </w:tcPr>
          <w:p w14:paraId="4A814984" w14:textId="77777777" w:rsidR="00404AD2" w:rsidRPr="00092598" w:rsidRDefault="00404AD2" w:rsidP="002B504E">
            <w:pPr>
              <w:spacing w:after="0" w:line="276" w:lineRule="auto"/>
            </w:pPr>
            <w:r w:rsidRPr="00092598">
              <w:rPr>
                <w:rFonts w:ascii="Times New Roman" w:hAnsi="Times New Roman" w:cs="Times New Roman"/>
                <w:sz w:val="24"/>
                <w:szCs w:val="24"/>
              </w:rPr>
              <w:t>HE</w:t>
            </w:r>
          </w:p>
        </w:tc>
      </w:tr>
      <w:tr w:rsidR="00404AD2" w:rsidRPr="00092598" w14:paraId="1F79A645" w14:textId="77777777" w:rsidTr="00404AD2">
        <w:tc>
          <w:tcPr>
            <w:tcW w:w="284" w:type="dxa"/>
            <w:shd w:val="clear" w:color="auto" w:fill="auto"/>
          </w:tcPr>
          <w:p w14:paraId="354DA2B3"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shd w:val="clear" w:color="auto" w:fill="auto"/>
          </w:tcPr>
          <w:p w14:paraId="7E676CF0"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Cases that require incision and use of syringes are risky to health personnel.</w:t>
            </w:r>
          </w:p>
        </w:tc>
        <w:tc>
          <w:tcPr>
            <w:tcW w:w="810" w:type="dxa"/>
            <w:shd w:val="clear" w:color="auto" w:fill="auto"/>
          </w:tcPr>
          <w:p w14:paraId="60CB3111"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2.71</w:t>
            </w:r>
          </w:p>
        </w:tc>
        <w:tc>
          <w:tcPr>
            <w:tcW w:w="1080" w:type="dxa"/>
            <w:shd w:val="clear" w:color="auto" w:fill="auto"/>
          </w:tcPr>
          <w:p w14:paraId="6E263902"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0.80</w:t>
            </w:r>
          </w:p>
        </w:tc>
        <w:tc>
          <w:tcPr>
            <w:tcW w:w="1170" w:type="dxa"/>
            <w:shd w:val="clear" w:color="auto" w:fill="auto"/>
          </w:tcPr>
          <w:p w14:paraId="4B65E7C7" w14:textId="77777777" w:rsidR="00404AD2" w:rsidRPr="00092598" w:rsidRDefault="00404AD2" w:rsidP="002B504E">
            <w:pPr>
              <w:spacing w:after="0" w:line="276" w:lineRule="auto"/>
            </w:pPr>
            <w:r w:rsidRPr="00092598">
              <w:rPr>
                <w:rFonts w:ascii="Times New Roman" w:hAnsi="Times New Roman" w:cs="Times New Roman"/>
                <w:sz w:val="24"/>
                <w:szCs w:val="24"/>
              </w:rPr>
              <w:t>HE</w:t>
            </w:r>
          </w:p>
        </w:tc>
      </w:tr>
      <w:tr w:rsidR="00404AD2" w:rsidRPr="00092598" w14:paraId="448809C4" w14:textId="77777777" w:rsidTr="00404AD2">
        <w:trPr>
          <w:trHeight w:val="278"/>
        </w:trPr>
        <w:tc>
          <w:tcPr>
            <w:tcW w:w="284" w:type="dxa"/>
            <w:shd w:val="clear" w:color="auto" w:fill="auto"/>
          </w:tcPr>
          <w:p w14:paraId="18EC6AE7"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shd w:val="clear" w:color="auto" w:fill="auto"/>
          </w:tcPr>
          <w:p w14:paraId="40CDDE7C"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 xml:space="preserve">Prolong surgical operations and other medical proceedings exposes workers to opportunistic injury. </w:t>
            </w:r>
          </w:p>
        </w:tc>
        <w:tc>
          <w:tcPr>
            <w:tcW w:w="810" w:type="dxa"/>
            <w:shd w:val="clear" w:color="auto" w:fill="auto"/>
          </w:tcPr>
          <w:p w14:paraId="34DD0839"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2.60</w:t>
            </w:r>
          </w:p>
        </w:tc>
        <w:tc>
          <w:tcPr>
            <w:tcW w:w="1080" w:type="dxa"/>
            <w:shd w:val="clear" w:color="auto" w:fill="auto"/>
          </w:tcPr>
          <w:p w14:paraId="1E914FFF"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0.73</w:t>
            </w:r>
          </w:p>
        </w:tc>
        <w:tc>
          <w:tcPr>
            <w:tcW w:w="1170" w:type="dxa"/>
            <w:shd w:val="clear" w:color="auto" w:fill="auto"/>
          </w:tcPr>
          <w:p w14:paraId="47B6A295" w14:textId="77777777" w:rsidR="00404AD2" w:rsidRPr="00092598" w:rsidRDefault="00404AD2" w:rsidP="002B504E">
            <w:pPr>
              <w:spacing w:after="0" w:line="276" w:lineRule="auto"/>
            </w:pPr>
            <w:r w:rsidRPr="00092598">
              <w:rPr>
                <w:rFonts w:ascii="Times New Roman" w:hAnsi="Times New Roman" w:cs="Times New Roman"/>
                <w:sz w:val="24"/>
                <w:szCs w:val="24"/>
              </w:rPr>
              <w:t>HE</w:t>
            </w:r>
          </w:p>
        </w:tc>
      </w:tr>
      <w:tr w:rsidR="00404AD2" w:rsidRPr="00092598" w14:paraId="3162330B" w14:textId="77777777" w:rsidTr="00404AD2">
        <w:trPr>
          <w:trHeight w:val="278"/>
        </w:trPr>
        <w:tc>
          <w:tcPr>
            <w:tcW w:w="284" w:type="dxa"/>
            <w:shd w:val="clear" w:color="auto" w:fill="auto"/>
          </w:tcPr>
          <w:p w14:paraId="31EB83AA"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shd w:val="clear" w:color="auto" w:fill="auto"/>
          </w:tcPr>
          <w:p w14:paraId="3326D3F8"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b/>
                <w:sz w:val="24"/>
                <w:szCs w:val="24"/>
              </w:rPr>
              <w:t>Grand Mean</w:t>
            </w:r>
          </w:p>
        </w:tc>
        <w:tc>
          <w:tcPr>
            <w:tcW w:w="810" w:type="dxa"/>
            <w:shd w:val="clear" w:color="auto" w:fill="auto"/>
            <w:vAlign w:val="bottom"/>
          </w:tcPr>
          <w:p w14:paraId="739EA84F"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2.70</w:t>
            </w:r>
          </w:p>
        </w:tc>
        <w:tc>
          <w:tcPr>
            <w:tcW w:w="1080" w:type="dxa"/>
            <w:shd w:val="clear" w:color="auto" w:fill="auto"/>
            <w:vAlign w:val="bottom"/>
          </w:tcPr>
          <w:p w14:paraId="28ABC906"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0.806</w:t>
            </w:r>
          </w:p>
        </w:tc>
        <w:tc>
          <w:tcPr>
            <w:tcW w:w="1170" w:type="dxa"/>
            <w:shd w:val="clear" w:color="auto" w:fill="auto"/>
          </w:tcPr>
          <w:p w14:paraId="614BBB6D"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HE</w:t>
            </w:r>
          </w:p>
        </w:tc>
      </w:tr>
    </w:tbl>
    <w:p w14:paraId="1F4CFCCC" w14:textId="77777777" w:rsidR="002B504E" w:rsidRDefault="002B504E" w:rsidP="002B504E">
      <w:pPr>
        <w:spacing w:after="0" w:line="240" w:lineRule="auto"/>
        <w:jc w:val="both"/>
        <w:rPr>
          <w:rFonts w:ascii="Times New Roman" w:hAnsi="Times New Roman"/>
          <w:sz w:val="24"/>
          <w:szCs w:val="24"/>
        </w:rPr>
      </w:pPr>
    </w:p>
    <w:p w14:paraId="678AE2BE" w14:textId="73D6AC50" w:rsidR="00404AD2" w:rsidRPr="006D050E" w:rsidRDefault="00404AD2" w:rsidP="00404AD2">
      <w:pPr>
        <w:spacing w:after="0" w:line="480" w:lineRule="auto"/>
        <w:jc w:val="both"/>
        <w:rPr>
          <w:rFonts w:ascii="Times New Roman" w:hAnsi="Times New Roman"/>
          <w:sz w:val="24"/>
          <w:szCs w:val="24"/>
        </w:rPr>
      </w:pPr>
      <w:r w:rsidRPr="006D050E">
        <w:rPr>
          <w:rFonts w:ascii="Times New Roman" w:hAnsi="Times New Roman"/>
          <w:sz w:val="24"/>
          <w:szCs w:val="24"/>
        </w:rPr>
        <w:t>The above table reveals a grand mean and standard deviation of 2.70 and 0.806. Since the g</w:t>
      </w:r>
      <w:r>
        <w:rPr>
          <w:rFonts w:ascii="Times New Roman" w:hAnsi="Times New Roman"/>
          <w:sz w:val="24"/>
          <w:szCs w:val="24"/>
        </w:rPr>
        <w:t>rand mean is greater than 2.5, t</w:t>
      </w:r>
      <w:r w:rsidRPr="006D050E">
        <w:rPr>
          <w:rFonts w:ascii="Times New Roman" w:hAnsi="Times New Roman"/>
          <w:sz w:val="24"/>
          <w:szCs w:val="24"/>
        </w:rPr>
        <w:t>he extent to which case acuity constituted a determinant to needle</w:t>
      </w:r>
      <w:r w:rsidR="00FD5893">
        <w:rPr>
          <w:rFonts w:ascii="Times New Roman" w:hAnsi="Times New Roman"/>
          <w:sz w:val="24"/>
          <w:szCs w:val="24"/>
        </w:rPr>
        <w:t>-</w:t>
      </w:r>
      <w:r w:rsidRPr="006D050E">
        <w:rPr>
          <w:rFonts w:ascii="Times New Roman" w:hAnsi="Times New Roman"/>
          <w:sz w:val="24"/>
          <w:szCs w:val="24"/>
        </w:rPr>
        <w:t xml:space="preserve">stick injuries among healthcare workers in tertiary health institutions, Rivers State </w:t>
      </w:r>
      <w:r w:rsidR="0025317E">
        <w:rPr>
          <w:rFonts w:ascii="Times New Roman" w:hAnsi="Times New Roman"/>
          <w:sz w:val="24"/>
          <w:szCs w:val="24"/>
        </w:rPr>
        <w:t>was</w:t>
      </w:r>
      <w:r w:rsidRPr="006D050E">
        <w:rPr>
          <w:rFonts w:ascii="Times New Roman" w:hAnsi="Times New Roman"/>
          <w:sz w:val="24"/>
          <w:szCs w:val="24"/>
        </w:rPr>
        <w:t xml:space="preserve"> high.</w:t>
      </w:r>
    </w:p>
    <w:p w14:paraId="56297B8C" w14:textId="77777777" w:rsidR="00404AD2" w:rsidRPr="006D050E" w:rsidRDefault="00404AD2" w:rsidP="00404AD2">
      <w:pPr>
        <w:spacing w:line="480" w:lineRule="auto"/>
        <w:jc w:val="both"/>
        <w:rPr>
          <w:rFonts w:ascii="Times New Roman" w:hAnsi="Times New Roman"/>
          <w:sz w:val="24"/>
          <w:szCs w:val="24"/>
        </w:rPr>
      </w:pPr>
    </w:p>
    <w:p w14:paraId="1075929D" w14:textId="77777777" w:rsidR="00404AD2" w:rsidRPr="006D050E" w:rsidRDefault="00404AD2" w:rsidP="00404AD2">
      <w:pPr>
        <w:spacing w:line="480" w:lineRule="auto"/>
        <w:jc w:val="both"/>
        <w:rPr>
          <w:rFonts w:ascii="Times New Roman" w:hAnsi="Times New Roman"/>
          <w:b/>
          <w:sz w:val="24"/>
          <w:szCs w:val="24"/>
        </w:rPr>
      </w:pPr>
    </w:p>
    <w:p w14:paraId="098641F8" w14:textId="77777777" w:rsidR="00404AD2" w:rsidRPr="006D050E" w:rsidRDefault="00404AD2" w:rsidP="00404AD2">
      <w:pPr>
        <w:spacing w:line="480" w:lineRule="auto"/>
        <w:jc w:val="both"/>
        <w:rPr>
          <w:rFonts w:ascii="Times New Roman" w:hAnsi="Times New Roman"/>
          <w:b/>
          <w:sz w:val="24"/>
          <w:szCs w:val="24"/>
        </w:rPr>
      </w:pPr>
    </w:p>
    <w:p w14:paraId="7E9D6BA8" w14:textId="77777777" w:rsidR="00404AD2" w:rsidRPr="006D050E" w:rsidRDefault="00404AD2" w:rsidP="00404AD2">
      <w:pPr>
        <w:spacing w:line="480" w:lineRule="auto"/>
        <w:jc w:val="both"/>
        <w:rPr>
          <w:rFonts w:ascii="Times New Roman" w:hAnsi="Times New Roman"/>
          <w:b/>
          <w:sz w:val="24"/>
          <w:szCs w:val="24"/>
        </w:rPr>
      </w:pPr>
    </w:p>
    <w:p w14:paraId="7837FE72" w14:textId="77777777" w:rsidR="00404AD2" w:rsidRPr="006D050E" w:rsidRDefault="00404AD2" w:rsidP="00404AD2">
      <w:pPr>
        <w:spacing w:line="480" w:lineRule="auto"/>
        <w:jc w:val="both"/>
        <w:rPr>
          <w:rFonts w:ascii="Times New Roman" w:hAnsi="Times New Roman"/>
          <w:b/>
          <w:sz w:val="24"/>
          <w:szCs w:val="24"/>
        </w:rPr>
      </w:pPr>
    </w:p>
    <w:p w14:paraId="17294358" w14:textId="77777777" w:rsidR="00404AD2" w:rsidRPr="006D050E" w:rsidRDefault="00404AD2" w:rsidP="00404AD2">
      <w:pPr>
        <w:spacing w:line="480" w:lineRule="auto"/>
        <w:jc w:val="both"/>
        <w:rPr>
          <w:rFonts w:ascii="Times New Roman" w:hAnsi="Times New Roman"/>
          <w:b/>
          <w:sz w:val="24"/>
          <w:szCs w:val="24"/>
        </w:rPr>
      </w:pPr>
    </w:p>
    <w:p w14:paraId="2509380C" w14:textId="19221772" w:rsidR="00404AD2" w:rsidRPr="006D050E" w:rsidRDefault="002B504E" w:rsidP="00404AD2">
      <w:pPr>
        <w:spacing w:after="0" w:line="240" w:lineRule="auto"/>
        <w:jc w:val="both"/>
        <w:rPr>
          <w:rFonts w:ascii="Times New Roman" w:hAnsi="Times New Roman"/>
          <w:b/>
          <w:sz w:val="24"/>
          <w:szCs w:val="24"/>
        </w:rPr>
      </w:pPr>
      <w:r>
        <w:rPr>
          <w:rFonts w:ascii="Times New Roman" w:hAnsi="Times New Roman"/>
          <w:b/>
          <w:sz w:val="24"/>
          <w:szCs w:val="24"/>
        </w:rPr>
        <w:lastRenderedPageBreak/>
        <w:t>Table 2</w:t>
      </w:r>
      <w:r w:rsidR="00404AD2" w:rsidRPr="006D050E">
        <w:rPr>
          <w:rFonts w:ascii="Times New Roman" w:hAnsi="Times New Roman"/>
          <w:b/>
          <w:sz w:val="24"/>
          <w:szCs w:val="24"/>
        </w:rPr>
        <w:t>: Availability of safety devices</w:t>
      </w:r>
      <w:r w:rsidR="00404AD2">
        <w:rPr>
          <w:rFonts w:ascii="Times New Roman" w:hAnsi="Times New Roman"/>
          <w:b/>
          <w:sz w:val="24"/>
          <w:szCs w:val="24"/>
        </w:rPr>
        <w:t xml:space="preserve"> </w:t>
      </w:r>
      <w:r w:rsidR="00404AD2" w:rsidRPr="006D050E">
        <w:rPr>
          <w:rFonts w:ascii="Times New Roman" w:hAnsi="Times New Roman"/>
          <w:b/>
          <w:sz w:val="24"/>
          <w:szCs w:val="24"/>
        </w:rPr>
        <w:t>constituted a determinant to needle</w:t>
      </w:r>
      <w:r w:rsidR="00FD5893">
        <w:rPr>
          <w:rFonts w:ascii="Times New Roman" w:hAnsi="Times New Roman"/>
          <w:b/>
          <w:sz w:val="24"/>
          <w:szCs w:val="24"/>
        </w:rPr>
        <w:t>-</w:t>
      </w:r>
      <w:r w:rsidR="00404AD2" w:rsidRPr="006D050E">
        <w:rPr>
          <w:rFonts w:ascii="Times New Roman" w:hAnsi="Times New Roman"/>
          <w:b/>
          <w:sz w:val="24"/>
          <w:szCs w:val="24"/>
        </w:rPr>
        <w:t>stick injuries</w:t>
      </w:r>
    </w:p>
    <w:tbl>
      <w:tblPr>
        <w:tblW w:w="0" w:type="auto"/>
        <w:tblBorders>
          <w:top w:val="single" w:sz="4" w:space="0" w:color="auto"/>
          <w:bottom w:val="single" w:sz="4" w:space="0" w:color="auto"/>
        </w:tblBorders>
        <w:tblLook w:val="04A0" w:firstRow="1" w:lastRow="0" w:firstColumn="1" w:lastColumn="0" w:noHBand="0" w:noVBand="1"/>
      </w:tblPr>
      <w:tblGrid>
        <w:gridCol w:w="284"/>
        <w:gridCol w:w="5041"/>
        <w:gridCol w:w="963"/>
        <w:gridCol w:w="1323"/>
        <w:gridCol w:w="1323"/>
      </w:tblGrid>
      <w:tr w:rsidR="00404AD2" w:rsidRPr="00092598" w14:paraId="1F24A8B7" w14:textId="77777777" w:rsidTr="002B504E">
        <w:tc>
          <w:tcPr>
            <w:tcW w:w="284" w:type="dxa"/>
            <w:shd w:val="clear" w:color="auto" w:fill="auto"/>
          </w:tcPr>
          <w:p w14:paraId="6DB7FD39"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tcBorders>
              <w:top w:val="single" w:sz="4" w:space="0" w:color="auto"/>
              <w:bottom w:val="single" w:sz="4" w:space="0" w:color="auto"/>
            </w:tcBorders>
            <w:shd w:val="clear" w:color="auto" w:fill="auto"/>
          </w:tcPr>
          <w:p w14:paraId="467A5DE1"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Items</w:t>
            </w:r>
          </w:p>
        </w:tc>
        <w:tc>
          <w:tcPr>
            <w:tcW w:w="963" w:type="dxa"/>
            <w:tcBorders>
              <w:top w:val="single" w:sz="4" w:space="0" w:color="auto"/>
              <w:bottom w:val="single" w:sz="4" w:space="0" w:color="auto"/>
            </w:tcBorders>
            <w:shd w:val="clear" w:color="auto" w:fill="auto"/>
          </w:tcPr>
          <w:p w14:paraId="5F706969"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M</w:t>
            </w:r>
          </w:p>
        </w:tc>
        <w:tc>
          <w:tcPr>
            <w:tcW w:w="1323" w:type="dxa"/>
            <w:tcBorders>
              <w:top w:val="single" w:sz="4" w:space="0" w:color="auto"/>
              <w:bottom w:val="single" w:sz="4" w:space="0" w:color="auto"/>
            </w:tcBorders>
            <w:shd w:val="clear" w:color="auto" w:fill="auto"/>
          </w:tcPr>
          <w:p w14:paraId="7688D7D4"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 xml:space="preserve"> Std. Dev.</w:t>
            </w:r>
          </w:p>
        </w:tc>
        <w:tc>
          <w:tcPr>
            <w:tcW w:w="1323" w:type="dxa"/>
            <w:tcBorders>
              <w:top w:val="single" w:sz="4" w:space="0" w:color="auto"/>
              <w:bottom w:val="single" w:sz="4" w:space="0" w:color="auto"/>
            </w:tcBorders>
            <w:shd w:val="clear" w:color="auto" w:fill="auto"/>
          </w:tcPr>
          <w:p w14:paraId="7ACCD56D"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Remark</w:t>
            </w:r>
          </w:p>
        </w:tc>
      </w:tr>
      <w:tr w:rsidR="00404AD2" w:rsidRPr="00092598" w14:paraId="44999835" w14:textId="77777777" w:rsidTr="002B504E">
        <w:tc>
          <w:tcPr>
            <w:tcW w:w="284" w:type="dxa"/>
            <w:shd w:val="clear" w:color="auto" w:fill="auto"/>
          </w:tcPr>
          <w:p w14:paraId="5C694088"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tcBorders>
              <w:top w:val="single" w:sz="4" w:space="0" w:color="auto"/>
            </w:tcBorders>
            <w:shd w:val="clear" w:color="auto" w:fill="auto"/>
          </w:tcPr>
          <w:p w14:paraId="4CDD8942"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Surgical/disposable hand gloves</w:t>
            </w:r>
          </w:p>
        </w:tc>
        <w:tc>
          <w:tcPr>
            <w:tcW w:w="963" w:type="dxa"/>
            <w:tcBorders>
              <w:top w:val="single" w:sz="4" w:space="0" w:color="auto"/>
            </w:tcBorders>
            <w:shd w:val="clear" w:color="auto" w:fill="auto"/>
          </w:tcPr>
          <w:p w14:paraId="69E7795F"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2.87</w:t>
            </w:r>
          </w:p>
        </w:tc>
        <w:tc>
          <w:tcPr>
            <w:tcW w:w="1323" w:type="dxa"/>
            <w:tcBorders>
              <w:top w:val="single" w:sz="4" w:space="0" w:color="auto"/>
            </w:tcBorders>
            <w:shd w:val="clear" w:color="auto" w:fill="auto"/>
          </w:tcPr>
          <w:p w14:paraId="70282DE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0.85</w:t>
            </w:r>
          </w:p>
        </w:tc>
        <w:tc>
          <w:tcPr>
            <w:tcW w:w="1323" w:type="dxa"/>
            <w:tcBorders>
              <w:top w:val="single" w:sz="4" w:space="0" w:color="auto"/>
            </w:tcBorders>
            <w:shd w:val="clear" w:color="auto" w:fill="auto"/>
          </w:tcPr>
          <w:p w14:paraId="507571BF"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737668FA" w14:textId="77777777" w:rsidTr="002B504E">
        <w:tc>
          <w:tcPr>
            <w:tcW w:w="284" w:type="dxa"/>
            <w:shd w:val="clear" w:color="auto" w:fill="auto"/>
          </w:tcPr>
          <w:p w14:paraId="537111B4"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33C1082C"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Face/nose mask</w:t>
            </w:r>
          </w:p>
        </w:tc>
        <w:tc>
          <w:tcPr>
            <w:tcW w:w="963" w:type="dxa"/>
            <w:shd w:val="clear" w:color="auto" w:fill="auto"/>
          </w:tcPr>
          <w:p w14:paraId="0F635B66"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2.83</w:t>
            </w:r>
          </w:p>
        </w:tc>
        <w:tc>
          <w:tcPr>
            <w:tcW w:w="1323" w:type="dxa"/>
            <w:shd w:val="clear" w:color="auto" w:fill="auto"/>
          </w:tcPr>
          <w:p w14:paraId="71B6229B"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0.81</w:t>
            </w:r>
          </w:p>
        </w:tc>
        <w:tc>
          <w:tcPr>
            <w:tcW w:w="1323" w:type="dxa"/>
            <w:shd w:val="clear" w:color="auto" w:fill="auto"/>
          </w:tcPr>
          <w:p w14:paraId="735A8A3E"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245658F7" w14:textId="77777777" w:rsidTr="002B504E">
        <w:tc>
          <w:tcPr>
            <w:tcW w:w="284" w:type="dxa"/>
            <w:shd w:val="clear" w:color="auto" w:fill="auto"/>
          </w:tcPr>
          <w:p w14:paraId="20A633C9"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231D6E5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Closed toe shoe</w:t>
            </w:r>
          </w:p>
        </w:tc>
        <w:tc>
          <w:tcPr>
            <w:tcW w:w="963" w:type="dxa"/>
            <w:shd w:val="clear" w:color="auto" w:fill="auto"/>
          </w:tcPr>
          <w:p w14:paraId="3B1E4ADB"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2.94</w:t>
            </w:r>
          </w:p>
        </w:tc>
        <w:tc>
          <w:tcPr>
            <w:tcW w:w="1323" w:type="dxa"/>
            <w:shd w:val="clear" w:color="auto" w:fill="auto"/>
          </w:tcPr>
          <w:p w14:paraId="142A9232"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0.92</w:t>
            </w:r>
          </w:p>
        </w:tc>
        <w:tc>
          <w:tcPr>
            <w:tcW w:w="1323" w:type="dxa"/>
            <w:shd w:val="clear" w:color="auto" w:fill="auto"/>
          </w:tcPr>
          <w:p w14:paraId="40374B73"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1DCB34A3" w14:textId="77777777" w:rsidTr="002B504E">
        <w:tc>
          <w:tcPr>
            <w:tcW w:w="284" w:type="dxa"/>
            <w:shd w:val="clear" w:color="auto" w:fill="auto"/>
          </w:tcPr>
          <w:p w14:paraId="1F9FBB92"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4DEBA096"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Instrument cabinet</w:t>
            </w:r>
          </w:p>
        </w:tc>
        <w:tc>
          <w:tcPr>
            <w:tcW w:w="963" w:type="dxa"/>
            <w:shd w:val="clear" w:color="auto" w:fill="auto"/>
          </w:tcPr>
          <w:p w14:paraId="637C7E72"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2.76</w:t>
            </w:r>
          </w:p>
        </w:tc>
        <w:tc>
          <w:tcPr>
            <w:tcW w:w="1323" w:type="dxa"/>
            <w:shd w:val="clear" w:color="auto" w:fill="auto"/>
          </w:tcPr>
          <w:p w14:paraId="3A0BC118"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0.83</w:t>
            </w:r>
          </w:p>
        </w:tc>
        <w:tc>
          <w:tcPr>
            <w:tcW w:w="1323" w:type="dxa"/>
            <w:shd w:val="clear" w:color="auto" w:fill="auto"/>
          </w:tcPr>
          <w:p w14:paraId="6FFB7BD9"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04ABB145" w14:textId="77777777" w:rsidTr="002B504E">
        <w:tc>
          <w:tcPr>
            <w:tcW w:w="284" w:type="dxa"/>
            <w:shd w:val="clear" w:color="auto" w:fill="auto"/>
          </w:tcPr>
          <w:p w14:paraId="17AF0DFC"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31B83BF0"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Trolley</w:t>
            </w:r>
          </w:p>
        </w:tc>
        <w:tc>
          <w:tcPr>
            <w:tcW w:w="963" w:type="dxa"/>
            <w:shd w:val="clear" w:color="auto" w:fill="auto"/>
          </w:tcPr>
          <w:p w14:paraId="03E0334B"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2.84</w:t>
            </w:r>
          </w:p>
        </w:tc>
        <w:tc>
          <w:tcPr>
            <w:tcW w:w="1323" w:type="dxa"/>
            <w:shd w:val="clear" w:color="auto" w:fill="auto"/>
          </w:tcPr>
          <w:p w14:paraId="4B1C7433"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0.87</w:t>
            </w:r>
          </w:p>
        </w:tc>
        <w:tc>
          <w:tcPr>
            <w:tcW w:w="1323" w:type="dxa"/>
            <w:shd w:val="clear" w:color="auto" w:fill="auto"/>
          </w:tcPr>
          <w:p w14:paraId="1DA2ABF6"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3D38F746" w14:textId="77777777" w:rsidTr="002B504E">
        <w:tc>
          <w:tcPr>
            <w:tcW w:w="284" w:type="dxa"/>
            <w:shd w:val="clear" w:color="auto" w:fill="auto"/>
          </w:tcPr>
          <w:p w14:paraId="49BC60AF"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5AD5F16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Apron</w:t>
            </w:r>
          </w:p>
        </w:tc>
        <w:tc>
          <w:tcPr>
            <w:tcW w:w="963" w:type="dxa"/>
            <w:shd w:val="clear" w:color="auto" w:fill="auto"/>
          </w:tcPr>
          <w:p w14:paraId="5C9A5EAC"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2.64</w:t>
            </w:r>
          </w:p>
        </w:tc>
        <w:tc>
          <w:tcPr>
            <w:tcW w:w="1323" w:type="dxa"/>
            <w:shd w:val="clear" w:color="auto" w:fill="auto"/>
          </w:tcPr>
          <w:p w14:paraId="292EC20E"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0.74</w:t>
            </w:r>
          </w:p>
        </w:tc>
        <w:tc>
          <w:tcPr>
            <w:tcW w:w="1323" w:type="dxa"/>
            <w:shd w:val="clear" w:color="auto" w:fill="auto"/>
          </w:tcPr>
          <w:p w14:paraId="01D75733"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51D9A26E" w14:textId="77777777" w:rsidTr="002B504E">
        <w:trPr>
          <w:trHeight w:val="323"/>
        </w:trPr>
        <w:tc>
          <w:tcPr>
            <w:tcW w:w="284" w:type="dxa"/>
            <w:shd w:val="clear" w:color="auto" w:fill="auto"/>
          </w:tcPr>
          <w:p w14:paraId="4D7317AA"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535FC06E"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Needle disposal can.</w:t>
            </w:r>
          </w:p>
        </w:tc>
        <w:tc>
          <w:tcPr>
            <w:tcW w:w="963" w:type="dxa"/>
            <w:shd w:val="clear" w:color="auto" w:fill="auto"/>
          </w:tcPr>
          <w:p w14:paraId="1B66167A"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2.89</w:t>
            </w:r>
          </w:p>
        </w:tc>
        <w:tc>
          <w:tcPr>
            <w:tcW w:w="1323" w:type="dxa"/>
            <w:shd w:val="clear" w:color="auto" w:fill="auto"/>
          </w:tcPr>
          <w:p w14:paraId="367909FB"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0.93</w:t>
            </w:r>
          </w:p>
        </w:tc>
        <w:tc>
          <w:tcPr>
            <w:tcW w:w="1323" w:type="dxa"/>
            <w:shd w:val="clear" w:color="auto" w:fill="auto"/>
          </w:tcPr>
          <w:p w14:paraId="5C80BCD8"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5D31E20D" w14:textId="77777777" w:rsidTr="002B504E">
        <w:trPr>
          <w:trHeight w:val="323"/>
        </w:trPr>
        <w:tc>
          <w:tcPr>
            <w:tcW w:w="284" w:type="dxa"/>
            <w:shd w:val="clear" w:color="auto" w:fill="auto"/>
          </w:tcPr>
          <w:p w14:paraId="25392862"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1CCF09F3"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b/>
                <w:sz w:val="24"/>
                <w:szCs w:val="24"/>
              </w:rPr>
              <w:t>Grand Mean</w:t>
            </w:r>
          </w:p>
        </w:tc>
        <w:tc>
          <w:tcPr>
            <w:tcW w:w="963" w:type="dxa"/>
            <w:shd w:val="clear" w:color="auto" w:fill="auto"/>
            <w:vAlign w:val="bottom"/>
          </w:tcPr>
          <w:p w14:paraId="4DBD7AA8" w14:textId="77777777" w:rsidR="00404AD2" w:rsidRPr="00092598" w:rsidRDefault="00404AD2" w:rsidP="00200FCB">
            <w:pPr>
              <w:spacing w:after="0" w:line="360" w:lineRule="auto"/>
              <w:jc w:val="right"/>
              <w:rPr>
                <w:rFonts w:cs="Calibri"/>
              </w:rPr>
            </w:pPr>
            <w:r w:rsidRPr="00092598">
              <w:rPr>
                <w:rFonts w:cs="Calibri"/>
              </w:rPr>
              <w:t>2.824</w:t>
            </w:r>
          </w:p>
        </w:tc>
        <w:tc>
          <w:tcPr>
            <w:tcW w:w="1323" w:type="dxa"/>
            <w:shd w:val="clear" w:color="auto" w:fill="auto"/>
            <w:vAlign w:val="bottom"/>
          </w:tcPr>
          <w:p w14:paraId="79174E87" w14:textId="77777777" w:rsidR="00404AD2" w:rsidRPr="00092598" w:rsidRDefault="00404AD2" w:rsidP="00200FCB">
            <w:pPr>
              <w:spacing w:after="0" w:line="360" w:lineRule="auto"/>
              <w:jc w:val="right"/>
              <w:rPr>
                <w:rFonts w:cs="Calibri"/>
              </w:rPr>
            </w:pPr>
            <w:r w:rsidRPr="00092598">
              <w:rPr>
                <w:rFonts w:cs="Calibri"/>
              </w:rPr>
              <w:t>0.85</w:t>
            </w:r>
          </w:p>
        </w:tc>
        <w:tc>
          <w:tcPr>
            <w:tcW w:w="1323" w:type="dxa"/>
            <w:shd w:val="clear" w:color="auto" w:fill="auto"/>
          </w:tcPr>
          <w:p w14:paraId="0E2C8689"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HE</w:t>
            </w:r>
          </w:p>
        </w:tc>
      </w:tr>
    </w:tbl>
    <w:p w14:paraId="5DB9F3F9" w14:textId="77777777" w:rsidR="002B504E" w:rsidRDefault="002B504E" w:rsidP="00404AD2">
      <w:pPr>
        <w:spacing w:after="0" w:line="480" w:lineRule="auto"/>
        <w:jc w:val="both"/>
        <w:rPr>
          <w:rFonts w:ascii="Times New Roman" w:hAnsi="Times New Roman"/>
          <w:sz w:val="24"/>
          <w:szCs w:val="24"/>
        </w:rPr>
      </w:pPr>
    </w:p>
    <w:p w14:paraId="41D17CD6" w14:textId="37394011" w:rsidR="00404AD2" w:rsidRPr="006D050E" w:rsidRDefault="00404AD2" w:rsidP="00404AD2">
      <w:pPr>
        <w:spacing w:after="0" w:line="480" w:lineRule="auto"/>
        <w:jc w:val="both"/>
        <w:rPr>
          <w:rFonts w:ascii="Times New Roman" w:hAnsi="Times New Roman"/>
          <w:sz w:val="24"/>
          <w:szCs w:val="24"/>
        </w:rPr>
      </w:pPr>
      <w:r w:rsidRPr="006D050E">
        <w:rPr>
          <w:rFonts w:ascii="Times New Roman" w:hAnsi="Times New Roman"/>
          <w:sz w:val="24"/>
          <w:szCs w:val="24"/>
        </w:rPr>
        <w:t>The above table revealed a grand mean and standard deviation of 2.824 and 0.85. Since the grand mean is greater than 2.5. The extent to which availability of safety devices constituted a determinant to needle</w:t>
      </w:r>
      <w:r w:rsidR="00FD5893">
        <w:rPr>
          <w:rFonts w:ascii="Times New Roman" w:hAnsi="Times New Roman"/>
          <w:sz w:val="24"/>
          <w:szCs w:val="24"/>
        </w:rPr>
        <w:t>-</w:t>
      </w:r>
      <w:r w:rsidRPr="006D050E">
        <w:rPr>
          <w:rFonts w:ascii="Times New Roman" w:hAnsi="Times New Roman"/>
          <w:sz w:val="24"/>
          <w:szCs w:val="24"/>
        </w:rPr>
        <w:t xml:space="preserve">stick injuries among healthcare workers in tertiary health institutions, Rivers State </w:t>
      </w:r>
      <w:r w:rsidR="0025317E">
        <w:rPr>
          <w:rFonts w:ascii="Times New Roman" w:hAnsi="Times New Roman"/>
          <w:sz w:val="24"/>
          <w:szCs w:val="24"/>
        </w:rPr>
        <w:t>was</w:t>
      </w:r>
      <w:r w:rsidRPr="006D050E">
        <w:rPr>
          <w:rFonts w:ascii="Times New Roman" w:hAnsi="Times New Roman"/>
          <w:sz w:val="24"/>
          <w:szCs w:val="24"/>
        </w:rPr>
        <w:t xml:space="preserve"> high.</w:t>
      </w:r>
    </w:p>
    <w:p w14:paraId="1CAEEE5E" w14:textId="77777777" w:rsidR="00404AD2" w:rsidRPr="006D050E" w:rsidRDefault="00404AD2" w:rsidP="00404AD2">
      <w:pPr>
        <w:spacing w:line="480" w:lineRule="auto"/>
        <w:jc w:val="both"/>
        <w:rPr>
          <w:rFonts w:ascii="Times New Roman" w:hAnsi="Times New Roman"/>
          <w:sz w:val="24"/>
          <w:szCs w:val="24"/>
        </w:rPr>
      </w:pPr>
    </w:p>
    <w:p w14:paraId="7DFB50B4" w14:textId="77777777" w:rsidR="00404AD2" w:rsidRPr="006D050E" w:rsidRDefault="00404AD2" w:rsidP="00404AD2">
      <w:pPr>
        <w:spacing w:line="480" w:lineRule="auto"/>
        <w:jc w:val="both"/>
        <w:rPr>
          <w:rFonts w:ascii="Times New Roman" w:hAnsi="Times New Roman"/>
          <w:sz w:val="24"/>
          <w:szCs w:val="24"/>
        </w:rPr>
      </w:pPr>
    </w:p>
    <w:p w14:paraId="2D541150" w14:textId="77777777" w:rsidR="00404AD2" w:rsidRPr="006D050E" w:rsidRDefault="00404AD2" w:rsidP="00404AD2">
      <w:pPr>
        <w:spacing w:line="480" w:lineRule="auto"/>
        <w:jc w:val="both"/>
        <w:rPr>
          <w:rFonts w:ascii="Times New Roman" w:hAnsi="Times New Roman"/>
          <w:sz w:val="24"/>
          <w:szCs w:val="24"/>
        </w:rPr>
      </w:pPr>
    </w:p>
    <w:p w14:paraId="0D28F093" w14:textId="77777777" w:rsidR="00404AD2" w:rsidRPr="006D050E" w:rsidRDefault="00404AD2" w:rsidP="00404AD2">
      <w:pPr>
        <w:spacing w:line="480" w:lineRule="auto"/>
        <w:jc w:val="both"/>
        <w:rPr>
          <w:rFonts w:ascii="Times New Roman" w:hAnsi="Times New Roman"/>
          <w:sz w:val="24"/>
          <w:szCs w:val="24"/>
        </w:rPr>
      </w:pPr>
    </w:p>
    <w:p w14:paraId="76A1E7F4" w14:textId="77777777" w:rsidR="00404AD2" w:rsidRPr="006D050E" w:rsidRDefault="00404AD2" w:rsidP="00404AD2">
      <w:pPr>
        <w:spacing w:line="480" w:lineRule="auto"/>
        <w:jc w:val="both"/>
        <w:rPr>
          <w:rFonts w:ascii="Times New Roman" w:hAnsi="Times New Roman"/>
          <w:sz w:val="24"/>
          <w:szCs w:val="24"/>
        </w:rPr>
      </w:pPr>
    </w:p>
    <w:p w14:paraId="3C4C7074" w14:textId="77777777" w:rsidR="00404AD2" w:rsidRPr="006D050E" w:rsidRDefault="00404AD2" w:rsidP="00404AD2">
      <w:pPr>
        <w:spacing w:line="480" w:lineRule="auto"/>
        <w:jc w:val="both"/>
        <w:rPr>
          <w:rFonts w:ascii="Times New Roman" w:hAnsi="Times New Roman"/>
          <w:sz w:val="24"/>
          <w:szCs w:val="24"/>
        </w:rPr>
      </w:pPr>
    </w:p>
    <w:p w14:paraId="5B82F2DF" w14:textId="77777777" w:rsidR="00404AD2" w:rsidRPr="006D050E" w:rsidRDefault="00404AD2" w:rsidP="00404AD2">
      <w:pPr>
        <w:spacing w:line="480" w:lineRule="auto"/>
        <w:jc w:val="both"/>
        <w:rPr>
          <w:rFonts w:ascii="Times New Roman" w:hAnsi="Times New Roman"/>
          <w:b/>
          <w:sz w:val="24"/>
          <w:szCs w:val="24"/>
        </w:rPr>
      </w:pPr>
    </w:p>
    <w:p w14:paraId="49AC41F5" w14:textId="77777777" w:rsidR="00404AD2" w:rsidRPr="006D050E" w:rsidRDefault="00404AD2" w:rsidP="00404AD2">
      <w:pPr>
        <w:spacing w:line="480" w:lineRule="auto"/>
        <w:jc w:val="both"/>
        <w:rPr>
          <w:rFonts w:ascii="Times New Roman" w:hAnsi="Times New Roman"/>
          <w:b/>
          <w:sz w:val="24"/>
          <w:szCs w:val="24"/>
        </w:rPr>
      </w:pPr>
    </w:p>
    <w:p w14:paraId="706B31E3" w14:textId="77777777" w:rsidR="00404AD2" w:rsidRPr="006D050E" w:rsidRDefault="00404AD2" w:rsidP="00404AD2">
      <w:pPr>
        <w:spacing w:line="480" w:lineRule="auto"/>
        <w:jc w:val="both"/>
        <w:rPr>
          <w:rFonts w:ascii="Times New Roman" w:hAnsi="Times New Roman"/>
          <w:sz w:val="24"/>
          <w:szCs w:val="24"/>
        </w:rPr>
      </w:pPr>
      <w:r>
        <w:rPr>
          <w:rFonts w:ascii="Times New Roman" w:hAnsi="Times New Roman"/>
          <w:b/>
          <w:sz w:val="24"/>
          <w:szCs w:val="24"/>
        </w:rPr>
        <w:br w:type="page"/>
      </w:r>
    </w:p>
    <w:p w14:paraId="5B65C228" w14:textId="2918B3C1" w:rsidR="00404AD2" w:rsidRPr="006D050E" w:rsidRDefault="009D17DD" w:rsidP="00404AD2">
      <w:pPr>
        <w:spacing w:after="0" w:line="240" w:lineRule="auto"/>
        <w:jc w:val="both"/>
        <w:rPr>
          <w:rFonts w:ascii="Times New Roman" w:hAnsi="Times New Roman"/>
          <w:b/>
          <w:sz w:val="24"/>
          <w:szCs w:val="24"/>
        </w:rPr>
      </w:pPr>
      <w:r>
        <w:rPr>
          <w:rFonts w:ascii="Times New Roman" w:hAnsi="Times New Roman"/>
          <w:b/>
          <w:sz w:val="24"/>
          <w:szCs w:val="24"/>
        </w:rPr>
        <w:lastRenderedPageBreak/>
        <w:t>Table 3</w:t>
      </w:r>
      <w:r w:rsidR="00404AD2" w:rsidRPr="006D050E">
        <w:rPr>
          <w:rFonts w:ascii="Times New Roman" w:hAnsi="Times New Roman"/>
          <w:b/>
          <w:sz w:val="24"/>
          <w:szCs w:val="24"/>
        </w:rPr>
        <w:t>: Safe Injection Practices</w:t>
      </w:r>
      <w:r w:rsidR="00404AD2">
        <w:rPr>
          <w:rFonts w:ascii="Times New Roman" w:hAnsi="Times New Roman"/>
          <w:b/>
          <w:sz w:val="24"/>
          <w:szCs w:val="24"/>
        </w:rPr>
        <w:t xml:space="preserve"> </w:t>
      </w:r>
      <w:r w:rsidR="00404AD2" w:rsidRPr="006D050E">
        <w:rPr>
          <w:rFonts w:ascii="Times New Roman" w:hAnsi="Times New Roman"/>
          <w:b/>
          <w:sz w:val="24"/>
          <w:szCs w:val="24"/>
        </w:rPr>
        <w:t>constituted a determinant to needle</w:t>
      </w:r>
      <w:r w:rsidR="00FD5893">
        <w:rPr>
          <w:rFonts w:ascii="Times New Roman" w:hAnsi="Times New Roman"/>
          <w:b/>
          <w:sz w:val="24"/>
          <w:szCs w:val="24"/>
        </w:rPr>
        <w:t>-</w:t>
      </w:r>
      <w:r w:rsidR="00404AD2" w:rsidRPr="006D050E">
        <w:rPr>
          <w:rFonts w:ascii="Times New Roman" w:hAnsi="Times New Roman"/>
          <w:b/>
          <w:sz w:val="24"/>
          <w:szCs w:val="24"/>
        </w:rPr>
        <w:t>stick injuries</w:t>
      </w:r>
    </w:p>
    <w:tbl>
      <w:tblPr>
        <w:tblW w:w="9468" w:type="dxa"/>
        <w:tblBorders>
          <w:top w:val="single" w:sz="4" w:space="0" w:color="auto"/>
          <w:bottom w:val="single" w:sz="4" w:space="0" w:color="auto"/>
        </w:tblBorders>
        <w:tblLook w:val="04A0" w:firstRow="1" w:lastRow="0" w:firstColumn="1" w:lastColumn="0" w:noHBand="0" w:noVBand="1"/>
      </w:tblPr>
      <w:tblGrid>
        <w:gridCol w:w="284"/>
        <w:gridCol w:w="5764"/>
        <w:gridCol w:w="756"/>
        <w:gridCol w:w="954"/>
        <w:gridCol w:w="1710"/>
      </w:tblGrid>
      <w:tr w:rsidR="00404AD2" w:rsidRPr="00092598" w14:paraId="7F2F120B" w14:textId="77777777" w:rsidTr="009D17DD">
        <w:tc>
          <w:tcPr>
            <w:tcW w:w="284" w:type="dxa"/>
            <w:tcBorders>
              <w:top w:val="single" w:sz="4" w:space="0" w:color="auto"/>
              <w:bottom w:val="single" w:sz="4" w:space="0" w:color="auto"/>
            </w:tcBorders>
            <w:shd w:val="clear" w:color="auto" w:fill="auto"/>
          </w:tcPr>
          <w:p w14:paraId="69D65990"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tcBorders>
              <w:top w:val="single" w:sz="4" w:space="0" w:color="auto"/>
              <w:bottom w:val="single" w:sz="4" w:space="0" w:color="auto"/>
            </w:tcBorders>
            <w:shd w:val="clear" w:color="auto" w:fill="auto"/>
          </w:tcPr>
          <w:p w14:paraId="5F36CBC4"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Injection Practice</w:t>
            </w:r>
          </w:p>
        </w:tc>
        <w:tc>
          <w:tcPr>
            <w:tcW w:w="756" w:type="dxa"/>
            <w:tcBorders>
              <w:top w:val="single" w:sz="4" w:space="0" w:color="auto"/>
              <w:bottom w:val="single" w:sz="4" w:space="0" w:color="auto"/>
            </w:tcBorders>
            <w:shd w:val="clear" w:color="auto" w:fill="auto"/>
          </w:tcPr>
          <w:p w14:paraId="543411F7"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M</w:t>
            </w:r>
          </w:p>
        </w:tc>
        <w:tc>
          <w:tcPr>
            <w:tcW w:w="954" w:type="dxa"/>
            <w:tcBorders>
              <w:top w:val="single" w:sz="4" w:space="0" w:color="auto"/>
              <w:bottom w:val="single" w:sz="4" w:space="0" w:color="auto"/>
            </w:tcBorders>
            <w:shd w:val="clear" w:color="auto" w:fill="auto"/>
          </w:tcPr>
          <w:p w14:paraId="6CA222EB"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 xml:space="preserve"> Std. Dev.</w:t>
            </w:r>
          </w:p>
        </w:tc>
        <w:tc>
          <w:tcPr>
            <w:tcW w:w="1710" w:type="dxa"/>
            <w:tcBorders>
              <w:top w:val="single" w:sz="4" w:space="0" w:color="auto"/>
              <w:bottom w:val="single" w:sz="4" w:space="0" w:color="auto"/>
            </w:tcBorders>
            <w:shd w:val="clear" w:color="auto" w:fill="auto"/>
          </w:tcPr>
          <w:p w14:paraId="23228AAF"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Remark</w:t>
            </w:r>
          </w:p>
        </w:tc>
      </w:tr>
      <w:tr w:rsidR="00404AD2" w:rsidRPr="00092598" w14:paraId="3CA516B2" w14:textId="77777777" w:rsidTr="009D17DD">
        <w:tc>
          <w:tcPr>
            <w:tcW w:w="284" w:type="dxa"/>
            <w:tcBorders>
              <w:top w:val="single" w:sz="4" w:space="0" w:color="auto"/>
            </w:tcBorders>
            <w:shd w:val="clear" w:color="auto" w:fill="auto"/>
          </w:tcPr>
          <w:p w14:paraId="4BD43239"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tcBorders>
              <w:top w:val="single" w:sz="4" w:space="0" w:color="auto"/>
            </w:tcBorders>
            <w:shd w:val="clear" w:color="auto" w:fill="auto"/>
          </w:tcPr>
          <w:p w14:paraId="269782B6"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Most healthcare workers had injury when inserting the needle</w:t>
            </w:r>
          </w:p>
        </w:tc>
        <w:tc>
          <w:tcPr>
            <w:tcW w:w="756" w:type="dxa"/>
            <w:tcBorders>
              <w:top w:val="single" w:sz="4" w:space="0" w:color="auto"/>
            </w:tcBorders>
            <w:shd w:val="clear" w:color="auto" w:fill="auto"/>
          </w:tcPr>
          <w:p w14:paraId="1D7E36F8"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2.65</w:t>
            </w:r>
          </w:p>
        </w:tc>
        <w:tc>
          <w:tcPr>
            <w:tcW w:w="954" w:type="dxa"/>
            <w:tcBorders>
              <w:top w:val="single" w:sz="4" w:space="0" w:color="auto"/>
            </w:tcBorders>
            <w:shd w:val="clear" w:color="auto" w:fill="auto"/>
          </w:tcPr>
          <w:p w14:paraId="0E0F7A13"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0.72</w:t>
            </w:r>
          </w:p>
        </w:tc>
        <w:tc>
          <w:tcPr>
            <w:tcW w:w="1710" w:type="dxa"/>
            <w:tcBorders>
              <w:top w:val="single" w:sz="4" w:space="0" w:color="auto"/>
            </w:tcBorders>
            <w:shd w:val="clear" w:color="auto" w:fill="auto"/>
          </w:tcPr>
          <w:p w14:paraId="02CAE44D"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056CFD93" w14:textId="77777777" w:rsidTr="009D17DD">
        <w:tc>
          <w:tcPr>
            <w:tcW w:w="284" w:type="dxa"/>
            <w:shd w:val="clear" w:color="auto" w:fill="auto"/>
          </w:tcPr>
          <w:p w14:paraId="24647167"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3C5F328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Most personnel in the facility had injury during needle withdrawal.</w:t>
            </w:r>
          </w:p>
        </w:tc>
        <w:tc>
          <w:tcPr>
            <w:tcW w:w="756" w:type="dxa"/>
            <w:shd w:val="clear" w:color="auto" w:fill="auto"/>
          </w:tcPr>
          <w:p w14:paraId="2B21D157"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2.74</w:t>
            </w:r>
          </w:p>
        </w:tc>
        <w:tc>
          <w:tcPr>
            <w:tcW w:w="954" w:type="dxa"/>
            <w:shd w:val="clear" w:color="auto" w:fill="auto"/>
          </w:tcPr>
          <w:p w14:paraId="4B68B2D9"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0.82</w:t>
            </w:r>
          </w:p>
        </w:tc>
        <w:tc>
          <w:tcPr>
            <w:tcW w:w="1710" w:type="dxa"/>
            <w:shd w:val="clear" w:color="auto" w:fill="auto"/>
          </w:tcPr>
          <w:p w14:paraId="0AA20A2C"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79217A0D" w14:textId="77777777" w:rsidTr="009D17DD">
        <w:tc>
          <w:tcPr>
            <w:tcW w:w="284" w:type="dxa"/>
            <w:shd w:val="clear" w:color="auto" w:fill="auto"/>
          </w:tcPr>
          <w:p w14:paraId="41489DBC"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19D80B0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 xml:space="preserve">Working over a prolong duration in the health facility exposes workers to injury. </w:t>
            </w:r>
          </w:p>
        </w:tc>
        <w:tc>
          <w:tcPr>
            <w:tcW w:w="756" w:type="dxa"/>
            <w:shd w:val="clear" w:color="auto" w:fill="auto"/>
          </w:tcPr>
          <w:p w14:paraId="102B6A81"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2.64</w:t>
            </w:r>
          </w:p>
        </w:tc>
        <w:tc>
          <w:tcPr>
            <w:tcW w:w="954" w:type="dxa"/>
            <w:shd w:val="clear" w:color="auto" w:fill="auto"/>
          </w:tcPr>
          <w:p w14:paraId="6CA1865E"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0.65</w:t>
            </w:r>
          </w:p>
        </w:tc>
        <w:tc>
          <w:tcPr>
            <w:tcW w:w="1710" w:type="dxa"/>
            <w:shd w:val="clear" w:color="auto" w:fill="auto"/>
          </w:tcPr>
          <w:p w14:paraId="0BACA423"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1D745A03" w14:textId="77777777" w:rsidTr="009D17DD">
        <w:tc>
          <w:tcPr>
            <w:tcW w:w="284" w:type="dxa"/>
            <w:shd w:val="clear" w:color="auto" w:fill="auto"/>
          </w:tcPr>
          <w:p w14:paraId="14542C6D"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7C39140E" w14:textId="0848457C"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 xml:space="preserve">Prolong medical proceeding place healthcare workers at risk of </w:t>
            </w:r>
            <w:r w:rsidR="005531E2">
              <w:rPr>
                <w:rFonts w:ascii="Times New Roman" w:hAnsi="Times New Roman" w:cs="Times New Roman"/>
                <w:sz w:val="24"/>
                <w:szCs w:val="24"/>
              </w:rPr>
              <w:t>needle-stick</w:t>
            </w:r>
            <w:r w:rsidRPr="00092598">
              <w:rPr>
                <w:rFonts w:ascii="Times New Roman" w:hAnsi="Times New Roman" w:cs="Times New Roman"/>
                <w:sz w:val="24"/>
                <w:szCs w:val="24"/>
              </w:rPr>
              <w:t xml:space="preserve"> injury.</w:t>
            </w:r>
          </w:p>
        </w:tc>
        <w:tc>
          <w:tcPr>
            <w:tcW w:w="756" w:type="dxa"/>
            <w:shd w:val="clear" w:color="auto" w:fill="auto"/>
          </w:tcPr>
          <w:p w14:paraId="34C361B6"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2.83</w:t>
            </w:r>
          </w:p>
        </w:tc>
        <w:tc>
          <w:tcPr>
            <w:tcW w:w="954" w:type="dxa"/>
            <w:shd w:val="clear" w:color="auto" w:fill="auto"/>
          </w:tcPr>
          <w:p w14:paraId="468849ED"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0.92</w:t>
            </w:r>
          </w:p>
        </w:tc>
        <w:tc>
          <w:tcPr>
            <w:tcW w:w="1710" w:type="dxa"/>
            <w:shd w:val="clear" w:color="auto" w:fill="auto"/>
          </w:tcPr>
          <w:p w14:paraId="7588D586"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70A334C3" w14:textId="77777777" w:rsidTr="009D17DD">
        <w:tc>
          <w:tcPr>
            <w:tcW w:w="284" w:type="dxa"/>
            <w:shd w:val="clear" w:color="auto" w:fill="auto"/>
          </w:tcPr>
          <w:p w14:paraId="13ADE0F6"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109BF5DE"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Most workers suffer for injury during surgical operation.</w:t>
            </w:r>
          </w:p>
        </w:tc>
        <w:tc>
          <w:tcPr>
            <w:tcW w:w="756" w:type="dxa"/>
            <w:shd w:val="clear" w:color="auto" w:fill="auto"/>
          </w:tcPr>
          <w:p w14:paraId="4A33F77A"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2.68</w:t>
            </w:r>
          </w:p>
        </w:tc>
        <w:tc>
          <w:tcPr>
            <w:tcW w:w="954" w:type="dxa"/>
            <w:shd w:val="clear" w:color="auto" w:fill="auto"/>
          </w:tcPr>
          <w:p w14:paraId="46A9D52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0.68</w:t>
            </w:r>
          </w:p>
        </w:tc>
        <w:tc>
          <w:tcPr>
            <w:tcW w:w="1710" w:type="dxa"/>
            <w:shd w:val="clear" w:color="auto" w:fill="auto"/>
          </w:tcPr>
          <w:p w14:paraId="7C62AD67"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638A1E14" w14:textId="77777777" w:rsidTr="009D17DD">
        <w:tc>
          <w:tcPr>
            <w:tcW w:w="284" w:type="dxa"/>
            <w:shd w:val="clear" w:color="auto" w:fill="auto"/>
          </w:tcPr>
          <w:p w14:paraId="402C0FB5"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756357C3"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The use of surgical scalpel can cause injury during incision.</w:t>
            </w:r>
          </w:p>
        </w:tc>
        <w:tc>
          <w:tcPr>
            <w:tcW w:w="756" w:type="dxa"/>
            <w:shd w:val="clear" w:color="auto" w:fill="auto"/>
          </w:tcPr>
          <w:p w14:paraId="7F2AB8D7"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2.79</w:t>
            </w:r>
          </w:p>
        </w:tc>
        <w:tc>
          <w:tcPr>
            <w:tcW w:w="954" w:type="dxa"/>
            <w:shd w:val="clear" w:color="auto" w:fill="auto"/>
          </w:tcPr>
          <w:p w14:paraId="25020A9D"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0.83</w:t>
            </w:r>
          </w:p>
        </w:tc>
        <w:tc>
          <w:tcPr>
            <w:tcW w:w="1710" w:type="dxa"/>
            <w:shd w:val="clear" w:color="auto" w:fill="auto"/>
          </w:tcPr>
          <w:p w14:paraId="5A5E0246"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3E0C2265" w14:textId="77777777" w:rsidTr="009D17DD">
        <w:tc>
          <w:tcPr>
            <w:tcW w:w="284" w:type="dxa"/>
            <w:shd w:val="clear" w:color="auto" w:fill="auto"/>
          </w:tcPr>
          <w:p w14:paraId="44B0DFA0"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507FC85A"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 xml:space="preserve">During intravenous administration most workers are likely to have injury from poor handling of needle. </w:t>
            </w:r>
          </w:p>
        </w:tc>
        <w:tc>
          <w:tcPr>
            <w:tcW w:w="756" w:type="dxa"/>
            <w:shd w:val="clear" w:color="auto" w:fill="auto"/>
          </w:tcPr>
          <w:p w14:paraId="51360C9F"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2.59</w:t>
            </w:r>
          </w:p>
        </w:tc>
        <w:tc>
          <w:tcPr>
            <w:tcW w:w="954" w:type="dxa"/>
            <w:shd w:val="clear" w:color="auto" w:fill="auto"/>
          </w:tcPr>
          <w:p w14:paraId="218F0721"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0.63</w:t>
            </w:r>
          </w:p>
        </w:tc>
        <w:tc>
          <w:tcPr>
            <w:tcW w:w="1710" w:type="dxa"/>
            <w:shd w:val="clear" w:color="auto" w:fill="auto"/>
          </w:tcPr>
          <w:p w14:paraId="07114EE4"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11AA1EF4" w14:textId="77777777" w:rsidTr="009D17DD">
        <w:tc>
          <w:tcPr>
            <w:tcW w:w="284" w:type="dxa"/>
            <w:shd w:val="clear" w:color="auto" w:fill="auto"/>
          </w:tcPr>
          <w:p w14:paraId="729064EA"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287C5840"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When reattaching the needle to syringe it can cause injury to the personnel.</w:t>
            </w:r>
          </w:p>
        </w:tc>
        <w:tc>
          <w:tcPr>
            <w:tcW w:w="756" w:type="dxa"/>
            <w:shd w:val="clear" w:color="auto" w:fill="auto"/>
          </w:tcPr>
          <w:p w14:paraId="455250AA"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2.66</w:t>
            </w:r>
          </w:p>
        </w:tc>
        <w:tc>
          <w:tcPr>
            <w:tcW w:w="954" w:type="dxa"/>
            <w:shd w:val="clear" w:color="auto" w:fill="auto"/>
          </w:tcPr>
          <w:p w14:paraId="01ED5331"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0.72</w:t>
            </w:r>
          </w:p>
        </w:tc>
        <w:tc>
          <w:tcPr>
            <w:tcW w:w="1710" w:type="dxa"/>
            <w:shd w:val="clear" w:color="auto" w:fill="auto"/>
          </w:tcPr>
          <w:p w14:paraId="089D3294"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0C27A0DD" w14:textId="77777777" w:rsidTr="009D17DD">
        <w:tc>
          <w:tcPr>
            <w:tcW w:w="284" w:type="dxa"/>
            <w:shd w:val="clear" w:color="auto" w:fill="auto"/>
          </w:tcPr>
          <w:p w14:paraId="4672302D"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25AF0C1F"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Poor recapping of needle may cause to injury</w:t>
            </w:r>
          </w:p>
        </w:tc>
        <w:tc>
          <w:tcPr>
            <w:tcW w:w="756" w:type="dxa"/>
            <w:shd w:val="clear" w:color="auto" w:fill="auto"/>
          </w:tcPr>
          <w:p w14:paraId="4770D45B"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2.52</w:t>
            </w:r>
          </w:p>
        </w:tc>
        <w:tc>
          <w:tcPr>
            <w:tcW w:w="954" w:type="dxa"/>
            <w:shd w:val="clear" w:color="auto" w:fill="auto"/>
          </w:tcPr>
          <w:p w14:paraId="4E8F91C2"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0.64</w:t>
            </w:r>
          </w:p>
        </w:tc>
        <w:tc>
          <w:tcPr>
            <w:tcW w:w="1710" w:type="dxa"/>
            <w:shd w:val="clear" w:color="auto" w:fill="auto"/>
          </w:tcPr>
          <w:p w14:paraId="74D78C20"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6CEF4779" w14:textId="77777777" w:rsidTr="009D17DD">
        <w:tc>
          <w:tcPr>
            <w:tcW w:w="284" w:type="dxa"/>
            <w:shd w:val="clear" w:color="auto" w:fill="auto"/>
          </w:tcPr>
          <w:p w14:paraId="6752EDB6"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73765E7E"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Healthcare workers are likely to sustain injury when washing instrument.</w:t>
            </w:r>
          </w:p>
        </w:tc>
        <w:tc>
          <w:tcPr>
            <w:tcW w:w="756" w:type="dxa"/>
            <w:shd w:val="clear" w:color="auto" w:fill="auto"/>
          </w:tcPr>
          <w:p w14:paraId="1F13FFE3"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3.02</w:t>
            </w:r>
          </w:p>
        </w:tc>
        <w:tc>
          <w:tcPr>
            <w:tcW w:w="954" w:type="dxa"/>
            <w:shd w:val="clear" w:color="auto" w:fill="auto"/>
          </w:tcPr>
          <w:p w14:paraId="5D4C6188"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1.06</w:t>
            </w:r>
          </w:p>
        </w:tc>
        <w:tc>
          <w:tcPr>
            <w:tcW w:w="1710" w:type="dxa"/>
            <w:shd w:val="clear" w:color="auto" w:fill="auto"/>
          </w:tcPr>
          <w:p w14:paraId="564695D7"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34834C33" w14:textId="77777777" w:rsidTr="009D17DD">
        <w:tc>
          <w:tcPr>
            <w:tcW w:w="284" w:type="dxa"/>
            <w:shd w:val="clear" w:color="auto" w:fill="auto"/>
          </w:tcPr>
          <w:p w14:paraId="3295DC27"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3A2B8CED"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b/>
                <w:sz w:val="24"/>
                <w:szCs w:val="24"/>
              </w:rPr>
              <w:t>Grand Mean</w:t>
            </w:r>
          </w:p>
        </w:tc>
        <w:tc>
          <w:tcPr>
            <w:tcW w:w="756" w:type="dxa"/>
            <w:shd w:val="clear" w:color="auto" w:fill="auto"/>
            <w:vAlign w:val="bottom"/>
          </w:tcPr>
          <w:p w14:paraId="33CA21E3" w14:textId="77777777" w:rsidR="00404AD2" w:rsidRPr="00092598" w:rsidRDefault="00404AD2" w:rsidP="00200FCB">
            <w:pPr>
              <w:spacing w:after="0" w:line="360" w:lineRule="auto"/>
              <w:jc w:val="right"/>
              <w:rPr>
                <w:rFonts w:ascii="Times New Roman" w:hAnsi="Times New Roman" w:cs="Times New Roman"/>
                <w:b/>
                <w:sz w:val="24"/>
                <w:szCs w:val="24"/>
              </w:rPr>
            </w:pPr>
            <w:r w:rsidRPr="00092598">
              <w:rPr>
                <w:rFonts w:ascii="Times New Roman" w:hAnsi="Times New Roman" w:cs="Times New Roman"/>
                <w:b/>
                <w:sz w:val="24"/>
                <w:szCs w:val="24"/>
              </w:rPr>
              <w:t>2.712</w:t>
            </w:r>
          </w:p>
        </w:tc>
        <w:tc>
          <w:tcPr>
            <w:tcW w:w="954" w:type="dxa"/>
            <w:shd w:val="clear" w:color="auto" w:fill="auto"/>
            <w:vAlign w:val="bottom"/>
          </w:tcPr>
          <w:p w14:paraId="6C82C75F"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0.767</w:t>
            </w:r>
          </w:p>
        </w:tc>
        <w:tc>
          <w:tcPr>
            <w:tcW w:w="1710" w:type="dxa"/>
            <w:shd w:val="clear" w:color="auto" w:fill="auto"/>
          </w:tcPr>
          <w:p w14:paraId="70277368"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HE</w:t>
            </w:r>
          </w:p>
        </w:tc>
      </w:tr>
    </w:tbl>
    <w:p w14:paraId="2C0F1E44" w14:textId="77777777" w:rsidR="00404AD2" w:rsidRPr="00F058DE" w:rsidRDefault="00404AD2" w:rsidP="00404AD2">
      <w:pPr>
        <w:spacing w:after="0" w:line="480" w:lineRule="auto"/>
        <w:jc w:val="both"/>
        <w:rPr>
          <w:rFonts w:ascii="Times New Roman" w:hAnsi="Times New Roman"/>
          <w:sz w:val="14"/>
          <w:szCs w:val="24"/>
        </w:rPr>
      </w:pPr>
    </w:p>
    <w:p w14:paraId="5B08D318" w14:textId="6FAF3963" w:rsidR="00404AD2" w:rsidRPr="006D050E" w:rsidRDefault="00404AD2" w:rsidP="00404AD2">
      <w:pPr>
        <w:spacing w:after="0" w:line="480" w:lineRule="auto"/>
        <w:jc w:val="both"/>
        <w:rPr>
          <w:rFonts w:ascii="Times New Roman" w:hAnsi="Times New Roman"/>
          <w:b/>
          <w:sz w:val="24"/>
          <w:szCs w:val="24"/>
        </w:rPr>
      </w:pPr>
      <w:r w:rsidRPr="006D050E">
        <w:rPr>
          <w:rFonts w:ascii="Times New Roman" w:hAnsi="Times New Roman"/>
          <w:sz w:val="24"/>
          <w:szCs w:val="24"/>
        </w:rPr>
        <w:t>The above table reveals a grand mean and standard deviation of 2.712 and 0.767. Since the grand mean is greater than 2.5. The extent to which safe injection practices constituted a determinant to needle</w:t>
      </w:r>
      <w:r w:rsidR="00FD5893">
        <w:rPr>
          <w:rFonts w:ascii="Times New Roman" w:hAnsi="Times New Roman"/>
          <w:sz w:val="24"/>
          <w:szCs w:val="24"/>
        </w:rPr>
        <w:t>-</w:t>
      </w:r>
      <w:r w:rsidRPr="006D050E">
        <w:rPr>
          <w:rFonts w:ascii="Times New Roman" w:hAnsi="Times New Roman"/>
          <w:sz w:val="24"/>
          <w:szCs w:val="24"/>
        </w:rPr>
        <w:t xml:space="preserve">stick injuries among healthcare workers in tertiary health institutions, Rivers State </w:t>
      </w:r>
      <w:r w:rsidR="00FB698A">
        <w:rPr>
          <w:rFonts w:ascii="Times New Roman" w:hAnsi="Times New Roman"/>
          <w:sz w:val="24"/>
          <w:szCs w:val="24"/>
        </w:rPr>
        <w:t>was</w:t>
      </w:r>
      <w:r w:rsidRPr="006D050E">
        <w:rPr>
          <w:rFonts w:ascii="Times New Roman" w:hAnsi="Times New Roman"/>
          <w:sz w:val="24"/>
          <w:szCs w:val="24"/>
        </w:rPr>
        <w:t xml:space="preserve"> high.</w:t>
      </w:r>
    </w:p>
    <w:p w14:paraId="7C9728FD" w14:textId="77777777" w:rsidR="00D31B86" w:rsidRPr="00D31B86" w:rsidRDefault="00404AD2" w:rsidP="00404AD2">
      <w:pPr>
        <w:spacing w:line="480" w:lineRule="auto"/>
        <w:jc w:val="both"/>
        <w:rPr>
          <w:rFonts w:ascii="Times New Roman" w:hAnsi="Times New Roman"/>
          <w:sz w:val="24"/>
          <w:szCs w:val="24"/>
        </w:rPr>
      </w:pPr>
      <w:r>
        <w:rPr>
          <w:rFonts w:ascii="Times New Roman" w:hAnsi="Times New Roman"/>
          <w:b/>
          <w:sz w:val="24"/>
          <w:szCs w:val="24"/>
        </w:rPr>
        <w:br w:type="page"/>
      </w:r>
    </w:p>
    <w:p w14:paraId="4E0C79FB" w14:textId="145126BC" w:rsidR="009D17DD" w:rsidRPr="006D050E" w:rsidRDefault="009D17DD" w:rsidP="009D17DD">
      <w:pPr>
        <w:spacing w:line="240" w:lineRule="auto"/>
        <w:jc w:val="both"/>
        <w:rPr>
          <w:rFonts w:ascii="Times New Roman" w:hAnsi="Times New Roman" w:cs="Times New Roman"/>
          <w:sz w:val="24"/>
          <w:szCs w:val="24"/>
        </w:rPr>
      </w:pPr>
      <w:r w:rsidRPr="006D050E">
        <w:rPr>
          <w:rFonts w:ascii="Times New Roman" w:hAnsi="Times New Roman"/>
          <w:b/>
          <w:sz w:val="24"/>
          <w:szCs w:val="24"/>
        </w:rPr>
        <w:lastRenderedPageBreak/>
        <w:t xml:space="preserve">Table </w:t>
      </w:r>
      <w:r>
        <w:rPr>
          <w:rFonts w:ascii="Times New Roman" w:hAnsi="Times New Roman"/>
          <w:b/>
          <w:sz w:val="24"/>
          <w:szCs w:val="24"/>
        </w:rPr>
        <w:t>4</w:t>
      </w:r>
      <w:r w:rsidRPr="006D050E">
        <w:rPr>
          <w:rFonts w:ascii="Times New Roman" w:hAnsi="Times New Roman"/>
          <w:b/>
          <w:sz w:val="24"/>
          <w:szCs w:val="24"/>
        </w:rPr>
        <w:t xml:space="preserve">: </w:t>
      </w:r>
      <w:r>
        <w:rPr>
          <w:rFonts w:ascii="Times New Roman" w:hAnsi="Times New Roman"/>
          <w:b/>
          <w:sz w:val="24"/>
          <w:szCs w:val="24"/>
        </w:rPr>
        <w:t xml:space="preserve">Regression analysis </w:t>
      </w:r>
      <w:r w:rsidRPr="006D050E">
        <w:rPr>
          <w:rFonts w:ascii="Times New Roman" w:hAnsi="Times New Roman"/>
          <w:b/>
          <w:sz w:val="24"/>
          <w:szCs w:val="24"/>
        </w:rPr>
        <w:t>showing the significant association between case acuity</w:t>
      </w:r>
      <w:r>
        <w:rPr>
          <w:rFonts w:ascii="Times New Roman" w:hAnsi="Times New Roman"/>
          <w:b/>
          <w:sz w:val="24"/>
          <w:szCs w:val="24"/>
        </w:rPr>
        <w:t xml:space="preserve"> </w:t>
      </w:r>
      <w:r w:rsidRPr="006D050E">
        <w:rPr>
          <w:rFonts w:ascii="Times New Roman" w:hAnsi="Times New Roman"/>
          <w:b/>
          <w:sz w:val="24"/>
          <w:szCs w:val="24"/>
        </w:rPr>
        <w:t>and needle</w:t>
      </w:r>
      <w:r w:rsidR="00E1715B">
        <w:rPr>
          <w:rFonts w:ascii="Times New Roman" w:hAnsi="Times New Roman"/>
          <w:b/>
          <w:sz w:val="24"/>
          <w:szCs w:val="24"/>
        </w:rPr>
        <w:t>-</w:t>
      </w:r>
      <w:r w:rsidRPr="006D050E">
        <w:rPr>
          <w:rFonts w:ascii="Times New Roman" w:hAnsi="Times New Roman"/>
          <w:b/>
          <w:sz w:val="24"/>
          <w:szCs w:val="24"/>
        </w:rPr>
        <w:t>stick injuries among healthcare workers in tertiary health institutions, Rivers State.</w:t>
      </w:r>
    </w:p>
    <w:tbl>
      <w:tblPr>
        <w:tblW w:w="9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4"/>
        <w:gridCol w:w="1498"/>
        <w:gridCol w:w="1713"/>
        <w:gridCol w:w="1195"/>
        <w:gridCol w:w="1642"/>
        <w:gridCol w:w="1195"/>
        <w:gridCol w:w="1197"/>
      </w:tblGrid>
      <w:tr w:rsidR="009D17DD" w:rsidRPr="00092598" w14:paraId="151A69B7" w14:textId="77777777" w:rsidTr="009D17DD">
        <w:trPr>
          <w:cantSplit/>
          <w:trHeight w:val="664"/>
        </w:trPr>
        <w:tc>
          <w:tcPr>
            <w:tcW w:w="2352" w:type="dxa"/>
            <w:gridSpan w:val="2"/>
            <w:tcBorders>
              <w:top w:val="nil"/>
              <w:left w:val="nil"/>
              <w:bottom w:val="single" w:sz="8" w:space="0" w:color="152935"/>
              <w:right w:val="nil"/>
            </w:tcBorders>
            <w:shd w:val="clear" w:color="auto" w:fill="FFFFFF"/>
            <w:vAlign w:val="bottom"/>
          </w:tcPr>
          <w:p w14:paraId="4FB066A1"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Model</w:t>
            </w:r>
          </w:p>
        </w:tc>
        <w:tc>
          <w:tcPr>
            <w:tcW w:w="1713" w:type="dxa"/>
            <w:tcBorders>
              <w:top w:val="nil"/>
              <w:left w:val="nil"/>
              <w:bottom w:val="single" w:sz="8" w:space="0" w:color="152935"/>
              <w:right w:val="single" w:sz="8" w:space="0" w:color="E0E0E0"/>
            </w:tcBorders>
            <w:shd w:val="clear" w:color="auto" w:fill="FFFFFF"/>
            <w:vAlign w:val="bottom"/>
          </w:tcPr>
          <w:p w14:paraId="3D5DFD2A"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Sum of Squares</w:t>
            </w:r>
          </w:p>
        </w:tc>
        <w:tc>
          <w:tcPr>
            <w:tcW w:w="1195" w:type="dxa"/>
            <w:tcBorders>
              <w:top w:val="nil"/>
              <w:left w:val="single" w:sz="8" w:space="0" w:color="E0E0E0"/>
              <w:bottom w:val="single" w:sz="8" w:space="0" w:color="152935"/>
              <w:right w:val="single" w:sz="8" w:space="0" w:color="E0E0E0"/>
            </w:tcBorders>
            <w:shd w:val="clear" w:color="auto" w:fill="FFFFFF"/>
            <w:vAlign w:val="bottom"/>
          </w:tcPr>
          <w:p w14:paraId="59C60375"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df</w:t>
            </w:r>
          </w:p>
        </w:tc>
        <w:tc>
          <w:tcPr>
            <w:tcW w:w="1642" w:type="dxa"/>
            <w:tcBorders>
              <w:top w:val="nil"/>
              <w:left w:val="single" w:sz="8" w:space="0" w:color="E0E0E0"/>
              <w:bottom w:val="single" w:sz="8" w:space="0" w:color="152935"/>
              <w:right w:val="single" w:sz="8" w:space="0" w:color="E0E0E0"/>
            </w:tcBorders>
            <w:shd w:val="clear" w:color="auto" w:fill="FFFFFF"/>
            <w:vAlign w:val="bottom"/>
          </w:tcPr>
          <w:p w14:paraId="1C7F791F"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Mean Square</w:t>
            </w:r>
          </w:p>
        </w:tc>
        <w:tc>
          <w:tcPr>
            <w:tcW w:w="1195" w:type="dxa"/>
            <w:tcBorders>
              <w:top w:val="nil"/>
              <w:left w:val="single" w:sz="8" w:space="0" w:color="E0E0E0"/>
              <w:bottom w:val="single" w:sz="8" w:space="0" w:color="152935"/>
              <w:right w:val="single" w:sz="8" w:space="0" w:color="E0E0E0"/>
            </w:tcBorders>
            <w:shd w:val="clear" w:color="auto" w:fill="FFFFFF"/>
            <w:vAlign w:val="bottom"/>
          </w:tcPr>
          <w:p w14:paraId="61565707"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F</w:t>
            </w:r>
          </w:p>
        </w:tc>
        <w:tc>
          <w:tcPr>
            <w:tcW w:w="1197" w:type="dxa"/>
            <w:tcBorders>
              <w:top w:val="nil"/>
              <w:left w:val="single" w:sz="8" w:space="0" w:color="E0E0E0"/>
              <w:bottom w:val="single" w:sz="8" w:space="0" w:color="152935"/>
              <w:right w:val="nil"/>
            </w:tcBorders>
            <w:shd w:val="clear" w:color="auto" w:fill="FFFFFF"/>
            <w:vAlign w:val="bottom"/>
          </w:tcPr>
          <w:p w14:paraId="48558D4C"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Sig.</w:t>
            </w:r>
          </w:p>
        </w:tc>
      </w:tr>
      <w:tr w:rsidR="009D17DD" w:rsidRPr="00092598" w14:paraId="74ED90FC" w14:textId="77777777" w:rsidTr="009D17DD">
        <w:trPr>
          <w:cantSplit/>
          <w:trHeight w:val="332"/>
        </w:trPr>
        <w:tc>
          <w:tcPr>
            <w:tcW w:w="854" w:type="dxa"/>
            <w:vMerge w:val="restart"/>
            <w:tcBorders>
              <w:top w:val="single" w:sz="8" w:space="0" w:color="152935"/>
              <w:left w:val="nil"/>
              <w:bottom w:val="single" w:sz="8" w:space="0" w:color="152935"/>
              <w:right w:val="nil"/>
            </w:tcBorders>
            <w:shd w:val="clear" w:color="auto" w:fill="E0E0E0"/>
          </w:tcPr>
          <w:p w14:paraId="31564170"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1</w:t>
            </w:r>
          </w:p>
        </w:tc>
        <w:tc>
          <w:tcPr>
            <w:tcW w:w="1498" w:type="dxa"/>
            <w:tcBorders>
              <w:top w:val="single" w:sz="8" w:space="0" w:color="152935"/>
              <w:left w:val="nil"/>
              <w:bottom w:val="single" w:sz="8" w:space="0" w:color="AEAEAE"/>
              <w:right w:val="nil"/>
            </w:tcBorders>
            <w:shd w:val="clear" w:color="auto" w:fill="E0E0E0"/>
          </w:tcPr>
          <w:p w14:paraId="551922C1"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Regression</w:t>
            </w:r>
          </w:p>
        </w:tc>
        <w:tc>
          <w:tcPr>
            <w:tcW w:w="1713" w:type="dxa"/>
            <w:tcBorders>
              <w:top w:val="single" w:sz="8" w:space="0" w:color="152935"/>
              <w:left w:val="nil"/>
              <w:bottom w:val="single" w:sz="8" w:space="0" w:color="AEAEAE"/>
              <w:right w:val="single" w:sz="8" w:space="0" w:color="E0E0E0"/>
            </w:tcBorders>
            <w:shd w:val="clear" w:color="auto" w:fill="FFFFFF"/>
          </w:tcPr>
          <w:p w14:paraId="40572160"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.208</w:t>
            </w:r>
          </w:p>
        </w:tc>
        <w:tc>
          <w:tcPr>
            <w:tcW w:w="1195" w:type="dxa"/>
            <w:tcBorders>
              <w:top w:val="single" w:sz="8" w:space="0" w:color="152935"/>
              <w:left w:val="single" w:sz="8" w:space="0" w:color="E0E0E0"/>
              <w:bottom w:val="single" w:sz="8" w:space="0" w:color="AEAEAE"/>
              <w:right w:val="single" w:sz="8" w:space="0" w:color="E0E0E0"/>
            </w:tcBorders>
            <w:shd w:val="clear" w:color="auto" w:fill="FFFFFF"/>
          </w:tcPr>
          <w:p w14:paraId="69A842DA"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1</w:t>
            </w:r>
          </w:p>
        </w:tc>
        <w:tc>
          <w:tcPr>
            <w:tcW w:w="1642" w:type="dxa"/>
            <w:tcBorders>
              <w:top w:val="single" w:sz="8" w:space="0" w:color="152935"/>
              <w:left w:val="single" w:sz="8" w:space="0" w:color="E0E0E0"/>
              <w:bottom w:val="single" w:sz="8" w:space="0" w:color="AEAEAE"/>
              <w:right w:val="single" w:sz="8" w:space="0" w:color="E0E0E0"/>
            </w:tcBorders>
            <w:shd w:val="clear" w:color="auto" w:fill="FFFFFF"/>
          </w:tcPr>
          <w:p w14:paraId="7719A35F"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.208</w:t>
            </w:r>
          </w:p>
        </w:tc>
        <w:tc>
          <w:tcPr>
            <w:tcW w:w="1195" w:type="dxa"/>
            <w:tcBorders>
              <w:top w:val="single" w:sz="8" w:space="0" w:color="152935"/>
              <w:left w:val="single" w:sz="8" w:space="0" w:color="E0E0E0"/>
              <w:bottom w:val="single" w:sz="8" w:space="0" w:color="AEAEAE"/>
              <w:right w:val="single" w:sz="8" w:space="0" w:color="E0E0E0"/>
            </w:tcBorders>
            <w:shd w:val="clear" w:color="auto" w:fill="FFFFFF"/>
          </w:tcPr>
          <w:p w14:paraId="2D9D6F38"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3.766</w:t>
            </w:r>
          </w:p>
        </w:tc>
        <w:tc>
          <w:tcPr>
            <w:tcW w:w="1197" w:type="dxa"/>
            <w:tcBorders>
              <w:top w:val="single" w:sz="8" w:space="0" w:color="152935"/>
              <w:left w:val="single" w:sz="8" w:space="0" w:color="E0E0E0"/>
              <w:bottom w:val="single" w:sz="8" w:space="0" w:color="AEAEAE"/>
              <w:right w:val="nil"/>
            </w:tcBorders>
            <w:shd w:val="clear" w:color="auto" w:fill="FFFFFF"/>
          </w:tcPr>
          <w:p w14:paraId="0BC08CFE"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.053</w:t>
            </w:r>
            <w:r w:rsidRPr="00092598">
              <w:rPr>
                <w:rFonts w:ascii="Times New Roman" w:hAnsi="Times New Roman" w:cs="Times New Roman"/>
                <w:sz w:val="24"/>
                <w:szCs w:val="24"/>
                <w:vertAlign w:val="superscript"/>
              </w:rPr>
              <w:t>b</w:t>
            </w:r>
          </w:p>
        </w:tc>
      </w:tr>
      <w:tr w:rsidR="009D17DD" w:rsidRPr="00092598" w14:paraId="7B9E2627" w14:textId="77777777" w:rsidTr="009D17DD">
        <w:trPr>
          <w:cantSplit/>
          <w:trHeight w:val="367"/>
        </w:trPr>
        <w:tc>
          <w:tcPr>
            <w:tcW w:w="854" w:type="dxa"/>
            <w:vMerge/>
            <w:tcBorders>
              <w:top w:val="single" w:sz="8" w:space="0" w:color="152935"/>
              <w:left w:val="nil"/>
              <w:bottom w:val="single" w:sz="8" w:space="0" w:color="152935"/>
              <w:right w:val="nil"/>
            </w:tcBorders>
            <w:shd w:val="clear" w:color="auto" w:fill="E0E0E0"/>
          </w:tcPr>
          <w:p w14:paraId="58E013E6"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498" w:type="dxa"/>
            <w:tcBorders>
              <w:top w:val="single" w:sz="8" w:space="0" w:color="AEAEAE"/>
              <w:left w:val="nil"/>
              <w:bottom w:val="single" w:sz="8" w:space="0" w:color="AEAEAE"/>
              <w:right w:val="nil"/>
            </w:tcBorders>
            <w:shd w:val="clear" w:color="auto" w:fill="E0E0E0"/>
          </w:tcPr>
          <w:p w14:paraId="27683E3D"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Residual</w:t>
            </w:r>
          </w:p>
        </w:tc>
        <w:tc>
          <w:tcPr>
            <w:tcW w:w="1713" w:type="dxa"/>
            <w:tcBorders>
              <w:top w:val="single" w:sz="8" w:space="0" w:color="AEAEAE"/>
              <w:left w:val="nil"/>
              <w:bottom w:val="single" w:sz="8" w:space="0" w:color="AEAEAE"/>
              <w:right w:val="single" w:sz="8" w:space="0" w:color="E0E0E0"/>
            </w:tcBorders>
            <w:shd w:val="clear" w:color="auto" w:fill="FFFFFF"/>
          </w:tcPr>
          <w:p w14:paraId="65288246"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20.842</w:t>
            </w:r>
          </w:p>
        </w:tc>
        <w:tc>
          <w:tcPr>
            <w:tcW w:w="1195" w:type="dxa"/>
            <w:tcBorders>
              <w:top w:val="single" w:sz="8" w:space="0" w:color="AEAEAE"/>
              <w:left w:val="single" w:sz="8" w:space="0" w:color="E0E0E0"/>
              <w:bottom w:val="single" w:sz="8" w:space="0" w:color="AEAEAE"/>
              <w:right w:val="single" w:sz="8" w:space="0" w:color="E0E0E0"/>
            </w:tcBorders>
            <w:shd w:val="clear" w:color="auto" w:fill="FFFFFF"/>
          </w:tcPr>
          <w:p w14:paraId="5E1AA8A5"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378</w:t>
            </w:r>
          </w:p>
        </w:tc>
        <w:tc>
          <w:tcPr>
            <w:tcW w:w="1642" w:type="dxa"/>
            <w:tcBorders>
              <w:top w:val="single" w:sz="8" w:space="0" w:color="AEAEAE"/>
              <w:left w:val="single" w:sz="8" w:space="0" w:color="E0E0E0"/>
              <w:bottom w:val="single" w:sz="8" w:space="0" w:color="AEAEAE"/>
              <w:right w:val="single" w:sz="8" w:space="0" w:color="E0E0E0"/>
            </w:tcBorders>
            <w:shd w:val="clear" w:color="auto" w:fill="FFFFFF"/>
          </w:tcPr>
          <w:p w14:paraId="3FC4AD64"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.055</w:t>
            </w:r>
          </w:p>
        </w:tc>
        <w:tc>
          <w:tcPr>
            <w:tcW w:w="119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73C9AEF"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197" w:type="dxa"/>
            <w:tcBorders>
              <w:top w:val="single" w:sz="8" w:space="0" w:color="AEAEAE"/>
              <w:left w:val="single" w:sz="8" w:space="0" w:color="E0E0E0"/>
              <w:bottom w:val="single" w:sz="8" w:space="0" w:color="AEAEAE"/>
              <w:right w:val="nil"/>
            </w:tcBorders>
            <w:shd w:val="clear" w:color="auto" w:fill="FFFFFF"/>
            <w:vAlign w:val="center"/>
          </w:tcPr>
          <w:p w14:paraId="6B10B935"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53B7C4CC" w14:textId="77777777" w:rsidTr="009D17DD">
        <w:trPr>
          <w:cantSplit/>
          <w:trHeight w:val="349"/>
        </w:trPr>
        <w:tc>
          <w:tcPr>
            <w:tcW w:w="854" w:type="dxa"/>
            <w:vMerge/>
            <w:tcBorders>
              <w:top w:val="single" w:sz="8" w:space="0" w:color="152935"/>
              <w:left w:val="nil"/>
              <w:bottom w:val="single" w:sz="8" w:space="0" w:color="152935"/>
              <w:right w:val="nil"/>
            </w:tcBorders>
            <w:shd w:val="clear" w:color="auto" w:fill="E0E0E0"/>
          </w:tcPr>
          <w:p w14:paraId="7D2AA8C4"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498" w:type="dxa"/>
            <w:tcBorders>
              <w:top w:val="single" w:sz="8" w:space="0" w:color="AEAEAE"/>
              <w:left w:val="nil"/>
              <w:bottom w:val="single" w:sz="8" w:space="0" w:color="152935"/>
              <w:right w:val="nil"/>
            </w:tcBorders>
            <w:shd w:val="clear" w:color="auto" w:fill="E0E0E0"/>
          </w:tcPr>
          <w:p w14:paraId="6899581E"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Total</w:t>
            </w:r>
          </w:p>
        </w:tc>
        <w:tc>
          <w:tcPr>
            <w:tcW w:w="1713" w:type="dxa"/>
            <w:tcBorders>
              <w:top w:val="single" w:sz="8" w:space="0" w:color="AEAEAE"/>
              <w:left w:val="nil"/>
              <w:bottom w:val="single" w:sz="8" w:space="0" w:color="152935"/>
              <w:right w:val="single" w:sz="8" w:space="0" w:color="E0E0E0"/>
            </w:tcBorders>
            <w:shd w:val="clear" w:color="auto" w:fill="FFFFFF"/>
          </w:tcPr>
          <w:p w14:paraId="5DD66CE9"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21.050</w:t>
            </w:r>
          </w:p>
        </w:tc>
        <w:tc>
          <w:tcPr>
            <w:tcW w:w="1195" w:type="dxa"/>
            <w:tcBorders>
              <w:top w:val="single" w:sz="8" w:space="0" w:color="AEAEAE"/>
              <w:left w:val="single" w:sz="8" w:space="0" w:color="E0E0E0"/>
              <w:bottom w:val="single" w:sz="8" w:space="0" w:color="152935"/>
              <w:right w:val="single" w:sz="8" w:space="0" w:color="E0E0E0"/>
            </w:tcBorders>
            <w:shd w:val="clear" w:color="auto" w:fill="FFFFFF"/>
          </w:tcPr>
          <w:p w14:paraId="061D03B6"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379</w:t>
            </w:r>
          </w:p>
        </w:tc>
        <w:tc>
          <w:tcPr>
            <w:tcW w:w="164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2240129"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19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A4D4388"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197" w:type="dxa"/>
            <w:tcBorders>
              <w:top w:val="single" w:sz="8" w:space="0" w:color="AEAEAE"/>
              <w:left w:val="single" w:sz="8" w:space="0" w:color="E0E0E0"/>
              <w:bottom w:val="single" w:sz="8" w:space="0" w:color="152935"/>
              <w:right w:val="nil"/>
            </w:tcBorders>
            <w:shd w:val="clear" w:color="auto" w:fill="FFFFFF"/>
            <w:vAlign w:val="center"/>
          </w:tcPr>
          <w:p w14:paraId="612496BD"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11F51B00" w14:textId="77777777" w:rsidTr="009D17DD">
        <w:trPr>
          <w:cantSplit/>
          <w:trHeight w:val="332"/>
        </w:trPr>
        <w:tc>
          <w:tcPr>
            <w:tcW w:w="9294" w:type="dxa"/>
            <w:gridSpan w:val="7"/>
            <w:tcBorders>
              <w:top w:val="nil"/>
              <w:left w:val="nil"/>
              <w:bottom w:val="nil"/>
              <w:right w:val="nil"/>
            </w:tcBorders>
            <w:shd w:val="clear" w:color="auto" w:fill="FFFFFF"/>
          </w:tcPr>
          <w:p w14:paraId="4C05B4C7"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a. Dependent Variable: PDNSI</w:t>
            </w:r>
          </w:p>
        </w:tc>
      </w:tr>
      <w:tr w:rsidR="009D17DD" w:rsidRPr="00092598" w14:paraId="05674BB8" w14:textId="77777777" w:rsidTr="009D17DD">
        <w:trPr>
          <w:cantSplit/>
          <w:trHeight w:val="332"/>
        </w:trPr>
        <w:tc>
          <w:tcPr>
            <w:tcW w:w="9294" w:type="dxa"/>
            <w:gridSpan w:val="7"/>
            <w:tcBorders>
              <w:top w:val="nil"/>
              <w:left w:val="nil"/>
              <w:bottom w:val="nil"/>
              <w:right w:val="nil"/>
            </w:tcBorders>
            <w:shd w:val="clear" w:color="auto" w:fill="FFFFFF"/>
          </w:tcPr>
          <w:p w14:paraId="03198746"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b. Predictors: (Constant), Case</w:t>
            </w:r>
            <w:r>
              <w:rPr>
                <w:rFonts w:ascii="Times New Roman" w:hAnsi="Times New Roman" w:cs="Times New Roman"/>
                <w:sz w:val="24"/>
                <w:szCs w:val="24"/>
              </w:rPr>
              <w:t xml:space="preserve"> </w:t>
            </w:r>
            <w:r w:rsidRPr="00092598">
              <w:rPr>
                <w:rFonts w:ascii="Times New Roman" w:hAnsi="Times New Roman" w:cs="Times New Roman"/>
                <w:sz w:val="24"/>
                <w:szCs w:val="24"/>
              </w:rPr>
              <w:t>activity</w:t>
            </w:r>
          </w:p>
        </w:tc>
      </w:tr>
    </w:tbl>
    <w:p w14:paraId="66D089AA" w14:textId="03EFCBEF" w:rsidR="009D17DD" w:rsidRPr="006D050E" w:rsidRDefault="009D17DD" w:rsidP="009D17DD">
      <w:pPr>
        <w:spacing w:line="480" w:lineRule="auto"/>
        <w:jc w:val="both"/>
        <w:rPr>
          <w:rFonts w:ascii="Times New Roman" w:hAnsi="Times New Roman"/>
          <w:sz w:val="24"/>
          <w:szCs w:val="24"/>
        </w:rPr>
      </w:pPr>
      <w:r w:rsidRPr="006D050E">
        <w:rPr>
          <w:rFonts w:ascii="Times New Roman" w:hAnsi="Times New Roman"/>
          <w:sz w:val="24"/>
          <w:szCs w:val="24"/>
        </w:rPr>
        <w:t>From the above table, the F-value is 3.766 at 0.053 significant levels. Since the level of significant (0.053) is greater than 0.05 significant level. Hence, there is no significant association between case acuity and needle</w:t>
      </w:r>
      <w:r w:rsidR="0060010F">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693E3BF5" w14:textId="77777777" w:rsidR="009D17DD" w:rsidRPr="006D050E" w:rsidRDefault="009D17DD" w:rsidP="009D17DD">
      <w:pPr>
        <w:autoSpaceDE w:val="0"/>
        <w:autoSpaceDN w:val="0"/>
        <w:adjustRightInd w:val="0"/>
        <w:spacing w:after="0" w:line="400" w:lineRule="atLeast"/>
        <w:rPr>
          <w:rFonts w:ascii="Times New Roman" w:hAnsi="Times New Roman" w:cs="Times New Roman"/>
          <w:sz w:val="24"/>
          <w:szCs w:val="24"/>
        </w:rPr>
      </w:pPr>
    </w:p>
    <w:p w14:paraId="138F0C36" w14:textId="77777777" w:rsidR="009D17DD" w:rsidRPr="006D050E" w:rsidRDefault="009D17DD" w:rsidP="009D17DD">
      <w:pPr>
        <w:spacing w:line="480" w:lineRule="auto"/>
        <w:jc w:val="both"/>
        <w:rPr>
          <w:rFonts w:ascii="Times New Roman" w:hAnsi="Times New Roman"/>
          <w:sz w:val="24"/>
          <w:szCs w:val="24"/>
        </w:rPr>
      </w:pPr>
    </w:p>
    <w:p w14:paraId="71D41DCD" w14:textId="77777777" w:rsidR="009D17DD" w:rsidRPr="006D050E" w:rsidRDefault="009D17DD" w:rsidP="009D17DD">
      <w:pPr>
        <w:spacing w:line="480" w:lineRule="auto"/>
        <w:jc w:val="both"/>
        <w:rPr>
          <w:rFonts w:ascii="Times New Roman" w:hAnsi="Times New Roman"/>
          <w:sz w:val="24"/>
          <w:szCs w:val="24"/>
        </w:rPr>
      </w:pPr>
    </w:p>
    <w:p w14:paraId="7188256D" w14:textId="77777777" w:rsidR="009D17DD" w:rsidRPr="006D050E" w:rsidRDefault="009D17DD" w:rsidP="009D17DD">
      <w:pPr>
        <w:spacing w:line="480" w:lineRule="auto"/>
        <w:jc w:val="both"/>
        <w:rPr>
          <w:rFonts w:ascii="Times New Roman" w:hAnsi="Times New Roman"/>
          <w:sz w:val="24"/>
          <w:szCs w:val="24"/>
        </w:rPr>
      </w:pPr>
    </w:p>
    <w:p w14:paraId="0F10AC47" w14:textId="77777777" w:rsidR="009D17DD" w:rsidRPr="006D050E" w:rsidRDefault="009D17DD" w:rsidP="009D17DD">
      <w:pPr>
        <w:spacing w:line="480" w:lineRule="auto"/>
        <w:jc w:val="both"/>
        <w:rPr>
          <w:rFonts w:ascii="Times New Roman" w:hAnsi="Times New Roman"/>
          <w:sz w:val="24"/>
          <w:szCs w:val="24"/>
        </w:rPr>
      </w:pPr>
    </w:p>
    <w:p w14:paraId="0DADE601" w14:textId="77777777" w:rsidR="009D17DD" w:rsidRPr="006D050E" w:rsidRDefault="009D17DD" w:rsidP="009D17DD">
      <w:pPr>
        <w:spacing w:line="480" w:lineRule="auto"/>
        <w:jc w:val="both"/>
        <w:rPr>
          <w:rFonts w:ascii="Times New Roman" w:hAnsi="Times New Roman"/>
          <w:sz w:val="24"/>
          <w:szCs w:val="24"/>
        </w:rPr>
      </w:pPr>
    </w:p>
    <w:p w14:paraId="635D6F68" w14:textId="77777777" w:rsidR="009D17DD" w:rsidRPr="006D050E" w:rsidRDefault="009D17DD" w:rsidP="009D17DD">
      <w:pPr>
        <w:spacing w:line="480" w:lineRule="auto"/>
        <w:jc w:val="both"/>
        <w:rPr>
          <w:rFonts w:ascii="Times New Roman" w:hAnsi="Times New Roman"/>
          <w:sz w:val="24"/>
          <w:szCs w:val="24"/>
        </w:rPr>
      </w:pPr>
    </w:p>
    <w:p w14:paraId="1287C7B8" w14:textId="77777777" w:rsidR="009D17DD" w:rsidRPr="006D050E" w:rsidRDefault="009D17DD" w:rsidP="009D17DD">
      <w:pPr>
        <w:spacing w:line="480" w:lineRule="auto"/>
        <w:jc w:val="both"/>
        <w:rPr>
          <w:rFonts w:ascii="Times New Roman" w:hAnsi="Times New Roman"/>
          <w:sz w:val="24"/>
          <w:szCs w:val="24"/>
        </w:rPr>
      </w:pPr>
    </w:p>
    <w:p w14:paraId="7E0596A3" w14:textId="77777777" w:rsidR="009D17DD" w:rsidRPr="006D050E" w:rsidRDefault="009D17DD" w:rsidP="009D17DD">
      <w:pPr>
        <w:spacing w:line="480" w:lineRule="auto"/>
        <w:jc w:val="both"/>
        <w:rPr>
          <w:rFonts w:ascii="Times New Roman" w:hAnsi="Times New Roman"/>
          <w:sz w:val="24"/>
          <w:szCs w:val="24"/>
        </w:rPr>
      </w:pPr>
    </w:p>
    <w:p w14:paraId="3770DF48" w14:textId="77777777" w:rsidR="009D17DD" w:rsidRPr="006D050E" w:rsidRDefault="009D17DD" w:rsidP="009D17DD">
      <w:pPr>
        <w:spacing w:line="480" w:lineRule="auto"/>
        <w:jc w:val="both"/>
        <w:rPr>
          <w:rFonts w:ascii="Times New Roman" w:hAnsi="Times New Roman"/>
          <w:sz w:val="24"/>
          <w:szCs w:val="24"/>
        </w:rPr>
      </w:pPr>
      <w:r>
        <w:rPr>
          <w:rFonts w:ascii="Times New Roman" w:hAnsi="Times New Roman"/>
          <w:b/>
          <w:sz w:val="24"/>
          <w:szCs w:val="24"/>
        </w:rPr>
        <w:br w:type="page"/>
      </w:r>
    </w:p>
    <w:p w14:paraId="00328E93" w14:textId="41093F7C" w:rsidR="009D17DD" w:rsidRPr="006D050E" w:rsidRDefault="009D17DD" w:rsidP="009D17DD">
      <w:pPr>
        <w:spacing w:line="240" w:lineRule="auto"/>
        <w:jc w:val="both"/>
        <w:rPr>
          <w:rFonts w:ascii="Times New Roman" w:hAnsi="Times New Roman"/>
          <w:b/>
          <w:sz w:val="24"/>
          <w:szCs w:val="24"/>
        </w:rPr>
      </w:pPr>
      <w:r>
        <w:rPr>
          <w:rFonts w:ascii="Times New Roman" w:hAnsi="Times New Roman"/>
          <w:b/>
          <w:sz w:val="24"/>
          <w:szCs w:val="24"/>
        </w:rPr>
        <w:lastRenderedPageBreak/>
        <w:t>Table 5</w:t>
      </w:r>
      <w:r w:rsidRPr="006D050E">
        <w:rPr>
          <w:rFonts w:ascii="Times New Roman" w:hAnsi="Times New Roman"/>
          <w:b/>
          <w:sz w:val="24"/>
          <w:szCs w:val="24"/>
        </w:rPr>
        <w:t xml:space="preserve">: showing the significant association between availability of </w:t>
      </w:r>
      <w:r>
        <w:rPr>
          <w:rFonts w:ascii="Times New Roman" w:hAnsi="Times New Roman"/>
          <w:b/>
          <w:sz w:val="24"/>
          <w:szCs w:val="24"/>
        </w:rPr>
        <w:t xml:space="preserve">safety devices </w:t>
      </w:r>
      <w:r w:rsidRPr="006D050E">
        <w:rPr>
          <w:rFonts w:ascii="Times New Roman" w:hAnsi="Times New Roman"/>
          <w:b/>
          <w:sz w:val="24"/>
          <w:szCs w:val="24"/>
        </w:rPr>
        <w:t>and needle</w:t>
      </w:r>
      <w:r w:rsidR="0060010F">
        <w:rPr>
          <w:rFonts w:ascii="Times New Roman" w:hAnsi="Times New Roman"/>
          <w:b/>
          <w:sz w:val="24"/>
          <w:szCs w:val="24"/>
        </w:rPr>
        <w:t>-</w:t>
      </w:r>
      <w:r w:rsidRPr="006D050E">
        <w:rPr>
          <w:rFonts w:ascii="Times New Roman" w:hAnsi="Times New Roman"/>
          <w:b/>
          <w:sz w:val="24"/>
          <w:szCs w:val="24"/>
        </w:rPr>
        <w:t>stick injuries among healthcare workers in tertiary health institutions, Rivers Stat</w:t>
      </w:r>
      <w:r w:rsidR="005738D3">
        <w:rPr>
          <w:rFonts w:ascii="Times New Roman" w:hAnsi="Times New Roman"/>
          <w:b/>
          <w:sz w:val="24"/>
          <w:szCs w:val="24"/>
        </w:rPr>
        <w:t>e</w:t>
      </w:r>
    </w:p>
    <w:tbl>
      <w:tblPr>
        <w:tblW w:w="96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1"/>
        <w:gridCol w:w="1563"/>
        <w:gridCol w:w="1787"/>
        <w:gridCol w:w="1247"/>
        <w:gridCol w:w="1713"/>
        <w:gridCol w:w="1247"/>
        <w:gridCol w:w="1249"/>
      </w:tblGrid>
      <w:tr w:rsidR="009D17DD" w:rsidRPr="00092598" w14:paraId="087A15BD" w14:textId="77777777" w:rsidTr="009D17DD">
        <w:trPr>
          <w:cantSplit/>
          <w:trHeight w:val="298"/>
        </w:trPr>
        <w:tc>
          <w:tcPr>
            <w:tcW w:w="9697" w:type="dxa"/>
            <w:gridSpan w:val="7"/>
            <w:tcBorders>
              <w:top w:val="single" w:sz="4" w:space="0" w:color="auto"/>
              <w:left w:val="nil"/>
              <w:bottom w:val="nil"/>
              <w:right w:val="nil"/>
            </w:tcBorders>
            <w:shd w:val="clear" w:color="auto" w:fill="FFFFFF"/>
            <w:vAlign w:val="center"/>
          </w:tcPr>
          <w:p w14:paraId="2E944078"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b/>
                <w:bCs/>
                <w:sz w:val="24"/>
                <w:szCs w:val="24"/>
                <w:vertAlign w:val="superscript"/>
              </w:rPr>
              <w:t>a</w:t>
            </w:r>
          </w:p>
        </w:tc>
      </w:tr>
      <w:tr w:rsidR="009D17DD" w:rsidRPr="00092598" w14:paraId="36521E25" w14:textId="77777777" w:rsidTr="009D17DD">
        <w:trPr>
          <w:cantSplit/>
          <w:trHeight w:val="597"/>
        </w:trPr>
        <w:tc>
          <w:tcPr>
            <w:tcW w:w="2454" w:type="dxa"/>
            <w:gridSpan w:val="2"/>
            <w:tcBorders>
              <w:top w:val="nil"/>
              <w:left w:val="nil"/>
              <w:bottom w:val="single" w:sz="8" w:space="0" w:color="152935"/>
              <w:right w:val="nil"/>
            </w:tcBorders>
            <w:shd w:val="clear" w:color="auto" w:fill="FFFFFF"/>
            <w:vAlign w:val="bottom"/>
          </w:tcPr>
          <w:p w14:paraId="4EA0A2DD"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Model</w:t>
            </w:r>
          </w:p>
        </w:tc>
        <w:tc>
          <w:tcPr>
            <w:tcW w:w="1787" w:type="dxa"/>
            <w:tcBorders>
              <w:top w:val="nil"/>
              <w:left w:val="nil"/>
              <w:bottom w:val="single" w:sz="8" w:space="0" w:color="152935"/>
              <w:right w:val="single" w:sz="8" w:space="0" w:color="E0E0E0"/>
            </w:tcBorders>
            <w:shd w:val="clear" w:color="auto" w:fill="FFFFFF"/>
            <w:vAlign w:val="bottom"/>
          </w:tcPr>
          <w:p w14:paraId="0394E2C3"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Sum of Squares</w:t>
            </w:r>
          </w:p>
        </w:tc>
        <w:tc>
          <w:tcPr>
            <w:tcW w:w="1247" w:type="dxa"/>
            <w:tcBorders>
              <w:top w:val="nil"/>
              <w:left w:val="single" w:sz="8" w:space="0" w:color="E0E0E0"/>
              <w:bottom w:val="single" w:sz="8" w:space="0" w:color="152935"/>
              <w:right w:val="single" w:sz="8" w:space="0" w:color="E0E0E0"/>
            </w:tcBorders>
            <w:shd w:val="clear" w:color="auto" w:fill="FFFFFF"/>
            <w:vAlign w:val="bottom"/>
          </w:tcPr>
          <w:p w14:paraId="01CC0A97"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Df</w:t>
            </w:r>
          </w:p>
        </w:tc>
        <w:tc>
          <w:tcPr>
            <w:tcW w:w="1713" w:type="dxa"/>
            <w:tcBorders>
              <w:top w:val="nil"/>
              <w:left w:val="single" w:sz="8" w:space="0" w:color="E0E0E0"/>
              <w:bottom w:val="single" w:sz="8" w:space="0" w:color="152935"/>
              <w:right w:val="single" w:sz="8" w:space="0" w:color="E0E0E0"/>
            </w:tcBorders>
            <w:shd w:val="clear" w:color="auto" w:fill="FFFFFF"/>
            <w:vAlign w:val="bottom"/>
          </w:tcPr>
          <w:p w14:paraId="0BBEFBBB"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Mean Square</w:t>
            </w:r>
          </w:p>
        </w:tc>
        <w:tc>
          <w:tcPr>
            <w:tcW w:w="1247" w:type="dxa"/>
            <w:tcBorders>
              <w:top w:val="nil"/>
              <w:left w:val="single" w:sz="8" w:space="0" w:color="E0E0E0"/>
              <w:bottom w:val="single" w:sz="8" w:space="0" w:color="152935"/>
              <w:right w:val="single" w:sz="8" w:space="0" w:color="E0E0E0"/>
            </w:tcBorders>
            <w:shd w:val="clear" w:color="auto" w:fill="FFFFFF"/>
            <w:vAlign w:val="bottom"/>
          </w:tcPr>
          <w:p w14:paraId="38CBE33E"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F</w:t>
            </w:r>
          </w:p>
        </w:tc>
        <w:tc>
          <w:tcPr>
            <w:tcW w:w="1247" w:type="dxa"/>
            <w:tcBorders>
              <w:top w:val="nil"/>
              <w:left w:val="single" w:sz="8" w:space="0" w:color="E0E0E0"/>
              <w:bottom w:val="single" w:sz="8" w:space="0" w:color="152935"/>
              <w:right w:val="nil"/>
            </w:tcBorders>
            <w:shd w:val="clear" w:color="auto" w:fill="FFFFFF"/>
            <w:vAlign w:val="bottom"/>
          </w:tcPr>
          <w:p w14:paraId="00D995BD"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Sig.</w:t>
            </w:r>
          </w:p>
        </w:tc>
      </w:tr>
      <w:tr w:rsidR="009D17DD" w:rsidRPr="00092598" w14:paraId="64C114CA" w14:textId="77777777" w:rsidTr="009D17DD">
        <w:trPr>
          <w:cantSplit/>
          <w:trHeight w:val="298"/>
        </w:trPr>
        <w:tc>
          <w:tcPr>
            <w:tcW w:w="891" w:type="dxa"/>
            <w:vMerge w:val="restart"/>
            <w:tcBorders>
              <w:top w:val="single" w:sz="8" w:space="0" w:color="152935"/>
              <w:left w:val="nil"/>
              <w:bottom w:val="single" w:sz="8" w:space="0" w:color="152935"/>
              <w:right w:val="nil"/>
            </w:tcBorders>
            <w:shd w:val="clear" w:color="auto" w:fill="E0E0E0"/>
          </w:tcPr>
          <w:p w14:paraId="075B4AE9"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1</w:t>
            </w:r>
          </w:p>
        </w:tc>
        <w:tc>
          <w:tcPr>
            <w:tcW w:w="1562" w:type="dxa"/>
            <w:tcBorders>
              <w:top w:val="single" w:sz="8" w:space="0" w:color="152935"/>
              <w:left w:val="nil"/>
              <w:bottom w:val="single" w:sz="8" w:space="0" w:color="AEAEAE"/>
              <w:right w:val="nil"/>
            </w:tcBorders>
            <w:shd w:val="clear" w:color="auto" w:fill="E0E0E0"/>
          </w:tcPr>
          <w:p w14:paraId="545586F0" w14:textId="77777777" w:rsidR="009D17DD" w:rsidRPr="00092598" w:rsidRDefault="009D17DD" w:rsidP="005738D3">
            <w:pPr>
              <w:autoSpaceDE w:val="0"/>
              <w:autoSpaceDN w:val="0"/>
              <w:adjustRightInd w:val="0"/>
              <w:spacing w:after="0" w:line="480" w:lineRule="auto"/>
              <w:ind w:left="60" w:right="60"/>
              <w:rPr>
                <w:rFonts w:ascii="Times New Roman" w:hAnsi="Times New Roman" w:cs="Times New Roman"/>
                <w:sz w:val="24"/>
                <w:szCs w:val="24"/>
              </w:rPr>
            </w:pPr>
            <w:r w:rsidRPr="00092598">
              <w:rPr>
                <w:rFonts w:ascii="Times New Roman" w:hAnsi="Times New Roman" w:cs="Times New Roman"/>
                <w:sz w:val="24"/>
                <w:szCs w:val="24"/>
              </w:rPr>
              <w:t>Regression</w:t>
            </w:r>
          </w:p>
        </w:tc>
        <w:tc>
          <w:tcPr>
            <w:tcW w:w="1787" w:type="dxa"/>
            <w:tcBorders>
              <w:top w:val="single" w:sz="8" w:space="0" w:color="152935"/>
              <w:left w:val="nil"/>
              <w:bottom w:val="single" w:sz="8" w:space="0" w:color="AEAEAE"/>
              <w:right w:val="single" w:sz="8" w:space="0" w:color="E0E0E0"/>
            </w:tcBorders>
            <w:shd w:val="clear" w:color="auto" w:fill="FFFFFF"/>
          </w:tcPr>
          <w:p w14:paraId="70268B2A" w14:textId="77777777" w:rsidR="009D17DD" w:rsidRPr="00092598" w:rsidRDefault="009D17DD" w:rsidP="005738D3">
            <w:pPr>
              <w:autoSpaceDE w:val="0"/>
              <w:autoSpaceDN w:val="0"/>
              <w:adjustRightInd w:val="0"/>
              <w:spacing w:after="0" w:line="480" w:lineRule="auto"/>
              <w:ind w:left="60" w:right="60"/>
              <w:jc w:val="right"/>
              <w:rPr>
                <w:rFonts w:ascii="Times New Roman" w:hAnsi="Times New Roman" w:cs="Times New Roman"/>
                <w:sz w:val="24"/>
                <w:szCs w:val="24"/>
              </w:rPr>
            </w:pPr>
            <w:r w:rsidRPr="00092598">
              <w:rPr>
                <w:rFonts w:ascii="Times New Roman" w:hAnsi="Times New Roman" w:cs="Times New Roman"/>
                <w:sz w:val="24"/>
                <w:szCs w:val="24"/>
              </w:rPr>
              <w:t>3.142</w:t>
            </w:r>
          </w:p>
        </w:tc>
        <w:tc>
          <w:tcPr>
            <w:tcW w:w="1247" w:type="dxa"/>
            <w:tcBorders>
              <w:top w:val="single" w:sz="8" w:space="0" w:color="152935"/>
              <w:left w:val="single" w:sz="8" w:space="0" w:color="E0E0E0"/>
              <w:bottom w:val="single" w:sz="8" w:space="0" w:color="AEAEAE"/>
              <w:right w:val="single" w:sz="8" w:space="0" w:color="E0E0E0"/>
            </w:tcBorders>
            <w:shd w:val="clear" w:color="auto" w:fill="FFFFFF"/>
          </w:tcPr>
          <w:p w14:paraId="11B5AC44"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1</w:t>
            </w:r>
          </w:p>
        </w:tc>
        <w:tc>
          <w:tcPr>
            <w:tcW w:w="1713" w:type="dxa"/>
            <w:tcBorders>
              <w:top w:val="single" w:sz="8" w:space="0" w:color="152935"/>
              <w:left w:val="single" w:sz="8" w:space="0" w:color="E0E0E0"/>
              <w:bottom w:val="single" w:sz="8" w:space="0" w:color="AEAEAE"/>
              <w:right w:val="single" w:sz="8" w:space="0" w:color="E0E0E0"/>
            </w:tcBorders>
            <w:shd w:val="clear" w:color="auto" w:fill="FFFFFF"/>
          </w:tcPr>
          <w:p w14:paraId="019E76A9"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3.142</w:t>
            </w:r>
          </w:p>
        </w:tc>
        <w:tc>
          <w:tcPr>
            <w:tcW w:w="1247" w:type="dxa"/>
            <w:tcBorders>
              <w:top w:val="single" w:sz="8" w:space="0" w:color="152935"/>
              <w:left w:val="single" w:sz="8" w:space="0" w:color="E0E0E0"/>
              <w:bottom w:val="single" w:sz="8" w:space="0" w:color="AEAEAE"/>
              <w:right w:val="single" w:sz="8" w:space="0" w:color="E0E0E0"/>
            </w:tcBorders>
            <w:shd w:val="clear" w:color="auto" w:fill="FFFFFF"/>
          </w:tcPr>
          <w:p w14:paraId="373AEF96"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66.319</w:t>
            </w:r>
          </w:p>
        </w:tc>
        <w:tc>
          <w:tcPr>
            <w:tcW w:w="1247" w:type="dxa"/>
            <w:tcBorders>
              <w:top w:val="single" w:sz="8" w:space="0" w:color="152935"/>
              <w:left w:val="single" w:sz="8" w:space="0" w:color="E0E0E0"/>
              <w:bottom w:val="single" w:sz="8" w:space="0" w:color="AEAEAE"/>
              <w:right w:val="nil"/>
            </w:tcBorders>
            <w:shd w:val="clear" w:color="auto" w:fill="FFFFFF"/>
          </w:tcPr>
          <w:p w14:paraId="6B061E30"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.000</w:t>
            </w:r>
            <w:r w:rsidRPr="00092598">
              <w:rPr>
                <w:rFonts w:ascii="Times New Roman" w:hAnsi="Times New Roman" w:cs="Times New Roman"/>
                <w:sz w:val="24"/>
                <w:szCs w:val="24"/>
                <w:vertAlign w:val="superscript"/>
              </w:rPr>
              <w:t>b</w:t>
            </w:r>
          </w:p>
        </w:tc>
      </w:tr>
      <w:tr w:rsidR="009D17DD" w:rsidRPr="00092598" w14:paraId="7F5A4A68" w14:textId="77777777" w:rsidTr="009D17DD">
        <w:trPr>
          <w:cantSplit/>
          <w:trHeight w:val="330"/>
        </w:trPr>
        <w:tc>
          <w:tcPr>
            <w:tcW w:w="891" w:type="dxa"/>
            <w:vMerge/>
            <w:tcBorders>
              <w:top w:val="single" w:sz="8" w:space="0" w:color="152935"/>
              <w:left w:val="nil"/>
              <w:bottom w:val="single" w:sz="8" w:space="0" w:color="152935"/>
              <w:right w:val="nil"/>
            </w:tcBorders>
            <w:shd w:val="clear" w:color="auto" w:fill="E0E0E0"/>
          </w:tcPr>
          <w:p w14:paraId="5E47853D"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562" w:type="dxa"/>
            <w:tcBorders>
              <w:top w:val="single" w:sz="8" w:space="0" w:color="AEAEAE"/>
              <w:left w:val="nil"/>
              <w:bottom w:val="single" w:sz="8" w:space="0" w:color="AEAEAE"/>
              <w:right w:val="nil"/>
            </w:tcBorders>
            <w:shd w:val="clear" w:color="auto" w:fill="E0E0E0"/>
          </w:tcPr>
          <w:p w14:paraId="78CF58A9" w14:textId="77777777" w:rsidR="009D17DD" w:rsidRPr="00092598" w:rsidRDefault="009D17DD" w:rsidP="005738D3">
            <w:pPr>
              <w:autoSpaceDE w:val="0"/>
              <w:autoSpaceDN w:val="0"/>
              <w:adjustRightInd w:val="0"/>
              <w:spacing w:after="0" w:line="480" w:lineRule="auto"/>
              <w:ind w:left="60" w:right="60"/>
              <w:rPr>
                <w:rFonts w:ascii="Times New Roman" w:hAnsi="Times New Roman" w:cs="Times New Roman"/>
                <w:sz w:val="24"/>
                <w:szCs w:val="24"/>
              </w:rPr>
            </w:pPr>
            <w:r w:rsidRPr="00092598">
              <w:rPr>
                <w:rFonts w:ascii="Times New Roman" w:hAnsi="Times New Roman" w:cs="Times New Roman"/>
                <w:sz w:val="24"/>
                <w:szCs w:val="24"/>
              </w:rPr>
              <w:t>Residual</w:t>
            </w:r>
          </w:p>
        </w:tc>
        <w:tc>
          <w:tcPr>
            <w:tcW w:w="1787" w:type="dxa"/>
            <w:tcBorders>
              <w:top w:val="single" w:sz="8" w:space="0" w:color="AEAEAE"/>
              <w:left w:val="nil"/>
              <w:bottom w:val="single" w:sz="8" w:space="0" w:color="AEAEAE"/>
              <w:right w:val="single" w:sz="8" w:space="0" w:color="E0E0E0"/>
            </w:tcBorders>
            <w:shd w:val="clear" w:color="auto" w:fill="FFFFFF"/>
          </w:tcPr>
          <w:p w14:paraId="458953FD" w14:textId="77777777" w:rsidR="009D17DD" w:rsidRPr="00092598" w:rsidRDefault="009D17DD" w:rsidP="005738D3">
            <w:pPr>
              <w:autoSpaceDE w:val="0"/>
              <w:autoSpaceDN w:val="0"/>
              <w:adjustRightInd w:val="0"/>
              <w:spacing w:after="0" w:line="480" w:lineRule="auto"/>
              <w:ind w:left="60" w:right="60"/>
              <w:jc w:val="right"/>
              <w:rPr>
                <w:rFonts w:ascii="Times New Roman" w:hAnsi="Times New Roman" w:cs="Times New Roman"/>
                <w:sz w:val="24"/>
                <w:szCs w:val="24"/>
              </w:rPr>
            </w:pPr>
            <w:r w:rsidRPr="00092598">
              <w:rPr>
                <w:rFonts w:ascii="Times New Roman" w:hAnsi="Times New Roman" w:cs="Times New Roman"/>
                <w:sz w:val="24"/>
                <w:szCs w:val="24"/>
              </w:rPr>
              <w:t>17.908</w:t>
            </w:r>
          </w:p>
        </w:tc>
        <w:tc>
          <w:tcPr>
            <w:tcW w:w="1247" w:type="dxa"/>
            <w:tcBorders>
              <w:top w:val="single" w:sz="8" w:space="0" w:color="AEAEAE"/>
              <w:left w:val="single" w:sz="8" w:space="0" w:color="E0E0E0"/>
              <w:bottom w:val="single" w:sz="8" w:space="0" w:color="AEAEAE"/>
              <w:right w:val="single" w:sz="8" w:space="0" w:color="E0E0E0"/>
            </w:tcBorders>
            <w:shd w:val="clear" w:color="auto" w:fill="FFFFFF"/>
          </w:tcPr>
          <w:p w14:paraId="4067EFD8"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378</w:t>
            </w:r>
          </w:p>
        </w:tc>
        <w:tc>
          <w:tcPr>
            <w:tcW w:w="1713" w:type="dxa"/>
            <w:tcBorders>
              <w:top w:val="single" w:sz="8" w:space="0" w:color="AEAEAE"/>
              <w:left w:val="single" w:sz="8" w:space="0" w:color="E0E0E0"/>
              <w:bottom w:val="single" w:sz="8" w:space="0" w:color="AEAEAE"/>
              <w:right w:val="single" w:sz="8" w:space="0" w:color="E0E0E0"/>
            </w:tcBorders>
            <w:shd w:val="clear" w:color="auto" w:fill="FFFFFF"/>
          </w:tcPr>
          <w:p w14:paraId="6E6910A0"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.047</w:t>
            </w:r>
          </w:p>
        </w:tc>
        <w:tc>
          <w:tcPr>
            <w:tcW w:w="124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FAFBE30"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8" w:space="0" w:color="AEAEAE"/>
              <w:left w:val="single" w:sz="8" w:space="0" w:color="E0E0E0"/>
              <w:bottom w:val="single" w:sz="8" w:space="0" w:color="AEAEAE"/>
              <w:right w:val="nil"/>
            </w:tcBorders>
            <w:shd w:val="clear" w:color="auto" w:fill="FFFFFF"/>
            <w:vAlign w:val="center"/>
          </w:tcPr>
          <w:p w14:paraId="24201F37"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671D3CEC" w14:textId="77777777" w:rsidTr="009D17DD">
        <w:trPr>
          <w:cantSplit/>
          <w:trHeight w:val="314"/>
        </w:trPr>
        <w:tc>
          <w:tcPr>
            <w:tcW w:w="891" w:type="dxa"/>
            <w:vMerge/>
            <w:tcBorders>
              <w:top w:val="single" w:sz="8" w:space="0" w:color="152935"/>
              <w:left w:val="nil"/>
              <w:bottom w:val="single" w:sz="8" w:space="0" w:color="152935"/>
              <w:right w:val="nil"/>
            </w:tcBorders>
            <w:shd w:val="clear" w:color="auto" w:fill="E0E0E0"/>
          </w:tcPr>
          <w:p w14:paraId="45E57849"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562" w:type="dxa"/>
            <w:tcBorders>
              <w:top w:val="single" w:sz="8" w:space="0" w:color="AEAEAE"/>
              <w:left w:val="nil"/>
              <w:bottom w:val="single" w:sz="8" w:space="0" w:color="152935"/>
              <w:right w:val="nil"/>
            </w:tcBorders>
            <w:shd w:val="clear" w:color="auto" w:fill="E0E0E0"/>
          </w:tcPr>
          <w:p w14:paraId="0F444FC8" w14:textId="77777777" w:rsidR="009D17DD" w:rsidRPr="00092598" w:rsidRDefault="009D17DD" w:rsidP="005738D3">
            <w:pPr>
              <w:autoSpaceDE w:val="0"/>
              <w:autoSpaceDN w:val="0"/>
              <w:adjustRightInd w:val="0"/>
              <w:spacing w:after="0" w:line="480" w:lineRule="auto"/>
              <w:ind w:left="60" w:right="60"/>
              <w:rPr>
                <w:rFonts w:ascii="Times New Roman" w:hAnsi="Times New Roman" w:cs="Times New Roman"/>
                <w:sz w:val="24"/>
                <w:szCs w:val="24"/>
              </w:rPr>
            </w:pPr>
            <w:r w:rsidRPr="00092598">
              <w:rPr>
                <w:rFonts w:ascii="Times New Roman" w:hAnsi="Times New Roman" w:cs="Times New Roman"/>
                <w:sz w:val="24"/>
                <w:szCs w:val="24"/>
              </w:rPr>
              <w:t>Total</w:t>
            </w:r>
          </w:p>
        </w:tc>
        <w:tc>
          <w:tcPr>
            <w:tcW w:w="1787" w:type="dxa"/>
            <w:tcBorders>
              <w:top w:val="single" w:sz="8" w:space="0" w:color="AEAEAE"/>
              <w:left w:val="nil"/>
              <w:bottom w:val="single" w:sz="8" w:space="0" w:color="152935"/>
              <w:right w:val="single" w:sz="8" w:space="0" w:color="E0E0E0"/>
            </w:tcBorders>
            <w:shd w:val="clear" w:color="auto" w:fill="FFFFFF"/>
          </w:tcPr>
          <w:p w14:paraId="4AB5552B" w14:textId="77777777" w:rsidR="009D17DD" w:rsidRPr="00092598" w:rsidRDefault="009D17DD" w:rsidP="005738D3">
            <w:pPr>
              <w:autoSpaceDE w:val="0"/>
              <w:autoSpaceDN w:val="0"/>
              <w:adjustRightInd w:val="0"/>
              <w:spacing w:after="0" w:line="480" w:lineRule="auto"/>
              <w:ind w:left="60" w:right="60"/>
              <w:jc w:val="right"/>
              <w:rPr>
                <w:rFonts w:ascii="Times New Roman" w:hAnsi="Times New Roman" w:cs="Times New Roman"/>
                <w:sz w:val="24"/>
                <w:szCs w:val="24"/>
              </w:rPr>
            </w:pPr>
            <w:r w:rsidRPr="00092598">
              <w:rPr>
                <w:rFonts w:ascii="Times New Roman" w:hAnsi="Times New Roman" w:cs="Times New Roman"/>
                <w:sz w:val="24"/>
                <w:szCs w:val="24"/>
              </w:rPr>
              <w:t>21.050</w:t>
            </w:r>
          </w:p>
        </w:tc>
        <w:tc>
          <w:tcPr>
            <w:tcW w:w="1247" w:type="dxa"/>
            <w:tcBorders>
              <w:top w:val="single" w:sz="8" w:space="0" w:color="AEAEAE"/>
              <w:left w:val="single" w:sz="8" w:space="0" w:color="E0E0E0"/>
              <w:bottom w:val="single" w:sz="8" w:space="0" w:color="152935"/>
              <w:right w:val="single" w:sz="8" w:space="0" w:color="E0E0E0"/>
            </w:tcBorders>
            <w:shd w:val="clear" w:color="auto" w:fill="FFFFFF"/>
          </w:tcPr>
          <w:p w14:paraId="29911E3A"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379</w:t>
            </w:r>
          </w:p>
        </w:tc>
        <w:tc>
          <w:tcPr>
            <w:tcW w:w="171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F41551C"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86AFC4C"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8" w:space="0" w:color="AEAEAE"/>
              <w:left w:val="single" w:sz="8" w:space="0" w:color="E0E0E0"/>
              <w:bottom w:val="single" w:sz="8" w:space="0" w:color="152935"/>
              <w:right w:val="nil"/>
            </w:tcBorders>
            <w:shd w:val="clear" w:color="auto" w:fill="FFFFFF"/>
            <w:vAlign w:val="center"/>
          </w:tcPr>
          <w:p w14:paraId="4B5DC361"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7707A26B" w14:textId="77777777" w:rsidTr="009D17DD">
        <w:trPr>
          <w:cantSplit/>
          <w:trHeight w:val="298"/>
        </w:trPr>
        <w:tc>
          <w:tcPr>
            <w:tcW w:w="9697" w:type="dxa"/>
            <w:gridSpan w:val="7"/>
            <w:tcBorders>
              <w:top w:val="nil"/>
              <w:left w:val="nil"/>
              <w:bottom w:val="nil"/>
              <w:right w:val="nil"/>
            </w:tcBorders>
            <w:shd w:val="clear" w:color="auto" w:fill="FFFFFF"/>
          </w:tcPr>
          <w:p w14:paraId="67B71E05"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a. Dependent Variable: PDNSI</w:t>
            </w:r>
          </w:p>
        </w:tc>
      </w:tr>
      <w:tr w:rsidR="009D17DD" w:rsidRPr="00092598" w14:paraId="39EEBD0C" w14:textId="77777777" w:rsidTr="009D17DD">
        <w:trPr>
          <w:cantSplit/>
          <w:trHeight w:val="298"/>
        </w:trPr>
        <w:tc>
          <w:tcPr>
            <w:tcW w:w="9697" w:type="dxa"/>
            <w:gridSpan w:val="7"/>
            <w:tcBorders>
              <w:top w:val="nil"/>
              <w:left w:val="nil"/>
              <w:bottom w:val="nil"/>
              <w:right w:val="nil"/>
            </w:tcBorders>
            <w:shd w:val="clear" w:color="auto" w:fill="FFFFFF"/>
          </w:tcPr>
          <w:p w14:paraId="7AEEE5B1"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b. Predictors: (Constant), Ava</w:t>
            </w:r>
            <w:r w:rsidR="005738D3">
              <w:rPr>
                <w:rFonts w:ascii="Times New Roman" w:hAnsi="Times New Roman" w:cs="Times New Roman"/>
                <w:sz w:val="24"/>
                <w:szCs w:val="24"/>
              </w:rPr>
              <w:t>ila</w:t>
            </w:r>
            <w:r w:rsidRPr="00092598">
              <w:rPr>
                <w:rFonts w:ascii="Times New Roman" w:hAnsi="Times New Roman" w:cs="Times New Roman"/>
                <w:sz w:val="24"/>
                <w:szCs w:val="24"/>
              </w:rPr>
              <w:t>bility</w:t>
            </w:r>
          </w:p>
        </w:tc>
      </w:tr>
    </w:tbl>
    <w:p w14:paraId="16D7580B" w14:textId="77777777" w:rsidR="000028C8" w:rsidRDefault="000028C8" w:rsidP="000028C8">
      <w:pPr>
        <w:spacing w:line="240" w:lineRule="auto"/>
        <w:jc w:val="both"/>
        <w:rPr>
          <w:rFonts w:ascii="Times New Roman" w:hAnsi="Times New Roman"/>
          <w:sz w:val="24"/>
          <w:szCs w:val="24"/>
        </w:rPr>
      </w:pPr>
    </w:p>
    <w:p w14:paraId="5E5959F0" w14:textId="46F16054" w:rsidR="009D17DD" w:rsidRPr="006D050E" w:rsidRDefault="009D17DD" w:rsidP="009D17DD">
      <w:pPr>
        <w:spacing w:line="480" w:lineRule="auto"/>
        <w:jc w:val="both"/>
        <w:rPr>
          <w:rFonts w:ascii="Times New Roman" w:hAnsi="Times New Roman"/>
          <w:sz w:val="24"/>
          <w:szCs w:val="24"/>
        </w:rPr>
      </w:pPr>
      <w:r w:rsidRPr="006D050E">
        <w:rPr>
          <w:rFonts w:ascii="Times New Roman" w:hAnsi="Times New Roman"/>
          <w:sz w:val="24"/>
          <w:szCs w:val="24"/>
        </w:rPr>
        <w:t xml:space="preserve">From the above table, the F-value is 66.319 at 0.000 significant levels. Since the level of significant (0.000) is less than 0.05 significant level. Hence, there is a significant association between availability of </w:t>
      </w:r>
      <w:r>
        <w:rPr>
          <w:rFonts w:ascii="Times New Roman" w:hAnsi="Times New Roman"/>
          <w:sz w:val="24"/>
          <w:szCs w:val="24"/>
        </w:rPr>
        <w:t>safety devices</w:t>
      </w:r>
      <w:r w:rsidRPr="006D050E">
        <w:rPr>
          <w:rFonts w:ascii="Times New Roman" w:hAnsi="Times New Roman"/>
          <w:sz w:val="24"/>
          <w:szCs w:val="24"/>
        </w:rPr>
        <w:t xml:space="preserve"> and needle</w:t>
      </w:r>
      <w:r w:rsidR="0060010F">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24DC3204" w14:textId="77777777" w:rsidR="009D17DD" w:rsidRPr="006D050E" w:rsidRDefault="009D17DD" w:rsidP="009D17DD">
      <w:pPr>
        <w:spacing w:line="480" w:lineRule="auto"/>
        <w:jc w:val="both"/>
        <w:rPr>
          <w:rFonts w:ascii="Times New Roman" w:hAnsi="Times New Roman"/>
          <w:sz w:val="24"/>
          <w:szCs w:val="24"/>
        </w:rPr>
      </w:pPr>
    </w:p>
    <w:p w14:paraId="2E779786" w14:textId="77777777" w:rsidR="009D17DD" w:rsidRPr="006D050E" w:rsidRDefault="009D17DD" w:rsidP="009D17DD">
      <w:pPr>
        <w:spacing w:line="480" w:lineRule="auto"/>
        <w:jc w:val="both"/>
        <w:rPr>
          <w:rFonts w:ascii="Times New Roman" w:hAnsi="Times New Roman"/>
          <w:sz w:val="24"/>
          <w:szCs w:val="24"/>
        </w:rPr>
      </w:pPr>
    </w:p>
    <w:p w14:paraId="3CFCC1E0" w14:textId="77777777" w:rsidR="009D17DD" w:rsidRPr="006D050E" w:rsidRDefault="009D17DD" w:rsidP="009D17DD">
      <w:pPr>
        <w:spacing w:line="480" w:lineRule="auto"/>
        <w:jc w:val="both"/>
        <w:rPr>
          <w:rFonts w:ascii="Times New Roman" w:hAnsi="Times New Roman"/>
          <w:sz w:val="24"/>
          <w:szCs w:val="24"/>
        </w:rPr>
      </w:pPr>
    </w:p>
    <w:p w14:paraId="47A6922E" w14:textId="77777777" w:rsidR="009D17DD" w:rsidRPr="006D050E" w:rsidRDefault="009D17DD" w:rsidP="009D17DD">
      <w:pPr>
        <w:spacing w:line="480" w:lineRule="auto"/>
        <w:jc w:val="both"/>
        <w:rPr>
          <w:rFonts w:ascii="Times New Roman" w:hAnsi="Times New Roman"/>
          <w:sz w:val="24"/>
          <w:szCs w:val="24"/>
        </w:rPr>
      </w:pPr>
    </w:p>
    <w:p w14:paraId="5C42C673" w14:textId="77777777" w:rsidR="009D17DD" w:rsidRPr="006D050E" w:rsidRDefault="009D17DD" w:rsidP="009D17DD">
      <w:pPr>
        <w:spacing w:line="480" w:lineRule="auto"/>
        <w:jc w:val="both"/>
        <w:rPr>
          <w:rFonts w:ascii="Times New Roman" w:hAnsi="Times New Roman"/>
          <w:sz w:val="24"/>
          <w:szCs w:val="24"/>
        </w:rPr>
      </w:pPr>
    </w:p>
    <w:p w14:paraId="08C41E85" w14:textId="77777777" w:rsidR="009D17DD" w:rsidRPr="006D050E" w:rsidRDefault="009D17DD" w:rsidP="009D17DD">
      <w:pPr>
        <w:spacing w:line="480" w:lineRule="auto"/>
        <w:jc w:val="both"/>
        <w:rPr>
          <w:rFonts w:ascii="Times New Roman" w:hAnsi="Times New Roman"/>
          <w:sz w:val="24"/>
          <w:szCs w:val="24"/>
        </w:rPr>
      </w:pPr>
    </w:p>
    <w:p w14:paraId="66D387A4" w14:textId="77777777" w:rsidR="009D17DD" w:rsidRPr="006D050E" w:rsidRDefault="009D17DD" w:rsidP="009D17DD">
      <w:pPr>
        <w:spacing w:line="480" w:lineRule="auto"/>
        <w:jc w:val="both"/>
        <w:rPr>
          <w:rFonts w:ascii="Times New Roman" w:hAnsi="Times New Roman"/>
          <w:sz w:val="24"/>
          <w:szCs w:val="24"/>
        </w:rPr>
      </w:pPr>
    </w:p>
    <w:p w14:paraId="5C0788AD" w14:textId="77777777" w:rsidR="009D17DD" w:rsidRPr="006D050E" w:rsidRDefault="009D17DD" w:rsidP="009D17DD">
      <w:pPr>
        <w:rPr>
          <w:rFonts w:ascii="Times New Roman" w:hAnsi="Times New Roman"/>
          <w:b/>
          <w:sz w:val="24"/>
          <w:szCs w:val="24"/>
        </w:rPr>
      </w:pPr>
      <w:r w:rsidRPr="006D050E">
        <w:rPr>
          <w:rFonts w:ascii="Times New Roman" w:hAnsi="Times New Roman"/>
          <w:b/>
          <w:sz w:val="24"/>
          <w:szCs w:val="24"/>
        </w:rPr>
        <w:br w:type="page"/>
      </w:r>
    </w:p>
    <w:p w14:paraId="2813367B" w14:textId="30568206" w:rsidR="009D17DD" w:rsidRPr="000028C8" w:rsidRDefault="000028C8" w:rsidP="000028C8">
      <w:pPr>
        <w:spacing w:after="0" w:line="240" w:lineRule="auto"/>
        <w:jc w:val="both"/>
        <w:rPr>
          <w:rFonts w:ascii="Times New Roman" w:hAnsi="Times New Roman"/>
          <w:b/>
          <w:sz w:val="24"/>
          <w:szCs w:val="24"/>
        </w:rPr>
      </w:pPr>
      <w:r>
        <w:rPr>
          <w:rFonts w:ascii="Times New Roman" w:hAnsi="Times New Roman"/>
          <w:b/>
          <w:sz w:val="24"/>
          <w:szCs w:val="24"/>
        </w:rPr>
        <w:lastRenderedPageBreak/>
        <w:t>Table 6</w:t>
      </w:r>
      <w:r w:rsidR="009D17DD" w:rsidRPr="006D050E">
        <w:rPr>
          <w:rFonts w:ascii="Times New Roman" w:hAnsi="Times New Roman"/>
          <w:b/>
          <w:sz w:val="24"/>
          <w:szCs w:val="24"/>
        </w:rPr>
        <w:t>: showing the significant association between safe injection practices</w:t>
      </w:r>
      <w:r w:rsidR="009D17DD">
        <w:rPr>
          <w:rFonts w:ascii="Times New Roman" w:hAnsi="Times New Roman"/>
          <w:b/>
          <w:sz w:val="24"/>
          <w:szCs w:val="24"/>
        </w:rPr>
        <w:t xml:space="preserve"> </w:t>
      </w:r>
      <w:r w:rsidR="009D17DD" w:rsidRPr="006D050E">
        <w:rPr>
          <w:rFonts w:ascii="Times New Roman" w:hAnsi="Times New Roman"/>
          <w:b/>
          <w:sz w:val="24"/>
          <w:szCs w:val="24"/>
        </w:rPr>
        <w:t>and needle</w:t>
      </w:r>
      <w:r w:rsidR="0060010F">
        <w:rPr>
          <w:rFonts w:ascii="Times New Roman" w:hAnsi="Times New Roman"/>
          <w:b/>
          <w:sz w:val="24"/>
          <w:szCs w:val="24"/>
        </w:rPr>
        <w:t>-</w:t>
      </w:r>
      <w:r w:rsidR="009D17DD" w:rsidRPr="006D050E">
        <w:rPr>
          <w:rFonts w:ascii="Times New Roman" w:hAnsi="Times New Roman"/>
          <w:b/>
          <w:sz w:val="24"/>
          <w:szCs w:val="24"/>
        </w:rPr>
        <w:t>stick injuries among healthcare workers in tertiary hea</w:t>
      </w:r>
      <w:r>
        <w:rPr>
          <w:rFonts w:ascii="Times New Roman" w:hAnsi="Times New Roman"/>
          <w:b/>
          <w:sz w:val="24"/>
          <w:szCs w:val="24"/>
        </w:rPr>
        <w:t>lth institutions, Rivers State</w:t>
      </w:r>
    </w:p>
    <w:tbl>
      <w:tblPr>
        <w:tblW w:w="9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4"/>
        <w:gridCol w:w="1514"/>
        <w:gridCol w:w="1731"/>
        <w:gridCol w:w="1208"/>
        <w:gridCol w:w="1660"/>
        <w:gridCol w:w="1208"/>
        <w:gridCol w:w="1210"/>
      </w:tblGrid>
      <w:tr w:rsidR="009D17DD" w:rsidRPr="00092598" w14:paraId="084729B2" w14:textId="77777777" w:rsidTr="000028C8">
        <w:trPr>
          <w:cantSplit/>
          <w:trHeight w:val="299"/>
        </w:trPr>
        <w:tc>
          <w:tcPr>
            <w:tcW w:w="9395" w:type="dxa"/>
            <w:gridSpan w:val="7"/>
            <w:tcBorders>
              <w:top w:val="single" w:sz="4" w:space="0" w:color="auto"/>
              <w:left w:val="nil"/>
              <w:bottom w:val="nil"/>
              <w:right w:val="nil"/>
            </w:tcBorders>
            <w:shd w:val="clear" w:color="auto" w:fill="FFFFFF"/>
            <w:vAlign w:val="center"/>
          </w:tcPr>
          <w:p w14:paraId="041DDA2A"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b/>
                <w:bCs/>
                <w:sz w:val="24"/>
                <w:szCs w:val="24"/>
                <w:vertAlign w:val="superscript"/>
              </w:rPr>
              <w:t>a</w:t>
            </w:r>
          </w:p>
        </w:tc>
      </w:tr>
      <w:tr w:rsidR="009D17DD" w:rsidRPr="00092598" w14:paraId="6A0FB20E" w14:textId="77777777" w:rsidTr="000028C8">
        <w:trPr>
          <w:cantSplit/>
          <w:trHeight w:val="599"/>
        </w:trPr>
        <w:tc>
          <w:tcPr>
            <w:tcW w:w="2378" w:type="dxa"/>
            <w:gridSpan w:val="2"/>
            <w:tcBorders>
              <w:top w:val="nil"/>
              <w:left w:val="nil"/>
              <w:bottom w:val="single" w:sz="8" w:space="0" w:color="152935"/>
              <w:right w:val="nil"/>
            </w:tcBorders>
            <w:shd w:val="clear" w:color="auto" w:fill="FFFFFF"/>
            <w:vAlign w:val="bottom"/>
          </w:tcPr>
          <w:p w14:paraId="2D173A20"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Model</w:t>
            </w:r>
          </w:p>
        </w:tc>
        <w:tc>
          <w:tcPr>
            <w:tcW w:w="1731" w:type="dxa"/>
            <w:tcBorders>
              <w:top w:val="nil"/>
              <w:left w:val="nil"/>
              <w:bottom w:val="single" w:sz="8" w:space="0" w:color="152935"/>
              <w:right w:val="single" w:sz="8" w:space="0" w:color="E0E0E0"/>
            </w:tcBorders>
            <w:shd w:val="clear" w:color="auto" w:fill="FFFFFF"/>
            <w:vAlign w:val="bottom"/>
          </w:tcPr>
          <w:p w14:paraId="6F1DBAC2"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Sum of Squares</w:t>
            </w:r>
          </w:p>
        </w:tc>
        <w:tc>
          <w:tcPr>
            <w:tcW w:w="1208" w:type="dxa"/>
            <w:tcBorders>
              <w:top w:val="nil"/>
              <w:left w:val="single" w:sz="8" w:space="0" w:color="E0E0E0"/>
              <w:bottom w:val="single" w:sz="8" w:space="0" w:color="152935"/>
              <w:right w:val="single" w:sz="8" w:space="0" w:color="E0E0E0"/>
            </w:tcBorders>
            <w:shd w:val="clear" w:color="auto" w:fill="FFFFFF"/>
            <w:vAlign w:val="bottom"/>
          </w:tcPr>
          <w:p w14:paraId="62929C36"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df</w:t>
            </w:r>
          </w:p>
        </w:tc>
        <w:tc>
          <w:tcPr>
            <w:tcW w:w="1660" w:type="dxa"/>
            <w:tcBorders>
              <w:top w:val="nil"/>
              <w:left w:val="single" w:sz="8" w:space="0" w:color="E0E0E0"/>
              <w:bottom w:val="single" w:sz="8" w:space="0" w:color="152935"/>
              <w:right w:val="single" w:sz="8" w:space="0" w:color="E0E0E0"/>
            </w:tcBorders>
            <w:shd w:val="clear" w:color="auto" w:fill="FFFFFF"/>
            <w:vAlign w:val="bottom"/>
          </w:tcPr>
          <w:p w14:paraId="2D7FA780"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Mean Square</w:t>
            </w:r>
          </w:p>
        </w:tc>
        <w:tc>
          <w:tcPr>
            <w:tcW w:w="1208" w:type="dxa"/>
            <w:tcBorders>
              <w:top w:val="nil"/>
              <w:left w:val="single" w:sz="8" w:space="0" w:color="E0E0E0"/>
              <w:bottom w:val="single" w:sz="8" w:space="0" w:color="152935"/>
              <w:right w:val="single" w:sz="8" w:space="0" w:color="E0E0E0"/>
            </w:tcBorders>
            <w:shd w:val="clear" w:color="auto" w:fill="FFFFFF"/>
            <w:vAlign w:val="bottom"/>
          </w:tcPr>
          <w:p w14:paraId="154991D9"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F</w:t>
            </w:r>
          </w:p>
        </w:tc>
        <w:tc>
          <w:tcPr>
            <w:tcW w:w="1208" w:type="dxa"/>
            <w:tcBorders>
              <w:top w:val="nil"/>
              <w:left w:val="single" w:sz="8" w:space="0" w:color="E0E0E0"/>
              <w:bottom w:val="single" w:sz="8" w:space="0" w:color="152935"/>
              <w:right w:val="nil"/>
            </w:tcBorders>
            <w:shd w:val="clear" w:color="auto" w:fill="FFFFFF"/>
            <w:vAlign w:val="bottom"/>
          </w:tcPr>
          <w:p w14:paraId="426CFC16"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Sig.</w:t>
            </w:r>
          </w:p>
        </w:tc>
      </w:tr>
      <w:tr w:rsidR="009D17DD" w:rsidRPr="00092598" w14:paraId="471904C6" w14:textId="77777777" w:rsidTr="000028C8">
        <w:trPr>
          <w:cantSplit/>
          <w:trHeight w:val="299"/>
        </w:trPr>
        <w:tc>
          <w:tcPr>
            <w:tcW w:w="864" w:type="dxa"/>
            <w:vMerge w:val="restart"/>
            <w:tcBorders>
              <w:top w:val="single" w:sz="8" w:space="0" w:color="152935"/>
              <w:left w:val="nil"/>
              <w:bottom w:val="single" w:sz="8" w:space="0" w:color="152935"/>
              <w:right w:val="nil"/>
            </w:tcBorders>
            <w:shd w:val="clear" w:color="auto" w:fill="E0E0E0"/>
          </w:tcPr>
          <w:p w14:paraId="772EA9A9"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1</w:t>
            </w:r>
          </w:p>
        </w:tc>
        <w:tc>
          <w:tcPr>
            <w:tcW w:w="1513" w:type="dxa"/>
            <w:tcBorders>
              <w:top w:val="single" w:sz="8" w:space="0" w:color="152935"/>
              <w:left w:val="nil"/>
              <w:bottom w:val="single" w:sz="8" w:space="0" w:color="AEAEAE"/>
              <w:right w:val="nil"/>
            </w:tcBorders>
            <w:shd w:val="clear" w:color="auto" w:fill="E0E0E0"/>
          </w:tcPr>
          <w:p w14:paraId="542FABC8"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Regression</w:t>
            </w:r>
          </w:p>
        </w:tc>
        <w:tc>
          <w:tcPr>
            <w:tcW w:w="1731" w:type="dxa"/>
            <w:tcBorders>
              <w:top w:val="single" w:sz="8" w:space="0" w:color="152935"/>
              <w:left w:val="nil"/>
              <w:bottom w:val="single" w:sz="8" w:space="0" w:color="AEAEAE"/>
              <w:right w:val="single" w:sz="8" w:space="0" w:color="E0E0E0"/>
            </w:tcBorders>
            <w:shd w:val="clear" w:color="auto" w:fill="FFFFFF"/>
          </w:tcPr>
          <w:p w14:paraId="43DE0D5E"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13.618</w:t>
            </w:r>
          </w:p>
        </w:tc>
        <w:tc>
          <w:tcPr>
            <w:tcW w:w="1208" w:type="dxa"/>
            <w:tcBorders>
              <w:top w:val="single" w:sz="8" w:space="0" w:color="152935"/>
              <w:left w:val="single" w:sz="8" w:space="0" w:color="E0E0E0"/>
              <w:bottom w:val="single" w:sz="8" w:space="0" w:color="AEAEAE"/>
              <w:right w:val="single" w:sz="8" w:space="0" w:color="E0E0E0"/>
            </w:tcBorders>
            <w:shd w:val="clear" w:color="auto" w:fill="FFFFFF"/>
          </w:tcPr>
          <w:p w14:paraId="38B3B6B3"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1</w:t>
            </w:r>
          </w:p>
        </w:tc>
        <w:tc>
          <w:tcPr>
            <w:tcW w:w="1660" w:type="dxa"/>
            <w:tcBorders>
              <w:top w:val="single" w:sz="8" w:space="0" w:color="152935"/>
              <w:left w:val="single" w:sz="8" w:space="0" w:color="E0E0E0"/>
              <w:bottom w:val="single" w:sz="8" w:space="0" w:color="AEAEAE"/>
              <w:right w:val="single" w:sz="8" w:space="0" w:color="E0E0E0"/>
            </w:tcBorders>
            <w:shd w:val="clear" w:color="auto" w:fill="FFFFFF"/>
          </w:tcPr>
          <w:p w14:paraId="6174CBEA"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13.618</w:t>
            </w:r>
          </w:p>
        </w:tc>
        <w:tc>
          <w:tcPr>
            <w:tcW w:w="1208" w:type="dxa"/>
            <w:tcBorders>
              <w:top w:val="single" w:sz="8" w:space="0" w:color="152935"/>
              <w:left w:val="single" w:sz="8" w:space="0" w:color="E0E0E0"/>
              <w:bottom w:val="single" w:sz="8" w:space="0" w:color="AEAEAE"/>
              <w:right w:val="single" w:sz="8" w:space="0" w:color="E0E0E0"/>
            </w:tcBorders>
            <w:shd w:val="clear" w:color="auto" w:fill="FFFFFF"/>
          </w:tcPr>
          <w:p w14:paraId="58BFB682"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692.551</w:t>
            </w:r>
          </w:p>
        </w:tc>
        <w:tc>
          <w:tcPr>
            <w:tcW w:w="1208" w:type="dxa"/>
            <w:tcBorders>
              <w:top w:val="single" w:sz="8" w:space="0" w:color="152935"/>
              <w:left w:val="single" w:sz="8" w:space="0" w:color="E0E0E0"/>
              <w:bottom w:val="single" w:sz="8" w:space="0" w:color="AEAEAE"/>
              <w:right w:val="nil"/>
            </w:tcBorders>
            <w:shd w:val="clear" w:color="auto" w:fill="FFFFFF"/>
          </w:tcPr>
          <w:p w14:paraId="4DC985A6"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.000</w:t>
            </w:r>
            <w:r w:rsidRPr="00092598">
              <w:rPr>
                <w:rFonts w:ascii="Times New Roman" w:hAnsi="Times New Roman" w:cs="Times New Roman"/>
                <w:sz w:val="24"/>
                <w:szCs w:val="24"/>
                <w:vertAlign w:val="superscript"/>
              </w:rPr>
              <w:t>b</w:t>
            </w:r>
          </w:p>
        </w:tc>
      </w:tr>
      <w:tr w:rsidR="009D17DD" w:rsidRPr="00092598" w14:paraId="787D32C5" w14:textId="77777777" w:rsidTr="000028C8">
        <w:trPr>
          <w:cantSplit/>
          <w:trHeight w:val="331"/>
        </w:trPr>
        <w:tc>
          <w:tcPr>
            <w:tcW w:w="864" w:type="dxa"/>
            <w:vMerge/>
            <w:tcBorders>
              <w:top w:val="single" w:sz="8" w:space="0" w:color="152935"/>
              <w:left w:val="nil"/>
              <w:bottom w:val="single" w:sz="8" w:space="0" w:color="152935"/>
              <w:right w:val="nil"/>
            </w:tcBorders>
            <w:shd w:val="clear" w:color="auto" w:fill="E0E0E0"/>
          </w:tcPr>
          <w:p w14:paraId="25D9071C"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513" w:type="dxa"/>
            <w:tcBorders>
              <w:top w:val="single" w:sz="8" w:space="0" w:color="AEAEAE"/>
              <w:left w:val="nil"/>
              <w:bottom w:val="single" w:sz="8" w:space="0" w:color="AEAEAE"/>
              <w:right w:val="nil"/>
            </w:tcBorders>
            <w:shd w:val="clear" w:color="auto" w:fill="E0E0E0"/>
          </w:tcPr>
          <w:p w14:paraId="11F27539"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Residual</w:t>
            </w:r>
          </w:p>
        </w:tc>
        <w:tc>
          <w:tcPr>
            <w:tcW w:w="1731" w:type="dxa"/>
            <w:tcBorders>
              <w:top w:val="single" w:sz="8" w:space="0" w:color="AEAEAE"/>
              <w:left w:val="nil"/>
              <w:bottom w:val="single" w:sz="8" w:space="0" w:color="AEAEAE"/>
              <w:right w:val="single" w:sz="8" w:space="0" w:color="E0E0E0"/>
            </w:tcBorders>
            <w:shd w:val="clear" w:color="auto" w:fill="FFFFFF"/>
          </w:tcPr>
          <w:p w14:paraId="1D87BA17"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7.433</w:t>
            </w:r>
          </w:p>
        </w:tc>
        <w:tc>
          <w:tcPr>
            <w:tcW w:w="1208" w:type="dxa"/>
            <w:tcBorders>
              <w:top w:val="single" w:sz="8" w:space="0" w:color="AEAEAE"/>
              <w:left w:val="single" w:sz="8" w:space="0" w:color="E0E0E0"/>
              <w:bottom w:val="single" w:sz="8" w:space="0" w:color="AEAEAE"/>
              <w:right w:val="single" w:sz="8" w:space="0" w:color="E0E0E0"/>
            </w:tcBorders>
            <w:shd w:val="clear" w:color="auto" w:fill="FFFFFF"/>
          </w:tcPr>
          <w:p w14:paraId="7AFAC889"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378</w:t>
            </w:r>
          </w:p>
        </w:tc>
        <w:tc>
          <w:tcPr>
            <w:tcW w:w="1660" w:type="dxa"/>
            <w:tcBorders>
              <w:top w:val="single" w:sz="8" w:space="0" w:color="AEAEAE"/>
              <w:left w:val="single" w:sz="8" w:space="0" w:color="E0E0E0"/>
              <w:bottom w:val="single" w:sz="8" w:space="0" w:color="AEAEAE"/>
              <w:right w:val="single" w:sz="8" w:space="0" w:color="E0E0E0"/>
            </w:tcBorders>
            <w:shd w:val="clear" w:color="auto" w:fill="FFFFFF"/>
          </w:tcPr>
          <w:p w14:paraId="01EC3B37"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.020</w:t>
            </w:r>
          </w:p>
        </w:tc>
        <w:tc>
          <w:tcPr>
            <w:tcW w:w="120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EA861CE"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08" w:type="dxa"/>
            <w:tcBorders>
              <w:top w:val="single" w:sz="8" w:space="0" w:color="AEAEAE"/>
              <w:left w:val="single" w:sz="8" w:space="0" w:color="E0E0E0"/>
              <w:bottom w:val="single" w:sz="8" w:space="0" w:color="AEAEAE"/>
              <w:right w:val="nil"/>
            </w:tcBorders>
            <w:shd w:val="clear" w:color="auto" w:fill="FFFFFF"/>
            <w:vAlign w:val="center"/>
          </w:tcPr>
          <w:p w14:paraId="7CBCF7D9"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2838C2EE" w14:textId="77777777" w:rsidTr="000028C8">
        <w:trPr>
          <w:cantSplit/>
          <w:trHeight w:val="315"/>
        </w:trPr>
        <w:tc>
          <w:tcPr>
            <w:tcW w:w="864" w:type="dxa"/>
            <w:vMerge/>
            <w:tcBorders>
              <w:top w:val="single" w:sz="8" w:space="0" w:color="152935"/>
              <w:left w:val="nil"/>
              <w:bottom w:val="single" w:sz="8" w:space="0" w:color="152935"/>
              <w:right w:val="nil"/>
            </w:tcBorders>
            <w:shd w:val="clear" w:color="auto" w:fill="E0E0E0"/>
          </w:tcPr>
          <w:p w14:paraId="7611A1D4"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513" w:type="dxa"/>
            <w:tcBorders>
              <w:top w:val="single" w:sz="8" w:space="0" w:color="AEAEAE"/>
              <w:left w:val="nil"/>
              <w:bottom w:val="single" w:sz="8" w:space="0" w:color="152935"/>
              <w:right w:val="nil"/>
            </w:tcBorders>
            <w:shd w:val="clear" w:color="auto" w:fill="E0E0E0"/>
          </w:tcPr>
          <w:p w14:paraId="1D7A425F"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Total</w:t>
            </w:r>
          </w:p>
        </w:tc>
        <w:tc>
          <w:tcPr>
            <w:tcW w:w="1731" w:type="dxa"/>
            <w:tcBorders>
              <w:top w:val="single" w:sz="8" w:space="0" w:color="AEAEAE"/>
              <w:left w:val="nil"/>
              <w:bottom w:val="single" w:sz="8" w:space="0" w:color="152935"/>
              <w:right w:val="single" w:sz="8" w:space="0" w:color="E0E0E0"/>
            </w:tcBorders>
            <w:shd w:val="clear" w:color="auto" w:fill="FFFFFF"/>
          </w:tcPr>
          <w:p w14:paraId="7650EFD4"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21.050</w:t>
            </w:r>
          </w:p>
        </w:tc>
        <w:tc>
          <w:tcPr>
            <w:tcW w:w="1208" w:type="dxa"/>
            <w:tcBorders>
              <w:top w:val="single" w:sz="8" w:space="0" w:color="AEAEAE"/>
              <w:left w:val="single" w:sz="8" w:space="0" w:color="E0E0E0"/>
              <w:bottom w:val="single" w:sz="8" w:space="0" w:color="152935"/>
              <w:right w:val="single" w:sz="8" w:space="0" w:color="E0E0E0"/>
            </w:tcBorders>
            <w:shd w:val="clear" w:color="auto" w:fill="FFFFFF"/>
          </w:tcPr>
          <w:p w14:paraId="1A0D967F"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379</w:t>
            </w:r>
          </w:p>
        </w:tc>
        <w:tc>
          <w:tcPr>
            <w:tcW w:w="166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65350FE"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556E55C"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08" w:type="dxa"/>
            <w:tcBorders>
              <w:top w:val="single" w:sz="8" w:space="0" w:color="AEAEAE"/>
              <w:left w:val="single" w:sz="8" w:space="0" w:color="E0E0E0"/>
              <w:bottom w:val="single" w:sz="8" w:space="0" w:color="152935"/>
              <w:right w:val="nil"/>
            </w:tcBorders>
            <w:shd w:val="clear" w:color="auto" w:fill="FFFFFF"/>
            <w:vAlign w:val="center"/>
          </w:tcPr>
          <w:p w14:paraId="41A9C008"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690F2229" w14:textId="77777777" w:rsidTr="000028C8">
        <w:trPr>
          <w:cantSplit/>
          <w:trHeight w:val="299"/>
        </w:trPr>
        <w:tc>
          <w:tcPr>
            <w:tcW w:w="9395" w:type="dxa"/>
            <w:gridSpan w:val="7"/>
            <w:tcBorders>
              <w:top w:val="nil"/>
              <w:left w:val="nil"/>
              <w:bottom w:val="nil"/>
              <w:right w:val="nil"/>
            </w:tcBorders>
            <w:shd w:val="clear" w:color="auto" w:fill="FFFFFF"/>
          </w:tcPr>
          <w:p w14:paraId="249AFE01"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a. Dependent Variable: PDNSI</w:t>
            </w:r>
          </w:p>
        </w:tc>
      </w:tr>
      <w:tr w:rsidR="009D17DD" w:rsidRPr="00092598" w14:paraId="4C261A4B" w14:textId="77777777" w:rsidTr="000028C8">
        <w:trPr>
          <w:cantSplit/>
          <w:trHeight w:val="299"/>
        </w:trPr>
        <w:tc>
          <w:tcPr>
            <w:tcW w:w="9395" w:type="dxa"/>
            <w:gridSpan w:val="7"/>
            <w:tcBorders>
              <w:top w:val="nil"/>
              <w:left w:val="nil"/>
              <w:bottom w:val="nil"/>
              <w:right w:val="nil"/>
            </w:tcBorders>
            <w:shd w:val="clear" w:color="auto" w:fill="FFFFFF"/>
          </w:tcPr>
          <w:p w14:paraId="049E68C6" w14:textId="77777777" w:rsidR="009D17DD" w:rsidRPr="00092598" w:rsidRDefault="000028C8" w:rsidP="000028C8">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b. Predictors: (Constant)</w:t>
            </w:r>
          </w:p>
        </w:tc>
      </w:tr>
    </w:tbl>
    <w:p w14:paraId="6CCB8915" w14:textId="0AD6538F" w:rsidR="009D17DD" w:rsidRPr="006D050E" w:rsidRDefault="009D17DD" w:rsidP="009D17DD">
      <w:pPr>
        <w:spacing w:line="480" w:lineRule="auto"/>
        <w:jc w:val="both"/>
        <w:rPr>
          <w:rFonts w:ascii="Times New Roman" w:hAnsi="Times New Roman"/>
          <w:sz w:val="24"/>
          <w:szCs w:val="24"/>
        </w:rPr>
      </w:pPr>
      <w:r w:rsidRPr="006D050E">
        <w:rPr>
          <w:rFonts w:ascii="Times New Roman" w:hAnsi="Times New Roman"/>
          <w:sz w:val="24"/>
          <w:szCs w:val="24"/>
        </w:rPr>
        <w:t>From the above table, the F-value is 692.551 at 0.000 significant levels. Since the level of significant (0.000) is less than 0.05 significant level. Hence, there is a significant association between safe injection practices and needle</w:t>
      </w:r>
      <w:r w:rsidR="0060010F">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5756E2AA" w14:textId="77777777" w:rsidR="000028C8" w:rsidRPr="00794C96" w:rsidRDefault="000028C8" w:rsidP="000028C8">
      <w:pPr>
        <w:pStyle w:val="Heading1"/>
        <w:spacing w:before="0" w:beforeAutospacing="0" w:after="160" w:afterAutospacing="0" w:line="480" w:lineRule="auto"/>
        <w:jc w:val="both"/>
        <w:rPr>
          <w:sz w:val="24"/>
          <w:szCs w:val="24"/>
        </w:rPr>
      </w:pPr>
      <w:r w:rsidRPr="00794C96">
        <w:rPr>
          <w:sz w:val="24"/>
          <w:szCs w:val="24"/>
        </w:rPr>
        <w:t>Discussion of Findings</w:t>
      </w:r>
    </w:p>
    <w:p w14:paraId="3B426D26" w14:textId="51842994" w:rsidR="000028C8" w:rsidRDefault="000028C8" w:rsidP="000028C8">
      <w:pPr>
        <w:spacing w:line="480" w:lineRule="auto"/>
        <w:jc w:val="both"/>
        <w:rPr>
          <w:rFonts w:ascii="Times New Roman" w:hAnsi="Times New Roman" w:cs="Times New Roman"/>
          <w:sz w:val="24"/>
          <w:szCs w:val="24"/>
        </w:rPr>
      </w:pPr>
      <w:r w:rsidRPr="006D050E">
        <w:rPr>
          <w:rFonts w:ascii="Times New Roman" w:hAnsi="Times New Roman" w:cs="Times New Roman"/>
          <w:sz w:val="24"/>
          <w:szCs w:val="24"/>
        </w:rPr>
        <w:t xml:space="preserve">The result indicated that </w:t>
      </w:r>
      <w:r w:rsidRPr="006D050E">
        <w:rPr>
          <w:rFonts w:ascii="Times New Roman" w:hAnsi="Times New Roman"/>
          <w:sz w:val="24"/>
          <w:szCs w:val="24"/>
        </w:rPr>
        <w:t xml:space="preserve">case acuity </w:t>
      </w:r>
      <w:r w:rsidRPr="006D050E">
        <w:rPr>
          <w:rFonts w:ascii="Times New Roman" w:hAnsi="Times New Roman" w:cs="Times New Roman"/>
          <w:sz w:val="24"/>
          <w:szCs w:val="24"/>
        </w:rPr>
        <w:t>was 10 times more likely to determine needle</w:t>
      </w:r>
      <w:r w:rsidR="00E32E7D">
        <w:rPr>
          <w:rFonts w:ascii="Times New Roman" w:hAnsi="Times New Roman" w:cs="Times New Roman"/>
          <w:sz w:val="24"/>
          <w:szCs w:val="24"/>
        </w:rPr>
        <w:t>-</w:t>
      </w:r>
      <w:r w:rsidRPr="006D050E">
        <w:rPr>
          <w:rFonts w:ascii="Times New Roman" w:hAnsi="Times New Roman" w:cs="Times New Roman"/>
          <w:sz w:val="24"/>
          <w:szCs w:val="24"/>
        </w:rPr>
        <w:t xml:space="preserve">stick injury among healthcare workers. The result showed that </w:t>
      </w:r>
      <w:r w:rsidRPr="006D050E">
        <w:rPr>
          <w:rFonts w:ascii="Times New Roman" w:hAnsi="Times New Roman"/>
          <w:sz w:val="24"/>
          <w:szCs w:val="24"/>
        </w:rPr>
        <w:t>the extent to which case acuity constituted a determinant to needle</w:t>
      </w:r>
      <w:r w:rsidR="00E92491">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 was high. The result of this study is expected because the severity of the case treated by the healthcare workers are more likely to determine exposure to needle</w:t>
      </w:r>
      <w:r w:rsidR="00E92491">
        <w:rPr>
          <w:rFonts w:ascii="Times New Roman" w:hAnsi="Times New Roman"/>
          <w:sz w:val="24"/>
          <w:szCs w:val="24"/>
        </w:rPr>
        <w:t>-</w:t>
      </w:r>
      <w:r w:rsidRPr="006D050E">
        <w:rPr>
          <w:rFonts w:ascii="Times New Roman" w:hAnsi="Times New Roman"/>
          <w:sz w:val="24"/>
          <w:szCs w:val="24"/>
        </w:rPr>
        <w:t>stick injury among healthcare workers. Isara et al. (2015) reported that prevalence of needle</w:t>
      </w:r>
      <w:r w:rsidR="00935D6B">
        <w:rPr>
          <w:rFonts w:ascii="Times New Roman" w:hAnsi="Times New Roman"/>
          <w:sz w:val="24"/>
          <w:szCs w:val="24"/>
        </w:rPr>
        <w:t>-</w:t>
      </w:r>
      <w:r w:rsidRPr="006D050E">
        <w:rPr>
          <w:rFonts w:ascii="Times New Roman" w:hAnsi="Times New Roman"/>
          <w:sz w:val="24"/>
          <w:szCs w:val="24"/>
        </w:rPr>
        <w:t xml:space="preserve">stick injury was significantly high among workers who operates in theatre or surgical room. Abdul-Wahab et al. (2019) illustrated that sterilized device which accounted for most of sharps injury cases was hypodermic needle, 67 (40.6%), many of the sharp injury cases occurred while withdrawing needle from patient, 26 (15.9%) during medical proceeding. Studies Ottino et al. (2019) indicated that devices </w:t>
      </w:r>
      <w:r w:rsidR="0040624B">
        <w:rPr>
          <w:rFonts w:ascii="Times New Roman" w:hAnsi="Times New Roman"/>
          <w:sz w:val="24"/>
          <w:szCs w:val="24"/>
        </w:rPr>
        <w:t xml:space="preserve">involved </w:t>
      </w:r>
      <w:r w:rsidRPr="006D050E">
        <w:rPr>
          <w:rFonts w:ascii="Times New Roman" w:hAnsi="Times New Roman"/>
          <w:sz w:val="24"/>
          <w:szCs w:val="24"/>
        </w:rPr>
        <w:t xml:space="preserve">were the butterfly needles and peripheral venous catheters, and the most </w:t>
      </w:r>
      <w:r w:rsidR="00272A7F">
        <w:rPr>
          <w:rFonts w:ascii="Times New Roman" w:hAnsi="Times New Roman"/>
          <w:sz w:val="24"/>
          <w:szCs w:val="24"/>
        </w:rPr>
        <w:t xml:space="preserve">affected </w:t>
      </w:r>
      <w:r w:rsidRPr="006D050E">
        <w:rPr>
          <w:rFonts w:ascii="Times New Roman" w:hAnsi="Times New Roman"/>
          <w:sz w:val="24"/>
          <w:szCs w:val="24"/>
        </w:rPr>
        <w:t xml:space="preserve">procedures were venous sampling (40%) and phlebotherapy (16%). The exposures occurred mostly during the </w:t>
      </w:r>
      <w:r w:rsidRPr="006D050E">
        <w:rPr>
          <w:rFonts w:ascii="Times New Roman" w:hAnsi="Times New Roman"/>
          <w:sz w:val="24"/>
          <w:szCs w:val="24"/>
        </w:rPr>
        <w:lastRenderedPageBreak/>
        <w:t>procedure, and 45% of the SED-related injuries occurred during the disposal of the device (Ottino et al. 2019). Mohamud et al. (2023) reported that operation theaters were the most frequent place (21.9%) where injuries happened, followed by inpatient care (17.6%) and emergency rooms (16.7%).</w:t>
      </w:r>
      <w:r w:rsidR="0073402F">
        <w:rPr>
          <w:rFonts w:ascii="Times New Roman" w:hAnsi="Times New Roman"/>
          <w:sz w:val="24"/>
          <w:szCs w:val="24"/>
        </w:rPr>
        <w:t xml:space="preserve"> </w:t>
      </w:r>
      <w:r w:rsidRPr="006D050E">
        <w:rPr>
          <w:rFonts w:ascii="Times New Roman" w:hAnsi="Times New Roman"/>
          <w:sz w:val="24"/>
          <w:szCs w:val="24"/>
        </w:rPr>
        <w:t xml:space="preserve">It was </w:t>
      </w:r>
      <w:r w:rsidR="0073402F" w:rsidRPr="006D050E">
        <w:rPr>
          <w:rFonts w:ascii="Times New Roman" w:hAnsi="Times New Roman"/>
          <w:sz w:val="24"/>
          <w:szCs w:val="24"/>
        </w:rPr>
        <w:t>deduced</w:t>
      </w:r>
      <w:r w:rsidRPr="006D050E">
        <w:rPr>
          <w:rFonts w:ascii="Times New Roman" w:hAnsi="Times New Roman"/>
          <w:sz w:val="24"/>
          <w:szCs w:val="24"/>
        </w:rPr>
        <w:t xml:space="preserve"> that acuity of the cases such as emergency treatment, surgery and others </w:t>
      </w:r>
      <w:r w:rsidR="007D21FB">
        <w:rPr>
          <w:rFonts w:ascii="Times New Roman" w:hAnsi="Times New Roman"/>
          <w:sz w:val="24"/>
          <w:szCs w:val="24"/>
        </w:rPr>
        <w:t xml:space="preserve">exposed </w:t>
      </w:r>
      <w:r w:rsidRPr="006D050E">
        <w:rPr>
          <w:rFonts w:ascii="Times New Roman" w:hAnsi="Times New Roman"/>
          <w:sz w:val="24"/>
          <w:szCs w:val="24"/>
        </w:rPr>
        <w:t xml:space="preserve">workers to occupational injury during operations. Hence, case acuity </w:t>
      </w:r>
      <w:r w:rsidR="00A344A5">
        <w:rPr>
          <w:rFonts w:ascii="Times New Roman" w:hAnsi="Times New Roman"/>
          <w:sz w:val="24"/>
          <w:szCs w:val="24"/>
        </w:rPr>
        <w:t>determined</w:t>
      </w:r>
      <w:r w:rsidRPr="006D050E">
        <w:rPr>
          <w:rFonts w:ascii="Times New Roman" w:hAnsi="Times New Roman"/>
          <w:sz w:val="24"/>
          <w:szCs w:val="24"/>
        </w:rPr>
        <w:t xml:space="preserve"> needle</w:t>
      </w:r>
      <w:r w:rsidR="00A344A5">
        <w:rPr>
          <w:rFonts w:ascii="Times New Roman" w:hAnsi="Times New Roman"/>
          <w:sz w:val="24"/>
          <w:szCs w:val="24"/>
        </w:rPr>
        <w:t>-</w:t>
      </w:r>
      <w:r w:rsidRPr="006D050E">
        <w:rPr>
          <w:rFonts w:ascii="Times New Roman" w:hAnsi="Times New Roman"/>
          <w:sz w:val="24"/>
          <w:szCs w:val="24"/>
        </w:rPr>
        <w:t>stick injury among workers in health institutions.</w:t>
      </w:r>
      <w:r>
        <w:rPr>
          <w:rFonts w:ascii="Times New Roman" w:hAnsi="Times New Roman"/>
          <w:sz w:val="24"/>
          <w:szCs w:val="24"/>
        </w:rPr>
        <w:t xml:space="preserve"> This similarity in findings could be attributed to the similarity in study population.</w:t>
      </w:r>
    </w:p>
    <w:p w14:paraId="7E621907" w14:textId="731C217C" w:rsidR="000028C8" w:rsidRPr="006D050E" w:rsidRDefault="000028C8" w:rsidP="000028C8">
      <w:pPr>
        <w:spacing w:line="480" w:lineRule="auto"/>
        <w:jc w:val="both"/>
        <w:rPr>
          <w:rFonts w:ascii="Times New Roman" w:hAnsi="Times New Roman" w:cs="Times New Roman"/>
          <w:sz w:val="24"/>
          <w:szCs w:val="24"/>
        </w:rPr>
      </w:pPr>
      <w:r w:rsidRPr="006D050E">
        <w:rPr>
          <w:rFonts w:ascii="Times New Roman" w:hAnsi="Times New Roman" w:cs="Times New Roman"/>
          <w:sz w:val="24"/>
          <w:szCs w:val="24"/>
        </w:rPr>
        <w:t xml:space="preserve">The result indicated that </w:t>
      </w:r>
      <w:r w:rsidRPr="006D050E">
        <w:rPr>
          <w:rFonts w:ascii="Times New Roman" w:hAnsi="Times New Roman"/>
          <w:sz w:val="24"/>
          <w:szCs w:val="24"/>
        </w:rPr>
        <w:t xml:space="preserve">availability of </w:t>
      </w:r>
      <w:r>
        <w:rPr>
          <w:rFonts w:ascii="Times New Roman" w:hAnsi="Times New Roman"/>
          <w:sz w:val="24"/>
          <w:szCs w:val="24"/>
        </w:rPr>
        <w:t>safety devices</w:t>
      </w:r>
      <w:r w:rsidRPr="006D050E">
        <w:rPr>
          <w:rFonts w:ascii="Times New Roman" w:hAnsi="Times New Roman"/>
          <w:sz w:val="24"/>
          <w:szCs w:val="24"/>
        </w:rPr>
        <w:t xml:space="preserve"> </w:t>
      </w:r>
      <w:r w:rsidR="00D97913">
        <w:rPr>
          <w:rFonts w:ascii="Times New Roman" w:hAnsi="Times New Roman"/>
          <w:sz w:val="24"/>
          <w:szCs w:val="24"/>
        </w:rPr>
        <w:t xml:space="preserve">was </w:t>
      </w:r>
      <w:r w:rsidRPr="006D050E">
        <w:rPr>
          <w:rFonts w:ascii="Times New Roman" w:hAnsi="Times New Roman" w:cs="Times New Roman"/>
          <w:sz w:val="24"/>
          <w:szCs w:val="24"/>
        </w:rPr>
        <w:t>about 15 times more likely to determine needle</w:t>
      </w:r>
      <w:r w:rsidR="00750985">
        <w:rPr>
          <w:rFonts w:ascii="Times New Roman" w:hAnsi="Times New Roman" w:cs="Times New Roman"/>
          <w:sz w:val="24"/>
          <w:szCs w:val="24"/>
        </w:rPr>
        <w:t>-</w:t>
      </w:r>
      <w:r w:rsidRPr="006D050E">
        <w:rPr>
          <w:rFonts w:ascii="Times New Roman" w:hAnsi="Times New Roman" w:cs="Times New Roman"/>
          <w:sz w:val="24"/>
          <w:szCs w:val="24"/>
        </w:rPr>
        <w:t xml:space="preserve">stick injury among healthcare workers. The result showed that </w:t>
      </w:r>
      <w:r w:rsidRPr="006D050E">
        <w:rPr>
          <w:rFonts w:ascii="Times New Roman" w:hAnsi="Times New Roman"/>
          <w:sz w:val="24"/>
          <w:szCs w:val="24"/>
        </w:rPr>
        <w:t xml:space="preserve">the extent to which availability of </w:t>
      </w:r>
      <w:r>
        <w:rPr>
          <w:rFonts w:ascii="Times New Roman" w:hAnsi="Times New Roman"/>
          <w:sz w:val="24"/>
          <w:szCs w:val="24"/>
        </w:rPr>
        <w:t>safety devices</w:t>
      </w:r>
      <w:r w:rsidRPr="006D050E">
        <w:rPr>
          <w:rFonts w:ascii="Times New Roman" w:hAnsi="Times New Roman"/>
          <w:sz w:val="24"/>
          <w:szCs w:val="24"/>
        </w:rPr>
        <w:t xml:space="preserve"> constituted a determinant to needle</w:t>
      </w:r>
      <w:r w:rsidR="00324FBB">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r w:rsidRPr="006D050E">
        <w:rPr>
          <w:rFonts w:ascii="Times New Roman" w:hAnsi="Times New Roman" w:cs="Times New Roman"/>
          <w:sz w:val="24"/>
          <w:szCs w:val="24"/>
        </w:rPr>
        <w:t xml:space="preserve"> was high. The results of this study</w:t>
      </w:r>
      <w:r w:rsidR="00024E58">
        <w:rPr>
          <w:rFonts w:ascii="Times New Roman" w:hAnsi="Times New Roman" w:cs="Times New Roman"/>
          <w:sz w:val="24"/>
          <w:szCs w:val="24"/>
        </w:rPr>
        <w:t xml:space="preserve"> </w:t>
      </w:r>
      <w:r w:rsidR="00D10071">
        <w:rPr>
          <w:rFonts w:ascii="Times New Roman" w:hAnsi="Times New Roman" w:cs="Times New Roman"/>
          <w:sz w:val="24"/>
          <w:szCs w:val="24"/>
        </w:rPr>
        <w:t xml:space="preserve">agree with the </w:t>
      </w:r>
      <w:r w:rsidRPr="006D050E">
        <w:rPr>
          <w:rFonts w:ascii="Times New Roman" w:hAnsi="Times New Roman" w:cs="Times New Roman"/>
          <w:sz w:val="24"/>
          <w:szCs w:val="24"/>
        </w:rPr>
        <w:t xml:space="preserve">findings of </w:t>
      </w:r>
      <w:r w:rsidRPr="006D050E">
        <w:rPr>
          <w:rFonts w:ascii="Times New Roman" w:hAnsi="Times New Roman"/>
          <w:sz w:val="24"/>
          <w:szCs w:val="24"/>
        </w:rPr>
        <w:t>Mengistu and Tolera (2020) indicated that availability of personal protective equipment were among the factors associated with the prevalence of needle</w:t>
      </w:r>
      <w:r w:rsidR="00624CC7">
        <w:rPr>
          <w:rFonts w:ascii="Times New Roman" w:hAnsi="Times New Roman"/>
          <w:sz w:val="24"/>
          <w:szCs w:val="24"/>
        </w:rPr>
        <w:t>-</w:t>
      </w:r>
      <w:r w:rsidRPr="006D050E">
        <w:rPr>
          <w:rFonts w:ascii="Times New Roman" w:hAnsi="Times New Roman"/>
          <w:sz w:val="24"/>
          <w:szCs w:val="24"/>
        </w:rPr>
        <w:t>stick injury among healthcare workers especially nurses in tertiary hospitals in developing nations. Mohamud et al. (2023) added that workers who use safety device during needle line administration are less likely to experience needle</w:t>
      </w:r>
      <w:r w:rsidR="00C82A35">
        <w:rPr>
          <w:rFonts w:ascii="Times New Roman" w:hAnsi="Times New Roman"/>
          <w:sz w:val="24"/>
          <w:szCs w:val="24"/>
        </w:rPr>
        <w:t>-</w:t>
      </w:r>
      <w:r w:rsidRPr="006D050E">
        <w:rPr>
          <w:rFonts w:ascii="Times New Roman" w:hAnsi="Times New Roman"/>
          <w:sz w:val="24"/>
          <w:szCs w:val="24"/>
        </w:rPr>
        <w:t xml:space="preserve">stick injury. Wicker et al. (2008) added that 50.3% of all </w:t>
      </w:r>
      <w:r w:rsidR="00C82A35">
        <w:rPr>
          <w:rFonts w:ascii="Times New Roman" w:hAnsi="Times New Roman"/>
          <w:sz w:val="24"/>
          <w:szCs w:val="24"/>
        </w:rPr>
        <w:t xml:space="preserve">needle-stick </w:t>
      </w:r>
      <w:r w:rsidRPr="006D050E">
        <w:rPr>
          <w:rFonts w:ascii="Times New Roman" w:hAnsi="Times New Roman"/>
          <w:sz w:val="24"/>
          <w:szCs w:val="24"/>
        </w:rPr>
        <w:t xml:space="preserve">injuries were due to non-use of safety devices, whereas only 15.2% could have been prevented by organizational measures among workers in healthcare facilities. Studies of Hanafi et al. (2011) and Jagger et al. (2010) whose findings on </w:t>
      </w:r>
      <w:r w:rsidR="005531E2">
        <w:rPr>
          <w:rFonts w:ascii="Times New Roman" w:hAnsi="Times New Roman"/>
          <w:sz w:val="24"/>
          <w:szCs w:val="24"/>
        </w:rPr>
        <w:t>needle-stick</w:t>
      </w:r>
      <w:r w:rsidRPr="006D050E">
        <w:rPr>
          <w:rFonts w:ascii="Times New Roman" w:hAnsi="Times New Roman"/>
          <w:sz w:val="24"/>
          <w:szCs w:val="24"/>
        </w:rPr>
        <w:t xml:space="preserve"> injuries reported that</w:t>
      </w:r>
      <w:r w:rsidR="00D655C5">
        <w:rPr>
          <w:rFonts w:ascii="Times New Roman" w:hAnsi="Times New Roman"/>
          <w:sz w:val="24"/>
          <w:szCs w:val="24"/>
        </w:rPr>
        <w:t xml:space="preserve"> </w:t>
      </w:r>
      <w:r w:rsidR="007356A8">
        <w:rPr>
          <w:rFonts w:ascii="Times New Roman" w:hAnsi="Times New Roman"/>
          <w:sz w:val="24"/>
          <w:szCs w:val="24"/>
        </w:rPr>
        <w:t>un</w:t>
      </w:r>
      <w:r w:rsidR="00BE32F2">
        <w:rPr>
          <w:rFonts w:ascii="Times New Roman" w:hAnsi="Times New Roman"/>
          <w:sz w:val="24"/>
          <w:szCs w:val="24"/>
        </w:rPr>
        <w:t>a</w:t>
      </w:r>
      <w:r w:rsidRPr="006D050E">
        <w:rPr>
          <w:rFonts w:ascii="Times New Roman" w:hAnsi="Times New Roman"/>
          <w:sz w:val="24"/>
          <w:szCs w:val="24"/>
        </w:rPr>
        <w:t xml:space="preserve">vailability of a written protocol for prompt reporting (OR 0.37) and </w:t>
      </w:r>
      <w:r w:rsidR="009A4CC4">
        <w:rPr>
          <w:rFonts w:ascii="Times New Roman" w:hAnsi="Times New Roman"/>
          <w:sz w:val="24"/>
          <w:szCs w:val="24"/>
        </w:rPr>
        <w:t>nonuse</w:t>
      </w:r>
      <w:r w:rsidRPr="006D050E">
        <w:rPr>
          <w:rFonts w:ascii="Times New Roman" w:hAnsi="Times New Roman"/>
          <w:sz w:val="24"/>
          <w:szCs w:val="24"/>
        </w:rPr>
        <w:t xml:space="preserve"> </w:t>
      </w:r>
      <w:r w:rsidR="009A4CC4">
        <w:rPr>
          <w:rFonts w:ascii="Times New Roman" w:hAnsi="Times New Roman"/>
          <w:sz w:val="24"/>
          <w:szCs w:val="24"/>
        </w:rPr>
        <w:t xml:space="preserve">of </w:t>
      </w:r>
      <w:r w:rsidRPr="006D050E">
        <w:rPr>
          <w:rFonts w:ascii="Times New Roman" w:hAnsi="Times New Roman"/>
          <w:sz w:val="24"/>
          <w:szCs w:val="24"/>
        </w:rPr>
        <w:t>devices with safety features (OR 0.41) were significantly associated with needle</w:t>
      </w:r>
      <w:r w:rsidR="00F27412">
        <w:rPr>
          <w:rFonts w:ascii="Times New Roman" w:hAnsi="Times New Roman"/>
          <w:sz w:val="24"/>
          <w:szCs w:val="24"/>
        </w:rPr>
        <w:t>-</w:t>
      </w:r>
      <w:r w:rsidRPr="006D050E">
        <w:rPr>
          <w:rFonts w:ascii="Times New Roman" w:hAnsi="Times New Roman"/>
          <w:sz w:val="24"/>
          <w:szCs w:val="24"/>
        </w:rPr>
        <w:t>stick injuries among healthcare workers such as physicians, nurses, ancillary staff. It is plausible because availability of safety device enables healthcare workers to utilize this protective equipment to reduce the extent of needle</w:t>
      </w:r>
      <w:r w:rsidR="0033473F">
        <w:rPr>
          <w:rFonts w:ascii="Times New Roman" w:hAnsi="Times New Roman"/>
          <w:sz w:val="24"/>
          <w:szCs w:val="24"/>
        </w:rPr>
        <w:t>-</w:t>
      </w:r>
      <w:r w:rsidRPr="006D050E">
        <w:rPr>
          <w:rFonts w:ascii="Times New Roman" w:hAnsi="Times New Roman"/>
          <w:sz w:val="24"/>
          <w:szCs w:val="24"/>
        </w:rPr>
        <w:t xml:space="preserve">stick injury. </w:t>
      </w:r>
      <w:r w:rsidRPr="006D050E">
        <w:rPr>
          <w:rFonts w:ascii="Times New Roman" w:hAnsi="Times New Roman"/>
          <w:sz w:val="24"/>
          <w:szCs w:val="24"/>
        </w:rPr>
        <w:lastRenderedPageBreak/>
        <w:t xml:space="preserve">There </w:t>
      </w:r>
      <w:r w:rsidR="0033473F">
        <w:rPr>
          <w:rFonts w:ascii="Times New Roman" w:hAnsi="Times New Roman"/>
          <w:sz w:val="24"/>
          <w:szCs w:val="24"/>
        </w:rPr>
        <w:t>were</w:t>
      </w:r>
      <w:r w:rsidRPr="006D050E">
        <w:rPr>
          <w:rFonts w:ascii="Times New Roman" w:hAnsi="Times New Roman"/>
          <w:sz w:val="24"/>
          <w:szCs w:val="24"/>
        </w:rPr>
        <w:t xml:space="preserve"> no prior studies that contradict the outcome of </w:t>
      </w:r>
      <w:r w:rsidR="0033473F">
        <w:rPr>
          <w:rFonts w:ascii="Times New Roman" w:hAnsi="Times New Roman"/>
          <w:sz w:val="24"/>
          <w:szCs w:val="24"/>
        </w:rPr>
        <w:t xml:space="preserve">this </w:t>
      </w:r>
      <w:r w:rsidRPr="006D050E">
        <w:rPr>
          <w:rFonts w:ascii="Times New Roman" w:hAnsi="Times New Roman"/>
          <w:sz w:val="24"/>
          <w:szCs w:val="24"/>
        </w:rPr>
        <w:t xml:space="preserve">study. Hence availability of </w:t>
      </w:r>
      <w:r>
        <w:rPr>
          <w:rFonts w:ascii="Times New Roman" w:hAnsi="Times New Roman"/>
          <w:sz w:val="24"/>
          <w:szCs w:val="24"/>
        </w:rPr>
        <w:t>safety devices</w:t>
      </w:r>
      <w:r w:rsidRPr="006D050E">
        <w:rPr>
          <w:rFonts w:ascii="Times New Roman" w:hAnsi="Times New Roman"/>
          <w:sz w:val="24"/>
          <w:szCs w:val="24"/>
        </w:rPr>
        <w:t xml:space="preserve"> </w:t>
      </w:r>
      <w:r w:rsidR="00270B29">
        <w:rPr>
          <w:rFonts w:ascii="Times New Roman" w:hAnsi="Times New Roman"/>
          <w:sz w:val="24"/>
          <w:szCs w:val="24"/>
        </w:rPr>
        <w:t xml:space="preserve">determined </w:t>
      </w:r>
      <w:r w:rsidRPr="006D050E">
        <w:rPr>
          <w:rFonts w:ascii="Times New Roman" w:hAnsi="Times New Roman"/>
          <w:sz w:val="24"/>
          <w:szCs w:val="24"/>
        </w:rPr>
        <w:t>needle</w:t>
      </w:r>
      <w:r w:rsidR="00270B29">
        <w:rPr>
          <w:rFonts w:ascii="Times New Roman" w:hAnsi="Times New Roman"/>
          <w:sz w:val="24"/>
          <w:szCs w:val="24"/>
        </w:rPr>
        <w:t>-</w:t>
      </w:r>
      <w:r w:rsidRPr="006D050E">
        <w:rPr>
          <w:rFonts w:ascii="Times New Roman" w:hAnsi="Times New Roman"/>
          <w:sz w:val="24"/>
          <w:szCs w:val="24"/>
        </w:rPr>
        <w:t>stick injury.</w:t>
      </w:r>
    </w:p>
    <w:p w14:paraId="146713A9" w14:textId="674653D8" w:rsidR="000028C8" w:rsidRDefault="000028C8" w:rsidP="000028C8">
      <w:pPr>
        <w:spacing w:line="480" w:lineRule="auto"/>
        <w:jc w:val="both"/>
        <w:rPr>
          <w:rFonts w:ascii="Times New Roman" w:hAnsi="Times New Roman"/>
          <w:sz w:val="24"/>
          <w:szCs w:val="24"/>
        </w:rPr>
      </w:pPr>
      <w:r w:rsidRPr="006D050E">
        <w:rPr>
          <w:rFonts w:ascii="Times New Roman" w:hAnsi="Times New Roman" w:cs="Times New Roman"/>
          <w:sz w:val="24"/>
          <w:szCs w:val="24"/>
        </w:rPr>
        <w:t xml:space="preserve">The result indicated that </w:t>
      </w:r>
      <w:r w:rsidRPr="006D050E">
        <w:rPr>
          <w:rFonts w:ascii="Times New Roman" w:hAnsi="Times New Roman"/>
          <w:sz w:val="24"/>
          <w:szCs w:val="24"/>
        </w:rPr>
        <w:t xml:space="preserve">safe injection practices </w:t>
      </w:r>
      <w:r w:rsidRPr="006D050E">
        <w:rPr>
          <w:rFonts w:ascii="Times New Roman" w:hAnsi="Times New Roman" w:cs="Times New Roman"/>
          <w:sz w:val="24"/>
          <w:szCs w:val="24"/>
        </w:rPr>
        <w:t>are about 6.5 times more likely to determine needle</w:t>
      </w:r>
      <w:r w:rsidR="00270B29">
        <w:rPr>
          <w:rFonts w:ascii="Times New Roman" w:hAnsi="Times New Roman" w:cs="Times New Roman"/>
          <w:sz w:val="24"/>
          <w:szCs w:val="24"/>
        </w:rPr>
        <w:t>-</w:t>
      </w:r>
      <w:r w:rsidRPr="006D050E">
        <w:rPr>
          <w:rFonts w:ascii="Times New Roman" w:hAnsi="Times New Roman" w:cs="Times New Roman"/>
          <w:sz w:val="24"/>
          <w:szCs w:val="24"/>
        </w:rPr>
        <w:t xml:space="preserve">stick injury among healthcare workers. The result showed that </w:t>
      </w:r>
      <w:r w:rsidRPr="006D050E">
        <w:rPr>
          <w:rFonts w:ascii="Times New Roman" w:hAnsi="Times New Roman"/>
          <w:sz w:val="24"/>
          <w:szCs w:val="24"/>
        </w:rPr>
        <w:t>the extent to which safe injection practices constituted a determinant to needle</w:t>
      </w:r>
      <w:r w:rsidR="00D93A53">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r w:rsidRPr="006D050E">
        <w:rPr>
          <w:rFonts w:ascii="Times New Roman" w:hAnsi="Times New Roman" w:cs="Times New Roman"/>
          <w:sz w:val="24"/>
          <w:szCs w:val="24"/>
        </w:rPr>
        <w:t xml:space="preserve"> was </w:t>
      </w:r>
      <w:r w:rsidR="00D93A53" w:rsidRPr="006D050E">
        <w:rPr>
          <w:rFonts w:ascii="Times New Roman" w:hAnsi="Times New Roman" w:cs="Times New Roman"/>
          <w:sz w:val="24"/>
          <w:szCs w:val="24"/>
        </w:rPr>
        <w:t>high</w:t>
      </w:r>
      <w:r w:rsidRPr="006D050E">
        <w:rPr>
          <w:rFonts w:ascii="Times New Roman" w:hAnsi="Times New Roman" w:cs="Times New Roman"/>
          <w:sz w:val="24"/>
          <w:szCs w:val="24"/>
        </w:rPr>
        <w:t xml:space="preserve">. </w:t>
      </w:r>
      <w:r w:rsidRPr="006D050E">
        <w:rPr>
          <w:rFonts w:ascii="Times New Roman" w:hAnsi="Times New Roman"/>
          <w:sz w:val="24"/>
          <w:szCs w:val="24"/>
        </w:rPr>
        <w:t xml:space="preserve">Mengistu and Tolera (2020) indicated that overuse of injection, and practice of universal precautions, were among the factors associated with the prevalence of NSIs in tertiary hospitals in developing nations. Hassanipour et al.  (2021) which illustrated that healthcare workers who practice safe injection procedure are 2.50 times more likely to experience </w:t>
      </w:r>
      <w:r w:rsidR="005531E2">
        <w:rPr>
          <w:rFonts w:ascii="Times New Roman" w:hAnsi="Times New Roman"/>
          <w:sz w:val="24"/>
          <w:szCs w:val="24"/>
        </w:rPr>
        <w:t>needle-stick</w:t>
      </w:r>
      <w:r w:rsidRPr="006D050E">
        <w:rPr>
          <w:rFonts w:ascii="Times New Roman" w:hAnsi="Times New Roman"/>
          <w:sz w:val="24"/>
          <w:szCs w:val="24"/>
        </w:rPr>
        <w:t xml:space="preserve"> injury unlike those </w:t>
      </w:r>
      <w:r w:rsidR="00E24AE4">
        <w:rPr>
          <w:rFonts w:ascii="Times New Roman" w:hAnsi="Times New Roman"/>
          <w:sz w:val="24"/>
          <w:szCs w:val="24"/>
        </w:rPr>
        <w:t xml:space="preserve">who obtained </w:t>
      </w:r>
      <w:r w:rsidRPr="006D050E">
        <w:rPr>
          <w:rFonts w:ascii="Times New Roman" w:hAnsi="Times New Roman"/>
          <w:sz w:val="24"/>
          <w:szCs w:val="24"/>
        </w:rPr>
        <w:t>regular training programme. Ghanei et al. (2018) reported in their study that the high prevalence of NSIs</w:t>
      </w:r>
      <w:r w:rsidR="00E24AE4">
        <w:rPr>
          <w:rFonts w:ascii="Times New Roman" w:hAnsi="Times New Roman"/>
          <w:sz w:val="24"/>
          <w:szCs w:val="24"/>
        </w:rPr>
        <w:t xml:space="preserve"> was </w:t>
      </w:r>
      <w:r w:rsidRPr="006D050E">
        <w:rPr>
          <w:rFonts w:ascii="Times New Roman" w:hAnsi="Times New Roman"/>
          <w:sz w:val="24"/>
          <w:szCs w:val="24"/>
        </w:rPr>
        <w:t xml:space="preserve">necessary due </w:t>
      </w:r>
      <w:r w:rsidR="001375C1">
        <w:rPr>
          <w:rFonts w:ascii="Times New Roman" w:hAnsi="Times New Roman"/>
          <w:sz w:val="24"/>
          <w:szCs w:val="24"/>
        </w:rPr>
        <w:t xml:space="preserve">poor </w:t>
      </w:r>
      <w:r w:rsidRPr="006D050E">
        <w:rPr>
          <w:rFonts w:ascii="Times New Roman" w:hAnsi="Times New Roman"/>
          <w:sz w:val="24"/>
          <w:szCs w:val="24"/>
        </w:rPr>
        <w:t xml:space="preserve">supply </w:t>
      </w:r>
      <w:r w:rsidR="001375C1">
        <w:rPr>
          <w:rFonts w:ascii="Times New Roman" w:hAnsi="Times New Roman"/>
          <w:sz w:val="24"/>
          <w:szCs w:val="24"/>
        </w:rPr>
        <w:t xml:space="preserve">of </w:t>
      </w:r>
      <w:r w:rsidRPr="006D050E">
        <w:rPr>
          <w:rFonts w:ascii="Times New Roman" w:hAnsi="Times New Roman"/>
          <w:sz w:val="24"/>
          <w:szCs w:val="24"/>
        </w:rPr>
        <w:t xml:space="preserve">safe needles </w:t>
      </w:r>
      <w:r w:rsidR="00DF6C4C">
        <w:rPr>
          <w:rFonts w:ascii="Times New Roman" w:hAnsi="Times New Roman"/>
          <w:sz w:val="24"/>
          <w:szCs w:val="24"/>
        </w:rPr>
        <w:t>&amp;</w:t>
      </w:r>
      <w:r w:rsidRPr="006D050E">
        <w:rPr>
          <w:rFonts w:ascii="Times New Roman" w:hAnsi="Times New Roman"/>
          <w:sz w:val="24"/>
          <w:szCs w:val="24"/>
        </w:rPr>
        <w:t xml:space="preserve"> instruments,</w:t>
      </w:r>
      <w:r w:rsidR="00DF6C4C">
        <w:rPr>
          <w:rFonts w:ascii="Times New Roman" w:hAnsi="Times New Roman"/>
          <w:sz w:val="24"/>
          <w:szCs w:val="24"/>
        </w:rPr>
        <w:t xml:space="preserve"> and</w:t>
      </w:r>
      <w:r w:rsidRPr="006D050E">
        <w:rPr>
          <w:rFonts w:ascii="Times New Roman" w:hAnsi="Times New Roman"/>
          <w:sz w:val="24"/>
          <w:szCs w:val="24"/>
        </w:rPr>
        <w:t xml:space="preserve"> </w:t>
      </w:r>
      <w:r w:rsidR="001375C1">
        <w:rPr>
          <w:rFonts w:ascii="Times New Roman" w:hAnsi="Times New Roman"/>
          <w:sz w:val="24"/>
          <w:szCs w:val="24"/>
        </w:rPr>
        <w:t xml:space="preserve">lack of </w:t>
      </w:r>
      <w:r w:rsidRPr="006D050E">
        <w:rPr>
          <w:rFonts w:ascii="Times New Roman" w:hAnsi="Times New Roman"/>
          <w:sz w:val="24"/>
          <w:szCs w:val="24"/>
        </w:rPr>
        <w:t>training programs focused on new methods of using sharp objects. Foda et al. (2018) revealed that lack of job aid posters that promote safe injection and safe disposal of injection equipment</w:t>
      </w:r>
      <w:r w:rsidR="00802BC9">
        <w:rPr>
          <w:rFonts w:ascii="Times New Roman" w:hAnsi="Times New Roman"/>
          <w:sz w:val="24"/>
          <w:szCs w:val="24"/>
        </w:rPr>
        <w:t xml:space="preserve"> highly determined NSI</w:t>
      </w:r>
      <w:r w:rsidRPr="006D050E">
        <w:rPr>
          <w:rFonts w:ascii="Times New Roman" w:hAnsi="Times New Roman"/>
          <w:sz w:val="24"/>
          <w:szCs w:val="24"/>
        </w:rPr>
        <w:t>. Motaarefi et al. (2016) indicated in their study that the highest rate of NSIs was related to instrument preparation followed by injection and recapping of used needles. The study deduce</w:t>
      </w:r>
      <w:r w:rsidR="007225B9">
        <w:rPr>
          <w:rFonts w:ascii="Times New Roman" w:hAnsi="Times New Roman"/>
          <w:sz w:val="24"/>
          <w:szCs w:val="24"/>
        </w:rPr>
        <w:t>d</w:t>
      </w:r>
      <w:r w:rsidRPr="006D050E">
        <w:rPr>
          <w:rFonts w:ascii="Times New Roman" w:hAnsi="Times New Roman"/>
          <w:sz w:val="24"/>
          <w:szCs w:val="24"/>
        </w:rPr>
        <w:t xml:space="preserve"> that inadequately adopted safe injection procedures and insufficient injection practices lead to high prevalence of NS</w:t>
      </w:r>
      <w:r w:rsidR="00066FC5">
        <w:rPr>
          <w:rFonts w:ascii="Times New Roman" w:hAnsi="Times New Roman"/>
          <w:sz w:val="24"/>
          <w:szCs w:val="24"/>
        </w:rPr>
        <w:t>Is</w:t>
      </w:r>
      <w:r w:rsidRPr="006D050E">
        <w:rPr>
          <w:rFonts w:ascii="Times New Roman" w:hAnsi="Times New Roman"/>
          <w:sz w:val="24"/>
          <w:szCs w:val="24"/>
        </w:rPr>
        <w:t xml:space="preserve"> in operating rooms.</w:t>
      </w:r>
    </w:p>
    <w:p w14:paraId="516A0672" w14:textId="77777777" w:rsidR="000028C8" w:rsidRPr="00794C96" w:rsidRDefault="000028C8" w:rsidP="000028C8">
      <w:pPr>
        <w:pStyle w:val="Heading1"/>
        <w:spacing w:before="0" w:beforeAutospacing="0" w:after="160" w:afterAutospacing="0" w:line="480" w:lineRule="auto"/>
        <w:jc w:val="both"/>
        <w:rPr>
          <w:sz w:val="24"/>
          <w:szCs w:val="24"/>
        </w:rPr>
      </w:pPr>
      <w:r w:rsidRPr="00794C96">
        <w:rPr>
          <w:sz w:val="24"/>
          <w:szCs w:val="24"/>
        </w:rPr>
        <w:t>Conclusion</w:t>
      </w:r>
    </w:p>
    <w:p w14:paraId="6B862B43" w14:textId="21F1ED3E" w:rsidR="000028C8" w:rsidRPr="006D050E" w:rsidRDefault="00CD0546" w:rsidP="000028C8">
      <w:pPr>
        <w:autoSpaceDE w:val="0"/>
        <w:autoSpaceDN w:val="0"/>
        <w:adjustRightInd w:val="0"/>
        <w:spacing w:after="0" w:line="480" w:lineRule="auto"/>
        <w:jc w:val="both"/>
        <w:rPr>
          <w:rFonts w:ascii="Times New Roman" w:hAnsi="Times New Roman" w:cs="Times New Roman"/>
          <w:sz w:val="24"/>
          <w:szCs w:val="24"/>
        </w:rPr>
      </w:pPr>
      <w:r w:rsidRPr="006D050E">
        <w:rPr>
          <w:rFonts w:ascii="Times New Roman" w:hAnsi="Times New Roman" w:cs="Times New Roman"/>
          <w:sz w:val="24"/>
          <w:szCs w:val="24"/>
        </w:rPr>
        <w:t xml:space="preserve">It </w:t>
      </w:r>
      <w:r w:rsidR="000028C8" w:rsidRPr="006D050E">
        <w:rPr>
          <w:rFonts w:ascii="Times New Roman" w:hAnsi="Times New Roman" w:cs="Times New Roman"/>
          <w:sz w:val="24"/>
          <w:szCs w:val="24"/>
        </w:rPr>
        <w:t xml:space="preserve">was concluded that the </w:t>
      </w:r>
      <w:r>
        <w:rPr>
          <w:rFonts w:ascii="Times New Roman" w:hAnsi="Times New Roman" w:cs="Times New Roman"/>
          <w:sz w:val="24"/>
          <w:szCs w:val="24"/>
        </w:rPr>
        <w:t xml:space="preserve">determinants of </w:t>
      </w:r>
      <w:r w:rsidR="005531E2">
        <w:rPr>
          <w:rFonts w:ascii="Times New Roman" w:hAnsi="Times New Roman" w:cs="Times New Roman"/>
          <w:sz w:val="24"/>
          <w:szCs w:val="24"/>
        </w:rPr>
        <w:t>needle-stick</w:t>
      </w:r>
      <w:r w:rsidR="000028C8">
        <w:rPr>
          <w:rFonts w:ascii="Times New Roman" w:hAnsi="Times New Roman" w:cs="Times New Roman"/>
          <w:sz w:val="24"/>
          <w:szCs w:val="24"/>
        </w:rPr>
        <w:t xml:space="preserve"> injury </w:t>
      </w:r>
      <w:r w:rsidR="001C22A6" w:rsidRPr="006D050E">
        <w:rPr>
          <w:rFonts w:ascii="Times New Roman" w:hAnsi="Times New Roman" w:cs="Times New Roman"/>
          <w:sz w:val="24"/>
          <w:szCs w:val="24"/>
        </w:rPr>
        <w:t xml:space="preserve">among healthcare workers in tertiary health </w:t>
      </w:r>
      <w:r w:rsidR="001C22A6">
        <w:rPr>
          <w:rFonts w:ascii="Times New Roman" w:hAnsi="Times New Roman" w:cs="Times New Roman"/>
          <w:sz w:val="24"/>
          <w:szCs w:val="24"/>
        </w:rPr>
        <w:t xml:space="preserve">institutions, </w:t>
      </w:r>
      <w:r w:rsidR="001C22A6" w:rsidRPr="006D050E">
        <w:rPr>
          <w:rFonts w:ascii="Times New Roman" w:hAnsi="Times New Roman" w:cs="Times New Roman"/>
          <w:sz w:val="24"/>
          <w:szCs w:val="24"/>
        </w:rPr>
        <w:t>Rivers State</w:t>
      </w:r>
      <w:r w:rsidR="001C22A6">
        <w:rPr>
          <w:rFonts w:ascii="Times New Roman" w:hAnsi="Times New Roman" w:cs="Times New Roman"/>
          <w:sz w:val="24"/>
          <w:szCs w:val="24"/>
        </w:rPr>
        <w:t xml:space="preserve"> </w:t>
      </w:r>
      <w:r w:rsidR="00816C7F">
        <w:rPr>
          <w:rFonts w:ascii="Times New Roman" w:hAnsi="Times New Roman" w:cs="Times New Roman"/>
          <w:sz w:val="24"/>
          <w:szCs w:val="24"/>
        </w:rPr>
        <w:t>were</w:t>
      </w:r>
      <w:r w:rsidR="001C22A6">
        <w:rPr>
          <w:rFonts w:ascii="Times New Roman" w:hAnsi="Times New Roman" w:cs="Times New Roman"/>
          <w:sz w:val="24"/>
          <w:szCs w:val="24"/>
        </w:rPr>
        <w:t xml:space="preserve"> </w:t>
      </w:r>
      <w:r w:rsidR="001C22A6" w:rsidRPr="006D050E">
        <w:rPr>
          <w:rFonts w:ascii="Times New Roman" w:hAnsi="Times New Roman" w:cs="Times New Roman"/>
          <w:sz w:val="24"/>
          <w:szCs w:val="24"/>
        </w:rPr>
        <w:t xml:space="preserve">case acuity, </w:t>
      </w:r>
      <w:r w:rsidR="000028C8">
        <w:rPr>
          <w:rFonts w:ascii="Times New Roman" w:hAnsi="Times New Roman" w:cs="Times New Roman"/>
          <w:sz w:val="24"/>
          <w:szCs w:val="24"/>
        </w:rPr>
        <w:t>availability of safety devices,</w:t>
      </w:r>
      <w:r w:rsidR="000028C8" w:rsidRPr="006D050E">
        <w:rPr>
          <w:rFonts w:ascii="Times New Roman" w:hAnsi="Times New Roman" w:cs="Times New Roman"/>
          <w:sz w:val="24"/>
          <w:szCs w:val="24"/>
        </w:rPr>
        <w:t xml:space="preserve"> </w:t>
      </w:r>
      <w:r w:rsidR="001C22A6">
        <w:rPr>
          <w:rFonts w:ascii="Times New Roman" w:hAnsi="Times New Roman" w:cs="Times New Roman"/>
          <w:sz w:val="24"/>
          <w:szCs w:val="24"/>
        </w:rPr>
        <w:t>and safe injection practice</w:t>
      </w:r>
      <w:r w:rsidR="000028C8" w:rsidRPr="006D050E">
        <w:rPr>
          <w:rFonts w:ascii="Times New Roman" w:hAnsi="Times New Roman" w:cs="Times New Roman"/>
          <w:sz w:val="24"/>
          <w:szCs w:val="24"/>
        </w:rPr>
        <w:t>. There is need to plan safety and health training based on the reported cases of in</w:t>
      </w:r>
      <w:r w:rsidR="000028C8">
        <w:rPr>
          <w:rFonts w:ascii="Times New Roman" w:hAnsi="Times New Roman" w:cs="Times New Roman"/>
          <w:sz w:val="24"/>
          <w:szCs w:val="24"/>
        </w:rPr>
        <w:t>jury to achieve even a lower prevalence.</w:t>
      </w:r>
    </w:p>
    <w:p w14:paraId="1536A01B" w14:textId="77777777" w:rsidR="000028C8" w:rsidRPr="00794C96" w:rsidRDefault="000028C8" w:rsidP="000028C8">
      <w:pPr>
        <w:pStyle w:val="Heading1"/>
        <w:spacing w:before="0" w:beforeAutospacing="0" w:after="160" w:afterAutospacing="0" w:line="480" w:lineRule="auto"/>
        <w:jc w:val="both"/>
        <w:rPr>
          <w:sz w:val="24"/>
          <w:szCs w:val="24"/>
        </w:rPr>
      </w:pPr>
      <w:bookmarkStart w:id="9" w:name="_Toc184223543"/>
      <w:r w:rsidRPr="00794C96">
        <w:rPr>
          <w:sz w:val="24"/>
          <w:szCs w:val="24"/>
        </w:rPr>
        <w:lastRenderedPageBreak/>
        <w:t>Recommendations</w:t>
      </w:r>
      <w:bookmarkEnd w:id="9"/>
    </w:p>
    <w:p w14:paraId="6BA8DB89" w14:textId="77777777" w:rsidR="000028C8" w:rsidRPr="00277BB8" w:rsidRDefault="000028C8" w:rsidP="000028C8">
      <w:pPr>
        <w:spacing w:before="200" w:after="0" w:line="480" w:lineRule="auto"/>
        <w:rPr>
          <w:rFonts w:ascii="Times New Roman" w:eastAsia="Times New Roman" w:hAnsi="Times New Roman" w:cs="Times New Roman"/>
          <w:sz w:val="24"/>
          <w:szCs w:val="24"/>
          <w:lang w:val="en-GB" w:eastAsia="en-GB"/>
        </w:rPr>
      </w:pPr>
      <w:r w:rsidRPr="00277BB8">
        <w:rPr>
          <w:rFonts w:ascii="Times New Roman" w:eastAsia="Times New Roman" w:hAnsi="Times New Roman" w:cs="Times New Roman"/>
          <w:color w:val="000000"/>
          <w:kern w:val="24"/>
          <w:sz w:val="24"/>
          <w:szCs w:val="24"/>
          <w:lang w:eastAsia="en-GB"/>
        </w:rPr>
        <w:t>Based on the findings of this study, the foll</w:t>
      </w:r>
      <w:r>
        <w:rPr>
          <w:rFonts w:ascii="Times New Roman" w:eastAsia="Times New Roman" w:hAnsi="Times New Roman" w:cs="Times New Roman"/>
          <w:color w:val="000000"/>
          <w:kern w:val="24"/>
          <w:sz w:val="24"/>
          <w:szCs w:val="24"/>
          <w:lang w:eastAsia="en-GB"/>
        </w:rPr>
        <w:t>owing recommendations were made;</w:t>
      </w:r>
      <w:r w:rsidRPr="00277BB8">
        <w:rPr>
          <w:rFonts w:ascii="Times New Roman" w:eastAsia="Times New Roman" w:hAnsi="Times New Roman" w:cs="Times New Roman"/>
          <w:color w:val="000000"/>
          <w:kern w:val="24"/>
          <w:sz w:val="24"/>
          <w:szCs w:val="24"/>
          <w:lang w:eastAsia="en-GB"/>
        </w:rPr>
        <w:t> </w:t>
      </w:r>
    </w:p>
    <w:p w14:paraId="47FB0BA8" w14:textId="4B6DCF63" w:rsidR="000028C8" w:rsidRPr="00277BB8" w:rsidRDefault="000028C8" w:rsidP="0077769C">
      <w:pPr>
        <w:numPr>
          <w:ilvl w:val="0"/>
          <w:numId w:val="3"/>
        </w:numPr>
        <w:spacing w:after="0" w:line="480" w:lineRule="auto"/>
        <w:contextualSpacing/>
        <w:jc w:val="both"/>
        <w:rPr>
          <w:rFonts w:ascii="Times New Roman" w:eastAsia="Times New Roman" w:hAnsi="Times New Roman" w:cs="Times New Roman"/>
          <w:sz w:val="24"/>
          <w:szCs w:val="24"/>
          <w:lang w:val="en-GB" w:eastAsia="en-GB"/>
        </w:rPr>
      </w:pPr>
      <w:bookmarkStart w:id="10" w:name="_Hlk193922227"/>
      <w:r w:rsidRPr="00277BB8">
        <w:rPr>
          <w:rFonts w:ascii="Times New Roman" w:eastAsia="Times New Roman" w:hAnsi="Times New Roman" w:cs="Times New Roman"/>
          <w:color w:val="000000"/>
          <w:kern w:val="24"/>
          <w:sz w:val="24"/>
          <w:szCs w:val="24"/>
          <w:lang w:eastAsia="en-GB"/>
        </w:rPr>
        <w:t xml:space="preserve">Healthcare workers should adhere to relevant guidelines and policies for preventive action to reduce the incidence of </w:t>
      </w:r>
      <w:r w:rsidR="005531E2">
        <w:rPr>
          <w:rFonts w:ascii="Times New Roman" w:eastAsia="Times New Roman" w:hAnsi="Times New Roman" w:cs="Times New Roman"/>
          <w:color w:val="000000"/>
          <w:kern w:val="24"/>
          <w:sz w:val="24"/>
          <w:szCs w:val="24"/>
          <w:lang w:eastAsia="en-GB"/>
        </w:rPr>
        <w:t>needle-stick</w:t>
      </w:r>
      <w:r w:rsidRPr="00277BB8">
        <w:rPr>
          <w:rFonts w:ascii="Times New Roman" w:eastAsia="Times New Roman" w:hAnsi="Times New Roman" w:cs="Times New Roman"/>
          <w:color w:val="000000"/>
          <w:kern w:val="24"/>
          <w:sz w:val="24"/>
          <w:szCs w:val="24"/>
          <w:lang w:eastAsia="en-GB"/>
        </w:rPr>
        <w:t xml:space="preserve"> injuries.</w:t>
      </w:r>
      <w:bookmarkEnd w:id="10"/>
    </w:p>
    <w:p w14:paraId="04FB13A9" w14:textId="5F7BA2AE" w:rsidR="000028C8" w:rsidRPr="00277BB8" w:rsidRDefault="000028C8" w:rsidP="0077769C">
      <w:pPr>
        <w:numPr>
          <w:ilvl w:val="0"/>
          <w:numId w:val="3"/>
        </w:numPr>
        <w:spacing w:after="0" w:line="480" w:lineRule="auto"/>
        <w:contextualSpacing/>
        <w:jc w:val="both"/>
        <w:rPr>
          <w:rFonts w:ascii="Times New Roman" w:eastAsia="Times New Roman" w:hAnsi="Times New Roman" w:cs="Times New Roman"/>
          <w:sz w:val="24"/>
          <w:szCs w:val="24"/>
          <w:lang w:val="en-GB" w:eastAsia="en-GB"/>
        </w:rPr>
      </w:pPr>
      <w:r w:rsidRPr="00277BB8">
        <w:rPr>
          <w:rFonts w:ascii="Times New Roman" w:hAnsi="Times New Roman"/>
          <w:sz w:val="24"/>
          <w:szCs w:val="24"/>
        </w:rPr>
        <w:t xml:space="preserve">Managers of health institutions should establish safety inspection teams </w:t>
      </w:r>
      <w:r w:rsidR="002070AD">
        <w:rPr>
          <w:rFonts w:ascii="Times New Roman" w:hAnsi="Times New Roman"/>
          <w:sz w:val="24"/>
          <w:szCs w:val="24"/>
        </w:rPr>
        <w:t>that will</w:t>
      </w:r>
      <w:r w:rsidR="00116D19">
        <w:rPr>
          <w:rFonts w:ascii="Times New Roman" w:hAnsi="Times New Roman"/>
          <w:sz w:val="24"/>
          <w:szCs w:val="24"/>
        </w:rPr>
        <w:t xml:space="preserve"> </w:t>
      </w:r>
      <w:r w:rsidRPr="00277BB8">
        <w:rPr>
          <w:rFonts w:ascii="Times New Roman" w:hAnsi="Times New Roman"/>
          <w:sz w:val="24"/>
          <w:szCs w:val="24"/>
        </w:rPr>
        <w:t>assess safety compliance before, dur</w:t>
      </w:r>
      <w:r>
        <w:rPr>
          <w:rFonts w:ascii="Times New Roman" w:hAnsi="Times New Roman"/>
          <w:sz w:val="24"/>
          <w:szCs w:val="24"/>
        </w:rPr>
        <w:t>ing and after medical practices to reduce incidence of NSI</w:t>
      </w:r>
    </w:p>
    <w:p w14:paraId="2F2DF5E4" w14:textId="77777777" w:rsidR="000028C8" w:rsidRPr="000F2CB0" w:rsidRDefault="000028C8" w:rsidP="0077769C">
      <w:pPr>
        <w:numPr>
          <w:ilvl w:val="0"/>
          <w:numId w:val="3"/>
        </w:numPr>
        <w:spacing w:after="0" w:line="480" w:lineRule="auto"/>
        <w:contextualSpacing/>
        <w:jc w:val="both"/>
        <w:rPr>
          <w:rFonts w:ascii="Times New Roman" w:eastAsia="Times New Roman" w:hAnsi="Times New Roman" w:cs="Times New Roman"/>
          <w:sz w:val="24"/>
          <w:szCs w:val="24"/>
          <w:lang w:val="en-GB" w:eastAsia="en-GB"/>
        </w:rPr>
      </w:pPr>
      <w:r w:rsidRPr="000F2CB0">
        <w:rPr>
          <w:rFonts w:ascii="Times New Roman" w:hAnsi="Times New Roman"/>
          <w:sz w:val="24"/>
          <w:szCs w:val="24"/>
        </w:rPr>
        <w:t>Healthcare workers should be protected by adequate safety pre</w:t>
      </w:r>
      <w:r>
        <w:rPr>
          <w:rFonts w:ascii="Times New Roman" w:hAnsi="Times New Roman"/>
          <w:sz w:val="24"/>
          <w:szCs w:val="24"/>
        </w:rPr>
        <w:t xml:space="preserve">cautions, including the use of </w:t>
      </w:r>
      <w:r w:rsidRPr="000F2CB0">
        <w:rPr>
          <w:rFonts w:ascii="Times New Roman" w:hAnsi="Times New Roman"/>
          <w:sz w:val="24"/>
          <w:szCs w:val="24"/>
        </w:rPr>
        <w:t>medical devices incorporating safety-engineered protection mechanisms</w:t>
      </w:r>
      <w:r>
        <w:rPr>
          <w:rFonts w:ascii="Times New Roman" w:hAnsi="Times New Roman"/>
          <w:sz w:val="24"/>
          <w:szCs w:val="24"/>
        </w:rPr>
        <w:t xml:space="preserve"> to prevent NSI</w:t>
      </w:r>
      <w:r w:rsidRPr="000F2CB0">
        <w:rPr>
          <w:rFonts w:ascii="Times New Roman" w:hAnsi="Times New Roman"/>
          <w:sz w:val="24"/>
          <w:szCs w:val="24"/>
        </w:rPr>
        <w:t>.</w:t>
      </w:r>
    </w:p>
    <w:p w14:paraId="35513644" w14:textId="6952C582" w:rsidR="0032488C" w:rsidRDefault="0032488C" w:rsidP="00805493">
      <w:pPr>
        <w:rPr>
          <w:rFonts w:ascii="Times New Roman" w:hAnsi="Times New Roman"/>
        </w:rPr>
      </w:pPr>
      <w:r>
        <w:rPr>
          <w:rFonts w:ascii="Times New Roman" w:hAnsi="Times New Roman"/>
        </w:rPr>
        <w:br w:type="page"/>
      </w:r>
    </w:p>
    <w:p w14:paraId="277005FD" w14:textId="0FA274C2" w:rsidR="00427DC1" w:rsidRDefault="00427DC1" w:rsidP="00805493">
      <w:pPr>
        <w:rPr>
          <w:rFonts w:ascii="Times New Roman" w:hAnsi="Times New Roman" w:cs="Arial"/>
          <w:color w:val="000000"/>
          <w:sz w:val="24"/>
          <w:szCs w:val="24"/>
        </w:rPr>
      </w:pPr>
    </w:p>
    <w:p w14:paraId="11A0C554" w14:textId="77777777" w:rsidR="00427DC1" w:rsidRPr="00427DC1" w:rsidRDefault="00427DC1" w:rsidP="00427DC1">
      <w:pPr>
        <w:spacing w:after="200" w:line="276" w:lineRule="auto"/>
        <w:rPr>
          <w:rFonts w:ascii="Calibri" w:eastAsia="Calibri" w:hAnsi="Calibri" w:cs="Times New Roman"/>
          <w:kern w:val="2"/>
          <w:highlight w:val="yellow"/>
          <w14:ligatures w14:val="standardContextual"/>
        </w:rPr>
      </w:pPr>
      <w:bookmarkStart w:id="11" w:name="_Hlk192523178"/>
      <w:bookmarkStart w:id="12" w:name="_Hlk192511221"/>
      <w:bookmarkStart w:id="13" w:name="_Hlk193205233"/>
      <w:r w:rsidRPr="00427DC1">
        <w:rPr>
          <w:rFonts w:ascii="Calibri" w:eastAsia="Calibri" w:hAnsi="Calibri" w:cs="Times New Roman"/>
          <w:kern w:val="2"/>
          <w:highlight w:val="yellow"/>
          <w14:ligatures w14:val="standardContextual"/>
        </w:rPr>
        <w:t>Disclaimer (Artificial intelligence)</w:t>
      </w:r>
    </w:p>
    <w:p w14:paraId="0E15B072" w14:textId="77777777" w:rsidR="00427DC1" w:rsidRPr="00427DC1" w:rsidRDefault="00427DC1" w:rsidP="00427DC1">
      <w:pPr>
        <w:spacing w:after="200" w:line="276" w:lineRule="auto"/>
        <w:rPr>
          <w:rFonts w:ascii="Calibri" w:eastAsia="Calibri" w:hAnsi="Calibri" w:cs="Times New Roman"/>
          <w:kern w:val="2"/>
          <w:highlight w:val="yellow"/>
          <w14:ligatures w14:val="standardContextual"/>
        </w:rPr>
      </w:pPr>
    </w:p>
    <w:p w14:paraId="711EB511" w14:textId="1E84E01C" w:rsidR="00427DC1" w:rsidRPr="00427DC1" w:rsidRDefault="00427DC1" w:rsidP="00427DC1">
      <w:pPr>
        <w:spacing w:after="200" w:line="276" w:lineRule="auto"/>
        <w:rPr>
          <w:rFonts w:ascii="Calibri" w:eastAsia="Calibri" w:hAnsi="Calibri" w:cs="Times New Roman"/>
          <w:kern w:val="2"/>
          <w:highlight w:val="yellow"/>
          <w14:ligatures w14:val="standardContextual"/>
        </w:rPr>
      </w:pPr>
      <w:r w:rsidRPr="00427DC1">
        <w:rPr>
          <w:rFonts w:ascii="Calibri" w:eastAsia="Calibri" w:hAnsi="Calibri" w:cs="Times New Roman"/>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42153B19" w14:textId="77777777" w:rsidR="00427DC1" w:rsidRPr="00427DC1" w:rsidRDefault="00427DC1" w:rsidP="00427DC1">
      <w:pPr>
        <w:spacing w:after="200" w:line="276" w:lineRule="auto"/>
        <w:rPr>
          <w:rFonts w:ascii="Calibri" w:eastAsia="Calibri" w:hAnsi="Calibri" w:cs="Times New Roman"/>
          <w:kern w:val="2"/>
          <w:highlight w:val="yellow"/>
          <w14:ligatures w14:val="standardContextual"/>
        </w:rPr>
      </w:pPr>
    </w:p>
    <w:bookmarkEnd w:id="11"/>
    <w:bookmarkEnd w:id="12"/>
    <w:bookmarkEnd w:id="13"/>
    <w:p w14:paraId="6665F2A4" w14:textId="77777777" w:rsidR="00427DC1" w:rsidRDefault="00427DC1" w:rsidP="00805493">
      <w:pPr>
        <w:rPr>
          <w:rFonts w:ascii="Times New Roman" w:hAnsi="Times New Roman" w:cs="Arial"/>
          <w:color w:val="000000"/>
          <w:sz w:val="24"/>
          <w:szCs w:val="24"/>
        </w:rPr>
      </w:pPr>
    </w:p>
    <w:p w14:paraId="079B9EA8" w14:textId="77777777" w:rsidR="0032488C" w:rsidRPr="00794C96" w:rsidRDefault="0032488C" w:rsidP="0032488C">
      <w:pPr>
        <w:pStyle w:val="Heading1"/>
        <w:spacing w:before="0" w:beforeAutospacing="0" w:after="160" w:afterAutospacing="0" w:line="480" w:lineRule="auto"/>
        <w:jc w:val="center"/>
        <w:rPr>
          <w:sz w:val="24"/>
          <w:szCs w:val="24"/>
        </w:rPr>
      </w:pPr>
      <w:r w:rsidRPr="00794C96">
        <w:rPr>
          <w:sz w:val="24"/>
          <w:szCs w:val="24"/>
        </w:rPr>
        <w:t>REFERENCES</w:t>
      </w:r>
    </w:p>
    <w:p w14:paraId="78223F3C"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Abdul Wahab, A. A., Daud, F., Othman, N., &amp; Sahak. F. A., (2019). Occupational sharps injury among healthcare workers in hospital Melaka 2013 – 2015: A cross sectional study. </w:t>
      </w:r>
      <w:r w:rsidRPr="00823A0B">
        <w:rPr>
          <w:rFonts w:ascii="Times New Roman" w:hAnsi="Times New Roman"/>
          <w:b/>
          <w:i/>
          <w:iCs/>
          <w:sz w:val="24"/>
          <w:szCs w:val="24"/>
        </w:rPr>
        <w:t>Malaysian Journal of Public Health Medicine, 19</w:t>
      </w:r>
      <w:r w:rsidRPr="00823A0B">
        <w:rPr>
          <w:rFonts w:ascii="Times New Roman" w:hAnsi="Times New Roman"/>
          <w:b/>
          <w:sz w:val="24"/>
          <w:szCs w:val="24"/>
        </w:rPr>
        <w:t>(2), 170–178. doi.10.37268.</w:t>
      </w:r>
    </w:p>
    <w:p w14:paraId="54E0E771" w14:textId="77777777" w:rsidR="0032488C" w:rsidRPr="009C5754" w:rsidRDefault="0032488C" w:rsidP="009C5754">
      <w:pPr>
        <w:spacing w:before="200" w:after="240"/>
        <w:ind w:left="900" w:hanging="900"/>
        <w:jc w:val="both"/>
        <w:rPr>
          <w:rFonts w:ascii="Times New Roman" w:hAnsi="Times New Roman"/>
          <w:b/>
          <w:sz w:val="24"/>
          <w:szCs w:val="24"/>
        </w:rPr>
      </w:pPr>
      <w:r w:rsidRPr="00147C51">
        <w:rPr>
          <w:rFonts w:ascii="Times New Roman" w:hAnsi="Times New Roman"/>
          <w:b/>
          <w:sz w:val="24"/>
          <w:szCs w:val="24"/>
        </w:rPr>
        <w:t>Amira C. O., &amp; Awobusuyi J. O. (2014). Needle-stick injury among health care workers in hemodialysis units in Nigeria: a multi-center study. Int J Occup Environ Med., 5(1):1-8. PMID: 24463795; PMCID: PMC7767588.</w:t>
      </w:r>
    </w:p>
    <w:p w14:paraId="531BC3A0" w14:textId="0C6425EE" w:rsidR="0032488C" w:rsidRPr="00147C51" w:rsidRDefault="0032488C" w:rsidP="0032488C">
      <w:pPr>
        <w:spacing w:before="200" w:after="240" w:line="240" w:lineRule="auto"/>
        <w:ind w:left="900" w:hanging="900"/>
        <w:jc w:val="both"/>
        <w:rPr>
          <w:rFonts w:ascii="-webkit-standard" w:eastAsia="Times New Roman" w:hAnsi="-webkit-standard"/>
          <w:b/>
          <w:sz w:val="24"/>
          <w:szCs w:val="24"/>
          <w:lang w:bidi="he-IL"/>
        </w:rPr>
      </w:pPr>
      <w:r w:rsidRPr="00147C51">
        <w:rPr>
          <w:rFonts w:ascii="Times New Roman" w:eastAsia="Times New Roman" w:hAnsi="Times New Roman"/>
          <w:b/>
          <w:sz w:val="24"/>
          <w:szCs w:val="24"/>
          <w:lang w:bidi="he-IL"/>
        </w:rPr>
        <w:lastRenderedPageBreak/>
        <w:t xml:space="preserve">Basaza, R.K., Otieno, E.D., &amp; Haddock, C.K. (2021). Assessment of </w:t>
      </w:r>
      <w:r w:rsidR="005531E2">
        <w:rPr>
          <w:rFonts w:ascii="Times New Roman" w:eastAsia="Times New Roman" w:hAnsi="Times New Roman"/>
          <w:b/>
          <w:sz w:val="24"/>
          <w:szCs w:val="24"/>
          <w:lang w:bidi="he-IL"/>
        </w:rPr>
        <w:t>needle stick</w:t>
      </w:r>
      <w:r w:rsidRPr="00147C51">
        <w:rPr>
          <w:rFonts w:ascii="Times New Roman" w:eastAsia="Times New Roman" w:hAnsi="Times New Roman"/>
          <w:b/>
          <w:sz w:val="24"/>
          <w:szCs w:val="24"/>
          <w:lang w:bidi="he-IL"/>
        </w:rPr>
        <w:t xml:space="preserve"> injuries among healthcare workers: a cross-sectional study from Kakiri military and SOS hospitals, Uganda. International Journal of Healthcare, 1, 1-17.</w:t>
      </w:r>
    </w:p>
    <w:p w14:paraId="6B2CA857" w14:textId="138B47EB"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Bazie, G. W., (2020). Factors associated with </w:t>
      </w:r>
      <w:r w:rsidR="005531E2">
        <w:rPr>
          <w:rFonts w:ascii="Times New Roman" w:hAnsi="Times New Roman"/>
          <w:b/>
          <w:sz w:val="24"/>
          <w:szCs w:val="24"/>
        </w:rPr>
        <w:t>needle-stick</w:t>
      </w:r>
      <w:r w:rsidRPr="00823A0B">
        <w:rPr>
          <w:rFonts w:ascii="Times New Roman" w:hAnsi="Times New Roman"/>
          <w:b/>
          <w:sz w:val="24"/>
          <w:szCs w:val="24"/>
        </w:rPr>
        <w:t xml:space="preserve"> and sharp injuries among healthcare workers in </w:t>
      </w:r>
      <w:proofErr w:type="spellStart"/>
      <w:r w:rsidR="001E609F" w:rsidRPr="00823A0B">
        <w:rPr>
          <w:rFonts w:ascii="Times New Roman" w:hAnsi="Times New Roman"/>
          <w:b/>
          <w:sz w:val="24"/>
          <w:szCs w:val="24"/>
        </w:rPr>
        <w:t>North</w:t>
      </w:r>
      <w:r w:rsidR="001E609F">
        <w:rPr>
          <w:rFonts w:ascii="Times New Roman" w:hAnsi="Times New Roman"/>
          <w:b/>
          <w:sz w:val="24"/>
          <w:szCs w:val="24"/>
        </w:rPr>
        <w:t>E</w:t>
      </w:r>
      <w:r w:rsidR="001E609F" w:rsidRPr="00823A0B">
        <w:rPr>
          <w:rFonts w:ascii="Times New Roman" w:hAnsi="Times New Roman"/>
          <w:b/>
          <w:sz w:val="24"/>
          <w:szCs w:val="24"/>
        </w:rPr>
        <w:t>ast</w:t>
      </w:r>
      <w:proofErr w:type="spellEnd"/>
      <w:r w:rsidRPr="00823A0B">
        <w:rPr>
          <w:rFonts w:ascii="Times New Roman" w:hAnsi="Times New Roman"/>
          <w:b/>
          <w:sz w:val="24"/>
          <w:szCs w:val="24"/>
        </w:rPr>
        <w:t xml:space="preserve"> Ethiopia. </w:t>
      </w:r>
      <w:r w:rsidRPr="00823A0B">
        <w:rPr>
          <w:rFonts w:ascii="Times New Roman" w:hAnsi="Times New Roman"/>
          <w:b/>
          <w:i/>
          <w:iCs/>
          <w:sz w:val="24"/>
          <w:szCs w:val="24"/>
        </w:rPr>
        <w:t xml:space="preserve">Risk Management and Healthcare Policy, </w:t>
      </w:r>
      <w:r w:rsidRPr="00823A0B">
        <w:rPr>
          <w:rFonts w:ascii="Times New Roman" w:hAnsi="Times New Roman"/>
          <w:b/>
          <w:sz w:val="24"/>
          <w:szCs w:val="24"/>
        </w:rPr>
        <w:t>2449-2456.</w:t>
      </w:r>
    </w:p>
    <w:p w14:paraId="2B42FBEE" w14:textId="6DA268F2" w:rsidR="0032488C" w:rsidRPr="00147C51" w:rsidRDefault="0032488C" w:rsidP="0032488C">
      <w:pPr>
        <w:spacing w:before="200" w:after="240"/>
        <w:ind w:left="900" w:hanging="900"/>
        <w:jc w:val="both"/>
        <w:rPr>
          <w:rFonts w:ascii="Times New Roman" w:hAnsi="Times New Roman" w:cs="Times New Roman"/>
          <w:b/>
          <w:sz w:val="24"/>
          <w:szCs w:val="24"/>
        </w:rPr>
      </w:pPr>
      <w:r w:rsidRPr="00147C51">
        <w:rPr>
          <w:rFonts w:ascii="Times New Roman" w:hAnsi="Times New Roman" w:cs="Times New Roman"/>
          <w:b/>
          <w:sz w:val="24"/>
          <w:szCs w:val="24"/>
          <w:shd w:val="clear" w:color="auto" w:fill="FFFFFF"/>
        </w:rPr>
        <w:t xml:space="preserve">Berhan Z., Malede A., Gizeyatu A., Sisay T., Lingerew M., Kloos H., Dagne M., Gebrehiwot M., Ketema G., Bogale K., Eneyew B., Hassen S., Natnael T., Yenuss M., Berhanu L., Abebe M., Berihun G., Wagaye B., Faris K., … Adane, M. (2021). Prevalence and associated factors of </w:t>
      </w:r>
      <w:r w:rsidR="005531E2">
        <w:rPr>
          <w:rFonts w:ascii="Times New Roman" w:hAnsi="Times New Roman" w:cs="Times New Roman"/>
          <w:b/>
          <w:sz w:val="24"/>
          <w:szCs w:val="24"/>
          <w:shd w:val="clear" w:color="auto" w:fill="FFFFFF"/>
        </w:rPr>
        <w:t>needle stick</w:t>
      </w:r>
      <w:r w:rsidRPr="00147C51">
        <w:rPr>
          <w:rFonts w:ascii="Times New Roman" w:hAnsi="Times New Roman" w:cs="Times New Roman"/>
          <w:b/>
          <w:sz w:val="24"/>
          <w:szCs w:val="24"/>
          <w:shd w:val="clear" w:color="auto" w:fill="FFFFFF"/>
        </w:rPr>
        <w:t xml:space="preserve"> and sharps injuries among healthcare workers in northwestern Ethiopia. </w:t>
      </w:r>
      <w:r w:rsidRPr="00147C51">
        <w:rPr>
          <w:rFonts w:ascii="Times New Roman" w:hAnsi="Times New Roman" w:cs="Times New Roman"/>
          <w:b/>
          <w:i/>
          <w:sz w:val="24"/>
          <w:szCs w:val="24"/>
          <w:shd w:val="clear" w:color="auto" w:fill="FFFFFF"/>
        </w:rPr>
        <w:t>Plos One,</w:t>
      </w:r>
      <w:r w:rsidRPr="00147C51">
        <w:rPr>
          <w:rFonts w:ascii="Times New Roman" w:hAnsi="Times New Roman" w:cs="Times New Roman"/>
          <w:b/>
          <w:sz w:val="24"/>
          <w:szCs w:val="24"/>
          <w:shd w:val="clear" w:color="auto" w:fill="FFFFFF"/>
        </w:rPr>
        <w:t xml:space="preserve"> 16(9):e0252039. doi: 10.1371.</w:t>
      </w:r>
    </w:p>
    <w:p w14:paraId="43C7A9B6" w14:textId="5BB7568C" w:rsidR="0032488C" w:rsidRPr="00147C51" w:rsidRDefault="0032488C" w:rsidP="0032488C">
      <w:pPr>
        <w:spacing w:before="200" w:after="240" w:line="240" w:lineRule="auto"/>
        <w:ind w:left="900" w:hanging="900"/>
        <w:jc w:val="both"/>
        <w:rPr>
          <w:rFonts w:ascii="Times New Roman" w:hAnsi="Times New Roman"/>
          <w:b/>
          <w:sz w:val="24"/>
          <w:szCs w:val="24"/>
        </w:rPr>
      </w:pPr>
      <w:r w:rsidRPr="00147C51">
        <w:rPr>
          <w:rFonts w:ascii="Times New Roman" w:eastAsia="Times New Roman" w:hAnsi="Times New Roman"/>
          <w:b/>
          <w:sz w:val="24"/>
          <w:szCs w:val="24"/>
          <w:lang w:bidi="he-IL"/>
        </w:rPr>
        <w:t>Bouya, S., Balouchi, A., Rafiemanesh, H., Amirshahi, M., Dastres, M., Moghadam, M.P., Behnamfar, N., Shyeback, M., Badakhsh, M., Allahyari, J., Al Mawali, A., Ebadi, A., Dezhkam, A., &amp; Daley, K.A.,</w:t>
      </w:r>
      <w:r w:rsidRPr="00147C51">
        <w:rPr>
          <w:rFonts w:ascii="Times New Roman" w:hAnsi="Times New Roman"/>
          <w:b/>
          <w:sz w:val="24"/>
          <w:szCs w:val="24"/>
        </w:rPr>
        <w:t xml:space="preserve"> (2020). Global prevalence and device related causes of </w:t>
      </w:r>
      <w:r w:rsidR="005531E2">
        <w:rPr>
          <w:rFonts w:ascii="Times New Roman" w:hAnsi="Times New Roman"/>
          <w:b/>
          <w:sz w:val="24"/>
          <w:szCs w:val="24"/>
        </w:rPr>
        <w:t>needle stick</w:t>
      </w:r>
      <w:r w:rsidRPr="00147C51">
        <w:rPr>
          <w:rFonts w:ascii="Times New Roman" w:hAnsi="Times New Roman"/>
          <w:b/>
          <w:sz w:val="24"/>
          <w:szCs w:val="24"/>
        </w:rPr>
        <w:t xml:space="preserve"> injuries among health care workers: a systematic review and meta-analysis.</w:t>
      </w:r>
      <w:r w:rsidRPr="00147C51">
        <w:rPr>
          <w:rFonts w:ascii="Times New Roman" w:hAnsi="Times New Roman"/>
          <w:b/>
          <w:i/>
          <w:iCs/>
          <w:sz w:val="24"/>
          <w:szCs w:val="24"/>
        </w:rPr>
        <w:t xml:space="preserve"> Annals of Global Health, 86</w:t>
      </w:r>
      <w:r w:rsidRPr="00147C51">
        <w:rPr>
          <w:rFonts w:ascii="Times New Roman" w:hAnsi="Times New Roman"/>
          <w:b/>
          <w:sz w:val="24"/>
          <w:szCs w:val="24"/>
        </w:rPr>
        <w:t>(1), 35. Doi: doi. 10.5334.</w:t>
      </w:r>
    </w:p>
    <w:p w14:paraId="5DC67332" w14:textId="77777777" w:rsidR="0032488C" w:rsidRPr="00823A0B"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823A0B">
        <w:rPr>
          <w:rFonts w:ascii="Times New Roman" w:eastAsia="Times New Roman" w:hAnsi="Times New Roman" w:cs="Times New Roman"/>
          <w:b/>
          <w:sz w:val="24"/>
          <w:szCs w:val="24"/>
          <w:lang w:bidi="he-IL"/>
        </w:rPr>
        <w:t xml:space="preserve">Brown, S., &amp; Wilson, K. (2019). Reducing needlestick injuries in the healthcare setting: An intervention study. </w:t>
      </w:r>
      <w:r w:rsidRPr="00823A0B">
        <w:rPr>
          <w:rFonts w:ascii="Times New Roman" w:eastAsia="Times New Roman" w:hAnsi="Times New Roman" w:cs="Times New Roman"/>
          <w:b/>
          <w:i/>
          <w:sz w:val="24"/>
          <w:szCs w:val="24"/>
          <w:lang w:bidi="he-IL"/>
        </w:rPr>
        <w:t>Journal of Occupational and Environmental Medicine, 45</w:t>
      </w:r>
      <w:r w:rsidRPr="00823A0B">
        <w:rPr>
          <w:rFonts w:ascii="Times New Roman" w:eastAsia="Times New Roman" w:hAnsi="Times New Roman" w:cs="Times New Roman"/>
          <w:b/>
          <w:sz w:val="24"/>
          <w:szCs w:val="24"/>
          <w:lang w:bidi="he-IL"/>
        </w:rPr>
        <w:t>(2), 128-136.</w:t>
      </w:r>
    </w:p>
    <w:p w14:paraId="213E3B54" w14:textId="77777777" w:rsidR="0032488C" w:rsidRPr="00147C51"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147C51">
        <w:rPr>
          <w:rFonts w:ascii="Times New Roman" w:eastAsia="Times New Roman" w:hAnsi="Times New Roman" w:cs="Times New Roman"/>
          <w:b/>
          <w:sz w:val="24"/>
          <w:szCs w:val="24"/>
          <w:lang w:bidi="he-IL"/>
        </w:rPr>
        <w:t>CDC (2017) Summary report from blood and body fluid exposure. </w:t>
      </w:r>
      <w:hyperlink r:id="rId7" w:history="1">
        <w:r w:rsidRPr="00147C51">
          <w:rPr>
            <w:rStyle w:val="Hyperlink"/>
            <w:rFonts w:ascii="Times New Roman" w:eastAsia="Times New Roman" w:hAnsi="Times New Roman" w:cs="Times New Roman"/>
            <w:b/>
            <w:sz w:val="24"/>
            <w:szCs w:val="24"/>
            <w:lang w:bidi="he-IL"/>
          </w:rPr>
          <w:t>https://www.cdc.gov/nhsn/datastat/other-reports.htmlb</w:t>
        </w:r>
      </w:hyperlink>
    </w:p>
    <w:p w14:paraId="6B76CA26" w14:textId="77777777" w:rsidR="0032488C" w:rsidRPr="009C5754" w:rsidRDefault="0032488C" w:rsidP="009C5754">
      <w:pPr>
        <w:spacing w:before="200" w:after="240"/>
        <w:ind w:left="900" w:hanging="900"/>
        <w:rPr>
          <w:rFonts w:ascii="Times New Roman" w:hAnsi="Times New Roman"/>
          <w:b/>
          <w:sz w:val="24"/>
          <w:szCs w:val="24"/>
        </w:rPr>
      </w:pPr>
      <w:r w:rsidRPr="006D050E">
        <w:rPr>
          <w:rFonts w:ascii="Times New Roman" w:hAnsi="Times New Roman"/>
          <w:sz w:val="24"/>
          <w:szCs w:val="24"/>
        </w:rPr>
        <w:t xml:space="preserve"> </w:t>
      </w:r>
      <w:r w:rsidRPr="00823A0B">
        <w:rPr>
          <w:rFonts w:ascii="Times New Roman" w:hAnsi="Times New Roman"/>
          <w:b/>
          <w:sz w:val="24"/>
          <w:szCs w:val="24"/>
        </w:rPr>
        <w:t xml:space="preserve">Centers for Disease Control and Prevention. (2021). Blood </w:t>
      </w:r>
      <w:r w:rsidRPr="00823A0B">
        <w:rPr>
          <w:rFonts w:ascii="Times New Roman" w:hAnsi="Times New Roman"/>
          <w:b/>
          <w:i/>
          <w:sz w:val="24"/>
          <w:szCs w:val="24"/>
        </w:rPr>
        <w:t>borne Infectious Diseases: HIV/AIDS, Hepatitis B, Hepatitis C</w:t>
      </w:r>
      <w:r w:rsidRPr="00823A0B">
        <w:rPr>
          <w:rFonts w:ascii="Times New Roman" w:hAnsi="Times New Roman"/>
          <w:b/>
          <w:sz w:val="24"/>
          <w:szCs w:val="24"/>
        </w:rPr>
        <w:t>.  U.K.</w:t>
      </w:r>
    </w:p>
    <w:p w14:paraId="4735FC54"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Foda, N. M. T., Elshaer,  N. S. M., &amp; Sultan, Y. H. M., (2018). Safe injection procedures, injection practices, and needlestick injuries among health care workers in operating rooms. </w:t>
      </w:r>
      <w:r w:rsidRPr="00823A0B">
        <w:rPr>
          <w:rFonts w:ascii="Times New Roman" w:hAnsi="Times New Roman"/>
          <w:b/>
          <w:i/>
          <w:iCs/>
          <w:sz w:val="24"/>
          <w:szCs w:val="24"/>
        </w:rPr>
        <w:t>Alexandria Journal of Medicine, 54(</w:t>
      </w:r>
      <w:r w:rsidRPr="00823A0B">
        <w:rPr>
          <w:rFonts w:ascii="Times New Roman" w:hAnsi="Times New Roman"/>
          <w:b/>
          <w:sz w:val="24"/>
          <w:szCs w:val="24"/>
        </w:rPr>
        <w:t>1); 85-92, doi.10.1016.</w:t>
      </w:r>
    </w:p>
    <w:p w14:paraId="7D1E0B56"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Ghanei G. R., Aslani, M., &amp; Shabani, F. (2018). Prevalence of needlestick and sharps injuries in the healthcare workers of Iranian hospitals: an updated meta-analysis. </w:t>
      </w:r>
      <w:r w:rsidRPr="00823A0B">
        <w:rPr>
          <w:rFonts w:ascii="Times New Roman" w:hAnsi="Times New Roman"/>
          <w:b/>
          <w:i/>
          <w:iCs/>
          <w:sz w:val="24"/>
          <w:szCs w:val="24"/>
        </w:rPr>
        <w:t>Environmental Health Preventive Medicine, 23</w:t>
      </w:r>
      <w:r w:rsidRPr="00823A0B">
        <w:rPr>
          <w:rFonts w:ascii="Times New Roman" w:hAnsi="Times New Roman"/>
          <w:b/>
          <w:sz w:val="24"/>
          <w:szCs w:val="24"/>
        </w:rPr>
        <w:t>, 44.  doi.10.1186.</w:t>
      </w:r>
    </w:p>
    <w:p w14:paraId="04A5E6DF"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Hanafi, M. I., Mohamed, A. M., Kassem, M. S., &amp; Shawki, M. (2011). Needlestick injuries among health care workers of University of Alexandria Hospitals. </w:t>
      </w:r>
      <w:r w:rsidRPr="00823A0B">
        <w:rPr>
          <w:rFonts w:ascii="Times New Roman" w:hAnsi="Times New Roman"/>
          <w:b/>
          <w:i/>
          <w:iCs/>
          <w:sz w:val="24"/>
          <w:szCs w:val="24"/>
        </w:rPr>
        <w:t>Eastern Mediterranean Health Journal</w:t>
      </w:r>
      <w:r w:rsidRPr="00823A0B">
        <w:rPr>
          <w:rFonts w:ascii="Times New Roman" w:hAnsi="Times New Roman"/>
          <w:b/>
          <w:sz w:val="24"/>
          <w:szCs w:val="24"/>
        </w:rPr>
        <w:t>,</w:t>
      </w:r>
      <w:r w:rsidRPr="00823A0B">
        <w:rPr>
          <w:rFonts w:ascii="Times New Roman" w:hAnsi="Times New Roman"/>
          <w:b/>
          <w:i/>
          <w:iCs/>
          <w:sz w:val="24"/>
          <w:szCs w:val="24"/>
        </w:rPr>
        <w:t>17</w:t>
      </w:r>
      <w:r w:rsidRPr="00823A0B">
        <w:rPr>
          <w:rFonts w:ascii="Times New Roman" w:hAnsi="Times New Roman"/>
          <w:b/>
          <w:sz w:val="24"/>
          <w:szCs w:val="24"/>
        </w:rPr>
        <w:t>(1), 26–35.</w:t>
      </w:r>
    </w:p>
    <w:p w14:paraId="6B969974"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Hassanipour, S., Sepandi, M., &amp; Tavakkol, R.  (2021). Epidemiology and risk factors of needlestick injuries among healthcare workers in Iran: a systematic reviews and meta-analysis. </w:t>
      </w:r>
      <w:r w:rsidRPr="00823A0B">
        <w:rPr>
          <w:rFonts w:ascii="Times New Roman" w:hAnsi="Times New Roman"/>
          <w:b/>
          <w:i/>
          <w:sz w:val="24"/>
          <w:szCs w:val="24"/>
        </w:rPr>
        <w:t xml:space="preserve">Environmental Health and Preventive Medicine, </w:t>
      </w:r>
      <w:r w:rsidRPr="00823A0B">
        <w:rPr>
          <w:rFonts w:ascii="Times New Roman" w:hAnsi="Times New Roman"/>
          <w:b/>
          <w:i/>
          <w:iCs/>
          <w:sz w:val="24"/>
          <w:szCs w:val="24"/>
        </w:rPr>
        <w:t>26</w:t>
      </w:r>
      <w:r w:rsidRPr="00823A0B">
        <w:rPr>
          <w:rFonts w:ascii="Times New Roman" w:hAnsi="Times New Roman"/>
          <w:b/>
          <w:sz w:val="24"/>
          <w:szCs w:val="24"/>
        </w:rPr>
        <w:t>, 43 doi.10.1186</w:t>
      </w:r>
    </w:p>
    <w:p w14:paraId="0B89E9EF" w14:textId="77777777" w:rsidR="0032488C" w:rsidRPr="00823A0B"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823A0B">
        <w:rPr>
          <w:rFonts w:ascii="Times New Roman" w:eastAsia="Times New Roman" w:hAnsi="Times New Roman" w:cs="Times New Roman"/>
          <w:b/>
          <w:sz w:val="24"/>
          <w:szCs w:val="24"/>
          <w:lang w:val="fr-FR" w:bidi="he-IL"/>
        </w:rPr>
        <w:lastRenderedPageBreak/>
        <w:t xml:space="preserve">Ibeh, C. C., Ogueri, N. A., &amp; Ogu, J. O. (2021). </w:t>
      </w:r>
      <w:r w:rsidRPr="00823A0B">
        <w:rPr>
          <w:rFonts w:ascii="Times New Roman" w:eastAsia="Times New Roman" w:hAnsi="Times New Roman" w:cs="Times New Roman"/>
          <w:b/>
          <w:sz w:val="24"/>
          <w:szCs w:val="24"/>
          <w:lang w:bidi="he-IL"/>
        </w:rPr>
        <w:t>Prevalence and risk factors of needlestick injuries among healthcare workers in tertiary health institutions in Nigeria. Annals of Nigerian Medical Journal, 15(2), 126-131.</w:t>
      </w:r>
    </w:p>
    <w:p w14:paraId="44E033CA" w14:textId="77777777" w:rsidR="0032488C" w:rsidRPr="00147C51" w:rsidRDefault="0032488C" w:rsidP="0032488C">
      <w:pPr>
        <w:spacing w:before="200" w:after="240"/>
        <w:ind w:left="900" w:hanging="900"/>
        <w:jc w:val="both"/>
        <w:rPr>
          <w:rFonts w:ascii="Times New Roman" w:hAnsi="Times New Roman"/>
          <w:b/>
          <w:sz w:val="24"/>
          <w:szCs w:val="24"/>
        </w:rPr>
      </w:pPr>
      <w:r w:rsidRPr="00147C51">
        <w:rPr>
          <w:rFonts w:ascii="Times New Roman" w:hAnsi="Times New Roman"/>
          <w:b/>
          <w:sz w:val="24"/>
          <w:szCs w:val="24"/>
        </w:rPr>
        <w:t xml:space="preserve">Isara, A. R., Oguzie, K. E., &amp; Okpogoro, O. E. (2015). Prevalence of needlestick injuries among healthcare workers in the Accident and Emergency Department of a Teaching Hospital in Nigeria. </w:t>
      </w:r>
      <w:r w:rsidRPr="00147C51">
        <w:rPr>
          <w:rFonts w:ascii="Times New Roman" w:hAnsi="Times New Roman"/>
          <w:b/>
          <w:i/>
          <w:iCs/>
          <w:sz w:val="24"/>
          <w:szCs w:val="24"/>
        </w:rPr>
        <w:t>Annals of Medical Health Sciences Research, 5:</w:t>
      </w:r>
      <w:r w:rsidRPr="00147C51">
        <w:rPr>
          <w:rFonts w:ascii="Times New Roman" w:hAnsi="Times New Roman"/>
          <w:b/>
          <w:sz w:val="24"/>
          <w:szCs w:val="24"/>
        </w:rPr>
        <w:t>392-396.</w:t>
      </w:r>
    </w:p>
    <w:p w14:paraId="682FAE89"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Jagger, J., Berguer, R., Phillips, E. K., Parker, G., &amp; Gomaa, A. E (2010).  Increase in sharps injuries in surgical settings versus nonsurgical settings after passage of national needlestick legislation. </w:t>
      </w:r>
      <w:r w:rsidRPr="00823A0B">
        <w:rPr>
          <w:rFonts w:ascii="Times New Roman" w:hAnsi="Times New Roman"/>
          <w:b/>
          <w:i/>
          <w:iCs/>
          <w:sz w:val="24"/>
          <w:szCs w:val="24"/>
        </w:rPr>
        <w:t>Journal of the American College of Surgeons, 210(</w:t>
      </w:r>
      <w:r w:rsidRPr="00823A0B">
        <w:rPr>
          <w:rFonts w:ascii="Times New Roman" w:hAnsi="Times New Roman"/>
          <w:b/>
          <w:sz w:val="24"/>
          <w:szCs w:val="24"/>
        </w:rPr>
        <w:t>4), 496-502. doi.10.1016</w:t>
      </w:r>
    </w:p>
    <w:p w14:paraId="0847BC07" w14:textId="77777777" w:rsidR="0032488C" w:rsidRPr="00823A0B"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823A0B">
        <w:rPr>
          <w:rFonts w:ascii="Times New Roman" w:eastAsia="Times New Roman" w:hAnsi="Times New Roman" w:cs="Times New Roman"/>
          <w:b/>
          <w:sz w:val="24"/>
          <w:szCs w:val="24"/>
          <w:lang w:bidi="he-IL"/>
        </w:rPr>
        <w:t>Joint Commission on Accreditation of Healthcare Organizations. (2023). Standards for Healthcare Organizations. Oakbrook Terrace, IL: Joint Commission on Accreditation of Healthcare Organizations.</w:t>
      </w:r>
    </w:p>
    <w:p w14:paraId="43050E7E" w14:textId="0334D062" w:rsidR="0032488C" w:rsidRPr="00147C51" w:rsidRDefault="0032488C" w:rsidP="0032488C">
      <w:pPr>
        <w:spacing w:before="200" w:after="240"/>
        <w:ind w:left="900" w:hanging="900"/>
        <w:jc w:val="both"/>
        <w:rPr>
          <w:rFonts w:ascii="Times New Roman" w:hAnsi="Times New Roman"/>
          <w:b/>
          <w:sz w:val="24"/>
          <w:szCs w:val="24"/>
        </w:rPr>
      </w:pPr>
      <w:r w:rsidRPr="00147C51">
        <w:rPr>
          <w:rFonts w:ascii="Times New Roman" w:hAnsi="Times New Roman"/>
          <w:b/>
          <w:sz w:val="24"/>
          <w:szCs w:val="24"/>
        </w:rPr>
        <w:t>Mengistu, D. A., &amp; Tolera, S. T. (2020). Prevalence of occupational exposure to needle</w:t>
      </w:r>
      <w:r w:rsidR="005531E2">
        <w:rPr>
          <w:rFonts w:ascii="Times New Roman" w:hAnsi="Times New Roman"/>
          <w:b/>
          <w:sz w:val="24"/>
          <w:szCs w:val="24"/>
        </w:rPr>
        <w:t xml:space="preserve"> </w:t>
      </w:r>
      <w:r w:rsidRPr="00147C51">
        <w:rPr>
          <w:rFonts w:ascii="Times New Roman" w:hAnsi="Times New Roman"/>
          <w:b/>
          <w:sz w:val="24"/>
          <w:szCs w:val="24"/>
        </w:rPr>
        <w:t xml:space="preserve">stick injury and associated factors among healthcare workers of developing countries: Systematic review. </w:t>
      </w:r>
      <w:r w:rsidRPr="00147C51">
        <w:rPr>
          <w:rFonts w:ascii="Times New Roman" w:hAnsi="Times New Roman"/>
          <w:b/>
          <w:i/>
          <w:iCs/>
          <w:sz w:val="24"/>
          <w:szCs w:val="24"/>
        </w:rPr>
        <w:t>Journal of Occupational Health, 62</w:t>
      </w:r>
      <w:r w:rsidRPr="00147C51">
        <w:rPr>
          <w:rFonts w:ascii="Times New Roman" w:hAnsi="Times New Roman"/>
          <w:b/>
          <w:sz w:val="24"/>
          <w:szCs w:val="24"/>
        </w:rPr>
        <w:t>(1), e12179. doi.10.1002.</w:t>
      </w:r>
    </w:p>
    <w:p w14:paraId="3409C939" w14:textId="77777777" w:rsidR="0032488C" w:rsidRPr="00147C51" w:rsidRDefault="0032488C" w:rsidP="0032488C">
      <w:pPr>
        <w:spacing w:before="200" w:after="240"/>
        <w:ind w:left="900" w:hanging="900"/>
        <w:jc w:val="both"/>
        <w:rPr>
          <w:rFonts w:ascii="Times New Roman" w:hAnsi="Times New Roman"/>
          <w:b/>
          <w:sz w:val="24"/>
          <w:szCs w:val="24"/>
        </w:rPr>
      </w:pPr>
      <w:r w:rsidRPr="00147C51">
        <w:rPr>
          <w:rFonts w:ascii="Times New Roman" w:hAnsi="Times New Roman"/>
          <w:b/>
          <w:sz w:val="24"/>
          <w:szCs w:val="24"/>
        </w:rPr>
        <w:t xml:space="preserve">Mengistu, D. A., Gutema, G. D., Demmu, Y. M., Alemu, A., &amp; Asefa, Y. A. (2022). Occupational-related upper and lower extremity musculoskeletal pain among working population of Ethiopia: Systematic review and meta-analysis. </w:t>
      </w:r>
      <w:r w:rsidRPr="00147C51">
        <w:rPr>
          <w:rFonts w:ascii="Times New Roman" w:hAnsi="Times New Roman"/>
          <w:b/>
          <w:i/>
          <w:iCs/>
          <w:sz w:val="24"/>
          <w:szCs w:val="24"/>
        </w:rPr>
        <w:t>Inquiry: a Journal of Medical care Organization, Provision and Financing, 59,</w:t>
      </w:r>
      <w:r w:rsidRPr="00147C51">
        <w:rPr>
          <w:rFonts w:ascii="Times New Roman" w:hAnsi="Times New Roman"/>
          <w:b/>
          <w:sz w:val="24"/>
          <w:szCs w:val="24"/>
        </w:rPr>
        <w:t xml:space="preserve"> 469580221088620. doi.10.1177.</w:t>
      </w:r>
    </w:p>
    <w:p w14:paraId="76795430"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Mohamud, R. Y. H. Mohamed, N. A., Doğan, A.,  Hilowle, F. M. Isse, S. A., Hassan, Y. M.,  &amp;   Hilowle, I. A., (2023). Needlestick and sharps injuries among healthcare workers at a tertiary care hospital: a retrospective single-center study. </w:t>
      </w:r>
      <w:r w:rsidRPr="00823A0B">
        <w:rPr>
          <w:rFonts w:ascii="Times New Roman" w:hAnsi="Times New Roman"/>
          <w:b/>
          <w:i/>
          <w:iCs/>
          <w:sz w:val="24"/>
          <w:szCs w:val="24"/>
        </w:rPr>
        <w:t>Risk Management and Healthcare Policy, 16</w:t>
      </w:r>
      <w:r w:rsidRPr="00823A0B">
        <w:rPr>
          <w:rFonts w:ascii="Times New Roman" w:hAnsi="Times New Roman"/>
          <w:b/>
          <w:sz w:val="24"/>
          <w:szCs w:val="24"/>
        </w:rPr>
        <w:t>; 2281-2289, Doi: 10.2147.</w:t>
      </w:r>
    </w:p>
    <w:p w14:paraId="279FB664"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Motaarefi,H., Mahmoudi, H., Mohammadi, E. &amp; Hasanpour-Dehkordi, A.(2016). Factors associated with needlestick injuries in health care occupations: a systematic review.</w:t>
      </w:r>
      <w:r w:rsidRPr="00823A0B">
        <w:rPr>
          <w:rFonts w:ascii="Times New Roman" w:hAnsi="Times New Roman"/>
          <w:b/>
          <w:i/>
          <w:iCs/>
          <w:sz w:val="24"/>
          <w:szCs w:val="24"/>
        </w:rPr>
        <w:t xml:space="preserve"> Journal of Clinical and Diagnostic Research. 10(</w:t>
      </w:r>
      <w:r w:rsidRPr="00823A0B">
        <w:rPr>
          <w:rFonts w:ascii="Times New Roman" w:hAnsi="Times New Roman"/>
          <w:b/>
          <w:sz w:val="24"/>
          <w:szCs w:val="24"/>
        </w:rPr>
        <w:t>8),</w:t>
      </w:r>
    </w:p>
    <w:p w14:paraId="3524E508" w14:textId="61171B06" w:rsidR="0032488C" w:rsidRPr="0032488C" w:rsidRDefault="0032488C" w:rsidP="0032488C">
      <w:pPr>
        <w:spacing w:before="200" w:after="240"/>
        <w:ind w:left="900" w:hanging="900"/>
        <w:jc w:val="both"/>
        <w:rPr>
          <w:rFonts w:ascii="Times New Roman" w:hAnsi="Times New Roman"/>
          <w:b/>
          <w:sz w:val="24"/>
          <w:szCs w:val="24"/>
        </w:rPr>
      </w:pPr>
      <w:r w:rsidRPr="00147C51">
        <w:rPr>
          <w:rFonts w:ascii="Times New Roman" w:hAnsi="Times New Roman"/>
          <w:b/>
          <w:sz w:val="24"/>
          <w:szCs w:val="24"/>
        </w:rPr>
        <w:t xml:space="preserve">Obuzor, I., &amp; Gabriel-Job, N. (2021). Prevalence of </w:t>
      </w:r>
      <w:r w:rsidR="005531E2">
        <w:rPr>
          <w:rFonts w:ascii="Times New Roman" w:hAnsi="Times New Roman"/>
          <w:b/>
          <w:sz w:val="24"/>
          <w:szCs w:val="24"/>
        </w:rPr>
        <w:t>needle-stick</w:t>
      </w:r>
      <w:r w:rsidRPr="00147C51">
        <w:rPr>
          <w:rFonts w:ascii="Times New Roman" w:hAnsi="Times New Roman"/>
          <w:b/>
          <w:sz w:val="24"/>
          <w:szCs w:val="24"/>
        </w:rPr>
        <w:t xml:space="preserve"> injuries and utilization of post exposure prophylaxis among resident doctors in a tertiary hospital in Port Harcourt, Nigeria – A Cross-Sectional Analytical Study. </w:t>
      </w:r>
      <w:r w:rsidRPr="00147C51">
        <w:rPr>
          <w:rFonts w:ascii="Times New Roman" w:hAnsi="Times New Roman"/>
          <w:b/>
          <w:i/>
          <w:sz w:val="24"/>
          <w:szCs w:val="24"/>
        </w:rPr>
        <w:t>The Nigerian Health Journal,</w:t>
      </w:r>
      <w:r w:rsidRPr="00147C51">
        <w:rPr>
          <w:rFonts w:ascii="Times New Roman" w:hAnsi="Times New Roman"/>
          <w:b/>
          <w:sz w:val="24"/>
          <w:szCs w:val="24"/>
        </w:rPr>
        <w:t xml:space="preserve"> 21(2), 99–109. </w:t>
      </w:r>
      <w:hyperlink r:id="rId8" w:history="1">
        <w:r w:rsidRPr="00147C51">
          <w:rPr>
            <w:rStyle w:val="Hyperlink"/>
            <w:rFonts w:ascii="Times New Roman" w:hAnsi="Times New Roman"/>
            <w:b/>
            <w:sz w:val="24"/>
            <w:szCs w:val="24"/>
          </w:rPr>
          <w:t>doi.10.60787</w:t>
        </w:r>
      </w:hyperlink>
      <w:r w:rsidRPr="00147C51">
        <w:rPr>
          <w:rStyle w:val="Hyperlink"/>
          <w:rFonts w:ascii="Times New Roman" w:hAnsi="Times New Roman"/>
          <w:b/>
          <w:sz w:val="24"/>
          <w:szCs w:val="24"/>
        </w:rPr>
        <w:t>.</w:t>
      </w:r>
    </w:p>
    <w:p w14:paraId="6373416A" w14:textId="77777777" w:rsidR="0032488C" w:rsidRPr="00147C51" w:rsidRDefault="0032488C" w:rsidP="0032488C">
      <w:pPr>
        <w:spacing w:before="200" w:after="240"/>
        <w:ind w:left="900" w:hanging="900"/>
        <w:jc w:val="both"/>
        <w:rPr>
          <w:rFonts w:ascii="Times New Roman" w:hAnsi="Times New Roman"/>
          <w:b/>
          <w:sz w:val="24"/>
          <w:szCs w:val="24"/>
        </w:rPr>
      </w:pPr>
      <w:r w:rsidRPr="00147C51">
        <w:rPr>
          <w:rFonts w:ascii="Times New Roman" w:hAnsi="Times New Roman"/>
          <w:b/>
          <w:sz w:val="24"/>
          <w:szCs w:val="24"/>
        </w:rPr>
        <w:t xml:space="preserve">Occupational Safety and Health Administration (2013). </w:t>
      </w:r>
      <w:r w:rsidRPr="00147C51">
        <w:rPr>
          <w:rFonts w:ascii="Times New Roman" w:hAnsi="Times New Roman"/>
          <w:b/>
          <w:i/>
          <w:sz w:val="24"/>
          <w:szCs w:val="24"/>
        </w:rPr>
        <w:t>OSHA Fact Sheet: Needlestick Injuries/Sharps Injurie</w:t>
      </w:r>
      <w:r w:rsidRPr="00147C51">
        <w:rPr>
          <w:rFonts w:ascii="Times New Roman" w:hAnsi="Times New Roman"/>
          <w:b/>
          <w:sz w:val="24"/>
          <w:szCs w:val="24"/>
        </w:rPr>
        <w:t xml:space="preserve">s. </w:t>
      </w:r>
    </w:p>
    <w:p w14:paraId="57A173B8" w14:textId="77777777" w:rsidR="0032488C" w:rsidRPr="00147C51"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147C51">
        <w:rPr>
          <w:rFonts w:ascii="Times New Roman" w:eastAsia="Times New Roman" w:hAnsi="Times New Roman" w:cs="Times New Roman"/>
          <w:b/>
          <w:sz w:val="24"/>
          <w:szCs w:val="24"/>
          <w:lang w:bidi="he-IL"/>
        </w:rPr>
        <w:lastRenderedPageBreak/>
        <w:t xml:space="preserve">Ogbuehi, C. E., Ogedegbe, G. O., &amp; Okoye, C. (2022). Risk factors for needlestick injuries among healthcare workers in tertiary health institutions in Nigeria: A cross-sectional study. </w:t>
      </w:r>
      <w:r w:rsidRPr="00147C51">
        <w:rPr>
          <w:rFonts w:ascii="Times New Roman" w:eastAsia="Times New Roman" w:hAnsi="Times New Roman" w:cs="Times New Roman"/>
          <w:b/>
          <w:i/>
          <w:sz w:val="24"/>
          <w:szCs w:val="24"/>
          <w:lang w:bidi="he-IL"/>
        </w:rPr>
        <w:t>Journal of Occupational Medicine and Toxicology, 17</w:t>
      </w:r>
      <w:r w:rsidRPr="00147C51">
        <w:rPr>
          <w:rFonts w:ascii="Times New Roman" w:eastAsia="Times New Roman" w:hAnsi="Times New Roman" w:cs="Times New Roman"/>
          <w:b/>
          <w:sz w:val="24"/>
          <w:szCs w:val="24"/>
          <w:lang w:bidi="he-IL"/>
        </w:rPr>
        <w:t>(1), 1-10.</w:t>
      </w:r>
    </w:p>
    <w:p w14:paraId="67E14F7B"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Ottino, M. C., Argentero, A., Argentero, P. A., Garzaro, G., &amp; Zotti, C. M. (2019). Needlestick prevention devices: data from hospital surveillance in Piedmont, Italy-comprehensive analysis on needlestick injuries between healthcare workers after the introduction of safety devices. </w:t>
      </w:r>
      <w:r w:rsidRPr="00823A0B">
        <w:rPr>
          <w:rFonts w:ascii="Times New Roman" w:hAnsi="Times New Roman"/>
          <w:b/>
          <w:i/>
          <w:iCs/>
          <w:sz w:val="24"/>
          <w:szCs w:val="24"/>
        </w:rPr>
        <w:t>BMJ Open, 9</w:t>
      </w:r>
      <w:r w:rsidRPr="00823A0B">
        <w:rPr>
          <w:rFonts w:ascii="Times New Roman" w:hAnsi="Times New Roman"/>
          <w:b/>
          <w:sz w:val="24"/>
          <w:szCs w:val="24"/>
        </w:rPr>
        <w:t>(11), e030576. doi.10.1136.</w:t>
      </w:r>
    </w:p>
    <w:p w14:paraId="49B30244" w14:textId="77777777" w:rsidR="0032488C" w:rsidRPr="00823A0B"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823A0B">
        <w:rPr>
          <w:rFonts w:ascii="Times New Roman" w:eastAsia="Times New Roman" w:hAnsi="Times New Roman" w:cs="Times New Roman"/>
          <w:b/>
          <w:sz w:val="24"/>
          <w:szCs w:val="24"/>
          <w:lang w:bidi="he-IL"/>
        </w:rPr>
        <w:t xml:space="preserve">Smith, A., &amp; Martinez, R. (2020). Evaluation of safety devices for needlestick injury prevention: A comparative study. </w:t>
      </w:r>
      <w:r w:rsidRPr="00823A0B">
        <w:rPr>
          <w:rFonts w:ascii="Times New Roman" w:eastAsia="Times New Roman" w:hAnsi="Times New Roman" w:cs="Times New Roman"/>
          <w:b/>
          <w:i/>
          <w:sz w:val="24"/>
          <w:szCs w:val="24"/>
          <w:lang w:bidi="he-IL"/>
        </w:rPr>
        <w:t>American Journal of Public Health, 105</w:t>
      </w:r>
      <w:r w:rsidRPr="00823A0B">
        <w:rPr>
          <w:rFonts w:ascii="Times New Roman" w:eastAsia="Times New Roman" w:hAnsi="Times New Roman" w:cs="Times New Roman"/>
          <w:b/>
          <w:sz w:val="24"/>
          <w:szCs w:val="24"/>
          <w:lang w:bidi="he-IL"/>
        </w:rPr>
        <w:t>(4), e29-e36.</w:t>
      </w:r>
    </w:p>
    <w:p w14:paraId="736AC9B6" w14:textId="77777777" w:rsidR="0032488C" w:rsidRPr="00147C51"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147C51">
        <w:rPr>
          <w:rFonts w:ascii="Times New Roman" w:eastAsia="Times New Roman" w:hAnsi="Times New Roman" w:cs="Times New Roman"/>
          <w:b/>
          <w:sz w:val="24"/>
          <w:szCs w:val="24"/>
          <w:lang w:bidi="he-IL"/>
        </w:rPr>
        <w:t>Tarigan, L.H., Cifuentes, M., &amp; Quinn, M. (2015). Prevention of needle-stick injuries in healthcare facilities. </w:t>
      </w:r>
      <w:r w:rsidRPr="00147C51">
        <w:rPr>
          <w:rFonts w:ascii="Times New Roman" w:eastAsia="Times New Roman" w:hAnsi="Times New Roman" w:cs="Times New Roman"/>
          <w:b/>
          <w:i/>
          <w:iCs/>
          <w:sz w:val="24"/>
          <w:szCs w:val="24"/>
          <w:lang w:bidi="he-IL"/>
        </w:rPr>
        <w:t>Infection Control and Hospital Epidemiology, 36</w:t>
      </w:r>
      <w:r w:rsidRPr="00147C51">
        <w:rPr>
          <w:rFonts w:ascii="Times New Roman" w:eastAsia="Times New Roman" w:hAnsi="Times New Roman" w:cs="Times New Roman"/>
          <w:b/>
          <w:sz w:val="24"/>
          <w:szCs w:val="24"/>
          <w:lang w:bidi="he-IL"/>
        </w:rPr>
        <w:t>(7), 823-829.</w:t>
      </w:r>
    </w:p>
    <w:p w14:paraId="62C9313E" w14:textId="77777777" w:rsidR="0032488C" w:rsidRPr="00147C51" w:rsidRDefault="0032488C" w:rsidP="0032488C">
      <w:pPr>
        <w:spacing w:before="200" w:after="240"/>
        <w:ind w:left="900" w:hanging="900"/>
        <w:rPr>
          <w:rFonts w:ascii="Times New Roman" w:hAnsi="Times New Roman"/>
          <w:b/>
          <w:sz w:val="24"/>
          <w:szCs w:val="24"/>
        </w:rPr>
      </w:pPr>
      <w:r w:rsidRPr="00147C51">
        <w:rPr>
          <w:rFonts w:ascii="Times New Roman" w:hAnsi="Times New Roman"/>
          <w:b/>
          <w:sz w:val="24"/>
          <w:szCs w:val="24"/>
        </w:rPr>
        <w:t xml:space="preserve">Tirthankar, G. (2013). Occupational health and hazards among health care workers. </w:t>
      </w:r>
      <w:r w:rsidRPr="00147C51">
        <w:rPr>
          <w:rFonts w:ascii="Times New Roman" w:hAnsi="Times New Roman"/>
          <w:b/>
          <w:i/>
          <w:sz w:val="24"/>
          <w:szCs w:val="24"/>
        </w:rPr>
        <w:t>International Journal of Occupational Safety and Health, 3</w:t>
      </w:r>
      <w:r w:rsidRPr="00147C51">
        <w:rPr>
          <w:rFonts w:ascii="Times New Roman" w:hAnsi="Times New Roman"/>
          <w:b/>
          <w:sz w:val="24"/>
          <w:szCs w:val="24"/>
        </w:rPr>
        <w:t>(1)1 – 4, doi.10.3126.</w:t>
      </w:r>
    </w:p>
    <w:p w14:paraId="5B73078A" w14:textId="77777777" w:rsidR="0032488C" w:rsidRPr="00147C51" w:rsidRDefault="0032488C" w:rsidP="0032488C">
      <w:pPr>
        <w:spacing w:before="200" w:after="240"/>
        <w:ind w:left="900" w:hanging="900"/>
        <w:rPr>
          <w:rFonts w:ascii="Times New Roman" w:hAnsi="Times New Roman"/>
          <w:b/>
          <w:sz w:val="24"/>
          <w:szCs w:val="24"/>
        </w:rPr>
      </w:pPr>
      <w:r w:rsidRPr="00147C51">
        <w:rPr>
          <w:rFonts w:ascii="Times New Roman" w:hAnsi="Times New Roman"/>
          <w:b/>
          <w:sz w:val="24"/>
          <w:szCs w:val="24"/>
        </w:rPr>
        <w:t xml:space="preserve">World Health Organization. (2017). Health Worker Occupational Health: Needlestick Injuries. </w:t>
      </w:r>
    </w:p>
    <w:p w14:paraId="66F5282D" w14:textId="77777777" w:rsidR="0032488C" w:rsidRPr="00147C51" w:rsidRDefault="0032488C" w:rsidP="0032488C">
      <w:pPr>
        <w:spacing w:before="200" w:after="240"/>
        <w:ind w:left="900" w:hanging="900"/>
        <w:jc w:val="both"/>
        <w:rPr>
          <w:rFonts w:ascii="Times New Roman" w:hAnsi="Times New Roman"/>
          <w:b/>
          <w:sz w:val="24"/>
          <w:szCs w:val="24"/>
        </w:rPr>
      </w:pPr>
      <w:r w:rsidRPr="00147C51">
        <w:rPr>
          <w:rFonts w:ascii="Times New Roman" w:hAnsi="Times New Roman"/>
          <w:b/>
          <w:sz w:val="24"/>
          <w:szCs w:val="24"/>
        </w:rPr>
        <w:t xml:space="preserve">Yazie, T.D., Chufa, K.A. &amp; Tebeje, M.G. (2019). Prevalence of needlestick injury among healthcare workers in Ethiopia: a systematic review and meta-analysis. </w:t>
      </w:r>
      <w:r w:rsidRPr="00147C51">
        <w:rPr>
          <w:rFonts w:ascii="Times New Roman" w:hAnsi="Times New Roman"/>
          <w:b/>
          <w:i/>
          <w:iCs/>
          <w:sz w:val="24"/>
          <w:szCs w:val="24"/>
        </w:rPr>
        <w:t xml:space="preserve">Environmental Health and Preventive Medicine 24, </w:t>
      </w:r>
      <w:r w:rsidRPr="00147C51">
        <w:rPr>
          <w:rFonts w:ascii="Times New Roman" w:hAnsi="Times New Roman"/>
          <w:b/>
          <w:sz w:val="24"/>
          <w:szCs w:val="24"/>
        </w:rPr>
        <w:t>52. doi.10.1186.</w:t>
      </w:r>
    </w:p>
    <w:p w14:paraId="66132787" w14:textId="77777777" w:rsidR="0032488C" w:rsidRDefault="0032488C" w:rsidP="0032488C"/>
    <w:p w14:paraId="07E05670" w14:textId="77777777" w:rsidR="009C341E" w:rsidRPr="006D050E" w:rsidRDefault="009C341E" w:rsidP="009C341E">
      <w:pPr>
        <w:pStyle w:val="Default"/>
        <w:rPr>
          <w:rFonts w:ascii="Times New Roman" w:hAnsi="Times New Roman"/>
        </w:rPr>
      </w:pPr>
    </w:p>
    <w:sectPr w:rsidR="009C341E" w:rsidRPr="006D050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6B3B" w14:textId="77777777" w:rsidR="00FC2009" w:rsidRDefault="00FC2009" w:rsidP="00511BA8">
      <w:pPr>
        <w:spacing w:after="0" w:line="240" w:lineRule="auto"/>
      </w:pPr>
      <w:r>
        <w:separator/>
      </w:r>
    </w:p>
  </w:endnote>
  <w:endnote w:type="continuationSeparator" w:id="0">
    <w:p w14:paraId="41DFF745" w14:textId="77777777" w:rsidR="00FC2009" w:rsidRDefault="00FC2009" w:rsidP="0051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22CD" w14:textId="77777777" w:rsidR="00511BA8" w:rsidRDefault="00511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8063" w14:textId="77777777" w:rsidR="00511BA8" w:rsidRDefault="00511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AD6B" w14:textId="77777777" w:rsidR="00511BA8" w:rsidRDefault="00511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AE0D" w14:textId="77777777" w:rsidR="00FC2009" w:rsidRDefault="00FC2009" w:rsidP="00511BA8">
      <w:pPr>
        <w:spacing w:after="0" w:line="240" w:lineRule="auto"/>
      </w:pPr>
      <w:r>
        <w:separator/>
      </w:r>
    </w:p>
  </w:footnote>
  <w:footnote w:type="continuationSeparator" w:id="0">
    <w:p w14:paraId="47284864" w14:textId="77777777" w:rsidR="00FC2009" w:rsidRDefault="00FC2009" w:rsidP="00511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0A80" w14:textId="5C399BE6" w:rsidR="00511BA8" w:rsidRDefault="009B1D18">
    <w:pPr>
      <w:pStyle w:val="Header"/>
    </w:pPr>
    <w:r>
      <w:rPr>
        <w:noProof/>
      </w:rPr>
      <w:pict w14:anchorId="64103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05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348F" w14:textId="3BCB8F77" w:rsidR="00511BA8" w:rsidRDefault="009B1D18">
    <w:pPr>
      <w:pStyle w:val="Header"/>
    </w:pPr>
    <w:r>
      <w:rPr>
        <w:noProof/>
      </w:rPr>
      <w:pict w14:anchorId="1455D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05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6975" w14:textId="7C6ADB7D" w:rsidR="00511BA8" w:rsidRDefault="009B1D18">
    <w:pPr>
      <w:pStyle w:val="Header"/>
    </w:pPr>
    <w:r>
      <w:rPr>
        <w:noProof/>
      </w:rPr>
      <w:pict w14:anchorId="40B50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05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TM0nz6FK" int2:invalidationBookmarkName="" int2:hashCode="3QVBO3osmGETDx" int2:id="J2ZCCKNA">
      <int2:state int2:value="Rejected" int2:type="style"/>
    </int2:bookmark>
    <int2:bookmark int2:bookmarkName="_Int_MHoU2JNC" int2:invalidationBookmarkName="" int2:hashCode="PxleTJ8LHbJaml" int2:id="nsVedxEY">
      <int2:state int2:value="Rejected" int2:type="style"/>
    </int2:bookmark>
    <int2:bookmark int2:bookmarkName="_Int_U5dmou7P" int2:invalidationBookmarkName="" int2:hashCode="1uwbp8FCN5lvgo" int2:id="iNNgy68c">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F1ECF"/>
    <w:multiLevelType w:val="hybridMultilevel"/>
    <w:tmpl w:val="C4242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7F2DAB"/>
    <w:multiLevelType w:val="hybridMultilevel"/>
    <w:tmpl w:val="B73039C0"/>
    <w:lvl w:ilvl="0" w:tplc="DB5AAAF8">
      <w:start w:val="1"/>
      <w:numFmt w:val="decimal"/>
      <w:lvlText w:val="%1."/>
      <w:lvlJc w:val="left"/>
      <w:pPr>
        <w:tabs>
          <w:tab w:val="num" w:pos="720"/>
        </w:tabs>
        <w:ind w:left="720" w:hanging="360"/>
      </w:pPr>
      <w:rPr>
        <w:rFonts w:ascii="Times New Roman" w:eastAsia="Times New Roman" w:hAnsi="Times New Roman" w:cs="Times New Roman"/>
      </w:rPr>
    </w:lvl>
    <w:lvl w:ilvl="1" w:tplc="43C2E0CC" w:tentative="1">
      <w:start w:val="1"/>
      <w:numFmt w:val="bullet"/>
      <w:lvlText w:val="•"/>
      <w:lvlJc w:val="left"/>
      <w:pPr>
        <w:tabs>
          <w:tab w:val="num" w:pos="1440"/>
        </w:tabs>
        <w:ind w:left="1440" w:hanging="360"/>
      </w:pPr>
      <w:rPr>
        <w:rFonts w:ascii="Arial" w:hAnsi="Arial" w:hint="default"/>
      </w:rPr>
    </w:lvl>
    <w:lvl w:ilvl="2" w:tplc="9A948A1E" w:tentative="1">
      <w:start w:val="1"/>
      <w:numFmt w:val="bullet"/>
      <w:lvlText w:val="•"/>
      <w:lvlJc w:val="left"/>
      <w:pPr>
        <w:tabs>
          <w:tab w:val="num" w:pos="2160"/>
        </w:tabs>
        <w:ind w:left="2160" w:hanging="360"/>
      </w:pPr>
      <w:rPr>
        <w:rFonts w:ascii="Arial" w:hAnsi="Arial" w:hint="default"/>
      </w:rPr>
    </w:lvl>
    <w:lvl w:ilvl="3" w:tplc="478ADF24" w:tentative="1">
      <w:start w:val="1"/>
      <w:numFmt w:val="bullet"/>
      <w:lvlText w:val="•"/>
      <w:lvlJc w:val="left"/>
      <w:pPr>
        <w:tabs>
          <w:tab w:val="num" w:pos="2880"/>
        </w:tabs>
        <w:ind w:left="2880" w:hanging="360"/>
      </w:pPr>
      <w:rPr>
        <w:rFonts w:ascii="Arial" w:hAnsi="Arial" w:hint="default"/>
      </w:rPr>
    </w:lvl>
    <w:lvl w:ilvl="4" w:tplc="FA0C46FE" w:tentative="1">
      <w:start w:val="1"/>
      <w:numFmt w:val="bullet"/>
      <w:lvlText w:val="•"/>
      <w:lvlJc w:val="left"/>
      <w:pPr>
        <w:tabs>
          <w:tab w:val="num" w:pos="3600"/>
        </w:tabs>
        <w:ind w:left="3600" w:hanging="360"/>
      </w:pPr>
      <w:rPr>
        <w:rFonts w:ascii="Arial" w:hAnsi="Arial" w:hint="default"/>
      </w:rPr>
    </w:lvl>
    <w:lvl w:ilvl="5" w:tplc="D58CF3CE" w:tentative="1">
      <w:start w:val="1"/>
      <w:numFmt w:val="bullet"/>
      <w:lvlText w:val="•"/>
      <w:lvlJc w:val="left"/>
      <w:pPr>
        <w:tabs>
          <w:tab w:val="num" w:pos="4320"/>
        </w:tabs>
        <w:ind w:left="4320" w:hanging="360"/>
      </w:pPr>
      <w:rPr>
        <w:rFonts w:ascii="Arial" w:hAnsi="Arial" w:hint="default"/>
      </w:rPr>
    </w:lvl>
    <w:lvl w:ilvl="6" w:tplc="E8C0C6AE" w:tentative="1">
      <w:start w:val="1"/>
      <w:numFmt w:val="bullet"/>
      <w:lvlText w:val="•"/>
      <w:lvlJc w:val="left"/>
      <w:pPr>
        <w:tabs>
          <w:tab w:val="num" w:pos="5040"/>
        </w:tabs>
        <w:ind w:left="5040" w:hanging="360"/>
      </w:pPr>
      <w:rPr>
        <w:rFonts w:ascii="Arial" w:hAnsi="Arial" w:hint="default"/>
      </w:rPr>
    </w:lvl>
    <w:lvl w:ilvl="7" w:tplc="77068A16" w:tentative="1">
      <w:start w:val="1"/>
      <w:numFmt w:val="bullet"/>
      <w:lvlText w:val="•"/>
      <w:lvlJc w:val="left"/>
      <w:pPr>
        <w:tabs>
          <w:tab w:val="num" w:pos="5760"/>
        </w:tabs>
        <w:ind w:left="5760" w:hanging="360"/>
      </w:pPr>
      <w:rPr>
        <w:rFonts w:ascii="Arial" w:hAnsi="Arial" w:hint="default"/>
      </w:rPr>
    </w:lvl>
    <w:lvl w:ilvl="8" w:tplc="157CBB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D4F1848"/>
    <w:multiLevelType w:val="hybridMultilevel"/>
    <w:tmpl w:val="C4242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744379">
    <w:abstractNumId w:val="0"/>
  </w:num>
  <w:num w:numId="2" w16cid:durableId="1221476105">
    <w:abstractNumId w:val="2"/>
  </w:num>
  <w:num w:numId="3" w16cid:durableId="438725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51"/>
    <w:rsid w:val="000019D0"/>
    <w:rsid w:val="000028C8"/>
    <w:rsid w:val="00024E58"/>
    <w:rsid w:val="00060BC6"/>
    <w:rsid w:val="00066FC5"/>
    <w:rsid w:val="00116D19"/>
    <w:rsid w:val="0011753E"/>
    <w:rsid w:val="0012071C"/>
    <w:rsid w:val="00122EC0"/>
    <w:rsid w:val="001361D2"/>
    <w:rsid w:val="001375C1"/>
    <w:rsid w:val="001568A6"/>
    <w:rsid w:val="00156C3D"/>
    <w:rsid w:val="00187AD0"/>
    <w:rsid w:val="001C22A6"/>
    <w:rsid w:val="001E0D40"/>
    <w:rsid w:val="001E609F"/>
    <w:rsid w:val="001F6D3D"/>
    <w:rsid w:val="002070AD"/>
    <w:rsid w:val="002311F8"/>
    <w:rsid w:val="0025317E"/>
    <w:rsid w:val="00256900"/>
    <w:rsid w:val="00270B29"/>
    <w:rsid w:val="00272A7F"/>
    <w:rsid w:val="002A2FFD"/>
    <w:rsid w:val="002A3911"/>
    <w:rsid w:val="002B504E"/>
    <w:rsid w:val="002D7A5D"/>
    <w:rsid w:val="0032488C"/>
    <w:rsid w:val="00324FBB"/>
    <w:rsid w:val="0033473F"/>
    <w:rsid w:val="003349D5"/>
    <w:rsid w:val="00335381"/>
    <w:rsid w:val="003B3573"/>
    <w:rsid w:val="003C48A0"/>
    <w:rsid w:val="003D3E61"/>
    <w:rsid w:val="00404AD2"/>
    <w:rsid w:val="0040624B"/>
    <w:rsid w:val="00427DC1"/>
    <w:rsid w:val="004515F4"/>
    <w:rsid w:val="00457C84"/>
    <w:rsid w:val="00460ABD"/>
    <w:rsid w:val="004E2169"/>
    <w:rsid w:val="00511BA8"/>
    <w:rsid w:val="00535667"/>
    <w:rsid w:val="005531E2"/>
    <w:rsid w:val="00563D8A"/>
    <w:rsid w:val="005738D3"/>
    <w:rsid w:val="005B76DF"/>
    <w:rsid w:val="005B7BA4"/>
    <w:rsid w:val="0060010F"/>
    <w:rsid w:val="00623CAD"/>
    <w:rsid w:val="00624CC7"/>
    <w:rsid w:val="006250B1"/>
    <w:rsid w:val="006C1B16"/>
    <w:rsid w:val="006D3307"/>
    <w:rsid w:val="006E6170"/>
    <w:rsid w:val="006E79F1"/>
    <w:rsid w:val="006F231B"/>
    <w:rsid w:val="006F3657"/>
    <w:rsid w:val="007225B9"/>
    <w:rsid w:val="0073402F"/>
    <w:rsid w:val="007356A8"/>
    <w:rsid w:val="00747712"/>
    <w:rsid w:val="00750985"/>
    <w:rsid w:val="0077769C"/>
    <w:rsid w:val="007A4E0E"/>
    <w:rsid w:val="007D21FB"/>
    <w:rsid w:val="007F6FCF"/>
    <w:rsid w:val="00802BC9"/>
    <w:rsid w:val="00805493"/>
    <w:rsid w:val="00816C7F"/>
    <w:rsid w:val="008314BA"/>
    <w:rsid w:val="008B39D2"/>
    <w:rsid w:val="008F333E"/>
    <w:rsid w:val="0090715C"/>
    <w:rsid w:val="00930BE8"/>
    <w:rsid w:val="009317E6"/>
    <w:rsid w:val="00935D6B"/>
    <w:rsid w:val="00953A3E"/>
    <w:rsid w:val="0096113A"/>
    <w:rsid w:val="009A4CC4"/>
    <w:rsid w:val="009B2C4E"/>
    <w:rsid w:val="009C1AD0"/>
    <w:rsid w:val="009C341E"/>
    <w:rsid w:val="009C5754"/>
    <w:rsid w:val="009D17DD"/>
    <w:rsid w:val="009F21A3"/>
    <w:rsid w:val="00A0504F"/>
    <w:rsid w:val="00A344A5"/>
    <w:rsid w:val="00A4714E"/>
    <w:rsid w:val="00AF2615"/>
    <w:rsid w:val="00B66451"/>
    <w:rsid w:val="00B82739"/>
    <w:rsid w:val="00B905E6"/>
    <w:rsid w:val="00BE32F2"/>
    <w:rsid w:val="00BF64E8"/>
    <w:rsid w:val="00C16969"/>
    <w:rsid w:val="00C27299"/>
    <w:rsid w:val="00C41C3D"/>
    <w:rsid w:val="00C73A7B"/>
    <w:rsid w:val="00C82A35"/>
    <w:rsid w:val="00CD0546"/>
    <w:rsid w:val="00CE32E4"/>
    <w:rsid w:val="00CF4049"/>
    <w:rsid w:val="00D10071"/>
    <w:rsid w:val="00D27518"/>
    <w:rsid w:val="00D31B86"/>
    <w:rsid w:val="00D5667D"/>
    <w:rsid w:val="00D63341"/>
    <w:rsid w:val="00D655C5"/>
    <w:rsid w:val="00D800BB"/>
    <w:rsid w:val="00D93A53"/>
    <w:rsid w:val="00D97913"/>
    <w:rsid w:val="00DB1F7A"/>
    <w:rsid w:val="00DF6C4C"/>
    <w:rsid w:val="00E164CD"/>
    <w:rsid w:val="00E1715B"/>
    <w:rsid w:val="00E21E34"/>
    <w:rsid w:val="00E24AE4"/>
    <w:rsid w:val="00E32E7D"/>
    <w:rsid w:val="00E62972"/>
    <w:rsid w:val="00E92491"/>
    <w:rsid w:val="00E93936"/>
    <w:rsid w:val="00EC5EDB"/>
    <w:rsid w:val="00F27412"/>
    <w:rsid w:val="00F30C32"/>
    <w:rsid w:val="00F763D4"/>
    <w:rsid w:val="00F80B4E"/>
    <w:rsid w:val="00F9393B"/>
    <w:rsid w:val="00FB698A"/>
    <w:rsid w:val="00FC2009"/>
    <w:rsid w:val="00FD32DA"/>
    <w:rsid w:val="00FD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B9BC12"/>
  <w15:chartTrackingRefBased/>
  <w15:docId w15:val="{5E53694C-845D-4BA5-8403-D7CFF367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B7BA4"/>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538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MCHIP_list paragraph,List Paragraph1,Recommendation"/>
    <w:basedOn w:val="Normal"/>
    <w:link w:val="ListParagraphChar"/>
    <w:uiPriority w:val="34"/>
    <w:qFormat/>
    <w:rsid w:val="005B7BA4"/>
    <w:pPr>
      <w:ind w:left="720"/>
      <w:contextualSpacing/>
    </w:pPr>
    <w:rPr>
      <w:rFonts w:ascii="Calibri" w:eastAsia="Calibri" w:hAnsi="Calibri" w:cs="Arial"/>
    </w:rPr>
  </w:style>
  <w:style w:type="character" w:customStyle="1" w:styleId="ListParagraphChar">
    <w:name w:val="List Paragraph Char"/>
    <w:aliases w:val="MCHIP_list paragraph Char,List Paragraph1 Char,Recommendation Char"/>
    <w:link w:val="ListParagraph"/>
    <w:uiPriority w:val="34"/>
    <w:rsid w:val="005B7BA4"/>
    <w:rPr>
      <w:rFonts w:ascii="Calibri" w:eastAsia="Calibri" w:hAnsi="Calibri" w:cs="Arial"/>
    </w:rPr>
  </w:style>
  <w:style w:type="character" w:customStyle="1" w:styleId="Heading1Char">
    <w:name w:val="Heading 1 Char"/>
    <w:basedOn w:val="DefaultParagraphFont"/>
    <w:link w:val="Heading1"/>
    <w:uiPriority w:val="9"/>
    <w:rsid w:val="005B7BA4"/>
    <w:rPr>
      <w:rFonts w:ascii="Times New Roman" w:eastAsia="Times New Roman" w:hAnsi="Times New Roman" w:cs="Times New Roman"/>
      <w:b/>
      <w:bCs/>
      <w:kern w:val="36"/>
      <w:sz w:val="48"/>
      <w:szCs w:val="48"/>
      <w:lang w:val="x-none" w:eastAsia="x-none"/>
    </w:rPr>
  </w:style>
  <w:style w:type="character" w:customStyle="1" w:styleId="animating">
    <w:name w:val="animating"/>
    <w:basedOn w:val="DefaultParagraphFont"/>
    <w:rsid w:val="00535667"/>
  </w:style>
  <w:style w:type="character" w:styleId="Hyperlink">
    <w:name w:val="Hyperlink"/>
    <w:uiPriority w:val="99"/>
    <w:unhideWhenUsed/>
    <w:qFormat/>
    <w:rsid w:val="0032488C"/>
    <w:rPr>
      <w:color w:val="0000FF"/>
      <w:u w:val="single"/>
    </w:rPr>
  </w:style>
  <w:style w:type="character" w:styleId="UnresolvedMention">
    <w:name w:val="Unresolved Mention"/>
    <w:basedOn w:val="DefaultParagraphFont"/>
    <w:uiPriority w:val="99"/>
    <w:semiHidden/>
    <w:unhideWhenUsed/>
    <w:rsid w:val="00747712"/>
    <w:rPr>
      <w:color w:val="605E5C"/>
      <w:shd w:val="clear" w:color="auto" w:fill="E1DFDD"/>
    </w:rPr>
  </w:style>
  <w:style w:type="paragraph" w:styleId="Header">
    <w:name w:val="header"/>
    <w:basedOn w:val="Normal"/>
    <w:link w:val="HeaderChar"/>
    <w:uiPriority w:val="99"/>
    <w:unhideWhenUsed/>
    <w:rsid w:val="00511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BA8"/>
  </w:style>
  <w:style w:type="paragraph" w:styleId="Footer">
    <w:name w:val="footer"/>
    <w:basedOn w:val="Normal"/>
    <w:link w:val="FooterChar"/>
    <w:uiPriority w:val="99"/>
    <w:unhideWhenUsed/>
    <w:rsid w:val="0051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787/tnhj.v21i2.45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dc.gov/nhsn/datastat/other-reports.htmlb" TargetMode="Externa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20</Pages>
  <Words>4969</Words>
  <Characters>28326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amaigbani thankgod</dc:creator>
  <cp:keywords/>
  <dc:description/>
  <cp:lastModifiedBy>EMEKA AMADI</cp:lastModifiedBy>
  <cp:revision>8</cp:revision>
  <dcterms:created xsi:type="dcterms:W3CDTF">2025-05-07T05:18:00Z</dcterms:created>
  <dcterms:modified xsi:type="dcterms:W3CDTF">2025-05-07T18:50:00Z</dcterms:modified>
</cp:coreProperties>
</file>