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92" w:rsidRDefault="00493E5F" w:rsidP="00217C1D">
      <w:pPr>
        <w:autoSpaceDE w:val="0"/>
        <w:autoSpaceDN w:val="0"/>
        <w:spacing w:after="270" w:line="220" w:lineRule="exact"/>
        <w:jc w:val="both"/>
      </w:pPr>
      <w:r>
        <w:rPr>
          <w:noProof/>
        </w:rPr>
        <w:drawing>
          <wp:anchor distT="0" distB="0" distL="0" distR="0" simplePos="0" relativeHeight="251658240" behindDoc="1" locked="0" layoutInCell="1" allowOverlap="1">
            <wp:simplePos x="0" y="0"/>
            <wp:positionH relativeFrom="page">
              <wp:posOffset>3162300</wp:posOffset>
            </wp:positionH>
            <wp:positionV relativeFrom="page">
              <wp:posOffset>2260600</wp:posOffset>
            </wp:positionV>
            <wp:extent cx="1866900" cy="25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866900" cy="25400"/>
                    </a:xfrm>
                    <a:prstGeom prst="rect">
                      <a:avLst/>
                    </a:prstGeom>
                  </pic:spPr>
                </pic:pic>
              </a:graphicData>
            </a:graphic>
          </wp:anchor>
        </w:drawing>
      </w:r>
    </w:p>
    <w:p w:rsidR="00B51892" w:rsidRDefault="00B51892" w:rsidP="00217C1D">
      <w:pPr>
        <w:autoSpaceDE w:val="0"/>
        <w:autoSpaceDN w:val="0"/>
        <w:spacing w:before="110" w:after="0" w:line="120" w:lineRule="exact"/>
        <w:ind w:right="3058"/>
        <w:jc w:val="both"/>
      </w:pPr>
    </w:p>
    <w:p w:rsidR="00A0179D" w:rsidRDefault="00217C1D" w:rsidP="00217C1D">
      <w:pPr>
        <w:autoSpaceDE w:val="0"/>
        <w:autoSpaceDN w:val="0"/>
        <w:spacing w:before="154" w:after="0" w:line="282" w:lineRule="exact"/>
        <w:ind w:left="460"/>
        <w:jc w:val="both"/>
        <w:rPr>
          <w:rFonts w:ascii="Roboto" w:eastAsia="Roboto" w:hAnsi="Roboto"/>
          <w:color w:val="000000"/>
          <w:spacing w:val="-10"/>
          <w:sz w:val="24"/>
        </w:rPr>
      </w:pPr>
      <w:r w:rsidRPr="00217C1D">
        <w:rPr>
          <w:b/>
          <w:bCs/>
          <w:sz w:val="20"/>
          <w:szCs w:val="20"/>
          <w:highlight w:val="yellow"/>
          <w:lang w:val="en-GB"/>
        </w:rPr>
        <w:t>Revolutionizing Food Processing: Innovative Sustainable Technologies and Future Opportunities</w:t>
      </w:r>
    </w:p>
    <w:p w:rsidR="00A0179D" w:rsidRDefault="00A0179D" w:rsidP="00217C1D">
      <w:pPr>
        <w:autoSpaceDE w:val="0"/>
        <w:autoSpaceDN w:val="0"/>
        <w:spacing w:before="154" w:after="0" w:line="282" w:lineRule="exact"/>
        <w:ind w:left="460"/>
        <w:jc w:val="both"/>
        <w:rPr>
          <w:rFonts w:ascii="Roboto" w:eastAsia="Roboto" w:hAnsi="Roboto"/>
          <w:color w:val="000000"/>
          <w:spacing w:val="-10"/>
          <w:sz w:val="24"/>
        </w:rPr>
      </w:pPr>
    </w:p>
    <w:p w:rsidR="00A0179D" w:rsidRDefault="00A0179D" w:rsidP="00217C1D">
      <w:pPr>
        <w:autoSpaceDE w:val="0"/>
        <w:autoSpaceDN w:val="0"/>
        <w:spacing w:before="154" w:after="0" w:line="282" w:lineRule="exact"/>
        <w:ind w:left="460"/>
        <w:jc w:val="both"/>
        <w:rPr>
          <w:rFonts w:ascii="Roboto" w:eastAsia="Roboto" w:hAnsi="Roboto"/>
          <w:color w:val="000000"/>
          <w:spacing w:val="-10"/>
          <w:sz w:val="24"/>
        </w:rPr>
      </w:pP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Abstract</w:t>
      </w:r>
      <w:bookmarkStart w:id="0" w:name="_GoBack"/>
      <w:bookmarkEnd w:id="0"/>
    </w:p>
    <w:p w:rsidR="00B51892" w:rsidRDefault="00493E5F" w:rsidP="00217C1D">
      <w:pPr>
        <w:tabs>
          <w:tab w:val="left" w:pos="520"/>
        </w:tabs>
        <w:autoSpaceDE w:val="0"/>
        <w:autoSpaceDN w:val="0"/>
        <w:spacing w:before="148" w:after="0" w:line="286" w:lineRule="exact"/>
        <w:ind w:left="460" w:right="432"/>
        <w:jc w:val="both"/>
      </w:pPr>
      <w:r>
        <w:rPr>
          <w:rFonts w:ascii="Roboto" w:eastAsia="Roboto" w:hAnsi="Roboto"/>
          <w:color w:val="000000"/>
          <w:spacing w:val="-10"/>
          <w:sz w:val="24"/>
        </w:rPr>
        <w:t xml:space="preserve">Everyone having access to or not to a sufficient supply of processed, safe, fresh, nutritional and in pocket-friendly food is a significant worldwide issue. By 2050, it could pose a major challenge for feeding 9 billion people, for which increasing food production technologies need to be addressed. Long term enhancement in food processing by reducing losses at every stage of the supply chain, managing the supply chain from production to consumption, including preservation, nutrient content, safety and shelf life. Massive amounts of streaming data, known as big data come under the Internet of Things (IoT). A new technology based platform helps in food production and processing technology by maintaining the big data and its further analysis. This review approaches scope and food production, food </w:t>
      </w:r>
      <w:r>
        <w:br/>
      </w:r>
      <w:r>
        <w:rPr>
          <w:rFonts w:ascii="Roboto" w:eastAsia="Roboto" w:hAnsi="Roboto"/>
          <w:color w:val="000000"/>
          <w:spacing w:val="-10"/>
          <w:sz w:val="24"/>
        </w:rPr>
        <w:t>processing and its related technologies. Emerging technologies are saving the food supply and making the food economy more sustainable. Furthermore, this review is based on an overview of artificial intelligence, big data and sensors used in the food production sector.</w:t>
      </w:r>
    </w:p>
    <w:p w:rsidR="00B51892" w:rsidRDefault="00493E5F" w:rsidP="00217C1D">
      <w:pPr>
        <w:autoSpaceDE w:val="0"/>
        <w:autoSpaceDN w:val="0"/>
        <w:spacing w:before="148" w:after="0" w:line="286" w:lineRule="exact"/>
        <w:ind w:left="460" w:right="1152"/>
        <w:jc w:val="both"/>
      </w:pPr>
      <w:r>
        <w:rPr>
          <w:rFonts w:ascii="Roboto" w:eastAsia="Roboto" w:hAnsi="Roboto"/>
          <w:color w:val="000000"/>
          <w:spacing w:val="-10"/>
          <w:sz w:val="24"/>
        </w:rPr>
        <w:t>Key words: Food production, emerging technology, artificial intelligence, supply chain, sensors</w:t>
      </w:r>
    </w:p>
    <w:p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Introduction</w:t>
      </w:r>
    </w:p>
    <w:p w:rsidR="00B51892" w:rsidRDefault="00493E5F" w:rsidP="00217C1D">
      <w:pPr>
        <w:autoSpaceDE w:val="0"/>
        <w:autoSpaceDN w:val="0"/>
        <w:spacing w:before="152" w:after="0" w:line="284" w:lineRule="exact"/>
        <w:ind w:left="460" w:right="576" w:firstLine="720"/>
        <w:jc w:val="both"/>
      </w:pPr>
      <w:r>
        <w:rPr>
          <w:rFonts w:ascii="Roboto" w:eastAsia="Roboto" w:hAnsi="Roboto"/>
          <w:color w:val="000000"/>
          <w:spacing w:val="-10"/>
          <w:sz w:val="24"/>
        </w:rPr>
        <w:t xml:space="preserve">Sustainable diets have minimal negative effects on the ecosystem and support as they support food's health and nutritional value for current and future generations (Steffen et al., 2015). Preventing environmental or storage damage is as important as accomplishing the nutritional requirements of the anticipated </w:t>
      </w:r>
      <w:r>
        <w:br/>
      </w:r>
      <w:r>
        <w:rPr>
          <w:rFonts w:ascii="Roboto" w:eastAsia="Roboto" w:hAnsi="Roboto"/>
          <w:color w:val="000000"/>
          <w:spacing w:val="-10"/>
          <w:sz w:val="24"/>
        </w:rPr>
        <w:t xml:space="preserve">population (Weitz et al., 2017). To extend food’s shelf life, food processing </w:t>
      </w:r>
      <w:r>
        <w:br/>
      </w:r>
      <w:r>
        <w:rPr>
          <w:rFonts w:ascii="Roboto" w:eastAsia="Roboto" w:hAnsi="Roboto"/>
          <w:color w:val="000000"/>
          <w:spacing w:val="-10"/>
          <w:sz w:val="24"/>
        </w:rPr>
        <w:t xml:space="preserve">technologies are necessary to maximize nutrient availability and quality (Nilsson et al., 2017). Sustainable diets have minimal negative effects on ecosystems and are proven sustainable for current and future generations. Sustainable, affordable diets are taken into account by adding ecosystems, cultural legacy, and practices to increase agricultural productivity, making it possible to feed the world’s rapidly expanding population (Johnston et al., 2024). A sanitary environment and a </w:t>
      </w:r>
      <w:r>
        <w:br/>
      </w:r>
      <w:r>
        <w:rPr>
          <w:rFonts w:ascii="Roboto" w:eastAsia="Roboto" w:hAnsi="Roboto"/>
          <w:color w:val="000000"/>
          <w:spacing w:val="-10"/>
          <w:sz w:val="24"/>
        </w:rPr>
        <w:t>nutritious diet are important to promote a healthy lifestyle. For an excellent nutrition-balanced diet, it’s important to have nutritional security. Environmental quality and natural resources can be improved by integrated technologies of sustainable agriculture, which directly relates to food security (Knorr et al., 2018). Along with sustainability, effective and integrated, it are important to reach locations to provide food to maintain nutritious health globally(Iqbal et al., 2019).To decrease down graph for the persistent prevalence of food insecurity concerning present and future needs, it’s important to come together with efforts and coordination from relevant fields such as nutrition, food, agriculture and sustainability (Khan et al., 2018).This</w:t>
      </w:r>
    </w:p>
    <w:p w:rsidR="00B51892" w:rsidRDefault="00493E5F" w:rsidP="00217C1D">
      <w:pPr>
        <w:tabs>
          <w:tab w:val="left" w:pos="9460"/>
        </w:tabs>
        <w:autoSpaceDE w:val="0"/>
        <w:autoSpaceDN w:val="0"/>
        <w:spacing w:before="204" w:after="0" w:line="240" w:lineRule="auto"/>
        <w:jc w:val="both"/>
      </w:pPr>
      <w:r>
        <w:rPr>
          <w:noProof/>
        </w:rPr>
        <w:drawing>
          <wp:inline distT="0" distB="0" distL="0" distR="0">
            <wp:extent cx="292100" cy="29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headerReference w:type="even" r:id="rId11"/>
          <w:headerReference w:type="default" r:id="rId12"/>
          <w:footerReference w:type="even" r:id="rId13"/>
          <w:footerReference w:type="default" r:id="rId14"/>
          <w:headerReference w:type="first" r:id="rId15"/>
          <w:footerReference w:type="first" r:id="rId16"/>
          <w:pgSz w:w="11895" w:h="16830"/>
          <w:pgMar w:top="490" w:right="956" w:bottom="100" w:left="980" w:header="720" w:footer="720" w:gutter="0"/>
          <w:cols w:space="720"/>
          <w:docGrid w:linePitch="360"/>
        </w:sectPr>
      </w:pPr>
    </w:p>
    <w:p w:rsidR="00B51892" w:rsidRDefault="00493E5F" w:rsidP="00217C1D">
      <w:pPr>
        <w:autoSpaceDE w:val="0"/>
        <w:autoSpaceDN w:val="0"/>
        <w:spacing w:after="500" w:line="220" w:lineRule="exact"/>
        <w:jc w:val="both"/>
      </w:pPr>
      <w:r>
        <w:rPr>
          <w:noProof/>
        </w:rPr>
        <w:lastRenderedPageBreak/>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7553959" cy="106834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7553959" cy="10683456"/>
                    </a:xfrm>
                    <a:prstGeom prst="rect">
                      <a:avLst/>
                    </a:prstGeom>
                  </pic:spPr>
                </pic:pic>
              </a:graphicData>
            </a:graphic>
          </wp:anchor>
        </w:drawing>
      </w:r>
    </w:p>
    <w:p w:rsidR="00B51892" w:rsidRDefault="00493E5F" w:rsidP="00217C1D">
      <w:pPr>
        <w:tabs>
          <w:tab w:val="left" w:pos="720"/>
        </w:tabs>
        <w:autoSpaceDE w:val="0"/>
        <w:autoSpaceDN w:val="0"/>
        <w:spacing w:after="0" w:line="282" w:lineRule="exact"/>
        <w:ind w:right="432"/>
        <w:jc w:val="both"/>
      </w:pPr>
      <w:r>
        <w:tab/>
      </w:r>
      <w:r>
        <w:rPr>
          <w:rFonts w:ascii="Roboto" w:eastAsia="Roboto" w:hAnsi="Roboto"/>
          <w:color w:val="000000"/>
          <w:spacing w:val="-10"/>
          <w:sz w:val="24"/>
        </w:rPr>
        <w:t>review focuses on how food processing and creative, sustainable primary production methods can help address issues with food and nutrition security.</w:t>
      </w:r>
    </w:p>
    <w:p w:rsidR="00B51892" w:rsidRDefault="00493E5F" w:rsidP="00217C1D">
      <w:pPr>
        <w:autoSpaceDE w:val="0"/>
        <w:autoSpaceDN w:val="0"/>
        <w:spacing w:before="2" w:after="0" w:line="284" w:lineRule="exact"/>
        <w:ind w:right="288"/>
        <w:jc w:val="both"/>
      </w:pPr>
      <w:r>
        <w:rPr>
          <w:rFonts w:ascii="Roboto" w:eastAsia="Roboto" w:hAnsi="Roboto"/>
          <w:color w:val="000000"/>
          <w:spacing w:val="-10"/>
          <w:sz w:val="24"/>
        </w:rPr>
        <w:t>Sustainable food processing technologies are approaching with improved population and minimal environmental effects for future generations. The food industry commonly uses a variety of preservation methods to sustain food quality (Morris et al., 2007).</w:t>
      </w:r>
    </w:p>
    <w:p w:rsidR="00B51892" w:rsidRDefault="00493E5F" w:rsidP="00217C1D">
      <w:pPr>
        <w:autoSpaceDE w:val="0"/>
        <w:autoSpaceDN w:val="0"/>
        <w:spacing w:before="154" w:after="0" w:line="282" w:lineRule="exact"/>
        <w:jc w:val="both"/>
      </w:pPr>
      <w:r>
        <w:rPr>
          <w:rFonts w:ascii="Roboto" w:eastAsia="Roboto" w:hAnsi="Roboto"/>
          <w:color w:val="000000"/>
          <w:spacing w:val="-10"/>
          <w:sz w:val="24"/>
        </w:rPr>
        <w:t>Sustainable food processing techniques for successful scientific careers</w:t>
      </w:r>
    </w:p>
    <w:p w:rsidR="00B51892" w:rsidRDefault="00493E5F" w:rsidP="00217C1D">
      <w:pPr>
        <w:autoSpaceDE w:val="0"/>
        <w:autoSpaceDN w:val="0"/>
        <w:spacing w:before="148" w:after="0" w:line="286" w:lineRule="exact"/>
        <w:ind w:firstLine="720"/>
        <w:jc w:val="both"/>
      </w:pPr>
      <w:r>
        <w:rPr>
          <w:rFonts w:ascii="Roboto" w:eastAsia="Roboto" w:hAnsi="Roboto"/>
          <w:color w:val="000000"/>
          <w:spacing w:val="-10"/>
          <w:sz w:val="24"/>
        </w:rPr>
        <w:t>Food has major repercussions on our health in various dimensions of our lives, including the economy, health and society. Our environmental surroundings are changing at an alarming and alarming rate. As per the study, the global food system is facing major challenges, including an increasing population, a shift inedible preferences etc. One of the major concerns and challenges is to accomplish growing food demands for present and future generations without affecting the earth’s resources beyond a certain limit. Over time, the population's rapid increase will lead to chronic hunger and malnutrition.</w:t>
      </w:r>
    </w:p>
    <w:p w:rsidR="00B51892" w:rsidRDefault="00493E5F" w:rsidP="00217C1D">
      <w:pPr>
        <w:autoSpaceDE w:val="0"/>
        <w:autoSpaceDN w:val="0"/>
        <w:spacing w:after="0" w:line="284" w:lineRule="exact"/>
        <w:jc w:val="both"/>
      </w:pPr>
      <w:r>
        <w:rPr>
          <w:rFonts w:ascii="Roboto" w:eastAsia="Roboto" w:hAnsi="Roboto"/>
          <w:color w:val="000000"/>
          <w:spacing w:val="-10"/>
          <w:sz w:val="24"/>
        </w:rPr>
        <w:t>Without paying close attention to the role of food processing, it is difficult to be successful in addressing the growing issues of providing sustainable food for everyone. It is impossible to overestimate the significance of creating technology for food processing and preservation that can lower food waste and losses during surplus seasons. Thus, it is necessary to create sustainable food systems that offer wholesome meals without endangering the environment and its resources. The objective is to validate the importance of food processing for the future food supply by using a variety of viewpoints.</w:t>
      </w:r>
    </w:p>
    <w:p w:rsidR="00B51892" w:rsidRDefault="00493E5F" w:rsidP="00217C1D">
      <w:pPr>
        <w:autoSpaceDE w:val="0"/>
        <w:autoSpaceDN w:val="0"/>
        <w:spacing w:before="152" w:after="154" w:line="282" w:lineRule="exact"/>
        <w:jc w:val="both"/>
      </w:pPr>
      <w:r>
        <w:rPr>
          <w:rFonts w:ascii="Roboto" w:eastAsia="Roboto" w:hAnsi="Roboto"/>
          <w:color w:val="000000"/>
          <w:spacing w:val="-10"/>
          <w:sz w:val="24"/>
        </w:rPr>
        <w:t>Table: Techniques for food preservation</w:t>
      </w:r>
    </w:p>
    <w:tbl>
      <w:tblPr>
        <w:tblW w:w="0" w:type="auto"/>
        <w:tblLayout w:type="fixed"/>
        <w:tblLook w:val="04A0" w:firstRow="1" w:lastRow="0" w:firstColumn="1" w:lastColumn="0" w:noHBand="0" w:noVBand="1"/>
      </w:tblPr>
      <w:tblGrid>
        <w:gridCol w:w="760"/>
        <w:gridCol w:w="2200"/>
        <w:gridCol w:w="3040"/>
        <w:gridCol w:w="2720"/>
      </w:tblGrid>
      <w:tr w:rsidR="00B51892">
        <w:trPr>
          <w:trHeight w:hRule="exact" w:val="342"/>
        </w:trPr>
        <w:tc>
          <w:tcPr>
            <w:tcW w:w="760" w:type="dxa"/>
            <w:tcMar>
              <w:left w:w="0" w:type="dxa"/>
              <w:right w:w="0" w:type="dxa"/>
            </w:tcMar>
          </w:tcPr>
          <w:p w:rsidR="00B51892" w:rsidRDefault="00493E5F" w:rsidP="00217C1D">
            <w:pPr>
              <w:autoSpaceDE w:val="0"/>
              <w:autoSpaceDN w:val="0"/>
              <w:spacing w:before="60" w:after="0" w:line="282" w:lineRule="exact"/>
              <w:jc w:val="both"/>
            </w:pPr>
            <w:r>
              <w:rPr>
                <w:rFonts w:ascii="Roboto" w:eastAsia="Roboto" w:hAnsi="Roboto"/>
                <w:color w:val="000000"/>
                <w:spacing w:val="-10"/>
                <w:sz w:val="24"/>
              </w:rPr>
              <w:t>S. No.</w:t>
            </w:r>
          </w:p>
        </w:tc>
        <w:tc>
          <w:tcPr>
            <w:tcW w:w="2200" w:type="dxa"/>
            <w:tcMar>
              <w:left w:w="0" w:type="dxa"/>
              <w:right w:w="0" w:type="dxa"/>
            </w:tcMar>
          </w:tcPr>
          <w:p w:rsidR="00B51892" w:rsidRDefault="00493E5F" w:rsidP="00217C1D">
            <w:pPr>
              <w:autoSpaceDE w:val="0"/>
              <w:autoSpaceDN w:val="0"/>
              <w:spacing w:before="60" w:after="0" w:line="282" w:lineRule="exact"/>
              <w:ind w:left="156"/>
              <w:jc w:val="both"/>
            </w:pPr>
            <w:r>
              <w:rPr>
                <w:rFonts w:ascii="Roboto" w:eastAsia="Roboto" w:hAnsi="Roboto"/>
                <w:color w:val="000000"/>
                <w:spacing w:val="-10"/>
                <w:sz w:val="24"/>
              </w:rPr>
              <w:t>Method of</w:t>
            </w:r>
          </w:p>
        </w:tc>
        <w:tc>
          <w:tcPr>
            <w:tcW w:w="3040" w:type="dxa"/>
            <w:tcMar>
              <w:left w:w="0" w:type="dxa"/>
              <w:right w:w="0" w:type="dxa"/>
            </w:tcMar>
          </w:tcPr>
          <w:p w:rsidR="00B51892" w:rsidRDefault="00493E5F" w:rsidP="00217C1D">
            <w:pPr>
              <w:autoSpaceDE w:val="0"/>
              <w:autoSpaceDN w:val="0"/>
              <w:spacing w:before="60" w:after="0" w:line="282" w:lineRule="exact"/>
              <w:jc w:val="both"/>
            </w:pPr>
            <w:r>
              <w:rPr>
                <w:rFonts w:ascii="Roboto" w:eastAsia="Roboto" w:hAnsi="Roboto"/>
                <w:color w:val="000000"/>
                <w:spacing w:val="-10"/>
                <w:sz w:val="24"/>
              </w:rPr>
              <w:t>Definition</w:t>
            </w:r>
          </w:p>
        </w:tc>
        <w:tc>
          <w:tcPr>
            <w:tcW w:w="2720" w:type="dxa"/>
            <w:tcMar>
              <w:left w:w="0" w:type="dxa"/>
              <w:right w:w="0" w:type="dxa"/>
            </w:tcMar>
          </w:tcPr>
          <w:p w:rsidR="00B51892" w:rsidRDefault="00493E5F" w:rsidP="00217C1D">
            <w:pPr>
              <w:autoSpaceDE w:val="0"/>
              <w:autoSpaceDN w:val="0"/>
              <w:spacing w:before="60" w:after="0" w:line="282" w:lineRule="exact"/>
              <w:ind w:right="266"/>
              <w:jc w:val="both"/>
            </w:pPr>
            <w:r>
              <w:rPr>
                <w:rFonts w:ascii="Roboto" w:eastAsia="Roboto" w:hAnsi="Roboto"/>
                <w:color w:val="000000"/>
                <w:spacing w:val="-10"/>
                <w:sz w:val="24"/>
              </w:rPr>
              <w:t>Methodology</w:t>
            </w:r>
          </w:p>
        </w:tc>
      </w:tr>
    </w:tbl>
    <w:p w:rsidR="00B51892" w:rsidRDefault="00493E5F" w:rsidP="00217C1D">
      <w:pPr>
        <w:autoSpaceDE w:val="0"/>
        <w:autoSpaceDN w:val="0"/>
        <w:spacing w:before="2" w:after="214" w:line="282" w:lineRule="exact"/>
        <w:ind w:left="840"/>
        <w:jc w:val="both"/>
      </w:pPr>
      <w:r>
        <w:rPr>
          <w:rFonts w:ascii="Roboto" w:eastAsia="Roboto" w:hAnsi="Roboto"/>
          <w:color w:val="000000"/>
          <w:spacing w:val="-10"/>
          <w:sz w:val="24"/>
        </w:rPr>
        <w:t>preservation</w:t>
      </w:r>
    </w:p>
    <w:tbl>
      <w:tblPr>
        <w:tblW w:w="0" w:type="auto"/>
        <w:tblInd w:w="120" w:type="dxa"/>
        <w:tblLayout w:type="fixed"/>
        <w:tblLook w:val="04A0" w:firstRow="1" w:lastRow="0" w:firstColumn="1" w:lastColumn="0" w:noHBand="0" w:noVBand="1"/>
      </w:tblPr>
      <w:tblGrid>
        <w:gridCol w:w="580"/>
        <w:gridCol w:w="1440"/>
        <w:gridCol w:w="4400"/>
        <w:gridCol w:w="2280"/>
      </w:tblGrid>
      <w:tr w:rsidR="00B51892">
        <w:trPr>
          <w:trHeight w:hRule="exact" w:val="342"/>
        </w:trPr>
        <w:tc>
          <w:tcPr>
            <w:tcW w:w="580" w:type="dxa"/>
            <w:tcMar>
              <w:left w:w="0" w:type="dxa"/>
              <w:right w:w="0" w:type="dxa"/>
            </w:tcMar>
          </w:tcPr>
          <w:p w:rsidR="00B51892" w:rsidRDefault="00493E5F" w:rsidP="00217C1D">
            <w:pPr>
              <w:autoSpaceDE w:val="0"/>
              <w:autoSpaceDN w:val="0"/>
              <w:spacing w:before="60" w:after="0" w:line="282" w:lineRule="exact"/>
              <w:ind w:left="120"/>
              <w:jc w:val="both"/>
            </w:pPr>
            <w:r>
              <w:rPr>
                <w:rFonts w:ascii="Roboto" w:eastAsia="Roboto" w:hAnsi="Roboto"/>
                <w:color w:val="000000"/>
                <w:spacing w:val="-10"/>
                <w:sz w:val="24"/>
              </w:rPr>
              <w:t>1</w:t>
            </w:r>
          </w:p>
        </w:tc>
        <w:tc>
          <w:tcPr>
            <w:tcW w:w="1440" w:type="dxa"/>
            <w:tcMar>
              <w:left w:w="0" w:type="dxa"/>
              <w:right w:w="0" w:type="dxa"/>
            </w:tcMar>
          </w:tcPr>
          <w:p w:rsidR="00B51892" w:rsidRDefault="00493E5F" w:rsidP="00217C1D">
            <w:pPr>
              <w:autoSpaceDE w:val="0"/>
              <w:autoSpaceDN w:val="0"/>
              <w:spacing w:before="60" w:after="0" w:line="282" w:lineRule="exact"/>
              <w:ind w:left="350"/>
              <w:jc w:val="both"/>
            </w:pPr>
            <w:r>
              <w:rPr>
                <w:rFonts w:ascii="Roboto" w:eastAsia="Roboto" w:hAnsi="Roboto"/>
                <w:color w:val="000000"/>
                <w:spacing w:val="-10"/>
                <w:sz w:val="24"/>
              </w:rPr>
              <w:t>Freezing</w:t>
            </w:r>
          </w:p>
        </w:tc>
        <w:tc>
          <w:tcPr>
            <w:tcW w:w="4400" w:type="dxa"/>
            <w:tcMar>
              <w:left w:w="0" w:type="dxa"/>
              <w:right w:w="0" w:type="dxa"/>
            </w:tcMar>
          </w:tcPr>
          <w:p w:rsidR="00B51892" w:rsidRDefault="00493E5F" w:rsidP="00217C1D">
            <w:pPr>
              <w:autoSpaceDE w:val="0"/>
              <w:autoSpaceDN w:val="0"/>
              <w:spacing w:before="60" w:after="0" w:line="282" w:lineRule="exact"/>
              <w:jc w:val="both"/>
            </w:pPr>
            <w:r>
              <w:rPr>
                <w:rFonts w:ascii="Roboto" w:eastAsia="Roboto" w:hAnsi="Roboto"/>
                <w:color w:val="000000"/>
                <w:spacing w:val="-10"/>
                <w:sz w:val="24"/>
              </w:rPr>
              <w:t>The freezing method increases food's</w:t>
            </w:r>
          </w:p>
        </w:tc>
        <w:tc>
          <w:tcPr>
            <w:tcW w:w="2280" w:type="dxa"/>
            <w:tcMar>
              <w:left w:w="0" w:type="dxa"/>
              <w:right w:w="0" w:type="dxa"/>
            </w:tcMar>
          </w:tcPr>
          <w:p w:rsidR="00B51892" w:rsidRDefault="00493E5F" w:rsidP="00217C1D">
            <w:pPr>
              <w:autoSpaceDE w:val="0"/>
              <w:autoSpaceDN w:val="0"/>
              <w:spacing w:before="60" w:after="0" w:line="282" w:lineRule="exact"/>
              <w:jc w:val="both"/>
            </w:pPr>
            <w:r>
              <w:rPr>
                <w:rFonts w:ascii="Roboto" w:eastAsia="Roboto" w:hAnsi="Roboto"/>
                <w:color w:val="000000"/>
                <w:spacing w:val="-10"/>
                <w:sz w:val="24"/>
              </w:rPr>
              <w:t>Freezing methods</w:t>
            </w:r>
          </w:p>
        </w:tc>
      </w:tr>
    </w:tbl>
    <w:p w:rsidR="00B51892" w:rsidRDefault="00493E5F" w:rsidP="00217C1D">
      <w:pPr>
        <w:tabs>
          <w:tab w:val="left" w:pos="6750"/>
        </w:tabs>
        <w:autoSpaceDE w:val="0"/>
        <w:autoSpaceDN w:val="0"/>
        <w:spacing w:after="212" w:line="284" w:lineRule="exact"/>
        <w:ind w:left="2370" w:right="288"/>
        <w:jc w:val="both"/>
      </w:pPr>
      <w:r>
        <w:rPr>
          <w:rFonts w:ascii="Roboto" w:eastAsia="Roboto" w:hAnsi="Roboto"/>
          <w:color w:val="000000"/>
          <w:spacing w:val="-10"/>
          <w:sz w:val="24"/>
        </w:rPr>
        <w:t xml:space="preserve">shelf life by slowing down the process </w:t>
      </w:r>
      <w:r>
        <w:tab/>
      </w:r>
      <w:r>
        <w:rPr>
          <w:rFonts w:ascii="Roboto" w:eastAsia="Roboto" w:hAnsi="Roboto"/>
          <w:color w:val="000000"/>
          <w:spacing w:val="-10"/>
          <w:sz w:val="24"/>
        </w:rPr>
        <w:t xml:space="preserve">are of two types of ripening. Major cooling and freezing </w:t>
      </w:r>
      <w:r>
        <w:tab/>
      </w:r>
      <w:r>
        <w:rPr>
          <w:rFonts w:ascii="Roboto" w:eastAsia="Roboto" w:hAnsi="Roboto"/>
          <w:color w:val="000000"/>
          <w:spacing w:val="-10"/>
          <w:sz w:val="24"/>
        </w:rPr>
        <w:t xml:space="preserve">which include methods are frequently used in milk </w:t>
      </w:r>
      <w:r>
        <w:tab/>
      </w:r>
      <w:r>
        <w:rPr>
          <w:rFonts w:ascii="Roboto" w:eastAsia="Roboto" w:hAnsi="Roboto"/>
          <w:color w:val="000000"/>
          <w:spacing w:val="-10"/>
          <w:sz w:val="24"/>
        </w:rPr>
        <w:t xml:space="preserve">common freezing products, spices, and green vegetables. </w:t>
      </w:r>
      <w:r>
        <w:tab/>
      </w:r>
      <w:r>
        <w:rPr>
          <w:rFonts w:ascii="Roboto" w:eastAsia="Roboto" w:hAnsi="Roboto"/>
          <w:color w:val="000000"/>
          <w:spacing w:val="-10"/>
          <w:sz w:val="24"/>
        </w:rPr>
        <w:t xml:space="preserve">methods and </w:t>
      </w:r>
      <w:r>
        <w:tab/>
      </w:r>
      <w:r>
        <w:rPr>
          <w:rFonts w:ascii="Roboto" w:eastAsia="Roboto" w:hAnsi="Roboto"/>
          <w:color w:val="000000"/>
          <w:spacing w:val="-10"/>
          <w:sz w:val="24"/>
        </w:rPr>
        <w:t xml:space="preserve">immersion </w:t>
      </w:r>
      <w:r>
        <w:br/>
      </w:r>
      <w:r>
        <w:tab/>
      </w:r>
      <w:r>
        <w:rPr>
          <w:rFonts w:ascii="Roboto" w:eastAsia="Roboto" w:hAnsi="Roboto"/>
          <w:color w:val="000000"/>
          <w:spacing w:val="-10"/>
          <w:sz w:val="24"/>
        </w:rPr>
        <w:t>methods.</w:t>
      </w:r>
    </w:p>
    <w:tbl>
      <w:tblPr>
        <w:tblW w:w="0" w:type="auto"/>
        <w:tblInd w:w="120" w:type="dxa"/>
        <w:tblLayout w:type="fixed"/>
        <w:tblLook w:val="04A0" w:firstRow="1" w:lastRow="0" w:firstColumn="1" w:lastColumn="0" w:noHBand="0" w:noVBand="1"/>
      </w:tblPr>
      <w:tblGrid>
        <w:gridCol w:w="640"/>
        <w:gridCol w:w="1300"/>
        <w:gridCol w:w="4180"/>
        <w:gridCol w:w="2420"/>
      </w:tblGrid>
      <w:tr w:rsidR="00B51892">
        <w:trPr>
          <w:trHeight w:hRule="exact" w:val="344"/>
        </w:trPr>
        <w:tc>
          <w:tcPr>
            <w:tcW w:w="640" w:type="dxa"/>
            <w:tcMar>
              <w:left w:w="0" w:type="dxa"/>
              <w:right w:w="0" w:type="dxa"/>
            </w:tcMar>
          </w:tcPr>
          <w:p w:rsidR="00B51892" w:rsidRDefault="00493E5F" w:rsidP="00217C1D">
            <w:pPr>
              <w:autoSpaceDE w:val="0"/>
              <w:autoSpaceDN w:val="0"/>
              <w:spacing w:before="60" w:after="0" w:line="282" w:lineRule="exact"/>
              <w:ind w:left="120"/>
              <w:jc w:val="both"/>
            </w:pPr>
            <w:r>
              <w:rPr>
                <w:rFonts w:ascii="Roboto" w:eastAsia="Roboto" w:hAnsi="Roboto"/>
                <w:color w:val="000000"/>
                <w:spacing w:val="-10"/>
                <w:sz w:val="24"/>
              </w:rPr>
              <w:t>2</w:t>
            </w:r>
          </w:p>
        </w:tc>
        <w:tc>
          <w:tcPr>
            <w:tcW w:w="1300" w:type="dxa"/>
            <w:tcMar>
              <w:left w:w="0" w:type="dxa"/>
              <w:right w:w="0" w:type="dxa"/>
            </w:tcMar>
          </w:tcPr>
          <w:p w:rsidR="00B51892" w:rsidRDefault="00493E5F" w:rsidP="00217C1D">
            <w:pPr>
              <w:autoSpaceDE w:val="0"/>
              <w:autoSpaceDN w:val="0"/>
              <w:spacing w:before="60" w:after="0" w:line="282" w:lineRule="exact"/>
              <w:ind w:right="298"/>
              <w:jc w:val="both"/>
            </w:pPr>
            <w:r>
              <w:rPr>
                <w:rFonts w:ascii="Roboto" w:eastAsia="Roboto" w:hAnsi="Roboto"/>
                <w:color w:val="000000"/>
                <w:spacing w:val="-10"/>
                <w:sz w:val="24"/>
              </w:rPr>
              <w:t>Pulse</w:t>
            </w:r>
          </w:p>
        </w:tc>
        <w:tc>
          <w:tcPr>
            <w:tcW w:w="4180" w:type="dxa"/>
            <w:tcMar>
              <w:left w:w="0" w:type="dxa"/>
              <w:right w:w="0" w:type="dxa"/>
            </w:tcMar>
          </w:tcPr>
          <w:p w:rsidR="00B51892" w:rsidRDefault="00493E5F" w:rsidP="00217C1D">
            <w:pPr>
              <w:autoSpaceDE w:val="0"/>
              <w:autoSpaceDN w:val="0"/>
              <w:spacing w:before="60" w:after="0" w:line="282" w:lineRule="exact"/>
              <w:ind w:left="310"/>
              <w:jc w:val="both"/>
            </w:pPr>
            <w:r>
              <w:rPr>
                <w:rFonts w:ascii="Roboto" w:eastAsia="Roboto" w:hAnsi="Roboto"/>
                <w:color w:val="000000"/>
                <w:spacing w:val="-10"/>
                <w:sz w:val="24"/>
              </w:rPr>
              <w:t>This is a kind of more advanced</w:t>
            </w:r>
          </w:p>
        </w:tc>
        <w:tc>
          <w:tcPr>
            <w:tcW w:w="2420" w:type="dxa"/>
            <w:tcMar>
              <w:left w:w="0" w:type="dxa"/>
              <w:right w:w="0" w:type="dxa"/>
            </w:tcMar>
          </w:tcPr>
          <w:p w:rsidR="00B51892" w:rsidRDefault="00493E5F" w:rsidP="00217C1D">
            <w:pPr>
              <w:autoSpaceDE w:val="0"/>
              <w:autoSpaceDN w:val="0"/>
              <w:spacing w:before="60" w:after="0" w:line="282" w:lineRule="exact"/>
              <w:ind w:left="510"/>
              <w:jc w:val="both"/>
            </w:pPr>
            <w:r>
              <w:rPr>
                <w:rFonts w:ascii="Roboto" w:eastAsia="Roboto" w:hAnsi="Roboto"/>
                <w:color w:val="000000"/>
                <w:spacing w:val="-10"/>
                <w:sz w:val="24"/>
              </w:rPr>
              <w:t>This method is</w:t>
            </w:r>
          </w:p>
        </w:tc>
      </w:tr>
    </w:tbl>
    <w:p w:rsidR="00B51892" w:rsidRDefault="00B51892" w:rsidP="00217C1D">
      <w:pPr>
        <w:autoSpaceDE w:val="0"/>
        <w:autoSpaceDN w:val="0"/>
        <w:spacing w:after="0" w:line="20" w:lineRule="exact"/>
        <w:jc w:val="both"/>
      </w:pPr>
    </w:p>
    <w:tbl>
      <w:tblPr>
        <w:tblW w:w="0" w:type="auto"/>
        <w:tblInd w:w="420" w:type="dxa"/>
        <w:tblLayout w:type="fixed"/>
        <w:tblLook w:val="04A0" w:firstRow="1" w:lastRow="0" w:firstColumn="1" w:lastColumn="0" w:noHBand="0" w:noVBand="1"/>
      </w:tblPr>
      <w:tblGrid>
        <w:gridCol w:w="1820"/>
        <w:gridCol w:w="2840"/>
        <w:gridCol w:w="3620"/>
      </w:tblGrid>
      <w:tr w:rsidR="00B51892">
        <w:trPr>
          <w:trHeight w:hRule="exact" w:val="344"/>
        </w:trPr>
        <w:tc>
          <w:tcPr>
            <w:tcW w:w="1820" w:type="dxa"/>
            <w:tcMar>
              <w:left w:w="0" w:type="dxa"/>
              <w:right w:w="0" w:type="dxa"/>
            </w:tcMar>
          </w:tcPr>
          <w:p w:rsidR="00B51892" w:rsidRDefault="00493E5F" w:rsidP="00217C1D">
            <w:pPr>
              <w:autoSpaceDE w:val="0"/>
              <w:autoSpaceDN w:val="0"/>
              <w:spacing w:before="2" w:after="0" w:line="282" w:lineRule="exact"/>
              <w:ind w:left="436"/>
              <w:jc w:val="both"/>
            </w:pPr>
            <w:r>
              <w:rPr>
                <w:rFonts w:ascii="Roboto" w:eastAsia="Roboto" w:hAnsi="Roboto"/>
                <w:color w:val="000000"/>
                <w:spacing w:val="-10"/>
                <w:sz w:val="24"/>
              </w:rPr>
              <w:t>Electric field</w:t>
            </w:r>
          </w:p>
        </w:tc>
        <w:tc>
          <w:tcPr>
            <w:tcW w:w="2840" w:type="dxa"/>
            <w:tcMar>
              <w:left w:w="0" w:type="dxa"/>
              <w:right w:w="0" w:type="dxa"/>
            </w:tcMar>
          </w:tcPr>
          <w:p w:rsidR="00B51892" w:rsidRDefault="00493E5F" w:rsidP="00217C1D">
            <w:pPr>
              <w:autoSpaceDE w:val="0"/>
              <w:autoSpaceDN w:val="0"/>
              <w:spacing w:before="2" w:after="0" w:line="282" w:lineRule="exact"/>
              <w:ind w:left="130"/>
              <w:jc w:val="both"/>
            </w:pPr>
            <w:r>
              <w:rPr>
                <w:rFonts w:ascii="Roboto" w:eastAsia="Roboto" w:hAnsi="Roboto"/>
                <w:color w:val="000000"/>
                <w:spacing w:val="-10"/>
                <w:sz w:val="24"/>
              </w:rPr>
              <w:t>technique</w:t>
            </w:r>
          </w:p>
        </w:tc>
        <w:tc>
          <w:tcPr>
            <w:tcW w:w="3620" w:type="dxa"/>
            <w:tcMar>
              <w:left w:w="0" w:type="dxa"/>
              <w:right w:w="0" w:type="dxa"/>
            </w:tcMar>
          </w:tcPr>
          <w:p w:rsidR="00B51892" w:rsidRDefault="00493E5F" w:rsidP="00217C1D">
            <w:pPr>
              <w:autoSpaceDE w:val="0"/>
              <w:autoSpaceDN w:val="0"/>
              <w:spacing w:before="2" w:after="0" w:line="282" w:lineRule="exact"/>
              <w:ind w:right="286"/>
              <w:jc w:val="both"/>
            </w:pPr>
            <w:r>
              <w:rPr>
                <w:rFonts w:ascii="Roboto" w:eastAsia="Roboto" w:hAnsi="Roboto"/>
                <w:color w:val="000000"/>
                <w:spacing w:val="-10"/>
                <w:sz w:val="24"/>
              </w:rPr>
              <w:t>used by using 2</w:t>
            </w:r>
          </w:p>
        </w:tc>
      </w:tr>
    </w:tbl>
    <w:p w:rsidR="00B51892" w:rsidRDefault="00B51892" w:rsidP="00217C1D">
      <w:pPr>
        <w:autoSpaceDE w:val="0"/>
        <w:autoSpaceDN w:val="0"/>
        <w:spacing w:after="0" w:line="20" w:lineRule="exact"/>
        <w:jc w:val="both"/>
      </w:pPr>
    </w:p>
    <w:tbl>
      <w:tblPr>
        <w:tblW w:w="0" w:type="auto"/>
        <w:tblInd w:w="1180" w:type="dxa"/>
        <w:tblLayout w:type="fixed"/>
        <w:tblLook w:val="04A0" w:firstRow="1" w:lastRow="0" w:firstColumn="1" w:lastColumn="0" w:noHBand="0" w:noVBand="1"/>
      </w:tblPr>
      <w:tblGrid>
        <w:gridCol w:w="5420"/>
        <w:gridCol w:w="2240"/>
      </w:tblGrid>
      <w:tr w:rsidR="00B51892">
        <w:trPr>
          <w:trHeight w:hRule="exact" w:val="2542"/>
        </w:trPr>
        <w:tc>
          <w:tcPr>
            <w:tcW w:w="5420" w:type="dxa"/>
            <w:tcMar>
              <w:left w:w="0" w:type="dxa"/>
              <w:right w:w="0" w:type="dxa"/>
            </w:tcMar>
          </w:tcPr>
          <w:p w:rsidR="00B51892" w:rsidRDefault="00493E5F" w:rsidP="00217C1D">
            <w:pPr>
              <w:autoSpaceDE w:val="0"/>
              <w:autoSpaceDN w:val="0"/>
              <w:spacing w:before="146" w:after="0" w:line="286" w:lineRule="exact"/>
              <w:ind w:left="1190"/>
              <w:jc w:val="both"/>
            </w:pPr>
            <w:r>
              <w:rPr>
                <w:rFonts w:ascii="Roboto" w:eastAsia="Roboto" w:hAnsi="Roboto"/>
                <w:color w:val="000000"/>
                <w:spacing w:val="-10"/>
                <w:sz w:val="24"/>
              </w:rPr>
              <w:t xml:space="preserve">Because it could be a substitute for thermal drying which can elevate the process and techniques of food </w:t>
            </w:r>
            <w:r>
              <w:br/>
            </w:r>
            <w:r>
              <w:rPr>
                <w:rFonts w:ascii="Roboto" w:eastAsia="Roboto" w:hAnsi="Roboto"/>
                <w:color w:val="000000"/>
                <w:spacing w:val="-10"/>
                <w:sz w:val="24"/>
              </w:rPr>
              <w:t xml:space="preserve">drying. This method has been hyped in recent times as it requires a low </w:t>
            </w:r>
            <w:r>
              <w:br/>
            </w:r>
            <w:r>
              <w:rPr>
                <w:rFonts w:ascii="Roboto" w:eastAsia="Roboto" w:hAnsi="Roboto"/>
                <w:color w:val="000000"/>
                <w:spacing w:val="-10"/>
                <w:sz w:val="24"/>
              </w:rPr>
              <w:t>electric field, a temperature below 40 degrees Celsius which improves the pre-drying of food.</w:t>
            </w:r>
          </w:p>
        </w:tc>
        <w:tc>
          <w:tcPr>
            <w:tcW w:w="2240" w:type="dxa"/>
            <w:tcMar>
              <w:left w:w="0" w:type="dxa"/>
              <w:right w:w="0" w:type="dxa"/>
            </w:tcMar>
          </w:tcPr>
          <w:p w:rsidR="00B51892" w:rsidRDefault="00493E5F" w:rsidP="00217C1D">
            <w:pPr>
              <w:autoSpaceDE w:val="0"/>
              <w:autoSpaceDN w:val="0"/>
              <w:spacing w:after="0" w:line="284" w:lineRule="exact"/>
              <w:ind w:left="150" w:right="144"/>
              <w:jc w:val="both"/>
            </w:pPr>
            <w:r>
              <w:rPr>
                <w:rFonts w:ascii="Roboto" w:eastAsia="Roboto" w:hAnsi="Roboto"/>
                <w:color w:val="000000"/>
                <w:spacing w:val="-10"/>
                <w:sz w:val="24"/>
              </w:rPr>
              <w:t xml:space="preserve">electrodes which involves </w:t>
            </w:r>
            <w:r>
              <w:br/>
            </w:r>
            <w:r>
              <w:rPr>
                <w:rFonts w:ascii="Roboto" w:eastAsia="Roboto" w:hAnsi="Roboto"/>
                <w:color w:val="000000"/>
                <w:spacing w:val="-10"/>
                <w:sz w:val="24"/>
              </w:rPr>
              <w:t xml:space="preserve">compressing food items such as </w:t>
            </w:r>
            <w:r>
              <w:br/>
            </w:r>
            <w:r>
              <w:rPr>
                <w:rFonts w:ascii="Roboto" w:eastAsia="Roboto" w:hAnsi="Roboto"/>
                <w:color w:val="000000"/>
                <w:spacing w:val="-10"/>
                <w:sz w:val="24"/>
              </w:rPr>
              <w:t xml:space="preserve">fruit, milk, </w:t>
            </w:r>
            <w:r>
              <w:br/>
            </w:r>
            <w:r>
              <w:rPr>
                <w:rFonts w:ascii="Roboto" w:eastAsia="Roboto" w:hAnsi="Roboto"/>
                <w:color w:val="000000"/>
                <w:spacing w:val="-10"/>
                <w:sz w:val="24"/>
              </w:rPr>
              <w:t>vegetables, etc.</w:t>
            </w:r>
          </w:p>
          <w:p w:rsidR="00B51892" w:rsidRDefault="00493E5F" w:rsidP="00217C1D">
            <w:pPr>
              <w:autoSpaceDE w:val="0"/>
              <w:autoSpaceDN w:val="0"/>
              <w:spacing w:after="0" w:line="284" w:lineRule="exact"/>
              <w:ind w:left="150" w:right="144"/>
              <w:jc w:val="both"/>
            </w:pPr>
            <w:r>
              <w:rPr>
                <w:rFonts w:ascii="Roboto" w:eastAsia="Roboto" w:hAnsi="Roboto"/>
                <w:color w:val="000000"/>
                <w:spacing w:val="-10"/>
                <w:sz w:val="24"/>
              </w:rPr>
              <w:t>This method uses electro-</w:t>
            </w:r>
            <w:r>
              <w:br/>
            </w:r>
            <w:r>
              <w:rPr>
                <w:rFonts w:ascii="Roboto" w:eastAsia="Roboto" w:hAnsi="Roboto"/>
                <w:color w:val="000000"/>
                <w:spacing w:val="-10"/>
                <w:sz w:val="24"/>
              </w:rPr>
              <w:t>mobilization and</w:t>
            </w:r>
          </w:p>
        </w:tc>
      </w:tr>
    </w:tbl>
    <w:p w:rsidR="00B51892" w:rsidRDefault="00B51892" w:rsidP="00217C1D">
      <w:pPr>
        <w:autoSpaceDE w:val="0"/>
        <w:autoSpaceDN w:val="0"/>
        <w:spacing w:after="0" w:line="14" w:lineRule="exact"/>
        <w:jc w:val="both"/>
      </w:pPr>
    </w:p>
    <w:p w:rsidR="00B51892" w:rsidRDefault="00B51892" w:rsidP="00217C1D">
      <w:pPr>
        <w:autoSpaceDE w:val="0"/>
        <w:autoSpaceDN w:val="0"/>
        <w:spacing w:after="0" w:line="14" w:lineRule="exact"/>
        <w:jc w:val="both"/>
      </w:pPr>
    </w:p>
    <w:p w:rsidR="00B51892" w:rsidRDefault="00B51892" w:rsidP="00217C1D">
      <w:pPr>
        <w:autoSpaceDE w:val="0"/>
        <w:autoSpaceDN w:val="0"/>
        <w:spacing w:after="0" w:line="14" w:lineRule="exact"/>
        <w:jc w:val="both"/>
      </w:pPr>
    </w:p>
    <w:p w:rsidR="00B51892" w:rsidRDefault="00B51892" w:rsidP="00217C1D">
      <w:pPr>
        <w:jc w:val="both"/>
        <w:sectPr w:rsidR="00B51892">
          <w:pgSz w:w="11895" w:h="16830"/>
          <w:pgMar w:top="720" w:right="1440" w:bottom="166" w:left="1440" w:header="720" w:footer="720" w:gutter="0"/>
          <w:cols w:space="720"/>
          <w:docGrid w:linePitch="360"/>
        </w:sectPr>
      </w:pPr>
    </w:p>
    <w:p w:rsidR="00B51892" w:rsidRDefault="00493E5F" w:rsidP="00217C1D">
      <w:pPr>
        <w:autoSpaceDE w:val="0"/>
        <w:autoSpaceDN w:val="0"/>
        <w:spacing w:after="530" w:line="220" w:lineRule="exact"/>
        <w:jc w:val="both"/>
      </w:pPr>
      <w:r>
        <w:rPr>
          <w:noProof/>
        </w:rPr>
        <w:lastRenderedPageBreak/>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7553959" cy="1068345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7553959" cy="10683456"/>
                    </a:xfrm>
                    <a:prstGeom prst="rect">
                      <a:avLst/>
                    </a:prstGeom>
                  </pic:spPr>
                </pic:pic>
              </a:graphicData>
            </a:graphic>
          </wp:anchor>
        </w:drawing>
      </w:r>
    </w:p>
    <w:p w:rsidR="00B51892" w:rsidRDefault="00493E5F" w:rsidP="00217C1D">
      <w:pPr>
        <w:autoSpaceDE w:val="0"/>
        <w:autoSpaceDN w:val="0"/>
        <w:spacing w:after="214" w:line="282" w:lineRule="exact"/>
        <w:ind w:right="620"/>
        <w:jc w:val="both"/>
      </w:pPr>
      <w:r>
        <w:rPr>
          <w:rFonts w:ascii="Roboto" w:eastAsia="Roboto" w:hAnsi="Roboto"/>
          <w:color w:val="000000"/>
          <w:spacing w:val="-10"/>
          <w:sz w:val="24"/>
        </w:rPr>
        <w:t>electroporation.</w:t>
      </w:r>
    </w:p>
    <w:tbl>
      <w:tblPr>
        <w:tblW w:w="0" w:type="auto"/>
        <w:tblInd w:w="120" w:type="dxa"/>
        <w:tblLayout w:type="fixed"/>
        <w:tblLook w:val="04A0" w:firstRow="1" w:lastRow="0" w:firstColumn="1" w:lastColumn="0" w:noHBand="0" w:noVBand="1"/>
      </w:tblPr>
      <w:tblGrid>
        <w:gridCol w:w="560"/>
        <w:gridCol w:w="1440"/>
        <w:gridCol w:w="4380"/>
        <w:gridCol w:w="2160"/>
      </w:tblGrid>
      <w:tr w:rsidR="00B51892">
        <w:trPr>
          <w:trHeight w:hRule="exact" w:val="342"/>
        </w:trPr>
        <w:tc>
          <w:tcPr>
            <w:tcW w:w="560" w:type="dxa"/>
            <w:tcMar>
              <w:left w:w="0" w:type="dxa"/>
              <w:right w:w="0" w:type="dxa"/>
            </w:tcMar>
          </w:tcPr>
          <w:p w:rsidR="00B51892" w:rsidRDefault="00493E5F" w:rsidP="00217C1D">
            <w:pPr>
              <w:autoSpaceDE w:val="0"/>
              <w:autoSpaceDN w:val="0"/>
              <w:spacing w:before="60" w:after="0" w:line="280" w:lineRule="exact"/>
              <w:ind w:left="120"/>
              <w:jc w:val="both"/>
            </w:pPr>
            <w:r>
              <w:rPr>
                <w:rFonts w:ascii="Roboto" w:eastAsia="Roboto" w:hAnsi="Roboto"/>
                <w:color w:val="000000"/>
                <w:spacing w:val="-10"/>
                <w:sz w:val="24"/>
              </w:rPr>
              <w:t>3</w:t>
            </w:r>
          </w:p>
        </w:tc>
        <w:tc>
          <w:tcPr>
            <w:tcW w:w="1440" w:type="dxa"/>
            <w:tcMar>
              <w:left w:w="0" w:type="dxa"/>
              <w:right w:w="0" w:type="dxa"/>
            </w:tcMar>
          </w:tcPr>
          <w:p w:rsidR="00B51892" w:rsidRDefault="00493E5F" w:rsidP="00217C1D">
            <w:pPr>
              <w:autoSpaceDE w:val="0"/>
              <w:autoSpaceDN w:val="0"/>
              <w:spacing w:before="60" w:after="0" w:line="280" w:lineRule="exact"/>
              <w:ind w:left="340"/>
              <w:jc w:val="both"/>
            </w:pPr>
            <w:r>
              <w:rPr>
                <w:rFonts w:ascii="Roboto" w:eastAsia="Roboto" w:hAnsi="Roboto"/>
                <w:color w:val="000000"/>
                <w:spacing w:val="-10"/>
                <w:sz w:val="24"/>
              </w:rPr>
              <w:t>Thermal</w:t>
            </w:r>
          </w:p>
        </w:tc>
        <w:tc>
          <w:tcPr>
            <w:tcW w:w="4380" w:type="dxa"/>
            <w:tcMar>
              <w:left w:w="0" w:type="dxa"/>
              <w:right w:w="0" w:type="dxa"/>
            </w:tcMar>
          </w:tcPr>
          <w:p w:rsidR="00B51892" w:rsidRDefault="00493E5F" w:rsidP="00217C1D">
            <w:pPr>
              <w:autoSpaceDE w:val="0"/>
              <w:autoSpaceDN w:val="0"/>
              <w:spacing w:before="60" w:after="0" w:line="280" w:lineRule="exact"/>
              <w:jc w:val="both"/>
            </w:pPr>
            <w:r>
              <w:rPr>
                <w:rFonts w:ascii="Roboto" w:eastAsia="Roboto" w:hAnsi="Roboto"/>
                <w:color w:val="000000"/>
                <w:spacing w:val="-10"/>
                <w:sz w:val="24"/>
              </w:rPr>
              <w:t>A high-temperature treatment A high-</w:t>
            </w:r>
          </w:p>
        </w:tc>
        <w:tc>
          <w:tcPr>
            <w:tcW w:w="2160" w:type="dxa"/>
            <w:tcMar>
              <w:left w:w="0" w:type="dxa"/>
              <w:right w:w="0" w:type="dxa"/>
            </w:tcMar>
          </w:tcPr>
          <w:p w:rsidR="00B51892" w:rsidRDefault="00493E5F" w:rsidP="00217C1D">
            <w:pPr>
              <w:autoSpaceDE w:val="0"/>
              <w:autoSpaceDN w:val="0"/>
              <w:spacing w:before="60" w:after="0" w:line="280" w:lineRule="exact"/>
              <w:ind w:left="250"/>
              <w:jc w:val="both"/>
            </w:pPr>
            <w:r>
              <w:rPr>
                <w:rFonts w:ascii="Roboto" w:eastAsia="Roboto" w:hAnsi="Roboto"/>
                <w:color w:val="000000"/>
                <w:spacing w:val="-10"/>
                <w:sz w:val="24"/>
              </w:rPr>
              <w:t>This method is</w:t>
            </w:r>
          </w:p>
        </w:tc>
      </w:tr>
    </w:tbl>
    <w:p w:rsidR="00B51892" w:rsidRDefault="00B51892" w:rsidP="00217C1D">
      <w:pPr>
        <w:autoSpaceDE w:val="0"/>
        <w:autoSpaceDN w:val="0"/>
        <w:spacing w:after="0" w:line="20" w:lineRule="exact"/>
        <w:jc w:val="both"/>
      </w:pPr>
    </w:p>
    <w:tbl>
      <w:tblPr>
        <w:tblW w:w="0" w:type="auto"/>
        <w:tblInd w:w="480" w:type="dxa"/>
        <w:tblLayout w:type="fixed"/>
        <w:tblLook w:val="04A0" w:firstRow="1" w:lastRow="0" w:firstColumn="1" w:lastColumn="0" w:noHBand="0" w:noVBand="1"/>
      </w:tblPr>
      <w:tblGrid>
        <w:gridCol w:w="1700"/>
        <w:gridCol w:w="4160"/>
        <w:gridCol w:w="2460"/>
      </w:tblGrid>
      <w:tr w:rsidR="00B51892">
        <w:trPr>
          <w:trHeight w:hRule="exact" w:val="284"/>
        </w:trPr>
        <w:tc>
          <w:tcPr>
            <w:tcW w:w="1700" w:type="dxa"/>
            <w:tcMar>
              <w:left w:w="0" w:type="dxa"/>
              <w:right w:w="0" w:type="dxa"/>
            </w:tcMar>
          </w:tcPr>
          <w:p w:rsidR="00B51892" w:rsidRDefault="00493E5F" w:rsidP="00217C1D">
            <w:pPr>
              <w:autoSpaceDE w:val="0"/>
              <w:autoSpaceDN w:val="0"/>
              <w:spacing w:before="2" w:after="0" w:line="282" w:lineRule="exact"/>
              <w:ind w:right="168"/>
              <w:jc w:val="both"/>
            </w:pPr>
            <w:r>
              <w:rPr>
                <w:rFonts w:ascii="Roboto" w:eastAsia="Roboto" w:hAnsi="Roboto"/>
                <w:color w:val="000000"/>
                <w:spacing w:val="-10"/>
                <w:sz w:val="24"/>
              </w:rPr>
              <w:t>treatment</w:t>
            </w:r>
          </w:p>
        </w:tc>
        <w:tc>
          <w:tcPr>
            <w:tcW w:w="4160" w:type="dxa"/>
            <w:tcMar>
              <w:left w:w="0" w:type="dxa"/>
              <w:right w:w="0" w:type="dxa"/>
            </w:tcMar>
          </w:tcPr>
          <w:p w:rsidR="00B51892" w:rsidRDefault="00493E5F" w:rsidP="00217C1D">
            <w:pPr>
              <w:autoSpaceDE w:val="0"/>
              <w:autoSpaceDN w:val="0"/>
              <w:spacing w:before="2" w:after="0" w:line="282" w:lineRule="exact"/>
              <w:ind w:left="190"/>
              <w:jc w:val="both"/>
            </w:pPr>
            <w:r>
              <w:rPr>
                <w:rFonts w:ascii="Roboto" w:eastAsia="Roboto" w:hAnsi="Roboto"/>
                <w:color w:val="000000"/>
                <w:spacing w:val="-10"/>
                <w:sz w:val="24"/>
              </w:rPr>
              <w:t>temperature treatment of 75 to 90</w:t>
            </w:r>
          </w:p>
        </w:tc>
        <w:tc>
          <w:tcPr>
            <w:tcW w:w="2460" w:type="dxa"/>
            <w:tcMar>
              <w:left w:w="0" w:type="dxa"/>
              <w:right w:w="0" w:type="dxa"/>
            </w:tcMar>
          </w:tcPr>
          <w:p w:rsidR="00B51892" w:rsidRDefault="00493E5F" w:rsidP="00217C1D">
            <w:pPr>
              <w:autoSpaceDE w:val="0"/>
              <w:autoSpaceDN w:val="0"/>
              <w:spacing w:before="2" w:after="0" w:line="282" w:lineRule="exact"/>
              <w:ind w:left="410"/>
              <w:jc w:val="both"/>
            </w:pPr>
            <w:r>
              <w:rPr>
                <w:rFonts w:ascii="Roboto" w:eastAsia="Roboto" w:hAnsi="Roboto"/>
                <w:color w:val="000000"/>
                <w:spacing w:val="-10"/>
                <w:sz w:val="24"/>
              </w:rPr>
              <w:t>endowed with the</w:t>
            </w:r>
          </w:p>
        </w:tc>
      </w:tr>
    </w:tbl>
    <w:p w:rsidR="00B51892" w:rsidRDefault="00493E5F" w:rsidP="00217C1D">
      <w:pPr>
        <w:tabs>
          <w:tab w:val="left" w:pos="6750"/>
        </w:tabs>
        <w:autoSpaceDE w:val="0"/>
        <w:autoSpaceDN w:val="0"/>
        <w:spacing w:after="152" w:line="286" w:lineRule="exact"/>
        <w:ind w:left="2370" w:right="288"/>
        <w:jc w:val="both"/>
      </w:pPr>
      <w:r>
        <w:rPr>
          <w:rFonts w:ascii="Roboto" w:eastAsia="Roboto" w:hAnsi="Roboto"/>
          <w:color w:val="000000"/>
          <w:spacing w:val="-10"/>
          <w:sz w:val="24"/>
        </w:rPr>
        <w:t xml:space="preserve">degrees is been suited for about 25 to </w:t>
      </w:r>
      <w:r>
        <w:tab/>
      </w:r>
      <w:r>
        <w:rPr>
          <w:rFonts w:ascii="Roboto" w:eastAsia="Roboto" w:hAnsi="Roboto"/>
          <w:color w:val="000000"/>
          <w:spacing w:val="-10"/>
          <w:sz w:val="24"/>
        </w:rPr>
        <w:t xml:space="preserve">technology of 30 seconds. A variety of food </w:t>
      </w:r>
      <w:r>
        <w:tab/>
      </w:r>
      <w:r>
        <w:rPr>
          <w:rFonts w:ascii="Roboto" w:eastAsia="Roboto" w:hAnsi="Roboto"/>
          <w:color w:val="000000"/>
          <w:spacing w:val="-10"/>
          <w:sz w:val="24"/>
        </w:rPr>
        <w:t xml:space="preserve">cooking, which industries claim various features of </w:t>
      </w:r>
      <w:r>
        <w:tab/>
      </w:r>
      <w:r>
        <w:rPr>
          <w:rFonts w:ascii="Roboto" w:eastAsia="Roboto" w:hAnsi="Roboto"/>
          <w:color w:val="000000"/>
          <w:spacing w:val="-10"/>
          <w:sz w:val="24"/>
        </w:rPr>
        <w:t xml:space="preserve">involves cooking this technique. Majorly used in </w:t>
      </w:r>
      <w:r>
        <w:tab/>
      </w:r>
      <w:r>
        <w:rPr>
          <w:rFonts w:ascii="Roboto" w:eastAsia="Roboto" w:hAnsi="Roboto"/>
          <w:color w:val="000000"/>
          <w:spacing w:val="-10"/>
          <w:sz w:val="24"/>
        </w:rPr>
        <w:t xml:space="preserve">for about 25 to 30 industries including dairy, baked </w:t>
      </w:r>
      <w:r>
        <w:tab/>
      </w:r>
      <w:r>
        <w:rPr>
          <w:rFonts w:ascii="Roboto" w:eastAsia="Roboto" w:hAnsi="Roboto"/>
          <w:color w:val="000000"/>
          <w:spacing w:val="-10"/>
          <w:sz w:val="24"/>
        </w:rPr>
        <w:t xml:space="preserve">seconds at 75 to goods, fruits, etc. </w:t>
      </w:r>
      <w:r>
        <w:tab/>
      </w:r>
      <w:r>
        <w:rPr>
          <w:rFonts w:ascii="Roboto" w:eastAsia="Roboto" w:hAnsi="Roboto"/>
          <w:color w:val="000000"/>
          <w:spacing w:val="-10"/>
          <w:sz w:val="24"/>
        </w:rPr>
        <w:t xml:space="preserve">90 degrees </w:t>
      </w:r>
      <w:r>
        <w:br/>
      </w:r>
      <w:r>
        <w:tab/>
      </w:r>
      <w:r>
        <w:rPr>
          <w:rFonts w:ascii="Roboto" w:eastAsia="Roboto" w:hAnsi="Roboto"/>
          <w:color w:val="000000"/>
          <w:spacing w:val="-10"/>
          <w:sz w:val="24"/>
        </w:rPr>
        <w:t xml:space="preserve">Celsius. A </w:t>
      </w:r>
      <w:r>
        <w:br/>
      </w:r>
      <w:r>
        <w:tab/>
      </w:r>
      <w:r>
        <w:rPr>
          <w:rFonts w:ascii="Roboto" w:eastAsia="Roboto" w:hAnsi="Roboto"/>
          <w:color w:val="000000"/>
          <w:spacing w:val="-10"/>
          <w:sz w:val="24"/>
        </w:rPr>
        <w:t xml:space="preserve">disadvantage can </w:t>
      </w:r>
      <w:r>
        <w:tab/>
      </w:r>
      <w:r>
        <w:rPr>
          <w:rFonts w:ascii="Roboto" w:eastAsia="Roboto" w:hAnsi="Roboto"/>
          <w:color w:val="000000"/>
          <w:spacing w:val="-10"/>
          <w:sz w:val="24"/>
        </w:rPr>
        <w:t xml:space="preserve">be seen as color </w:t>
      </w:r>
      <w:r>
        <w:tab/>
      </w:r>
      <w:r>
        <w:rPr>
          <w:rFonts w:ascii="Roboto" w:eastAsia="Roboto" w:hAnsi="Roboto"/>
          <w:color w:val="000000"/>
          <w:spacing w:val="-10"/>
          <w:sz w:val="24"/>
        </w:rPr>
        <w:t xml:space="preserve">and taste are </w:t>
      </w:r>
      <w:r>
        <w:tab/>
      </w:r>
      <w:r>
        <w:rPr>
          <w:rFonts w:ascii="Roboto" w:eastAsia="Roboto" w:hAnsi="Roboto"/>
          <w:color w:val="000000"/>
          <w:spacing w:val="-10"/>
          <w:sz w:val="24"/>
        </w:rPr>
        <w:t xml:space="preserve">significantly </w:t>
      </w:r>
      <w:r>
        <w:tab/>
      </w:r>
      <w:r>
        <w:rPr>
          <w:rFonts w:ascii="Roboto" w:eastAsia="Roboto" w:hAnsi="Roboto"/>
          <w:color w:val="000000"/>
          <w:spacing w:val="-10"/>
          <w:sz w:val="24"/>
        </w:rPr>
        <w:t xml:space="preserve">impacted. For </w:t>
      </w:r>
      <w:r>
        <w:tab/>
      </w:r>
      <w:r>
        <w:rPr>
          <w:rFonts w:ascii="Roboto" w:eastAsia="Roboto" w:hAnsi="Roboto"/>
          <w:color w:val="000000"/>
          <w:spacing w:val="-10"/>
          <w:sz w:val="24"/>
        </w:rPr>
        <w:t xml:space="preserve">example in the </w:t>
      </w:r>
      <w:r>
        <w:tab/>
      </w:r>
      <w:r>
        <w:rPr>
          <w:rFonts w:ascii="Roboto" w:eastAsia="Roboto" w:hAnsi="Roboto"/>
          <w:color w:val="000000"/>
          <w:spacing w:val="-10"/>
          <w:sz w:val="24"/>
        </w:rPr>
        <w:t>case of maize.</w:t>
      </w:r>
    </w:p>
    <w:tbl>
      <w:tblPr>
        <w:tblW w:w="0" w:type="auto"/>
        <w:tblInd w:w="120" w:type="dxa"/>
        <w:tblLayout w:type="fixed"/>
        <w:tblLook w:val="04A0" w:firstRow="1" w:lastRow="0" w:firstColumn="1" w:lastColumn="0" w:noHBand="0" w:noVBand="1"/>
      </w:tblPr>
      <w:tblGrid>
        <w:gridCol w:w="520"/>
        <w:gridCol w:w="1560"/>
        <w:gridCol w:w="4300"/>
        <w:gridCol w:w="2340"/>
      </w:tblGrid>
      <w:tr w:rsidR="00B51892">
        <w:trPr>
          <w:trHeight w:hRule="exact" w:val="344"/>
        </w:trPr>
        <w:tc>
          <w:tcPr>
            <w:tcW w:w="520" w:type="dxa"/>
            <w:tcMar>
              <w:left w:w="0" w:type="dxa"/>
              <w:right w:w="0" w:type="dxa"/>
            </w:tcMar>
          </w:tcPr>
          <w:p w:rsidR="00B51892" w:rsidRDefault="00493E5F" w:rsidP="00217C1D">
            <w:pPr>
              <w:autoSpaceDE w:val="0"/>
              <w:autoSpaceDN w:val="0"/>
              <w:spacing w:before="60" w:after="0" w:line="282" w:lineRule="exact"/>
              <w:ind w:left="120"/>
              <w:jc w:val="both"/>
            </w:pPr>
            <w:r>
              <w:rPr>
                <w:rFonts w:ascii="Roboto" w:eastAsia="Roboto" w:hAnsi="Roboto"/>
                <w:color w:val="000000"/>
                <w:spacing w:val="-10"/>
                <w:sz w:val="24"/>
              </w:rPr>
              <w:t>4</w:t>
            </w:r>
          </w:p>
        </w:tc>
        <w:tc>
          <w:tcPr>
            <w:tcW w:w="1560" w:type="dxa"/>
            <w:tcMar>
              <w:left w:w="0" w:type="dxa"/>
              <w:right w:w="0" w:type="dxa"/>
            </w:tcMar>
          </w:tcPr>
          <w:p w:rsidR="00B51892" w:rsidRDefault="00493E5F" w:rsidP="00217C1D">
            <w:pPr>
              <w:autoSpaceDE w:val="0"/>
              <w:autoSpaceDN w:val="0"/>
              <w:spacing w:before="60" w:after="0" w:line="282" w:lineRule="exact"/>
              <w:ind w:left="276"/>
              <w:jc w:val="both"/>
            </w:pPr>
            <w:r>
              <w:rPr>
                <w:rFonts w:ascii="Roboto" w:eastAsia="Roboto" w:hAnsi="Roboto"/>
                <w:color w:val="000000"/>
                <w:spacing w:val="-10"/>
                <w:sz w:val="24"/>
              </w:rPr>
              <w:t>Ultrasound</w:t>
            </w:r>
          </w:p>
        </w:tc>
        <w:tc>
          <w:tcPr>
            <w:tcW w:w="4300" w:type="dxa"/>
            <w:tcMar>
              <w:left w:w="0" w:type="dxa"/>
              <w:right w:w="0" w:type="dxa"/>
            </w:tcMar>
          </w:tcPr>
          <w:p w:rsidR="00B51892" w:rsidRDefault="00493E5F" w:rsidP="00217C1D">
            <w:pPr>
              <w:autoSpaceDE w:val="0"/>
              <w:autoSpaceDN w:val="0"/>
              <w:spacing w:before="60" w:after="0" w:line="282" w:lineRule="exact"/>
              <w:jc w:val="both"/>
            </w:pPr>
            <w:r>
              <w:rPr>
                <w:rFonts w:ascii="Roboto" w:eastAsia="Roboto" w:hAnsi="Roboto"/>
                <w:color w:val="000000"/>
                <w:spacing w:val="-10"/>
                <w:sz w:val="24"/>
              </w:rPr>
              <w:t>This method is proven to be effective</w:t>
            </w:r>
          </w:p>
        </w:tc>
        <w:tc>
          <w:tcPr>
            <w:tcW w:w="2340" w:type="dxa"/>
            <w:tcMar>
              <w:left w:w="0" w:type="dxa"/>
              <w:right w:w="0" w:type="dxa"/>
            </w:tcMar>
          </w:tcPr>
          <w:p w:rsidR="00B51892" w:rsidRDefault="00493E5F" w:rsidP="00217C1D">
            <w:pPr>
              <w:autoSpaceDE w:val="0"/>
              <w:autoSpaceDN w:val="0"/>
              <w:spacing w:before="60" w:after="0" w:line="282" w:lineRule="exact"/>
              <w:ind w:left="250"/>
              <w:jc w:val="both"/>
            </w:pPr>
            <w:r>
              <w:rPr>
                <w:rFonts w:ascii="Roboto" w:eastAsia="Roboto" w:hAnsi="Roboto"/>
                <w:color w:val="000000"/>
                <w:spacing w:val="-10"/>
                <w:sz w:val="24"/>
              </w:rPr>
              <w:t>High-intensity and</w:t>
            </w:r>
          </w:p>
        </w:tc>
      </w:tr>
    </w:tbl>
    <w:p w:rsidR="00B51892" w:rsidRDefault="00493E5F" w:rsidP="00217C1D">
      <w:pPr>
        <w:tabs>
          <w:tab w:val="left" w:pos="6750"/>
        </w:tabs>
        <w:autoSpaceDE w:val="0"/>
        <w:autoSpaceDN w:val="0"/>
        <w:spacing w:after="0" w:line="284" w:lineRule="exact"/>
        <w:ind w:left="2370" w:right="144"/>
        <w:jc w:val="both"/>
      </w:pPr>
      <w:r>
        <w:rPr>
          <w:rFonts w:ascii="Roboto" w:eastAsia="Roboto" w:hAnsi="Roboto"/>
          <w:color w:val="000000"/>
          <w:spacing w:val="-10"/>
          <w:sz w:val="24"/>
        </w:rPr>
        <w:t xml:space="preserve">as used in various industries such as </w:t>
      </w:r>
      <w:r>
        <w:tab/>
      </w:r>
      <w:r>
        <w:rPr>
          <w:rFonts w:ascii="Roboto" w:eastAsia="Roboto" w:hAnsi="Roboto"/>
          <w:color w:val="000000"/>
          <w:spacing w:val="-10"/>
          <w:sz w:val="24"/>
        </w:rPr>
        <w:t xml:space="preserve">high frequency healthcare, medical along with food </w:t>
      </w:r>
      <w:r>
        <w:tab/>
      </w:r>
      <w:r>
        <w:rPr>
          <w:rFonts w:ascii="Roboto" w:eastAsia="Roboto" w:hAnsi="Roboto"/>
          <w:color w:val="000000"/>
          <w:spacing w:val="-10"/>
          <w:sz w:val="24"/>
        </w:rPr>
        <w:t xml:space="preserve">sound waves are sector. </w:t>
      </w:r>
      <w:r>
        <w:tab/>
      </w:r>
      <w:r>
        <w:rPr>
          <w:rFonts w:ascii="Roboto" w:eastAsia="Roboto" w:hAnsi="Roboto"/>
          <w:color w:val="000000"/>
          <w:spacing w:val="-10"/>
          <w:sz w:val="24"/>
        </w:rPr>
        <w:t xml:space="preserve">used in ultrasound </w:t>
      </w:r>
      <w:r>
        <w:tab/>
      </w:r>
      <w:r>
        <w:rPr>
          <w:rFonts w:ascii="Roboto" w:eastAsia="Roboto" w:hAnsi="Roboto"/>
          <w:color w:val="000000"/>
          <w:spacing w:val="-10"/>
          <w:sz w:val="24"/>
        </w:rPr>
        <w:t xml:space="preserve">techniques. In this </w:t>
      </w:r>
      <w:r>
        <w:tab/>
      </w:r>
      <w:r>
        <w:rPr>
          <w:rFonts w:ascii="Roboto" w:eastAsia="Roboto" w:hAnsi="Roboto"/>
          <w:color w:val="000000"/>
          <w:spacing w:val="-10"/>
          <w:sz w:val="24"/>
        </w:rPr>
        <w:t xml:space="preserve">technique, </w:t>
      </w:r>
      <w:r>
        <w:br/>
      </w:r>
      <w:r>
        <w:tab/>
      </w:r>
      <w:r>
        <w:rPr>
          <w:rFonts w:ascii="Roboto" w:eastAsia="Roboto" w:hAnsi="Roboto"/>
          <w:color w:val="000000"/>
          <w:spacing w:val="-10"/>
          <w:sz w:val="24"/>
        </w:rPr>
        <w:t xml:space="preserve">particles are </w:t>
      </w:r>
      <w:r>
        <w:br/>
      </w:r>
      <w:r>
        <w:tab/>
      </w:r>
      <w:r>
        <w:rPr>
          <w:rFonts w:ascii="Roboto" w:eastAsia="Roboto" w:hAnsi="Roboto"/>
          <w:color w:val="000000"/>
          <w:spacing w:val="-10"/>
          <w:sz w:val="24"/>
        </w:rPr>
        <w:t xml:space="preserve">disrupted by </w:t>
      </w:r>
      <w:r>
        <w:br/>
      </w:r>
      <w:r>
        <w:tab/>
      </w:r>
      <w:r>
        <w:rPr>
          <w:rFonts w:ascii="Roboto" w:eastAsia="Roboto" w:hAnsi="Roboto"/>
          <w:color w:val="000000"/>
          <w:spacing w:val="-10"/>
          <w:sz w:val="24"/>
        </w:rPr>
        <w:t xml:space="preserve">ultrasonic </w:t>
      </w:r>
      <w:r>
        <w:br/>
      </w:r>
      <w:r>
        <w:tab/>
      </w:r>
      <w:r>
        <w:rPr>
          <w:rFonts w:ascii="Roboto" w:eastAsia="Roboto" w:hAnsi="Roboto"/>
          <w:color w:val="000000"/>
          <w:spacing w:val="-10"/>
          <w:sz w:val="24"/>
        </w:rPr>
        <w:t xml:space="preserve">radiation including </w:t>
      </w:r>
      <w:r>
        <w:tab/>
      </w:r>
      <w:r>
        <w:rPr>
          <w:rFonts w:ascii="Roboto" w:eastAsia="Roboto" w:hAnsi="Roboto"/>
          <w:color w:val="000000"/>
          <w:spacing w:val="-10"/>
          <w:sz w:val="24"/>
        </w:rPr>
        <w:t xml:space="preserve">high frequency </w:t>
      </w:r>
      <w:r>
        <w:tab/>
      </w:r>
      <w:r>
        <w:rPr>
          <w:rFonts w:ascii="Roboto" w:eastAsia="Roboto" w:hAnsi="Roboto"/>
          <w:color w:val="000000"/>
          <w:spacing w:val="-10"/>
          <w:sz w:val="24"/>
        </w:rPr>
        <w:t>sound waves.</w:t>
      </w:r>
    </w:p>
    <w:p w:rsidR="00B51892" w:rsidRDefault="00493E5F" w:rsidP="00217C1D">
      <w:pPr>
        <w:autoSpaceDE w:val="0"/>
        <w:autoSpaceDN w:val="0"/>
        <w:spacing w:before="588" w:after="0" w:line="282" w:lineRule="exact"/>
        <w:jc w:val="both"/>
      </w:pPr>
      <w:r>
        <w:rPr>
          <w:rFonts w:ascii="Roboto" w:eastAsia="Roboto" w:hAnsi="Roboto"/>
          <w:color w:val="000000"/>
          <w:spacing w:val="-10"/>
          <w:sz w:val="24"/>
        </w:rPr>
        <w:t>Potential role of tech innovation in transformation of sustainable food systems</w:t>
      </w:r>
    </w:p>
    <w:p w:rsidR="00B51892" w:rsidRDefault="00493E5F" w:rsidP="00217C1D">
      <w:pPr>
        <w:autoSpaceDE w:val="0"/>
        <w:autoSpaceDN w:val="0"/>
        <w:spacing w:before="152" w:after="0" w:line="282" w:lineRule="exact"/>
        <w:ind w:left="720"/>
        <w:jc w:val="both"/>
      </w:pPr>
      <w:r>
        <w:rPr>
          <w:rFonts w:ascii="Roboto" w:eastAsia="Roboto" w:hAnsi="Roboto"/>
          <w:color w:val="000000"/>
          <w:spacing w:val="-10"/>
          <w:sz w:val="24"/>
        </w:rPr>
        <w:t>Food sustainability and sustainable agriculture are closely related.</w:t>
      </w:r>
    </w:p>
    <w:p w:rsidR="00B51892" w:rsidRDefault="00493E5F" w:rsidP="00217C1D">
      <w:pPr>
        <w:autoSpaceDE w:val="0"/>
        <w:autoSpaceDN w:val="0"/>
        <w:spacing w:before="2" w:after="0" w:line="284" w:lineRule="exact"/>
        <w:jc w:val="both"/>
      </w:pPr>
      <w:r>
        <w:rPr>
          <w:rFonts w:ascii="Roboto" w:eastAsia="Roboto" w:hAnsi="Roboto"/>
          <w:color w:val="000000"/>
          <w:spacing w:val="-10"/>
          <w:sz w:val="24"/>
        </w:rPr>
        <w:t xml:space="preserve">Sustainable agriculture could improve environmental quality and natural resources while meeting human demands for food and fiber. Water, climate, and fertilizers are the most important components of successful, sustainable farming. Future </w:t>
      </w:r>
      <w:r>
        <w:br/>
      </w:r>
      <w:r>
        <w:rPr>
          <w:rFonts w:ascii="Roboto" w:eastAsia="Roboto" w:hAnsi="Roboto"/>
          <w:color w:val="000000"/>
          <w:spacing w:val="-10"/>
          <w:sz w:val="24"/>
        </w:rPr>
        <w:t>demands will put unrivaled strain due to unexpected population rise and global growth on factors such as land, climate, energy, etc. As per the measured census, there are about 7.69 billion people on the planet, and the growth rate is 1.08% per year, which means steady growth is been observed and calculated annually. Future food demands need to be addressed and sustained because population growth could hit up to 9.9 billion by 2050 approximately a 30% hike in population growth. Technology by itself does not always transfer things and relies on economic policies along with administrative approaches. Not too many research studies have been conducted on innovative technologies in the food sustainability sector. Currently,</w:t>
      </w:r>
    </w:p>
    <w:p w:rsidR="00B51892" w:rsidRDefault="00B51892" w:rsidP="00217C1D">
      <w:pPr>
        <w:jc w:val="both"/>
        <w:sectPr w:rsidR="00B51892">
          <w:pgSz w:w="11895" w:h="16830"/>
          <w:pgMar w:top="750" w:right="1440" w:bottom="186" w:left="1440" w:header="720" w:footer="720" w:gutter="0"/>
          <w:cols w:space="720"/>
          <w:docGrid w:linePitch="360"/>
        </w:sectPr>
      </w:pPr>
    </w:p>
    <w:p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820"/>
        <w:gridCol w:w="8480"/>
        <w:gridCol w:w="640"/>
      </w:tblGrid>
      <w:tr w:rsidR="00B51892">
        <w:trPr>
          <w:trHeight w:hRule="exact" w:val="744"/>
        </w:trPr>
        <w:tc>
          <w:tcPr>
            <w:tcW w:w="82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480" w:type="dxa"/>
            <w:tcMar>
              <w:left w:w="0" w:type="dxa"/>
              <w:right w:w="0" w:type="dxa"/>
            </w:tcMar>
          </w:tcPr>
          <w:p w:rsidR="00B51892" w:rsidRDefault="00493E5F" w:rsidP="00217C1D">
            <w:pPr>
              <w:autoSpaceDE w:val="0"/>
              <w:autoSpaceDN w:val="0"/>
              <w:spacing w:before="460" w:after="0" w:line="282" w:lineRule="exact"/>
              <w:ind w:left="360"/>
              <w:jc w:val="both"/>
            </w:pPr>
            <w:r>
              <w:rPr>
                <w:rFonts w:ascii="Roboto" w:eastAsia="Roboto" w:hAnsi="Roboto"/>
                <w:color w:val="000000"/>
                <w:spacing w:val="-10"/>
                <w:sz w:val="24"/>
              </w:rPr>
              <w:t>there are ongoing sustainable technology trends that can be applied to food</w:t>
            </w:r>
          </w:p>
        </w:tc>
        <w:tc>
          <w:tcPr>
            <w:tcW w:w="640" w:type="dxa"/>
            <w:tcMar>
              <w:left w:w="0" w:type="dxa"/>
              <w:right w:w="0" w:type="dxa"/>
            </w:tcMar>
          </w:tcPr>
          <w:p w:rsidR="00B51892" w:rsidRDefault="00493E5F" w:rsidP="00217C1D">
            <w:pPr>
              <w:autoSpaceDE w:val="0"/>
              <w:autoSpaceDN w:val="0"/>
              <w:spacing w:after="0" w:line="240" w:lineRule="auto"/>
              <w:ind w:left="160"/>
              <w:jc w:val="both"/>
            </w:pPr>
            <w:r>
              <w:rPr>
                <w:noProof/>
              </w:rPr>
              <w:drawing>
                <wp:inline distT="0" distB="0" distL="0" distR="0">
                  <wp:extent cx="304800" cy="292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2" w:lineRule="exact"/>
        <w:ind w:left="460"/>
        <w:jc w:val="both"/>
      </w:pPr>
      <w:r>
        <w:rPr>
          <w:rFonts w:ascii="Roboto" w:eastAsia="Roboto" w:hAnsi="Roboto"/>
          <w:color w:val="000000"/>
          <w:spacing w:val="-10"/>
          <w:sz w:val="24"/>
        </w:rPr>
        <w:t>systems to make them more sustainable.</w:t>
      </w:r>
    </w:p>
    <w:p w:rsidR="00B51892" w:rsidRDefault="00493E5F" w:rsidP="00217C1D">
      <w:pPr>
        <w:autoSpaceDE w:val="0"/>
        <w:autoSpaceDN w:val="0"/>
        <w:spacing w:before="438" w:after="0" w:line="282" w:lineRule="exact"/>
        <w:ind w:left="460"/>
        <w:jc w:val="both"/>
      </w:pPr>
      <w:r>
        <w:rPr>
          <w:rFonts w:ascii="Roboto" w:eastAsia="Roboto" w:hAnsi="Roboto"/>
          <w:color w:val="000000"/>
          <w:spacing w:val="-10"/>
          <w:sz w:val="24"/>
        </w:rPr>
        <w:t>Different technologies harnessing sustainable food processing systems</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A) Digital agriculture</w:t>
      </w:r>
    </w:p>
    <w:p w:rsidR="00B51892" w:rsidRDefault="00493E5F" w:rsidP="00217C1D">
      <w:pPr>
        <w:autoSpaceDE w:val="0"/>
        <w:autoSpaceDN w:val="0"/>
        <w:spacing w:before="150" w:after="0" w:line="284" w:lineRule="exact"/>
        <w:ind w:left="460" w:right="576" w:firstLine="720"/>
        <w:jc w:val="both"/>
      </w:pPr>
      <w:r>
        <w:rPr>
          <w:rFonts w:ascii="Roboto" w:eastAsia="Roboto" w:hAnsi="Roboto"/>
          <w:color w:val="000000"/>
          <w:spacing w:val="-10"/>
          <w:sz w:val="24"/>
        </w:rPr>
        <w:t>Big data analytics, drones, and inventive sensors such as technologies are been used in precision farming as digital agriculture. Artificial intelligence and data integration increase efficiency and productivity while optimizing operations (Ashton, 2018). Emerging technologies such as robotics technology in field enhance crop protection automation, and disease and pest warning systems (Lasi et al., 2014).</w:t>
      </w:r>
    </w:p>
    <w:p w:rsidR="00B51892" w:rsidRDefault="00493E5F" w:rsidP="00217C1D">
      <w:pPr>
        <w:autoSpaceDE w:val="0"/>
        <w:autoSpaceDN w:val="0"/>
        <w:spacing w:after="0" w:line="286" w:lineRule="exact"/>
        <w:ind w:left="460" w:right="576"/>
        <w:jc w:val="both"/>
      </w:pPr>
      <w:r>
        <w:rPr>
          <w:rFonts w:ascii="Roboto" w:eastAsia="Roboto" w:hAnsi="Roboto"/>
          <w:color w:val="000000"/>
          <w:spacing w:val="-10"/>
          <w:sz w:val="24"/>
        </w:rPr>
        <w:t xml:space="preserve">Digital agriculture has amore extended fieldin terms of nanotechnology, and </w:t>
      </w:r>
      <w:r>
        <w:br/>
      </w:r>
      <w:r>
        <w:rPr>
          <w:rFonts w:ascii="Roboto" w:eastAsia="Roboto" w:hAnsi="Roboto"/>
          <w:color w:val="000000"/>
          <w:spacing w:val="-10"/>
          <w:sz w:val="24"/>
        </w:rPr>
        <w:t>livestock with pre-birth sex determination, with the use of smartphones (Lokers et al., 2016).</w:t>
      </w:r>
    </w:p>
    <w:p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B) Gene technology</w:t>
      </w:r>
    </w:p>
    <w:p w:rsidR="00B51892" w:rsidRDefault="00493E5F" w:rsidP="00217C1D">
      <w:pPr>
        <w:autoSpaceDE w:val="0"/>
        <w:autoSpaceDN w:val="0"/>
        <w:spacing w:before="152" w:after="0" w:line="284" w:lineRule="exact"/>
        <w:ind w:left="460" w:right="576" w:firstLine="720"/>
        <w:jc w:val="both"/>
      </w:pPr>
      <w:r>
        <w:rPr>
          <w:rFonts w:ascii="Roboto" w:eastAsia="Roboto" w:hAnsi="Roboto"/>
          <w:color w:val="000000"/>
          <w:spacing w:val="-10"/>
          <w:sz w:val="24"/>
        </w:rPr>
        <w:t>Agriculture biotechnology has significantly contributed to crop production, enhanced yields, along better output (Ahmed et al., 2019). Agriculture biotech involves techniques such as genome-wide selection, GM-assisted domestication and genome editing. Effective seed formation and RNAi gene silencing targets are achieved by apomixis to target particular genes for disease and insect resistance (Kaplan and Haenlein, 2019).To address situations like bio-fortified crops, plant phenomics and synthetic biology is been used as gene technology in crops for desired growth and traits.</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C) Agriculture using cells</w:t>
      </w:r>
    </w:p>
    <w:p w:rsidR="00B51892" w:rsidRDefault="00493E5F" w:rsidP="00217C1D">
      <w:pPr>
        <w:autoSpaceDE w:val="0"/>
        <w:autoSpaceDN w:val="0"/>
        <w:spacing w:before="148" w:after="0" w:line="284" w:lineRule="exact"/>
        <w:ind w:left="460" w:right="432" w:firstLine="720"/>
        <w:jc w:val="both"/>
      </w:pPr>
      <w:r>
        <w:rPr>
          <w:rFonts w:ascii="Roboto" w:eastAsia="Roboto" w:hAnsi="Roboto"/>
          <w:color w:val="000000"/>
          <w:spacing w:val="-10"/>
          <w:sz w:val="24"/>
        </w:rPr>
        <w:t xml:space="preserve">Cellular technology is known to produce artificial edible products such as artificial meat and fish by stimulating natural species (Nilsson,1980).These are bioengineered products that are made by sophisticated molecular printing (Goyacha et al., 2001). Such products replicate and copy the texture of conventional meat, nutritional value, important extracts, and content, providing substitutes and </w:t>
      </w:r>
      <w:r>
        <w:br/>
      </w:r>
      <w:r>
        <w:rPr>
          <w:rFonts w:ascii="Roboto" w:eastAsia="Roboto" w:hAnsi="Roboto"/>
          <w:color w:val="000000"/>
          <w:spacing w:val="-10"/>
          <w:sz w:val="24"/>
        </w:rPr>
        <w:t>promoting sustainability without harming the environment, and meeting present-day and future generation needs also increases food security (Rajan and Saffiottti, 2017).</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D) Technology of substitute food and nutrition</w:t>
      </w:r>
    </w:p>
    <w:p w:rsidR="00B51892" w:rsidRDefault="00493E5F" w:rsidP="00217C1D">
      <w:pPr>
        <w:autoSpaceDE w:val="0"/>
        <w:autoSpaceDN w:val="0"/>
        <w:spacing w:before="148" w:after="0" w:line="284" w:lineRule="exact"/>
        <w:ind w:left="460" w:right="432" w:firstLine="720"/>
        <w:jc w:val="both"/>
      </w:pPr>
      <w:r>
        <w:rPr>
          <w:rFonts w:ascii="Roboto" w:eastAsia="Roboto" w:hAnsi="Roboto"/>
          <w:color w:val="000000"/>
          <w:spacing w:val="-10"/>
          <w:sz w:val="24"/>
        </w:rPr>
        <w:t>Alternatives are also important for sustainable crop production as they can replicate the original substance in terms of flavor, texture, color and nutrient value (Sole, 2007). Effective and ecological livestock production is facilitated by the development of sea-based alternatives and additives for nutrition for animals (Mohri, 2012). The development of alternative food sources is best addressed by animal-based product cellular technology such as microalgae, cyanobacteria, seaweed and insects. Molecular approaches have made it possible to improve nutritional profiles by culturing organisms e.g. production of omega-3 fatty acids for aquacultural (Hinton,2015).</w:t>
      </w:r>
    </w:p>
    <w:p w:rsidR="00B51892" w:rsidRDefault="00493E5F" w:rsidP="00217C1D">
      <w:pPr>
        <w:tabs>
          <w:tab w:val="left" w:pos="9460"/>
        </w:tabs>
        <w:autoSpaceDE w:val="0"/>
        <w:autoSpaceDN w:val="0"/>
        <w:spacing w:before="1194" w:after="0" w:line="240" w:lineRule="auto"/>
        <w:jc w:val="both"/>
      </w:pPr>
      <w:r>
        <w:rPr>
          <w:noProof/>
        </w:rPr>
        <w:drawing>
          <wp:inline distT="0" distB="0" distL="0" distR="0">
            <wp:extent cx="29210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493E5F" w:rsidP="00217C1D">
      <w:pPr>
        <w:autoSpaceDE w:val="0"/>
        <w:autoSpaceDN w:val="0"/>
        <w:spacing w:after="270" w:line="220" w:lineRule="exact"/>
        <w:jc w:val="both"/>
      </w:pPr>
      <w:r>
        <w:rPr>
          <w:noProof/>
        </w:rPr>
        <w:lastRenderedPageBreak/>
        <w:drawing>
          <wp:anchor distT="0" distB="0" distL="0" distR="0" simplePos="0" relativeHeight="251661312" behindDoc="1" locked="0" layoutInCell="1" allowOverlap="1">
            <wp:simplePos x="0" y="0"/>
            <wp:positionH relativeFrom="page">
              <wp:posOffset>2266950</wp:posOffset>
            </wp:positionH>
            <wp:positionV relativeFrom="page">
              <wp:posOffset>914400</wp:posOffset>
            </wp:positionV>
            <wp:extent cx="3420110" cy="329537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3420110" cy="3295377"/>
                    </a:xfrm>
                    <a:prstGeom prst="rect">
                      <a:avLst/>
                    </a:prstGeom>
                  </pic:spPr>
                </pic:pic>
              </a:graphicData>
            </a:graphic>
          </wp:anchor>
        </w:drawing>
      </w:r>
      <w:r>
        <w:rPr>
          <w:noProof/>
        </w:rPr>
        <w:drawing>
          <wp:anchor distT="0" distB="0" distL="0" distR="0" simplePos="0" relativeHeight="251662336" behindDoc="1" locked="0" layoutInCell="1" allowOverlap="1">
            <wp:simplePos x="0" y="0"/>
            <wp:positionH relativeFrom="page">
              <wp:posOffset>2438400</wp:posOffset>
            </wp:positionH>
            <wp:positionV relativeFrom="page">
              <wp:posOffset>1003300</wp:posOffset>
            </wp:positionV>
            <wp:extent cx="3162300" cy="2971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3162300" cy="2971800"/>
                    </a:xfrm>
                    <a:prstGeom prst="rect">
                      <a:avLst/>
                    </a:prstGeom>
                  </pic:spPr>
                </pic:pic>
              </a:graphicData>
            </a:graphic>
          </wp:anchor>
        </w:drawing>
      </w:r>
    </w:p>
    <w:tbl>
      <w:tblPr>
        <w:tblW w:w="0" w:type="auto"/>
        <w:tblLayout w:type="fixed"/>
        <w:tblLook w:val="04A0" w:firstRow="1" w:lastRow="0" w:firstColumn="1" w:lastColumn="0" w:noHBand="0" w:noVBand="1"/>
      </w:tblPr>
      <w:tblGrid>
        <w:gridCol w:w="1480"/>
        <w:gridCol w:w="7260"/>
        <w:gridCol w:w="1200"/>
      </w:tblGrid>
      <w:tr w:rsidR="00B51892">
        <w:trPr>
          <w:trHeight w:hRule="exact" w:val="5646"/>
        </w:trPr>
        <w:tc>
          <w:tcPr>
            <w:tcW w:w="148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7260" w:type="dxa"/>
            <w:tcMar>
              <w:left w:w="0" w:type="dxa"/>
              <w:right w:w="0" w:type="dxa"/>
            </w:tcMar>
          </w:tcPr>
          <w:p w:rsidR="00B51892" w:rsidRDefault="00B51892" w:rsidP="00217C1D">
            <w:pPr>
              <w:autoSpaceDE w:val="0"/>
              <w:autoSpaceDN w:val="0"/>
              <w:spacing w:after="0" w:line="400" w:lineRule="exact"/>
              <w:jc w:val="both"/>
            </w:pPr>
          </w:p>
          <w:tbl>
            <w:tblPr>
              <w:tblW w:w="0" w:type="auto"/>
              <w:tblInd w:w="1110" w:type="dxa"/>
              <w:tblLayout w:type="fixed"/>
              <w:tblLook w:val="04A0" w:firstRow="1" w:lastRow="0" w:firstColumn="1" w:lastColumn="0" w:noHBand="0" w:noVBand="1"/>
            </w:tblPr>
            <w:tblGrid>
              <w:gridCol w:w="5386"/>
            </w:tblGrid>
            <w:tr w:rsidR="00B51892">
              <w:trPr>
                <w:trHeight w:hRule="exact" w:val="4844"/>
              </w:trPr>
              <w:tc>
                <w:tcPr>
                  <w:tcW w:w="5386" w:type="dxa"/>
                  <w:tcBorders>
                    <w:top w:val="single" w:sz="48" w:space="0" w:color="000000"/>
                    <w:left w:val="single" w:sz="48" w:space="0" w:color="000000"/>
                    <w:bottom w:val="single" w:sz="48" w:space="0" w:color="000000"/>
                    <w:right w:val="single" w:sz="48" w:space="0" w:color="000000"/>
                  </w:tcBorders>
                  <w:tcMar>
                    <w:left w:w="0" w:type="dxa"/>
                    <w:right w:w="0" w:type="dxa"/>
                  </w:tcMar>
                </w:tcPr>
                <w:p w:rsidR="00B51892" w:rsidRDefault="00B51892" w:rsidP="00217C1D">
                  <w:pPr>
                    <w:jc w:val="both"/>
                  </w:pPr>
                </w:p>
              </w:tc>
            </w:tr>
          </w:tbl>
          <w:p w:rsidR="00B51892" w:rsidRDefault="00493E5F" w:rsidP="00217C1D">
            <w:pPr>
              <w:autoSpaceDE w:val="0"/>
              <w:autoSpaceDN w:val="0"/>
              <w:spacing w:after="0" w:line="282" w:lineRule="exact"/>
              <w:ind w:right="1800"/>
              <w:jc w:val="both"/>
            </w:pPr>
            <w:r>
              <w:rPr>
                <w:rFonts w:ascii="Roboto" w:eastAsia="Roboto" w:hAnsi="Roboto"/>
                <w:color w:val="000000"/>
                <w:spacing w:val="-10"/>
                <w:sz w:val="24"/>
              </w:rPr>
              <w:t>Fig.1 Sustainable food system</w:t>
            </w:r>
          </w:p>
        </w:tc>
        <w:tc>
          <w:tcPr>
            <w:tcW w:w="120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before="94" w:after="0" w:line="282" w:lineRule="exact"/>
        <w:ind w:left="460"/>
        <w:jc w:val="both"/>
      </w:pPr>
      <w:r>
        <w:rPr>
          <w:rFonts w:ascii="Roboto" w:eastAsia="Roboto" w:hAnsi="Roboto"/>
          <w:color w:val="000000"/>
          <w:spacing w:val="-10"/>
          <w:sz w:val="24"/>
        </w:rPr>
        <w:t>E) Nutritional health and environment concerning food processing</w:t>
      </w:r>
    </w:p>
    <w:p w:rsidR="00B51892" w:rsidRDefault="00493E5F" w:rsidP="00217C1D">
      <w:pPr>
        <w:autoSpaceDE w:val="0"/>
        <w:autoSpaceDN w:val="0"/>
        <w:spacing w:before="148" w:after="0" w:line="286" w:lineRule="exact"/>
        <w:ind w:left="460" w:right="432" w:firstLine="360"/>
        <w:jc w:val="both"/>
      </w:pPr>
      <w:r>
        <w:rPr>
          <w:rFonts w:ascii="Roboto" w:eastAsia="Roboto" w:hAnsi="Roboto"/>
          <w:color w:val="000000"/>
          <w:spacing w:val="-10"/>
          <w:sz w:val="24"/>
        </w:rPr>
        <w:t>Few would proclaim about availability of micronutrients with bioavailability of starch along with the availability of seasonal fruits year around providing a perfect nutrition diet globally through food processing techniques such as preservation, canning, and of course freezing technique, meanwhile improvement in the food processing sector including processing of grains into flour and making it to bread (Dilbal et al., 2021). Continuing to pasteurize milk, safety measures through canning, and freezing have not proven to increase nutritional security in society (Wang et al., 2021). Additionally, fat along with sugar, salt, and refined starch, also provides unfavorable food alternatives.However, consumers are also presented with unhealthy dietary options by processed meals that are heavy in fat, sugar, salt, and refined starch. It’s a prophecy that non-communicable diseases would be significantly reduced by methods of lowering processed food’s sugar and salt. Food categories have been significantly reported for the reduction of salt and sugar levels (Gao et al., 2021)</w:t>
      </w:r>
    </w:p>
    <w:p w:rsidR="00B51892" w:rsidRDefault="00493E5F" w:rsidP="00217C1D">
      <w:pPr>
        <w:tabs>
          <w:tab w:val="left" w:pos="1300"/>
        </w:tabs>
        <w:autoSpaceDE w:val="0"/>
        <w:autoSpaceDN w:val="0"/>
        <w:spacing w:before="154" w:after="0" w:line="280" w:lineRule="exact"/>
        <w:ind w:left="820"/>
        <w:jc w:val="both"/>
      </w:pPr>
      <w:r>
        <w:rPr>
          <w:rFonts w:ascii="Noto Serif" w:eastAsia="Noto Serif" w:hAnsi="Noto Serif"/>
          <w:color w:val="000000"/>
          <w:spacing w:val="-10"/>
          <w:sz w:val="24"/>
        </w:rPr>
        <w:t xml:space="preserve">a) </w:t>
      </w:r>
      <w:r>
        <w:tab/>
      </w:r>
      <w:r>
        <w:rPr>
          <w:rFonts w:ascii="Roboto" w:eastAsia="Roboto" w:hAnsi="Roboto"/>
          <w:color w:val="000000"/>
          <w:spacing w:val="-10"/>
          <w:sz w:val="24"/>
        </w:rPr>
        <w:t>Consumption of processed foods</w:t>
      </w:r>
    </w:p>
    <w:p w:rsidR="00B51892" w:rsidRDefault="00493E5F" w:rsidP="00217C1D">
      <w:pPr>
        <w:autoSpaceDE w:val="0"/>
        <w:autoSpaceDN w:val="0"/>
        <w:spacing w:before="152" w:after="0" w:line="284" w:lineRule="exact"/>
        <w:ind w:left="460" w:right="432" w:firstLine="360"/>
        <w:jc w:val="both"/>
      </w:pPr>
      <w:r>
        <w:rPr>
          <w:rFonts w:ascii="Roboto" w:eastAsia="Roboto" w:hAnsi="Roboto"/>
          <w:color w:val="000000"/>
          <w:spacing w:val="-10"/>
          <w:sz w:val="24"/>
        </w:rPr>
        <w:t>American data on food consumption revealed that minimally processed foods and processed foods contribute significantly to total energy and health factors. (Stella, F., and Hughes,2023). Cleaned and packaged fruit which are typically stated as minimally processed foods. Vegetables, fruits, and minimally processed fruits contain higher amounts of vitamin B12, vitamin D, calcium, potassium and dietary fiber (Huang, 2023). About 13 to 15 % of total energy is made up of minimally processed foods. Getting to the edge of increasing the percentage of processed foods, which is about 56 – 58% of the energy intake from added sugars, iron and folate (Gonzalez-Vazquez et al., 2023).Taking into account that food and restaurants have a higher portion of added sodium and sugars. According to recent analyses and studies, minimally processed food contains less amount of saturated fat, sugar, and sodium as compared to highly processed foods (Morris et al.,2023). Choosing</w:t>
      </w:r>
    </w:p>
    <w:p w:rsidR="00B51892" w:rsidRDefault="00493E5F" w:rsidP="00217C1D">
      <w:pPr>
        <w:tabs>
          <w:tab w:val="left" w:pos="9460"/>
        </w:tabs>
        <w:autoSpaceDE w:val="0"/>
        <w:autoSpaceDN w:val="0"/>
        <w:spacing w:before="234" w:after="0" w:line="240" w:lineRule="auto"/>
        <w:jc w:val="both"/>
      </w:pPr>
      <w:r>
        <w:rPr>
          <w:noProof/>
        </w:rPr>
        <w:drawing>
          <wp:inline distT="0" distB="0" distL="0" distR="0">
            <wp:extent cx="292100" cy="29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640"/>
        <w:gridCol w:w="8780"/>
        <w:gridCol w:w="520"/>
      </w:tblGrid>
      <w:tr w:rsidR="00B51892">
        <w:trPr>
          <w:trHeight w:hRule="exact" w:val="744"/>
        </w:trPr>
        <w:tc>
          <w:tcPr>
            <w:tcW w:w="64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780" w:type="dxa"/>
            <w:tcMar>
              <w:left w:w="0" w:type="dxa"/>
              <w:right w:w="0" w:type="dxa"/>
            </w:tcMar>
          </w:tcPr>
          <w:p w:rsidR="00B51892" w:rsidRDefault="00493E5F" w:rsidP="00217C1D">
            <w:pPr>
              <w:autoSpaceDE w:val="0"/>
              <w:autoSpaceDN w:val="0"/>
              <w:spacing w:before="460" w:after="0" w:line="282" w:lineRule="exact"/>
              <w:ind w:left="180"/>
              <w:jc w:val="both"/>
            </w:pPr>
            <w:r>
              <w:rPr>
                <w:rFonts w:ascii="Roboto" w:eastAsia="Roboto" w:hAnsi="Roboto"/>
                <w:color w:val="000000"/>
                <w:spacing w:val="-10"/>
                <w:sz w:val="24"/>
              </w:rPr>
              <w:t>healthier options in terms of food would be a more nutritious option as processed</w:t>
            </w:r>
          </w:p>
        </w:tc>
        <w:tc>
          <w:tcPr>
            <w:tcW w:w="52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4" w:lineRule="exact"/>
        <w:ind w:left="460" w:right="432"/>
        <w:jc w:val="both"/>
      </w:pPr>
      <w:r>
        <w:rPr>
          <w:rFonts w:ascii="Roboto" w:eastAsia="Roboto" w:hAnsi="Roboto"/>
          <w:color w:val="000000"/>
          <w:spacing w:val="-10"/>
          <w:sz w:val="24"/>
        </w:rPr>
        <w:t>food may be a constant component for the population's need, but it may contain much higher levels of saturated fat, sugar, and sodium. According to research, there is a significant increase in the use of processed foods within medium to high-income countries, as, from 1938 to 1939, processed foods intake was 29-30% as compared to2011, which was 62-63.7% in Canada. (Huang et al., 2023)</w:t>
      </w:r>
    </w:p>
    <w:p w:rsidR="00B51892" w:rsidRDefault="00493E5F" w:rsidP="00217C1D">
      <w:pPr>
        <w:tabs>
          <w:tab w:val="left" w:pos="1300"/>
        </w:tabs>
        <w:autoSpaceDE w:val="0"/>
        <w:autoSpaceDN w:val="0"/>
        <w:spacing w:before="154" w:after="0" w:line="282" w:lineRule="exact"/>
        <w:ind w:left="820"/>
        <w:jc w:val="both"/>
      </w:pPr>
      <w:r>
        <w:rPr>
          <w:rFonts w:ascii="Noto Serif" w:eastAsia="Noto Serif" w:hAnsi="Noto Serif"/>
          <w:color w:val="000000"/>
          <w:spacing w:val="-10"/>
          <w:sz w:val="24"/>
        </w:rPr>
        <w:t xml:space="preserve">b) </w:t>
      </w:r>
      <w:r>
        <w:tab/>
      </w:r>
      <w:r>
        <w:rPr>
          <w:rFonts w:ascii="Roboto" w:eastAsia="Roboto" w:hAnsi="Roboto"/>
          <w:color w:val="000000"/>
          <w:spacing w:val="-10"/>
          <w:sz w:val="24"/>
        </w:rPr>
        <w:t>Convenience of food with respect to fortified and processed foods</w:t>
      </w:r>
    </w:p>
    <w:p w:rsidR="00B51892" w:rsidRDefault="00493E5F" w:rsidP="00217C1D">
      <w:pPr>
        <w:autoSpaceDE w:val="0"/>
        <w:autoSpaceDN w:val="0"/>
        <w:spacing w:before="150" w:after="0" w:line="284" w:lineRule="exact"/>
        <w:ind w:left="460" w:right="432"/>
        <w:jc w:val="both"/>
      </w:pPr>
      <w:r>
        <w:rPr>
          <w:rFonts w:ascii="Roboto" w:eastAsia="Roboto" w:hAnsi="Roboto"/>
          <w:color w:val="000000"/>
          <w:spacing w:val="-10"/>
          <w:sz w:val="24"/>
        </w:rPr>
        <w:t xml:space="preserve">Taking into account commercially produced iodized salt, due to such food </w:t>
      </w:r>
      <w:r>
        <w:br/>
      </w:r>
      <w:r>
        <w:rPr>
          <w:rFonts w:ascii="Roboto" w:eastAsia="Roboto" w:hAnsi="Roboto"/>
          <w:color w:val="000000"/>
          <w:spacing w:val="-10"/>
          <w:sz w:val="24"/>
        </w:rPr>
        <w:t xml:space="preserve">processing in salt has resulted in a significant decrease in problems such as goiter, endemic brain disease, and cretinism (Heiden et al., 2022). As achieved by correcting the amount of iodine by improving, processing and fortification of food. Such disorders arise through deficiency of iodine, which food processing techniques could prevent (Tan, 2022). In the middle of the 20 </w:t>
      </w:r>
      <w:r>
        <w:rPr>
          <w:rFonts w:ascii="Roboto" w:eastAsia="Roboto" w:hAnsi="Roboto"/>
          <w:color w:val="000000"/>
          <w:spacing w:val="-10"/>
          <w:sz w:val="12"/>
        </w:rPr>
        <w:t>th</w:t>
      </w:r>
      <w:r>
        <w:rPr>
          <w:rFonts w:ascii="Roboto" w:eastAsia="Roboto" w:hAnsi="Roboto"/>
          <w:color w:val="000000"/>
          <w:spacing w:val="-10"/>
          <w:sz w:val="24"/>
        </w:rPr>
        <w:t xml:space="preserve">century, a significant decrease in iodine deficiency was achieved. Vitamin D is an important requirement for the human body, as a nutritionally balanced diet is a growing pathway for vitamin D’s function beyond bone health (Hogueras-Ruiz et al.,2021).Low levels of folic acid are been found in major food types, which in turn affect the diet of pregnant women, including </w:t>
      </w:r>
      <w:r>
        <w:br/>
      </w:r>
      <w:r>
        <w:rPr>
          <w:rFonts w:ascii="Roboto" w:eastAsia="Roboto" w:hAnsi="Roboto"/>
          <w:color w:val="000000"/>
          <w:spacing w:val="-10"/>
          <w:sz w:val="24"/>
        </w:rPr>
        <w:t>malformations that impact the poorly developed fetus’s organs, such as the spinal cord and brain (Won et al.,2021).Fortified foods would rather recover from the deficiency of folate, which is already used in a few countries, and there are reports about lower rates of foetal development issues. Countries like the USA, Iran and Canada have reported lower rates of neural tube defects (Li et al., 2022).</w:t>
      </w:r>
    </w:p>
    <w:p w:rsidR="00B51892" w:rsidRDefault="00493E5F" w:rsidP="00217C1D">
      <w:pPr>
        <w:autoSpaceDE w:val="0"/>
        <w:autoSpaceDN w:val="0"/>
        <w:spacing w:before="438" w:after="0" w:line="282" w:lineRule="exact"/>
        <w:ind w:left="460"/>
        <w:jc w:val="both"/>
      </w:pPr>
      <w:r>
        <w:rPr>
          <w:rFonts w:ascii="Roboto" w:eastAsia="Roboto" w:hAnsi="Roboto"/>
          <w:color w:val="000000"/>
          <w:spacing w:val="-10"/>
          <w:sz w:val="24"/>
        </w:rPr>
        <w:t>Sustainable development agriculture concerning food processing technologies</w:t>
      </w:r>
    </w:p>
    <w:p w:rsidR="00B51892" w:rsidRDefault="00493E5F" w:rsidP="00217C1D">
      <w:pPr>
        <w:tabs>
          <w:tab w:val="left" w:pos="1300"/>
        </w:tabs>
        <w:autoSpaceDE w:val="0"/>
        <w:autoSpaceDN w:val="0"/>
        <w:spacing w:before="154" w:after="0" w:line="282" w:lineRule="exact"/>
        <w:ind w:left="820"/>
        <w:jc w:val="both"/>
      </w:pPr>
      <w:r>
        <w:rPr>
          <w:rFonts w:ascii="Noto Serif" w:eastAsia="Noto Serif" w:hAnsi="Noto Serif"/>
          <w:color w:val="000000"/>
          <w:spacing w:val="-10"/>
          <w:sz w:val="24"/>
        </w:rPr>
        <w:t xml:space="preserve">a) </w:t>
      </w:r>
      <w:r>
        <w:tab/>
      </w:r>
      <w:r>
        <w:rPr>
          <w:rFonts w:ascii="Roboto" w:eastAsia="Roboto" w:hAnsi="Roboto"/>
          <w:color w:val="000000"/>
          <w:spacing w:val="-10"/>
          <w:sz w:val="24"/>
        </w:rPr>
        <w:t>Food processing technologies to supply chain management</w:t>
      </w:r>
    </w:p>
    <w:p w:rsidR="00B51892" w:rsidRDefault="00493E5F" w:rsidP="00217C1D">
      <w:pPr>
        <w:autoSpaceDE w:val="0"/>
        <w:autoSpaceDN w:val="0"/>
        <w:spacing w:before="148" w:after="0" w:line="286" w:lineRule="exact"/>
        <w:ind w:left="460" w:right="432"/>
        <w:jc w:val="both"/>
      </w:pPr>
      <w:r>
        <w:rPr>
          <w:rFonts w:ascii="Roboto" w:eastAsia="Roboto" w:hAnsi="Roboto"/>
          <w:color w:val="000000"/>
          <w:spacing w:val="-10"/>
          <w:sz w:val="24"/>
        </w:rPr>
        <w:t xml:space="preserve">Looking back 10,000 years ago, in the early era of hunter-gatherers, when food was a need for survival and not just a commodity (Spiess et al., 2003). As urbanization gradually increased, workers grew more urbanization and separation grew between industrialists and urbanization. As there was increased demand for food and supply chain management, there was a growth and development of retailers and middlemen (Lzaridesa, 2011). As processed food was in demand and was easier to get, instant-ready mix meals and semi-cooked foods were developed to meet consumer </w:t>
      </w:r>
      <w:r>
        <w:br/>
      </w:r>
      <w:r>
        <w:rPr>
          <w:rFonts w:ascii="Roboto" w:eastAsia="Roboto" w:hAnsi="Roboto"/>
          <w:color w:val="000000"/>
          <w:spacing w:val="-10"/>
          <w:sz w:val="24"/>
        </w:rPr>
        <w:t>demands and a sustainable food supply chain (Manzini and Accoaari, 2013).Taking the supply chain system into account, it’s a system from farm to fork in including retailers, marketers, and consumers. As the population increases, demand increases for wealthier food choices (Irani, 2016). Both foreign as well as domestic markets pressurize marketers, retailers and food processors to expand market operations while keeping expenses low and consumers contented. Quality control systems has been incorporated into quality control systems mainly by large companies (Lan and Zhong, 2018).Along with product safety and quality control measures, it also involves processing technologies, also take transportation, sustainable agriculture, greenhouse gases and increasing waste and water management (McCarthy et al.,2016).</w:t>
      </w:r>
    </w:p>
    <w:p w:rsidR="00B51892" w:rsidRDefault="00493E5F" w:rsidP="00217C1D">
      <w:pPr>
        <w:tabs>
          <w:tab w:val="left" w:pos="1300"/>
        </w:tabs>
        <w:autoSpaceDE w:val="0"/>
        <w:autoSpaceDN w:val="0"/>
        <w:spacing w:before="154" w:after="0" w:line="280" w:lineRule="exact"/>
        <w:ind w:left="820"/>
        <w:jc w:val="both"/>
      </w:pPr>
      <w:r>
        <w:rPr>
          <w:rFonts w:ascii="Noto Serif" w:eastAsia="Noto Serif" w:hAnsi="Noto Serif"/>
          <w:color w:val="000000"/>
          <w:spacing w:val="-10"/>
          <w:sz w:val="24"/>
        </w:rPr>
        <w:t xml:space="preserve">b) </w:t>
      </w:r>
      <w:r>
        <w:tab/>
      </w:r>
      <w:r>
        <w:rPr>
          <w:rFonts w:ascii="Roboto" w:eastAsia="Roboto" w:hAnsi="Roboto"/>
          <w:color w:val="000000"/>
          <w:spacing w:val="-10"/>
          <w:sz w:val="24"/>
        </w:rPr>
        <w:t>Use of green technology in the processing of food production</w:t>
      </w:r>
    </w:p>
    <w:p w:rsidR="00B51892" w:rsidRDefault="00493E5F" w:rsidP="00217C1D">
      <w:pPr>
        <w:tabs>
          <w:tab w:val="left" w:pos="9460"/>
        </w:tabs>
        <w:autoSpaceDE w:val="0"/>
        <w:autoSpaceDN w:val="0"/>
        <w:spacing w:before="504" w:after="0" w:line="240" w:lineRule="auto"/>
        <w:jc w:val="both"/>
      </w:pPr>
      <w:r>
        <w:rPr>
          <w:noProof/>
        </w:rPr>
        <w:lastRenderedPageBreak/>
        <w:drawing>
          <wp:inline distT="0" distB="0" distL="0" distR="0">
            <wp:extent cx="292100" cy="292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493E5F" w:rsidP="00217C1D">
      <w:pPr>
        <w:autoSpaceDE w:val="0"/>
        <w:autoSpaceDN w:val="0"/>
        <w:spacing w:after="500" w:line="220" w:lineRule="exact"/>
        <w:jc w:val="both"/>
      </w:pPr>
      <w:r>
        <w:rPr>
          <w:noProof/>
        </w:rPr>
        <w:lastRenderedPageBreak/>
        <w:drawing>
          <wp:anchor distT="0" distB="0" distL="0" distR="0" simplePos="0" relativeHeight="251663360" behindDoc="1" locked="0" layoutInCell="1" allowOverlap="1">
            <wp:simplePos x="0" y="0"/>
            <wp:positionH relativeFrom="page">
              <wp:posOffset>0</wp:posOffset>
            </wp:positionH>
            <wp:positionV relativeFrom="page">
              <wp:posOffset>0</wp:posOffset>
            </wp:positionV>
            <wp:extent cx="7553959" cy="1068345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7553959" cy="10683456"/>
                    </a:xfrm>
                    <a:prstGeom prst="rect">
                      <a:avLst/>
                    </a:prstGeom>
                  </pic:spPr>
                </pic:pic>
              </a:graphicData>
            </a:graphic>
          </wp:anchor>
        </w:drawing>
      </w:r>
    </w:p>
    <w:p w:rsidR="00B51892" w:rsidRDefault="00493E5F" w:rsidP="00217C1D">
      <w:pPr>
        <w:autoSpaceDE w:val="0"/>
        <w:autoSpaceDN w:val="0"/>
        <w:spacing w:after="0" w:line="284" w:lineRule="exact"/>
        <w:ind w:firstLine="360"/>
        <w:jc w:val="both"/>
      </w:pPr>
      <w:r>
        <w:rPr>
          <w:rFonts w:ascii="Roboto" w:eastAsia="Roboto" w:hAnsi="Roboto"/>
          <w:color w:val="000000"/>
          <w:spacing w:val="-10"/>
          <w:sz w:val="24"/>
        </w:rPr>
        <w:t xml:space="preserve">Production of green food has often been elicited by organic methods for </w:t>
      </w:r>
      <w:r>
        <w:br/>
      </w:r>
      <w:r>
        <w:rPr>
          <w:rFonts w:ascii="Roboto" w:eastAsia="Roboto" w:hAnsi="Roboto"/>
          <w:color w:val="000000"/>
          <w:spacing w:val="-10"/>
          <w:sz w:val="24"/>
        </w:rPr>
        <w:t xml:space="preserve">decades. Farming or fodder crops have been grown on a small piece of land and another allotted space is being used for goat, beef, and sheep grazing (Ananta et al.,2004).For sustainability, the organic farming method is used with green </w:t>
      </w:r>
      <w:r>
        <w:br/>
      </w:r>
      <w:r>
        <w:rPr>
          <w:rFonts w:ascii="Roboto" w:eastAsia="Roboto" w:hAnsi="Roboto"/>
          <w:color w:val="000000"/>
          <w:spacing w:val="-10"/>
          <w:sz w:val="24"/>
        </w:rPr>
        <w:t xml:space="preserve">technology. Undoubtedly use of no fertilizers or herbicides was enough for farm areas, still opted for green technology to build a sustainable environment for the food processing domain (Berry et al.,2015).Few production systems don’t own animals, so manure is not readily available. Management of nutrients like </w:t>
      </w:r>
      <w:r>
        <w:br/>
      </w:r>
      <w:r>
        <w:rPr>
          <w:rFonts w:ascii="Roboto" w:eastAsia="Roboto" w:hAnsi="Roboto"/>
          <w:color w:val="000000"/>
          <w:spacing w:val="-10"/>
          <w:sz w:val="24"/>
        </w:rPr>
        <w:t>phosphorus, nitrogen, etc, should be done for the fast release of mineral nutrients for the under growth of chemical transformations according to the type of soil, crop and climate (Holdaway, 2015). Fertilizers should be used mindfully, for the sustainability of the land and processing of food processing industry (Smetna et al., 2015).For growth-limited crops, fertilizers can be applied in slight excess. Excess manure helps to prevent problems like the volatilization of nitrogen and phosphorus run off. Such problems mainly occur during the rainy season. Soil fertility and sustainability can be achieved through the management of phosphorus and nitrogen as excess manure is been washed away and nutrients are seeping into the soil.(Metcalfe R 2019).For example, around 29-30% of nitrogen is been expelled and lost worldwide in the form of gases such as NH</w:t>
      </w:r>
      <w:r>
        <w:rPr>
          <w:rFonts w:ascii="Roboto" w:eastAsia="Roboto" w:hAnsi="Roboto"/>
          <w:color w:val="000000"/>
          <w:spacing w:val="-10"/>
          <w:sz w:val="12"/>
        </w:rPr>
        <w:t>3</w:t>
      </w:r>
      <w:r>
        <w:rPr>
          <w:rFonts w:ascii="Roboto" w:eastAsia="Roboto" w:hAnsi="Roboto"/>
          <w:color w:val="000000"/>
          <w:spacing w:val="-10"/>
          <w:sz w:val="24"/>
        </w:rPr>
        <w:t xml:space="preserve"> and N</w:t>
      </w:r>
      <w:r>
        <w:rPr>
          <w:rFonts w:ascii="Roboto" w:eastAsia="Roboto" w:hAnsi="Roboto"/>
          <w:color w:val="000000"/>
          <w:spacing w:val="-10"/>
          <w:sz w:val="12"/>
        </w:rPr>
        <w:t>2</w:t>
      </w:r>
      <w:r>
        <w:rPr>
          <w:rFonts w:ascii="Roboto" w:eastAsia="Roboto" w:hAnsi="Roboto"/>
          <w:color w:val="000000"/>
          <w:spacing w:val="-10"/>
          <w:sz w:val="24"/>
        </w:rPr>
        <w:t>O.Out of 30%, only 16% is been used and to control such losses production value chain and the sustainability of the food production sector (Velenurf et al.,2019).</w:t>
      </w:r>
    </w:p>
    <w:p w:rsidR="00B51892" w:rsidRDefault="00493E5F" w:rsidP="00217C1D">
      <w:pPr>
        <w:tabs>
          <w:tab w:val="left" w:pos="840"/>
        </w:tabs>
        <w:autoSpaceDE w:val="0"/>
        <w:autoSpaceDN w:val="0"/>
        <w:spacing w:before="154" w:after="0" w:line="280" w:lineRule="exact"/>
        <w:ind w:left="360"/>
        <w:jc w:val="both"/>
      </w:pPr>
      <w:r>
        <w:rPr>
          <w:rFonts w:ascii="Noto Serif" w:eastAsia="Noto Serif" w:hAnsi="Noto Serif"/>
          <w:color w:val="000000"/>
          <w:spacing w:val="-10"/>
          <w:sz w:val="24"/>
        </w:rPr>
        <w:t xml:space="preserve">c) </w:t>
      </w:r>
      <w:r>
        <w:tab/>
      </w:r>
      <w:r>
        <w:rPr>
          <w:rFonts w:ascii="Roboto" w:eastAsia="Roboto" w:hAnsi="Roboto"/>
          <w:color w:val="000000"/>
          <w:spacing w:val="-10"/>
          <w:sz w:val="24"/>
        </w:rPr>
        <w:t>Green technology in food processing</w:t>
      </w:r>
    </w:p>
    <w:p w:rsidR="00B51892" w:rsidRDefault="00493E5F" w:rsidP="00217C1D">
      <w:pPr>
        <w:autoSpaceDE w:val="0"/>
        <w:autoSpaceDN w:val="0"/>
        <w:spacing w:before="152" w:after="0" w:line="284" w:lineRule="exact"/>
        <w:jc w:val="both"/>
      </w:pPr>
      <w:r>
        <w:rPr>
          <w:rFonts w:ascii="Roboto" w:eastAsia="Roboto" w:hAnsi="Roboto"/>
          <w:color w:val="000000"/>
          <w:spacing w:val="-10"/>
          <w:sz w:val="24"/>
        </w:rPr>
        <w:t xml:space="preserve">To improve shelf life, nutritional qualities and safety, food must be processed under optimum conditions and to make food more expedient (Warangham, 2009). Primary, secondary and tertiary processing methods are used to convert raw produce into foods. Primary methods of processing, like sorting, grading, milling and dehulling need to be assessed first. Primary processing doesn’t stop here, it includes blanching, pasteurization, scaling, packing, storing, freezing, acidification and separation through homogenization (Knorr, 1999). Further processing techniques to add more value-added products along with refined food, secondary, and tertiary methods are been aligned (Spiess et al.,2003).Secondary and tertiary processing techniques are further applied to transform these foods into other value-added food products. Secondary and tertiary processing techniques are further applied to transform these foods into other value-added food products (Ferrando and Spiess, 2000).Enzymes could prove to be one of the most promising and advancing technologies for lessening the environmental impact of food processing (Petrotos and Lazarides, 2001).Enzymes act as excellent biological catalysts by accelerating reaction rates, providing time savings, energy, and cost. Ease of inactivation, non-toxicity, </w:t>
      </w:r>
      <w:r>
        <w:br/>
      </w:r>
      <w:r>
        <w:rPr>
          <w:rFonts w:ascii="Roboto" w:eastAsia="Roboto" w:hAnsi="Roboto"/>
          <w:color w:val="000000"/>
          <w:spacing w:val="-10"/>
          <w:sz w:val="24"/>
        </w:rPr>
        <w:t xml:space="preserve">sensitivity, specificity and major activity at low concentration are the potential of food enzymes for food processing.(Hite,1899).Even been proven to be more </w:t>
      </w:r>
      <w:r>
        <w:br/>
      </w:r>
      <w:r>
        <w:rPr>
          <w:rFonts w:ascii="Roboto" w:eastAsia="Roboto" w:hAnsi="Roboto"/>
          <w:color w:val="000000"/>
          <w:spacing w:val="-10"/>
          <w:sz w:val="24"/>
        </w:rPr>
        <w:t>environmentally friendly as compared to traditional methods. Goods with a longer shelf life, yield, good textures, and flavours can be drawn out by enzymatic activity in food. Taking case into points, enzymes like amylase, pectinase, galactosidases, lipases, isomerases, transferases etc can be used as enzymes in food processing (Knorr and Heinz, 1996).</w:t>
      </w:r>
    </w:p>
    <w:p w:rsidR="00B51892" w:rsidRDefault="00493E5F" w:rsidP="00217C1D">
      <w:pPr>
        <w:autoSpaceDE w:val="0"/>
        <w:autoSpaceDN w:val="0"/>
        <w:spacing w:before="154" w:after="0" w:line="280" w:lineRule="exact"/>
        <w:jc w:val="both"/>
      </w:pPr>
      <w:r>
        <w:rPr>
          <w:rFonts w:ascii="Roboto" w:eastAsia="Roboto" w:hAnsi="Roboto"/>
          <w:color w:val="000000"/>
          <w:spacing w:val="-10"/>
          <w:sz w:val="24"/>
        </w:rPr>
        <w:t>Table 2: Emerging technologies for microbial control in food processing</w:t>
      </w:r>
    </w:p>
    <w:p w:rsidR="00B51892" w:rsidRDefault="00B51892" w:rsidP="00217C1D">
      <w:pPr>
        <w:jc w:val="both"/>
        <w:sectPr w:rsidR="00B51892">
          <w:pgSz w:w="11895" w:h="16830"/>
          <w:pgMar w:top="720" w:right="1440" w:bottom="184" w:left="1440" w:header="720" w:footer="720" w:gutter="0"/>
          <w:cols w:space="720"/>
          <w:docGrid w:linePitch="360"/>
        </w:sectPr>
      </w:pPr>
    </w:p>
    <w:p w:rsidR="00B51892" w:rsidRDefault="00493E5F" w:rsidP="00217C1D">
      <w:pPr>
        <w:autoSpaceDE w:val="0"/>
        <w:autoSpaceDN w:val="0"/>
        <w:spacing w:after="530" w:line="220" w:lineRule="exact"/>
        <w:jc w:val="both"/>
      </w:pPr>
      <w:r>
        <w:rPr>
          <w:noProof/>
        </w:rPr>
        <w:lastRenderedPageBreak/>
        <w:drawing>
          <wp:anchor distT="0" distB="0" distL="0" distR="0" simplePos="0" relativeHeight="251664384" behindDoc="1" locked="0" layoutInCell="1" allowOverlap="1">
            <wp:simplePos x="0" y="0"/>
            <wp:positionH relativeFrom="page">
              <wp:posOffset>0</wp:posOffset>
            </wp:positionH>
            <wp:positionV relativeFrom="page">
              <wp:posOffset>0</wp:posOffset>
            </wp:positionV>
            <wp:extent cx="7553959" cy="10683456"/>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7553959" cy="10683456"/>
                    </a:xfrm>
                    <a:prstGeom prst="rect">
                      <a:avLst/>
                    </a:prstGeom>
                  </pic:spPr>
                </pic:pic>
              </a:graphicData>
            </a:graphic>
          </wp:anchor>
        </w:drawing>
      </w:r>
    </w:p>
    <w:p w:rsidR="00B51892" w:rsidRDefault="00493E5F" w:rsidP="00217C1D">
      <w:pPr>
        <w:tabs>
          <w:tab w:val="left" w:pos="6120"/>
        </w:tabs>
        <w:autoSpaceDE w:val="0"/>
        <w:autoSpaceDN w:val="0"/>
        <w:spacing w:after="274" w:line="282" w:lineRule="exact"/>
        <w:ind w:left="1440"/>
        <w:jc w:val="both"/>
      </w:pPr>
      <w:r>
        <w:rPr>
          <w:rFonts w:ascii="Roboto" w:eastAsia="Roboto" w:hAnsi="Roboto"/>
          <w:color w:val="000000"/>
          <w:spacing w:val="-10"/>
          <w:sz w:val="24"/>
        </w:rPr>
        <w:t xml:space="preserve">Technologies </w:t>
      </w:r>
      <w:r>
        <w:tab/>
      </w:r>
      <w:r>
        <w:rPr>
          <w:rFonts w:ascii="Roboto" w:eastAsia="Roboto" w:hAnsi="Roboto"/>
          <w:color w:val="000000"/>
          <w:spacing w:val="-10"/>
          <w:sz w:val="24"/>
        </w:rPr>
        <w:t>Examples</w:t>
      </w:r>
    </w:p>
    <w:p w:rsidR="00B51892" w:rsidRDefault="00B51892" w:rsidP="00217C1D">
      <w:pPr>
        <w:jc w:val="both"/>
        <w:sectPr w:rsidR="00B51892">
          <w:pgSz w:w="11895" w:h="16830"/>
          <w:pgMar w:top="750" w:right="1440" w:bottom="172" w:left="1440" w:header="720" w:footer="720" w:gutter="0"/>
          <w:cols w:space="720"/>
          <w:docGrid w:linePitch="360"/>
        </w:sectPr>
      </w:pPr>
    </w:p>
    <w:p w:rsidR="00B51892" w:rsidRDefault="00493E5F" w:rsidP="00217C1D">
      <w:pPr>
        <w:tabs>
          <w:tab w:val="left" w:pos="4500"/>
        </w:tabs>
        <w:autoSpaceDE w:val="0"/>
        <w:autoSpaceDN w:val="0"/>
        <w:spacing w:after="0" w:line="280" w:lineRule="exact"/>
        <w:jc w:val="both"/>
      </w:pPr>
      <w:r>
        <w:rPr>
          <w:rFonts w:ascii="Roboto" w:eastAsia="Roboto" w:hAnsi="Roboto"/>
          <w:color w:val="000000"/>
          <w:spacing w:val="-10"/>
          <w:sz w:val="24"/>
        </w:rPr>
        <w:t xml:space="preserve">Preservation through bio-preservation </w:t>
      </w:r>
      <w:r>
        <w:tab/>
      </w:r>
      <w:r>
        <w:rPr>
          <w:rFonts w:ascii="Roboto" w:eastAsia="Roboto" w:hAnsi="Roboto"/>
          <w:color w:val="000000"/>
          <w:spacing w:val="-10"/>
          <w:sz w:val="24"/>
        </w:rPr>
        <w:t>Uses organic acids and probiotics</w:t>
      </w:r>
    </w:p>
    <w:p w:rsidR="00B51892" w:rsidRDefault="00493E5F" w:rsidP="00217C1D">
      <w:pPr>
        <w:tabs>
          <w:tab w:val="left" w:pos="4500"/>
        </w:tabs>
        <w:autoSpaceDE w:val="0"/>
        <w:autoSpaceDN w:val="0"/>
        <w:spacing w:before="272" w:after="0" w:line="284" w:lineRule="exact"/>
        <w:ind w:right="720"/>
        <w:jc w:val="both"/>
      </w:pPr>
      <w:r>
        <w:rPr>
          <w:rFonts w:ascii="Roboto" w:eastAsia="Roboto" w:hAnsi="Roboto"/>
          <w:color w:val="000000"/>
          <w:spacing w:val="-10"/>
          <w:sz w:val="24"/>
        </w:rPr>
        <w:t xml:space="preserve">Technologies that don’t use magnetic </w:t>
      </w:r>
      <w:r>
        <w:tab/>
      </w:r>
      <w:r>
        <w:rPr>
          <w:rFonts w:ascii="Roboto" w:eastAsia="Roboto" w:hAnsi="Roboto"/>
          <w:color w:val="000000"/>
          <w:spacing w:val="-10"/>
          <w:sz w:val="24"/>
        </w:rPr>
        <w:t>Uses moderate heating by induction and electric fields</w:t>
      </w:r>
    </w:p>
    <w:p w:rsidR="00B51892" w:rsidRDefault="00493E5F" w:rsidP="00217C1D">
      <w:pPr>
        <w:tabs>
          <w:tab w:val="left" w:pos="4500"/>
        </w:tabs>
        <w:autoSpaceDE w:val="0"/>
        <w:autoSpaceDN w:val="0"/>
        <w:spacing w:before="272" w:after="0" w:line="284" w:lineRule="exact"/>
        <w:ind w:right="288"/>
        <w:jc w:val="both"/>
      </w:pPr>
      <w:r>
        <w:rPr>
          <w:rFonts w:ascii="Roboto" w:eastAsia="Roboto" w:hAnsi="Roboto"/>
          <w:color w:val="000000"/>
          <w:spacing w:val="-10"/>
          <w:sz w:val="24"/>
        </w:rPr>
        <w:t xml:space="preserve">Magnetic and electric fields </w:t>
      </w:r>
      <w:r>
        <w:tab/>
      </w:r>
      <w:r>
        <w:rPr>
          <w:rFonts w:ascii="Roboto" w:eastAsia="Roboto" w:hAnsi="Roboto"/>
          <w:color w:val="000000"/>
          <w:spacing w:val="-10"/>
          <w:sz w:val="24"/>
        </w:rPr>
        <w:t xml:space="preserve">Uses high-intensity electric fields along </w:t>
      </w:r>
      <w:r>
        <w:tab/>
      </w:r>
      <w:r>
        <w:rPr>
          <w:rFonts w:ascii="Roboto" w:eastAsia="Roboto" w:hAnsi="Roboto"/>
          <w:color w:val="000000"/>
          <w:spacing w:val="-10"/>
          <w:sz w:val="24"/>
        </w:rPr>
        <w:t>with high-intensity ultraviolet rays.</w:t>
      </w:r>
    </w:p>
    <w:p w:rsidR="00B51892" w:rsidRDefault="00493E5F" w:rsidP="00217C1D">
      <w:pPr>
        <w:tabs>
          <w:tab w:val="left" w:pos="840"/>
        </w:tabs>
        <w:autoSpaceDE w:val="0"/>
        <w:autoSpaceDN w:val="0"/>
        <w:spacing w:before="648" w:after="0" w:line="282" w:lineRule="exact"/>
        <w:ind w:left="360"/>
        <w:jc w:val="both"/>
      </w:pPr>
      <w:r>
        <w:rPr>
          <w:rFonts w:ascii="Noto Serif" w:eastAsia="Noto Serif" w:hAnsi="Noto Serif"/>
          <w:color w:val="000000"/>
          <w:spacing w:val="-10"/>
          <w:sz w:val="24"/>
        </w:rPr>
        <w:t xml:space="preserve">d) </w:t>
      </w:r>
      <w:r>
        <w:tab/>
      </w:r>
      <w:r>
        <w:rPr>
          <w:rFonts w:ascii="Roboto" w:eastAsia="Roboto" w:hAnsi="Roboto"/>
          <w:color w:val="000000"/>
          <w:spacing w:val="-10"/>
          <w:sz w:val="24"/>
        </w:rPr>
        <w:t>Artificial intelligence in food processing</w:t>
      </w:r>
    </w:p>
    <w:p w:rsidR="00B51892" w:rsidRDefault="00493E5F" w:rsidP="00217C1D">
      <w:pPr>
        <w:autoSpaceDE w:val="0"/>
        <w:autoSpaceDN w:val="0"/>
        <w:spacing w:before="152" w:after="0" w:line="284" w:lineRule="exact"/>
        <w:ind w:right="144" w:firstLine="360"/>
        <w:jc w:val="both"/>
      </w:pPr>
      <w:r>
        <w:rPr>
          <w:rFonts w:ascii="Roboto" w:eastAsia="Roboto" w:hAnsi="Roboto"/>
          <w:color w:val="000000"/>
          <w:spacing w:val="-10"/>
          <w:sz w:val="24"/>
        </w:rPr>
        <w:t>Artificial intelligence has been a tremendous aspect to be used in the food industry. Food and agriculture processes have been monitored by big data made by the Internet of Things (Ben-Daya et al.,2017).Use of artificial intelligence in food processing also includes social media and supply chain monetization. Artificial intelligence in the food industry often includes the following steps:</w:t>
      </w:r>
    </w:p>
    <w:p w:rsidR="00B51892" w:rsidRDefault="00493E5F" w:rsidP="00217C1D">
      <w:pPr>
        <w:tabs>
          <w:tab w:val="left" w:pos="720"/>
          <w:tab w:val="left" w:pos="840"/>
        </w:tabs>
        <w:autoSpaceDE w:val="0"/>
        <w:autoSpaceDN w:val="0"/>
        <w:spacing w:before="148" w:after="0" w:line="284" w:lineRule="exact"/>
        <w:ind w:left="360"/>
        <w:jc w:val="both"/>
      </w:pPr>
      <w:r>
        <w:rPr>
          <w:rFonts w:ascii="Noto Serif" w:eastAsia="Noto Serif" w:hAnsi="Noto Serif"/>
          <w:color w:val="000000"/>
          <w:spacing w:val="-10"/>
          <w:sz w:val="24"/>
        </w:rPr>
        <w:t>●</w:t>
      </w:r>
      <w:r>
        <w:tab/>
      </w:r>
      <w:r>
        <w:tab/>
      </w:r>
      <w:r>
        <w:rPr>
          <w:rFonts w:ascii="Roboto" w:eastAsia="Roboto" w:hAnsi="Roboto"/>
          <w:color w:val="000000"/>
          <w:spacing w:val="-10"/>
          <w:sz w:val="24"/>
        </w:rPr>
        <w:t xml:space="preserve">Taking technology into the world of food processing domain, the Internet of </w:t>
      </w:r>
      <w:r>
        <w:tab/>
      </w:r>
      <w:r>
        <w:rPr>
          <w:rFonts w:ascii="Roboto" w:eastAsia="Roboto" w:hAnsi="Roboto"/>
          <w:color w:val="000000"/>
          <w:spacing w:val="-10"/>
          <w:sz w:val="24"/>
        </w:rPr>
        <w:t xml:space="preserve">Things, a technology that connects the agricultural world to the digital </w:t>
      </w:r>
      <w:r>
        <w:br/>
      </w:r>
      <w:r>
        <w:tab/>
      </w:r>
      <w:r>
        <w:rPr>
          <w:rFonts w:ascii="Roboto" w:eastAsia="Roboto" w:hAnsi="Roboto"/>
          <w:color w:val="000000"/>
          <w:spacing w:val="-10"/>
          <w:sz w:val="24"/>
        </w:rPr>
        <w:t>world(Lézocjhe et al., 2020) Not only agriculture, but also the related domains.</w:t>
      </w:r>
    </w:p>
    <w:p w:rsidR="00B51892" w:rsidRDefault="00493E5F" w:rsidP="00217C1D">
      <w:pPr>
        <w:autoSpaceDE w:val="0"/>
        <w:autoSpaceDN w:val="0"/>
        <w:spacing w:before="2" w:after="0" w:line="284" w:lineRule="exact"/>
        <w:ind w:left="720"/>
        <w:jc w:val="both"/>
      </w:pPr>
      <w:r>
        <w:rPr>
          <w:rFonts w:ascii="Roboto" w:eastAsia="Roboto" w:hAnsi="Roboto"/>
          <w:color w:val="000000"/>
          <w:spacing w:val="-10"/>
          <w:sz w:val="24"/>
        </w:rPr>
        <w:t>IOT or Internet of Things is also referred to as the Internet of Industry. To comprehend the state of the agri-food system, pre-processing of data for yield is been required (Verdouw et al., 2016).Techniques such as data collection, data curation, and storage in order to extract critical insights and essential information (Accorsi et al., 2017). Agri-field industry uses various sensing and IOT devices to collect a larger amount of data to provide insights for better, optimum results. For such big database systems and an optimum output data-driven decision system, programming models, agriculture data science models, etc, are required (Ulrich, 2021).</w:t>
      </w:r>
    </w:p>
    <w:p w:rsidR="00B51892" w:rsidRDefault="00493E5F" w:rsidP="00217C1D">
      <w:pPr>
        <w:tabs>
          <w:tab w:val="left" w:pos="720"/>
          <w:tab w:val="left" w:pos="840"/>
        </w:tabs>
        <w:autoSpaceDE w:val="0"/>
        <w:autoSpaceDN w:val="0"/>
        <w:spacing w:before="148" w:after="0" w:line="284" w:lineRule="exact"/>
        <w:ind w:left="360"/>
        <w:jc w:val="both"/>
      </w:pPr>
      <w:r>
        <w:rPr>
          <w:rFonts w:ascii="Noto Serif" w:eastAsia="Noto Serif" w:hAnsi="Noto Serif"/>
          <w:color w:val="000000"/>
          <w:spacing w:val="-10"/>
          <w:sz w:val="24"/>
        </w:rPr>
        <w:t>●</w:t>
      </w:r>
      <w:r>
        <w:tab/>
      </w:r>
      <w:r>
        <w:tab/>
      </w:r>
      <w:r>
        <w:rPr>
          <w:rFonts w:ascii="Roboto" w:eastAsia="Roboto" w:hAnsi="Roboto"/>
          <w:color w:val="000000"/>
          <w:spacing w:val="-10"/>
          <w:sz w:val="24"/>
        </w:rPr>
        <w:t xml:space="preserve">Adding artificial intelligence to precision agriculture is expected to improve </w:t>
      </w:r>
      <w:r>
        <w:tab/>
      </w:r>
      <w:r>
        <w:rPr>
          <w:rFonts w:ascii="Roboto" w:eastAsia="Roboto" w:hAnsi="Roboto"/>
          <w:color w:val="000000"/>
          <w:spacing w:val="-10"/>
          <w:sz w:val="24"/>
        </w:rPr>
        <w:t xml:space="preserve">agricultural operations efficiency by concept of applying material in the right </w:t>
      </w:r>
      <w:r>
        <w:tab/>
      </w:r>
      <w:r>
        <w:rPr>
          <w:rFonts w:ascii="Roboto" w:eastAsia="Roboto" w:hAnsi="Roboto"/>
          <w:color w:val="000000"/>
          <w:spacing w:val="-10"/>
          <w:sz w:val="24"/>
        </w:rPr>
        <w:t xml:space="preserve">amount of time and place (Rushton et al., 2014). Precision agriculture is set to </w:t>
      </w:r>
      <w:r>
        <w:tab/>
      </w:r>
      <w:r>
        <w:rPr>
          <w:rFonts w:ascii="Roboto" w:eastAsia="Roboto" w:hAnsi="Roboto"/>
          <w:color w:val="000000"/>
          <w:spacing w:val="-10"/>
          <w:sz w:val="24"/>
        </w:rPr>
        <w:t xml:space="preserve">elevate profit for the agriculture sector, concurrently reducing environmental </w:t>
      </w:r>
      <w:r>
        <w:tab/>
      </w:r>
      <w:r>
        <w:rPr>
          <w:rFonts w:ascii="Roboto" w:eastAsia="Roboto" w:hAnsi="Roboto"/>
          <w:color w:val="000000"/>
          <w:spacing w:val="-10"/>
          <w:sz w:val="24"/>
        </w:rPr>
        <w:t xml:space="preserve">effects and increasing variability of soil environment by applying doze at the </w:t>
      </w:r>
      <w:r>
        <w:tab/>
      </w:r>
      <w:r>
        <w:rPr>
          <w:rFonts w:ascii="Roboto" w:eastAsia="Roboto" w:hAnsi="Roboto"/>
          <w:color w:val="000000"/>
          <w:spacing w:val="-10"/>
          <w:sz w:val="24"/>
        </w:rPr>
        <w:t xml:space="preserve">right time and place by using material mindfully and accurately (Mahalik and </w:t>
      </w:r>
      <w:r>
        <w:tab/>
      </w:r>
      <w:r>
        <w:rPr>
          <w:rFonts w:ascii="Roboto" w:eastAsia="Roboto" w:hAnsi="Roboto"/>
          <w:color w:val="000000"/>
          <w:spacing w:val="-10"/>
          <w:sz w:val="24"/>
        </w:rPr>
        <w:t>Nambar, 2010).</w:t>
      </w:r>
    </w:p>
    <w:p w:rsidR="00B51892" w:rsidRDefault="00493E5F" w:rsidP="00217C1D">
      <w:pPr>
        <w:autoSpaceDE w:val="0"/>
        <w:autoSpaceDN w:val="0"/>
        <w:spacing w:before="154" w:after="0" w:line="282" w:lineRule="exact"/>
        <w:ind w:left="360"/>
        <w:jc w:val="both"/>
      </w:pPr>
      <w:r>
        <w:rPr>
          <w:rFonts w:ascii="Roboto" w:eastAsia="Roboto" w:hAnsi="Roboto"/>
          <w:color w:val="000000"/>
          <w:spacing w:val="-10"/>
          <w:sz w:val="24"/>
        </w:rPr>
        <w:t>Current technologies related to agriculture in artificial intelligence</w:t>
      </w:r>
    </w:p>
    <w:p w:rsidR="00B51892" w:rsidRDefault="00493E5F" w:rsidP="00217C1D">
      <w:pPr>
        <w:autoSpaceDE w:val="0"/>
        <w:autoSpaceDN w:val="0"/>
        <w:spacing w:before="148" w:after="0" w:line="284" w:lineRule="exact"/>
        <w:ind w:left="360" w:right="144" w:firstLine="360"/>
        <w:jc w:val="both"/>
      </w:pPr>
      <w:r>
        <w:rPr>
          <w:rFonts w:ascii="Roboto" w:eastAsia="Roboto" w:hAnsi="Roboto"/>
          <w:color w:val="000000"/>
          <w:spacing w:val="-10"/>
          <w:sz w:val="24"/>
        </w:rPr>
        <w:t>AI-powered agricultural equipment, e.g. harvesters and tractors, makes precision farming plausible by standardizing planting, watering and harvesting procedures. Decision-making with analyzed data and well-informed information is possible withAI-powered tractors, which minimize manual work and optimize outputs for better results (Caldwell, 2012).</w:t>
      </w:r>
    </w:p>
    <w:p w:rsidR="00B51892" w:rsidRDefault="00493E5F" w:rsidP="00217C1D">
      <w:pPr>
        <w:tabs>
          <w:tab w:val="left" w:pos="840"/>
        </w:tabs>
        <w:autoSpaceDE w:val="0"/>
        <w:autoSpaceDN w:val="0"/>
        <w:spacing w:before="154" w:after="0" w:line="282" w:lineRule="exact"/>
        <w:ind w:left="360"/>
        <w:jc w:val="both"/>
      </w:pPr>
      <w:r>
        <w:rPr>
          <w:rFonts w:ascii="Noto Serif" w:eastAsia="Noto Serif" w:hAnsi="Noto Serif"/>
          <w:color w:val="000000"/>
          <w:spacing w:val="-10"/>
          <w:sz w:val="24"/>
        </w:rPr>
        <w:t xml:space="preserve">a) </w:t>
      </w:r>
      <w:r>
        <w:tab/>
      </w:r>
      <w:r>
        <w:rPr>
          <w:rFonts w:ascii="Roboto" w:eastAsia="Roboto" w:hAnsi="Roboto"/>
          <w:color w:val="000000"/>
          <w:spacing w:val="-10"/>
          <w:sz w:val="24"/>
        </w:rPr>
        <w:t>Drones for crop monitoring</w:t>
      </w:r>
    </w:p>
    <w:p w:rsidR="00B51892" w:rsidRDefault="00493E5F" w:rsidP="00217C1D">
      <w:pPr>
        <w:autoSpaceDE w:val="0"/>
        <w:autoSpaceDN w:val="0"/>
        <w:spacing w:before="154" w:after="0" w:line="280" w:lineRule="exact"/>
        <w:ind w:left="720"/>
        <w:jc w:val="both"/>
      </w:pPr>
      <w:r>
        <w:rPr>
          <w:rFonts w:ascii="Roboto" w:eastAsia="Roboto" w:hAnsi="Roboto"/>
          <w:color w:val="000000"/>
          <w:spacing w:val="-10"/>
          <w:sz w:val="24"/>
        </w:rPr>
        <w:t>Drones with high-resolution pictures are used to scan and identify nutrient</w:t>
      </w:r>
    </w:p>
    <w:p w:rsidR="00B51892" w:rsidRDefault="00B51892" w:rsidP="00217C1D">
      <w:pPr>
        <w:jc w:val="both"/>
        <w:sectPr w:rsidR="00B51892">
          <w:type w:val="continuous"/>
          <w:pgSz w:w="11895" w:h="16830"/>
          <w:pgMar w:top="750" w:right="1440" w:bottom="172" w:left="1440" w:header="720" w:footer="720" w:gutter="0"/>
          <w:cols w:space="720"/>
          <w:docGrid w:linePitch="360"/>
        </w:sectPr>
      </w:pPr>
    </w:p>
    <w:p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820"/>
        <w:gridCol w:w="8320"/>
        <w:gridCol w:w="800"/>
      </w:tblGrid>
      <w:tr w:rsidR="00B51892">
        <w:trPr>
          <w:trHeight w:hRule="exact" w:val="744"/>
        </w:trPr>
        <w:tc>
          <w:tcPr>
            <w:tcW w:w="82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320" w:type="dxa"/>
            <w:tcMar>
              <w:left w:w="0" w:type="dxa"/>
              <w:right w:w="0" w:type="dxa"/>
            </w:tcMar>
          </w:tcPr>
          <w:p w:rsidR="00B51892" w:rsidRDefault="00493E5F" w:rsidP="00217C1D">
            <w:pPr>
              <w:autoSpaceDE w:val="0"/>
              <w:autoSpaceDN w:val="0"/>
              <w:spacing w:before="460" w:after="0" w:line="282" w:lineRule="exact"/>
              <w:jc w:val="both"/>
            </w:pPr>
            <w:r>
              <w:rPr>
                <w:rFonts w:ascii="Roboto" w:eastAsia="Roboto" w:hAnsi="Roboto"/>
                <w:color w:val="000000"/>
                <w:spacing w:val="-10"/>
                <w:sz w:val="24"/>
              </w:rPr>
              <w:t>deficiencies, pest infestations, and crop diseases by monitoring crop and</w:t>
            </w:r>
          </w:p>
        </w:tc>
        <w:tc>
          <w:tcPr>
            <w:tcW w:w="80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2" w:lineRule="exact"/>
        <w:ind w:left="820"/>
        <w:jc w:val="both"/>
      </w:pPr>
      <w:r>
        <w:rPr>
          <w:rFonts w:ascii="Roboto" w:eastAsia="Roboto" w:hAnsi="Roboto"/>
          <w:color w:val="000000"/>
          <w:spacing w:val="-10"/>
          <w:sz w:val="24"/>
        </w:rPr>
        <w:t>yield. Such technologies are used to amplify output (Christopher, 2016).</w:t>
      </w:r>
    </w:p>
    <w:p w:rsidR="00B51892" w:rsidRDefault="00493E5F" w:rsidP="00217C1D">
      <w:pPr>
        <w:tabs>
          <w:tab w:val="left" w:pos="1300"/>
        </w:tabs>
        <w:autoSpaceDE w:val="0"/>
        <w:autoSpaceDN w:val="0"/>
        <w:spacing w:before="154" w:after="0" w:line="282" w:lineRule="exact"/>
        <w:ind w:left="820"/>
        <w:jc w:val="both"/>
      </w:pPr>
      <w:r>
        <w:rPr>
          <w:rFonts w:ascii="Noto Serif" w:eastAsia="Noto Serif" w:hAnsi="Noto Serif"/>
          <w:color w:val="000000"/>
          <w:spacing w:val="-10"/>
          <w:sz w:val="24"/>
        </w:rPr>
        <w:t xml:space="preserve">b) </w:t>
      </w:r>
      <w:r>
        <w:tab/>
      </w:r>
      <w:r>
        <w:rPr>
          <w:rFonts w:ascii="Roboto" w:eastAsia="Roboto" w:hAnsi="Roboto"/>
          <w:color w:val="000000"/>
          <w:spacing w:val="-10"/>
          <w:sz w:val="24"/>
        </w:rPr>
        <w:t>AI-Powered precision irrigation systems</w:t>
      </w:r>
    </w:p>
    <w:p w:rsidR="00B51892" w:rsidRDefault="00493E5F" w:rsidP="00217C1D">
      <w:pPr>
        <w:autoSpaceDE w:val="0"/>
        <w:autoSpaceDN w:val="0"/>
        <w:spacing w:before="148" w:after="0" w:line="286" w:lineRule="exact"/>
        <w:ind w:left="820" w:right="576" w:firstLine="360"/>
        <w:jc w:val="both"/>
      </w:pPr>
      <w:r>
        <w:rPr>
          <w:rFonts w:ascii="Roboto" w:eastAsia="Roboto" w:hAnsi="Roboto"/>
          <w:color w:val="000000"/>
          <w:spacing w:val="-10"/>
          <w:sz w:val="24"/>
        </w:rPr>
        <w:t>Artificial intelligence in irrigation channels has been expected as well as proven to be an excellent source of sensing data to optimize irrigation timings. Irrigation is an important aspect for crop maturity, by AI-driven tools make water supply more cost-effective (March, 2015).</w:t>
      </w:r>
    </w:p>
    <w:p w:rsidR="00B51892" w:rsidRDefault="00493E5F" w:rsidP="00217C1D">
      <w:pPr>
        <w:tabs>
          <w:tab w:val="left" w:pos="1300"/>
        </w:tabs>
        <w:autoSpaceDE w:val="0"/>
        <w:autoSpaceDN w:val="0"/>
        <w:spacing w:before="152" w:after="0" w:line="282" w:lineRule="exact"/>
        <w:ind w:left="820"/>
        <w:jc w:val="both"/>
      </w:pPr>
      <w:r>
        <w:rPr>
          <w:rFonts w:ascii="Noto Serif" w:eastAsia="Noto Serif" w:hAnsi="Noto Serif"/>
          <w:color w:val="000000"/>
          <w:spacing w:val="-10"/>
          <w:sz w:val="24"/>
        </w:rPr>
        <w:t xml:space="preserve">c) </w:t>
      </w:r>
      <w:r>
        <w:tab/>
      </w:r>
      <w:r>
        <w:rPr>
          <w:rFonts w:ascii="Roboto" w:eastAsia="Roboto" w:hAnsi="Roboto"/>
          <w:color w:val="000000"/>
          <w:spacing w:val="-10"/>
          <w:sz w:val="24"/>
        </w:rPr>
        <w:t>Monitoring for regenerative agriculture</w:t>
      </w:r>
    </w:p>
    <w:p w:rsidR="00B51892" w:rsidRDefault="00493E5F" w:rsidP="00217C1D">
      <w:pPr>
        <w:autoSpaceDE w:val="0"/>
        <w:autoSpaceDN w:val="0"/>
        <w:spacing w:before="154" w:after="0" w:line="282" w:lineRule="exact"/>
        <w:ind w:left="820"/>
        <w:jc w:val="both"/>
      </w:pPr>
      <w:r>
        <w:rPr>
          <w:rFonts w:ascii="Roboto" w:eastAsia="Roboto" w:hAnsi="Roboto"/>
          <w:color w:val="000000"/>
          <w:spacing w:val="-10"/>
          <w:sz w:val="24"/>
        </w:rPr>
        <w:t>Monitoring, reporting, and sensing are been improved by artificial intelligence.</w:t>
      </w:r>
    </w:p>
    <w:p w:rsidR="00B51892" w:rsidRDefault="00493E5F" w:rsidP="00217C1D">
      <w:pPr>
        <w:autoSpaceDE w:val="0"/>
        <w:autoSpaceDN w:val="0"/>
        <w:spacing w:after="0" w:line="286" w:lineRule="exact"/>
        <w:ind w:left="460" w:right="720"/>
        <w:jc w:val="both"/>
      </w:pPr>
      <w:r>
        <w:rPr>
          <w:rFonts w:ascii="Roboto" w:eastAsia="Roboto" w:hAnsi="Roboto"/>
          <w:color w:val="000000"/>
          <w:spacing w:val="-10"/>
          <w:sz w:val="24"/>
        </w:rPr>
        <w:t>Sustainable farming methods are supported by such technologies, including agriculture’s soil carbon sequestration, such as AI-driven soil analyzers, and automated soil core extraction vehicles, which in turn more effectively analyze soil carbon (Allen, 2016).</w:t>
      </w:r>
    </w:p>
    <w:p w:rsidR="00B51892" w:rsidRDefault="00493E5F" w:rsidP="00217C1D">
      <w:pPr>
        <w:autoSpaceDE w:val="0"/>
        <w:autoSpaceDN w:val="0"/>
        <w:spacing w:before="154" w:after="0" w:line="280" w:lineRule="exact"/>
        <w:ind w:left="460"/>
        <w:jc w:val="both"/>
      </w:pPr>
      <w:r>
        <w:rPr>
          <w:rFonts w:ascii="Roboto" w:eastAsia="Roboto" w:hAnsi="Roboto"/>
          <w:color w:val="000000"/>
          <w:spacing w:val="-10"/>
          <w:sz w:val="24"/>
        </w:rPr>
        <w:t>Potentials for sustainable food processing technologies</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a) Sustainable protein source by food processing technologies</w:t>
      </w:r>
    </w:p>
    <w:p w:rsidR="00B51892" w:rsidRDefault="00493E5F" w:rsidP="00217C1D">
      <w:pPr>
        <w:autoSpaceDE w:val="0"/>
        <w:autoSpaceDN w:val="0"/>
        <w:spacing w:before="148" w:after="0" w:line="286" w:lineRule="exact"/>
        <w:ind w:left="460" w:right="576" w:firstLine="720"/>
        <w:jc w:val="both"/>
      </w:pPr>
      <w:r>
        <w:rPr>
          <w:rFonts w:ascii="Roboto" w:eastAsia="Roboto" w:hAnsi="Roboto"/>
          <w:color w:val="000000"/>
          <w:spacing w:val="-10"/>
          <w:sz w:val="24"/>
        </w:rPr>
        <w:t>As compared to conventional plant breeding techniques along with animal husbandry, the development of plant-based sources such as biotechnology-grown meat and plant-based proteins are better sustainable option because they use fewer resources and emit less greenhouse gases (Olsen and Christensen, 2015).</w:t>
      </w:r>
    </w:p>
    <w:p w:rsidR="00B51892" w:rsidRDefault="00493E5F" w:rsidP="00217C1D">
      <w:pPr>
        <w:autoSpaceDE w:val="0"/>
        <w:autoSpaceDN w:val="0"/>
        <w:spacing w:before="154" w:after="0" w:line="280" w:lineRule="exact"/>
        <w:ind w:left="460"/>
        <w:jc w:val="both"/>
      </w:pPr>
      <w:r>
        <w:rPr>
          <w:rFonts w:ascii="Roboto" w:eastAsia="Roboto" w:hAnsi="Roboto"/>
          <w:color w:val="000000"/>
          <w:spacing w:val="-10"/>
          <w:sz w:val="24"/>
        </w:rPr>
        <w:t>b) Minimizing food waste</w:t>
      </w:r>
    </w:p>
    <w:p w:rsidR="00B51892" w:rsidRDefault="00493E5F" w:rsidP="00217C1D">
      <w:pPr>
        <w:autoSpaceDE w:val="0"/>
        <w:autoSpaceDN w:val="0"/>
        <w:spacing w:before="152" w:after="0" w:line="284" w:lineRule="exact"/>
        <w:ind w:left="460" w:right="720" w:firstLine="720"/>
        <w:jc w:val="both"/>
      </w:pPr>
      <w:r>
        <w:rPr>
          <w:rFonts w:ascii="Roboto" w:eastAsia="Roboto" w:hAnsi="Roboto"/>
          <w:color w:val="000000"/>
          <w:spacing w:val="-10"/>
          <w:sz w:val="24"/>
        </w:rPr>
        <w:t>Innovative processing methods include turning leftover food into usable products, which makes efficient and whole use of food. Modern preservation techniques increase shelf life by reducing negative effects such as spoiling and elevating cost-effectiveness in the production of food. Processes of converting waste food products into valuable products contribute to the reduction of waste by methods such as up cycling and recycling (Chesbrough, 2016).</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c) Advancement on food resilience</w:t>
      </w:r>
    </w:p>
    <w:p w:rsidR="00B51892" w:rsidRDefault="00493E5F" w:rsidP="00217C1D">
      <w:pPr>
        <w:autoSpaceDE w:val="0"/>
        <w:autoSpaceDN w:val="0"/>
        <w:spacing w:before="148" w:after="0" w:line="284" w:lineRule="exact"/>
        <w:ind w:left="460" w:right="576" w:firstLine="720"/>
        <w:jc w:val="both"/>
      </w:pPr>
      <w:r>
        <w:rPr>
          <w:rFonts w:ascii="Roboto" w:eastAsia="Roboto" w:hAnsi="Roboto"/>
          <w:color w:val="000000"/>
          <w:spacing w:val="-10"/>
          <w:sz w:val="24"/>
        </w:rPr>
        <w:t>Blockchain technologies and Internet of Things (IOT) are such amazing technologies which made real-time tracking across the food chain possible, which advances operational success and functional efficiency, and decreases the risk of contamination (Sarkar and Costa, 2008). Effectively securing food builds consumer trust. By guaranteeing product authenticity, these technologies increase consumers' trust, decreasing health-related risks and improving food security (Saguy and Taoukis, 2017).</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d) Operational efficiency and increased productivity</w:t>
      </w:r>
    </w:p>
    <w:p w:rsidR="00B51892" w:rsidRDefault="00493E5F" w:rsidP="00217C1D">
      <w:pPr>
        <w:autoSpaceDE w:val="0"/>
        <w:autoSpaceDN w:val="0"/>
        <w:spacing w:before="148" w:after="0" w:line="284" w:lineRule="exact"/>
        <w:ind w:left="460" w:right="720" w:firstLine="720"/>
        <w:jc w:val="both"/>
      </w:pPr>
      <w:r>
        <w:rPr>
          <w:rFonts w:ascii="Roboto" w:eastAsia="Roboto" w:hAnsi="Roboto"/>
          <w:color w:val="000000"/>
          <w:spacing w:val="-10"/>
          <w:sz w:val="24"/>
        </w:rPr>
        <w:t>Food processing techniques have been simplified by using automation and robotics techniques, by minimize human error and give the best error-free results (Saguy and Sirotinskaya.,2014) Also, modifications in packing techniques under suitable atmospheric conditions by edible coatings, which help protracted shelf life and lower waste and spoilage</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e) Supply chain management</w:t>
      </w:r>
    </w:p>
    <w:p w:rsidR="00B51892" w:rsidRDefault="00493E5F" w:rsidP="00217C1D">
      <w:pPr>
        <w:tabs>
          <w:tab w:val="left" w:pos="9460"/>
        </w:tabs>
        <w:autoSpaceDE w:val="0"/>
        <w:autoSpaceDN w:val="0"/>
        <w:spacing w:before="158" w:after="0" w:line="240" w:lineRule="auto"/>
        <w:jc w:val="both"/>
      </w:pPr>
      <w:r>
        <w:rPr>
          <w:noProof/>
        </w:rPr>
        <w:drawing>
          <wp:inline distT="0" distB="0" distL="0" distR="0">
            <wp:extent cx="292100" cy="292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820"/>
        <w:gridCol w:w="8240"/>
        <w:gridCol w:w="880"/>
      </w:tblGrid>
      <w:tr w:rsidR="00B51892">
        <w:trPr>
          <w:trHeight w:hRule="exact" w:val="744"/>
        </w:trPr>
        <w:tc>
          <w:tcPr>
            <w:tcW w:w="82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240" w:type="dxa"/>
            <w:tcMar>
              <w:left w:w="0" w:type="dxa"/>
              <w:right w:w="0" w:type="dxa"/>
            </w:tcMar>
          </w:tcPr>
          <w:p w:rsidR="00B51892" w:rsidRDefault="00493E5F" w:rsidP="00217C1D">
            <w:pPr>
              <w:autoSpaceDE w:val="0"/>
              <w:autoSpaceDN w:val="0"/>
              <w:spacing w:before="460" w:after="0" w:line="282" w:lineRule="exact"/>
              <w:jc w:val="both"/>
            </w:pPr>
            <w:r>
              <w:rPr>
                <w:rFonts w:ascii="Roboto" w:eastAsia="Roboto" w:hAnsi="Roboto"/>
                <w:color w:val="000000"/>
                <w:spacing w:val="-10"/>
                <w:sz w:val="24"/>
              </w:rPr>
              <w:t>Farming of food products from farm to fork is possible by better supply</w:t>
            </w:r>
          </w:p>
        </w:tc>
        <w:tc>
          <w:tcPr>
            <w:tcW w:w="88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4" w:lineRule="exact"/>
        <w:ind w:left="460" w:right="576"/>
        <w:jc w:val="both"/>
      </w:pPr>
      <w:r>
        <w:rPr>
          <w:rFonts w:ascii="Roboto" w:eastAsia="Roboto" w:hAnsi="Roboto"/>
          <w:color w:val="000000"/>
          <w:spacing w:val="-10"/>
          <w:sz w:val="24"/>
        </w:rPr>
        <w:t xml:space="preserve">management with plausible technologies such as block chain, which increases supply chain management. Risk of contamination is reduced and food safety is been increased (Bigliardi and Galati, 2013). By introducing food sustainable </w:t>
      </w:r>
      <w:r>
        <w:br/>
      </w:r>
      <w:r>
        <w:rPr>
          <w:rFonts w:ascii="Roboto" w:eastAsia="Roboto" w:hAnsi="Roboto"/>
          <w:color w:val="000000"/>
          <w:spacing w:val="-10"/>
          <w:sz w:val="24"/>
        </w:rPr>
        <w:t>technologies into supply chain management, the food supply chains became more traceable and tracking (Tobey and Manore, 2014). Quality and food security are been ensured, making it through well-informed decisions by assisting producers and merchants (Klassen et al., 2018).</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f) 3D food printing technology</w:t>
      </w:r>
    </w:p>
    <w:p w:rsidR="00B51892" w:rsidRDefault="00493E5F" w:rsidP="00217C1D">
      <w:pPr>
        <w:autoSpaceDE w:val="0"/>
        <w:autoSpaceDN w:val="0"/>
        <w:spacing w:before="150" w:after="0" w:line="284" w:lineRule="exact"/>
        <w:ind w:left="460" w:right="432" w:firstLine="720"/>
        <w:jc w:val="both"/>
      </w:pPr>
      <w:r>
        <w:rPr>
          <w:rFonts w:ascii="Roboto" w:eastAsia="Roboto" w:hAnsi="Roboto"/>
          <w:color w:val="000000"/>
          <w:spacing w:val="-10"/>
          <w:sz w:val="24"/>
        </w:rPr>
        <w:t>This technology is especially crafted for space exploration and is used by astronauts to have meals that have a guaranteed 30 + years of shelf, guaranteeing nutritional needs and providing satisfaction during long space travels (Abbas et al.,2016) Advanced preservation methods are being adopted in space for the survival of long durations of time, in which durable, nutritional, and lightweight qualities are been accomplished, enabling astronauts to survive and complete their nutritional requirements by food technology techniques (Freeman et al.,2014).</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Pitfalls of food processing techniques</w:t>
      </w:r>
    </w:p>
    <w:p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a) Fortification with preservatives</w:t>
      </w:r>
    </w:p>
    <w:p w:rsidR="00B51892" w:rsidRDefault="00493E5F" w:rsidP="00217C1D">
      <w:pPr>
        <w:autoSpaceDE w:val="0"/>
        <w:autoSpaceDN w:val="0"/>
        <w:spacing w:before="152" w:after="0" w:line="284" w:lineRule="exact"/>
        <w:ind w:left="460" w:right="720" w:firstLine="720"/>
        <w:jc w:val="both"/>
      </w:pPr>
      <w:r>
        <w:rPr>
          <w:rFonts w:ascii="Roboto" w:eastAsia="Roboto" w:hAnsi="Roboto"/>
          <w:color w:val="000000"/>
          <w:spacing w:val="-10"/>
          <w:sz w:val="24"/>
        </w:rPr>
        <w:t>Artificial colors, flavors, additives, etc are added beyond the limit to increase shelf life and appearance. Negative health outcomes are such as reactions, high blood pressure, and even cancer (Alexandratos and Bruinsma, 2012).</w:t>
      </w:r>
    </w:p>
    <w:p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b) Forming of toxic agents cum harmful substances</w:t>
      </w:r>
    </w:p>
    <w:p w:rsidR="00B51892" w:rsidRDefault="00493E5F" w:rsidP="00217C1D">
      <w:pPr>
        <w:autoSpaceDE w:val="0"/>
        <w:autoSpaceDN w:val="0"/>
        <w:spacing w:before="152" w:after="0" w:line="284" w:lineRule="exact"/>
        <w:ind w:left="460" w:right="432" w:firstLine="720"/>
        <w:jc w:val="both"/>
      </w:pPr>
      <w:r>
        <w:rPr>
          <w:rFonts w:ascii="Roboto" w:eastAsia="Roboto" w:hAnsi="Roboto"/>
          <w:color w:val="000000"/>
          <w:spacing w:val="-10"/>
          <w:sz w:val="24"/>
        </w:rPr>
        <w:t>Food processing techniques often involve methods such as high temperature frying produces harmful substances like acrylamide, trans fats, etc., and are linked to major diseases such as cancer and heart disease (Gomez et al., 2006).</w:t>
      </w:r>
    </w:p>
    <w:p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c) Proliferation due to microbial contamination</w:t>
      </w:r>
    </w:p>
    <w:p w:rsidR="00B51892" w:rsidRDefault="00493E5F" w:rsidP="00217C1D">
      <w:pPr>
        <w:autoSpaceDE w:val="0"/>
        <w:autoSpaceDN w:val="0"/>
        <w:spacing w:before="152" w:after="0" w:line="284" w:lineRule="exact"/>
        <w:ind w:left="460" w:right="576" w:firstLine="720"/>
        <w:jc w:val="both"/>
      </w:pPr>
      <w:r>
        <w:rPr>
          <w:rFonts w:ascii="Roboto" w:eastAsia="Roboto" w:hAnsi="Roboto"/>
          <w:color w:val="000000"/>
          <w:spacing w:val="-10"/>
          <w:sz w:val="24"/>
        </w:rPr>
        <w:t>Poor handling, cross-contamination, and insufficient sterilization lead to the risk of microbial contamination. Though goal is to lower the risk of bacteria such as Salmonella, E. coli and Listeria. Such pathogens may risk food security by resulting in food borne pathogens, which in turn may cause food borne illness (Gowen et al., 2007)</w:t>
      </w:r>
    </w:p>
    <w:p w:rsidR="00B51892" w:rsidRDefault="00493E5F" w:rsidP="00217C1D">
      <w:pPr>
        <w:autoSpaceDE w:val="0"/>
        <w:autoSpaceDN w:val="0"/>
        <w:spacing w:before="154" w:after="0" w:line="280" w:lineRule="exact"/>
        <w:ind w:left="460"/>
        <w:jc w:val="both"/>
      </w:pPr>
      <w:r>
        <w:rPr>
          <w:rFonts w:ascii="Roboto" w:eastAsia="Roboto" w:hAnsi="Roboto"/>
          <w:color w:val="000000"/>
          <w:spacing w:val="-10"/>
          <w:sz w:val="24"/>
        </w:rPr>
        <w:t>d) Dependency on mechanized systems and displacement of traditional practices</w:t>
      </w:r>
    </w:p>
    <w:p w:rsidR="00B51892" w:rsidRDefault="00493E5F" w:rsidP="00217C1D">
      <w:pPr>
        <w:autoSpaceDE w:val="0"/>
        <w:autoSpaceDN w:val="0"/>
        <w:spacing w:before="152" w:after="0" w:line="284" w:lineRule="exact"/>
        <w:ind w:left="460" w:right="864" w:firstLine="720"/>
        <w:jc w:val="both"/>
      </w:pPr>
      <w:r>
        <w:rPr>
          <w:rFonts w:ascii="Roboto" w:eastAsia="Roboto" w:hAnsi="Roboto"/>
          <w:color w:val="000000"/>
          <w:spacing w:val="-10"/>
          <w:sz w:val="24"/>
        </w:rPr>
        <w:t>Conventional food preparation methods such as fermentation, artisanal techniques, etc are somehow lost due to high technological advancement and the use of industrial-based high-processing techniques. In such a process, traditional knowledge and conventional practices may be lost (Dixit et al., 2016).</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e) Environmental impact</w:t>
      </w:r>
    </w:p>
    <w:p w:rsidR="00B51892" w:rsidRDefault="00493E5F" w:rsidP="00217C1D">
      <w:pPr>
        <w:autoSpaceDE w:val="0"/>
        <w:autoSpaceDN w:val="0"/>
        <w:spacing w:before="148" w:after="0" w:line="284" w:lineRule="exact"/>
        <w:ind w:left="460" w:right="576" w:firstLine="720"/>
        <w:jc w:val="both"/>
      </w:pPr>
      <w:r>
        <w:rPr>
          <w:rFonts w:ascii="Roboto" w:eastAsia="Roboto" w:hAnsi="Roboto"/>
          <w:color w:val="000000"/>
          <w:spacing w:val="-10"/>
          <w:sz w:val="24"/>
        </w:rPr>
        <w:t>Food processing industries notably harm the environment due to high energy, water, and greenhouse gas emissions. Ecological balance is displaced due to chemical byproducts (Nicloi et al., 2007).</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f) Nutrient degradation and loss of dietary fibre</w:t>
      </w:r>
    </w:p>
    <w:p w:rsidR="00B51892" w:rsidRDefault="00493E5F" w:rsidP="00217C1D">
      <w:pPr>
        <w:tabs>
          <w:tab w:val="left" w:pos="9460"/>
        </w:tabs>
        <w:autoSpaceDE w:val="0"/>
        <w:autoSpaceDN w:val="0"/>
        <w:spacing w:before="158" w:after="0" w:line="240" w:lineRule="auto"/>
        <w:jc w:val="both"/>
      </w:pPr>
      <w:r>
        <w:rPr>
          <w:noProof/>
        </w:rPr>
        <w:lastRenderedPageBreak/>
        <w:drawing>
          <wp:inline distT="0" distB="0" distL="0" distR="0">
            <wp:extent cx="292100" cy="292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820"/>
        <w:gridCol w:w="8540"/>
        <w:gridCol w:w="580"/>
      </w:tblGrid>
      <w:tr w:rsidR="00B51892">
        <w:trPr>
          <w:trHeight w:hRule="exact" w:val="744"/>
        </w:trPr>
        <w:tc>
          <w:tcPr>
            <w:tcW w:w="82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540" w:type="dxa"/>
            <w:tcMar>
              <w:left w:w="0" w:type="dxa"/>
              <w:right w:w="0" w:type="dxa"/>
            </w:tcMar>
          </w:tcPr>
          <w:p w:rsidR="00B51892" w:rsidRDefault="00493E5F" w:rsidP="00217C1D">
            <w:pPr>
              <w:autoSpaceDE w:val="0"/>
              <w:autoSpaceDN w:val="0"/>
              <w:spacing w:before="460" w:after="0" w:line="282" w:lineRule="exact"/>
              <w:ind w:left="360"/>
              <w:jc w:val="both"/>
            </w:pPr>
            <w:r>
              <w:rPr>
                <w:rFonts w:ascii="Roboto" w:eastAsia="Roboto" w:hAnsi="Roboto"/>
                <w:color w:val="000000"/>
                <w:spacing w:val="-10"/>
                <w:sz w:val="24"/>
              </w:rPr>
              <w:t>The nutrient loss declines the nutritional content of food due to high cooking,</w:t>
            </w:r>
          </w:p>
        </w:tc>
        <w:tc>
          <w:tcPr>
            <w:tcW w:w="580" w:type="dxa"/>
            <w:tcMar>
              <w:left w:w="0" w:type="dxa"/>
              <w:right w:w="0" w:type="dxa"/>
            </w:tcMar>
          </w:tcPr>
          <w:p w:rsidR="00B51892" w:rsidRDefault="00493E5F" w:rsidP="00217C1D">
            <w:pPr>
              <w:autoSpaceDE w:val="0"/>
              <w:autoSpaceDN w:val="0"/>
              <w:spacing w:after="0" w:line="240" w:lineRule="auto"/>
              <w:ind w:left="100"/>
              <w:jc w:val="both"/>
            </w:pPr>
            <w:r>
              <w:rPr>
                <w:noProof/>
              </w:rPr>
              <w:drawing>
                <wp:inline distT="0" distB="0" distL="0" distR="0">
                  <wp:extent cx="304800" cy="292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4" w:lineRule="exact"/>
        <w:ind w:left="460" w:right="576"/>
        <w:jc w:val="both"/>
      </w:pPr>
      <w:r>
        <w:rPr>
          <w:rFonts w:ascii="Roboto" w:eastAsia="Roboto" w:hAnsi="Roboto"/>
          <w:color w:val="000000"/>
          <w:spacing w:val="-10"/>
          <w:sz w:val="24"/>
        </w:rPr>
        <w:t>blanching, and refining, which in turn cause degradation of nutrients such as vitamin B, vitamin C and vitamin A, E. (Salguero et al.,2013)..</w:t>
      </w:r>
    </w:p>
    <w:p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Upcoming major Challenges</w:t>
      </w:r>
    </w:p>
    <w:p w:rsidR="00B51892" w:rsidRDefault="00493E5F" w:rsidP="00217C1D">
      <w:pPr>
        <w:autoSpaceDE w:val="0"/>
        <w:autoSpaceDN w:val="0"/>
        <w:spacing w:before="152" w:after="0" w:line="284" w:lineRule="exact"/>
        <w:ind w:left="460" w:right="576" w:firstLine="720"/>
        <w:jc w:val="both"/>
      </w:pPr>
      <w:r>
        <w:rPr>
          <w:rFonts w:ascii="Roboto" w:eastAsia="Roboto" w:hAnsi="Roboto"/>
          <w:color w:val="000000"/>
          <w:spacing w:val="-10"/>
          <w:sz w:val="24"/>
        </w:rPr>
        <w:t xml:space="preserve">There are various challenges related to food processing technologies. Initially for ecological food and long-term urbanization, schemes should be applied to lower waste and carbon emissions (Berry et al., 2015).Sustainability should be </w:t>
      </w:r>
      <w:r>
        <w:br/>
      </w:r>
      <w:r>
        <w:rPr>
          <w:rFonts w:ascii="Roboto" w:eastAsia="Roboto" w:hAnsi="Roboto"/>
          <w:color w:val="000000"/>
          <w:spacing w:val="-10"/>
          <w:sz w:val="24"/>
        </w:rPr>
        <w:t xml:space="preserve">incorporated into food security for long-term sustainable usage. To create a </w:t>
      </w:r>
      <w:r>
        <w:br/>
      </w:r>
      <w:r>
        <w:rPr>
          <w:rFonts w:ascii="Roboto" w:eastAsia="Roboto" w:hAnsi="Roboto"/>
          <w:color w:val="000000"/>
          <w:spacing w:val="-10"/>
          <w:sz w:val="24"/>
        </w:rPr>
        <w:t xml:space="preserve">sustainable food chain, it is significant to contribute food value chain, which would furthermore require multidisciplinary approaches. Majorly more focus is required on an integrated well well-planned structure, including the making of business models, broader aspects of consensus, and strategies to create a better, sustainable </w:t>
      </w:r>
      <w:r>
        <w:br/>
      </w:r>
      <w:r>
        <w:rPr>
          <w:rFonts w:ascii="Roboto" w:eastAsia="Roboto" w:hAnsi="Roboto"/>
          <w:color w:val="000000"/>
          <w:spacing w:val="-10"/>
          <w:sz w:val="24"/>
        </w:rPr>
        <w:t>economy (Solodar et al., 2018). All such challenges could be faced in the future, and they need to be overcome today by maintaining a sustainable approach towards food security. Also, to maintain consumers’ trust in the long term, it's one of the challenging situations (Linder, 2019).</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Summary and future trends</w:t>
      </w:r>
    </w:p>
    <w:p w:rsidR="00B51892" w:rsidRDefault="00493E5F" w:rsidP="00217C1D">
      <w:pPr>
        <w:autoSpaceDE w:val="0"/>
        <w:autoSpaceDN w:val="0"/>
        <w:spacing w:before="148" w:after="0" w:line="284" w:lineRule="exact"/>
        <w:ind w:left="460" w:right="432" w:firstLine="720"/>
        <w:jc w:val="both"/>
      </w:pPr>
      <w:r>
        <w:rPr>
          <w:rFonts w:ascii="Roboto" w:eastAsia="Roboto" w:hAnsi="Roboto"/>
          <w:color w:val="000000"/>
          <w:spacing w:val="-10"/>
          <w:sz w:val="24"/>
        </w:rPr>
        <w:t>Diligence of experts in food science and technology for strengthening the field of food science and technology is a key component of evolution by enhancing the latest food technologies techniques. Such techniques have guaranteed the safety and security of food and made the global diet much better (Khoo and Knorr, 2014; Knorr and Khoo, 2015).Current food processing technologies are such sustainable that they are securing present as well as future needs. Such techniques may disrupt consumers' trust, for which proper labelling on packages must be done to avoid any serious disease related to diet, obesity, or any kind of allergic reactions due to the processing of food. Evaluation of the food supply chain is important for feeding the world’s population and maintaining the diet. Lack of integrated plans or insufficiency of budget for sustainable food systems would make such technologies difficult in fewer countries. For long-term health and sustainable food development goals, researchers and scholars are looking further to improve food management systems for long-term health and ensuring nutritional value for generations. Taking into consideration biodiversity and the environment, people are continuously testing and researching sustainable refined food techniques to guarantee equal nutritional value for all. There is a need to add more innovative ideas, technologies, and research pooling them together would lead to advanced, sustainable development of the food system.</w:t>
      </w:r>
    </w:p>
    <w:p w:rsidR="00B51892" w:rsidRDefault="00493E5F" w:rsidP="00217C1D">
      <w:pPr>
        <w:tabs>
          <w:tab w:val="left" w:pos="1180"/>
        </w:tabs>
        <w:autoSpaceDE w:val="0"/>
        <w:autoSpaceDN w:val="0"/>
        <w:spacing w:before="434" w:after="0" w:line="286" w:lineRule="exact"/>
        <w:ind w:left="460" w:right="720"/>
        <w:jc w:val="both"/>
      </w:pPr>
      <w:r>
        <w:rPr>
          <w:rFonts w:ascii="Roboto" w:eastAsia="Roboto" w:hAnsi="Roboto"/>
          <w:color w:val="000000"/>
          <w:spacing w:val="-10"/>
          <w:sz w:val="24"/>
        </w:rPr>
        <w:t xml:space="preserve">Disclaimer (Artificial intelligence) </w:t>
      </w:r>
      <w:r>
        <w:br/>
      </w:r>
      <w:r>
        <w:tab/>
      </w:r>
      <w:r>
        <w:rPr>
          <w:rFonts w:ascii="Roboto" w:eastAsia="Roboto" w:hAnsi="Roboto"/>
          <w:color w:val="000000"/>
          <w:spacing w:val="-10"/>
          <w:sz w:val="24"/>
        </w:rPr>
        <w:t>Authors hereby declare that NO generative AI technologies such as Large Language Models (ChatGPT, COPILOT etc) and text-to-image generators have been used during writing or editing of this manuscript.</w:t>
      </w:r>
    </w:p>
    <w:p w:rsidR="00304179" w:rsidRDefault="00304179" w:rsidP="00217C1D">
      <w:pPr>
        <w:tabs>
          <w:tab w:val="left" w:pos="1180"/>
        </w:tabs>
        <w:autoSpaceDE w:val="0"/>
        <w:autoSpaceDN w:val="0"/>
        <w:spacing w:before="238" w:after="0" w:line="284" w:lineRule="exact"/>
        <w:ind w:left="460" w:right="1584"/>
        <w:jc w:val="both"/>
      </w:pPr>
    </w:p>
    <w:p w:rsidR="00B51892" w:rsidRDefault="00493E5F" w:rsidP="00217C1D">
      <w:pPr>
        <w:autoSpaceDE w:val="0"/>
        <w:autoSpaceDN w:val="0"/>
        <w:spacing w:before="244" w:after="0" w:line="282" w:lineRule="exact"/>
        <w:ind w:left="460"/>
        <w:jc w:val="both"/>
      </w:pPr>
      <w:r>
        <w:rPr>
          <w:rFonts w:ascii="Roboto" w:eastAsia="Roboto" w:hAnsi="Roboto"/>
          <w:color w:val="000000"/>
          <w:spacing w:val="-10"/>
          <w:sz w:val="24"/>
        </w:rPr>
        <w:t>Declaration of interest statement</w:t>
      </w:r>
    </w:p>
    <w:p w:rsidR="00B51892" w:rsidRDefault="00493E5F" w:rsidP="00217C1D">
      <w:pPr>
        <w:autoSpaceDE w:val="0"/>
        <w:autoSpaceDN w:val="0"/>
        <w:spacing w:before="150" w:after="0" w:line="284" w:lineRule="exact"/>
        <w:ind w:left="460" w:right="432" w:firstLine="720"/>
        <w:jc w:val="both"/>
        <w:rPr>
          <w:rFonts w:ascii="Roboto" w:eastAsia="Roboto" w:hAnsi="Roboto"/>
          <w:color w:val="000000"/>
          <w:spacing w:val="-10"/>
          <w:sz w:val="24"/>
        </w:rPr>
      </w:pPr>
      <w:r>
        <w:rPr>
          <w:rFonts w:ascii="Roboto" w:eastAsia="Roboto" w:hAnsi="Roboto"/>
          <w:color w:val="000000"/>
          <w:spacing w:val="-10"/>
          <w:sz w:val="24"/>
        </w:rPr>
        <w:t>The authors declare that they have no known competing financial interests or personal relationships that could have appeared to influence the work reported in this paper.</w:t>
      </w:r>
    </w:p>
    <w:p w:rsidR="00304179" w:rsidRDefault="00304179" w:rsidP="00217C1D">
      <w:pPr>
        <w:autoSpaceDE w:val="0"/>
        <w:autoSpaceDN w:val="0"/>
        <w:spacing w:before="150" w:after="0" w:line="284" w:lineRule="exact"/>
        <w:ind w:left="460" w:right="432" w:firstLine="720"/>
        <w:jc w:val="both"/>
      </w:pPr>
    </w:p>
    <w:p w:rsidR="00304179" w:rsidRDefault="00304179" w:rsidP="00217C1D">
      <w:pPr>
        <w:autoSpaceDE w:val="0"/>
        <w:autoSpaceDN w:val="0"/>
        <w:spacing w:before="150" w:after="0" w:line="284" w:lineRule="exact"/>
        <w:ind w:left="460" w:right="432" w:firstLine="720"/>
        <w:jc w:val="both"/>
      </w:pPr>
    </w:p>
    <w:p w:rsidR="00304179" w:rsidRDefault="00304179" w:rsidP="00217C1D">
      <w:pPr>
        <w:autoSpaceDE w:val="0"/>
        <w:autoSpaceDN w:val="0"/>
        <w:spacing w:before="150" w:after="0" w:line="284" w:lineRule="exact"/>
        <w:ind w:left="460" w:right="432" w:firstLine="720"/>
        <w:jc w:val="both"/>
      </w:pP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References:</w:t>
      </w:r>
    </w:p>
    <w:p w:rsidR="00B51892" w:rsidRDefault="00493E5F" w:rsidP="00217C1D">
      <w:pPr>
        <w:autoSpaceDE w:val="0"/>
        <w:autoSpaceDN w:val="0"/>
        <w:spacing w:before="150" w:after="0" w:line="284" w:lineRule="exact"/>
        <w:ind w:left="460" w:right="576"/>
        <w:jc w:val="both"/>
      </w:pPr>
      <w:r>
        <w:rPr>
          <w:rFonts w:ascii="Roboto" w:eastAsia="Roboto" w:hAnsi="Roboto"/>
          <w:color w:val="000000"/>
          <w:spacing w:val="-10"/>
          <w:sz w:val="24"/>
        </w:rPr>
        <w:t>Steffen W, Richardson K, Rockström J, Cornell SE, Fetzer I, Bennett EM, Sörlin S (2015) Planetary boundaries: guiding human development on a changing planet. Sci 347(6223):1259855</w:t>
      </w:r>
    </w:p>
    <w:p w:rsidR="00B51892" w:rsidRDefault="00493E5F" w:rsidP="00217C1D">
      <w:pPr>
        <w:autoSpaceDE w:val="0"/>
        <w:autoSpaceDN w:val="0"/>
        <w:spacing w:before="152" w:after="0" w:line="284" w:lineRule="exact"/>
        <w:ind w:left="460" w:right="1084"/>
        <w:jc w:val="both"/>
      </w:pPr>
      <w:r>
        <w:rPr>
          <w:rFonts w:ascii="Roboto" w:eastAsia="Roboto" w:hAnsi="Roboto"/>
          <w:color w:val="000000"/>
          <w:spacing w:val="-10"/>
          <w:sz w:val="24"/>
        </w:rPr>
        <w:t>Weitz N, Strambo C, Kemp-Benedict E, Nilsson M (2017) Closing the governance gaps in the water energy-food nexus: insights from integrative governance. Glob Environ Change 45:165173.</w:t>
      </w:r>
    </w:p>
    <w:p w:rsidR="00B51892" w:rsidRDefault="00493E5F" w:rsidP="00217C1D">
      <w:pPr>
        <w:autoSpaceDE w:val="0"/>
        <w:autoSpaceDN w:val="0"/>
        <w:spacing w:before="148" w:after="0" w:line="286" w:lineRule="exact"/>
        <w:ind w:left="460" w:right="432"/>
        <w:jc w:val="both"/>
      </w:pPr>
      <w:r>
        <w:rPr>
          <w:rFonts w:ascii="Roboto" w:eastAsia="Roboto" w:hAnsi="Roboto"/>
          <w:color w:val="000000"/>
          <w:spacing w:val="-10"/>
          <w:sz w:val="24"/>
        </w:rPr>
        <w:t xml:space="preserve">Johnston JL, Fanzo JC, Cogill B (2014) Understanding sustainable diets: a </w:t>
      </w:r>
      <w:r>
        <w:br/>
      </w:r>
      <w:r>
        <w:rPr>
          <w:rFonts w:ascii="Roboto" w:eastAsia="Roboto" w:hAnsi="Roboto"/>
          <w:color w:val="000000"/>
          <w:spacing w:val="-10"/>
          <w:sz w:val="24"/>
        </w:rPr>
        <w:t>descriptive analysis of the determinants and processes that influence diets and their impact on health, food security, and environmental sustainability. Adv Nutr 5(4):418–429</w:t>
      </w:r>
    </w:p>
    <w:p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Knorr D, Khoo CSH, Augustin MA (2018) Food for an urban planet: challenges and research opportunities. Front Nutr 4:73</w:t>
      </w:r>
    </w:p>
    <w:p w:rsidR="00B51892" w:rsidRDefault="00493E5F" w:rsidP="00217C1D">
      <w:pPr>
        <w:autoSpaceDE w:val="0"/>
        <w:autoSpaceDN w:val="0"/>
        <w:spacing w:before="148" w:after="0" w:line="284" w:lineRule="exact"/>
        <w:ind w:left="460" w:right="1008" w:firstLine="60"/>
        <w:jc w:val="both"/>
      </w:pPr>
      <w:r>
        <w:rPr>
          <w:rFonts w:ascii="Roboto" w:eastAsia="Roboto" w:hAnsi="Roboto"/>
          <w:color w:val="000000"/>
          <w:spacing w:val="-10"/>
          <w:sz w:val="24"/>
        </w:rPr>
        <w:t>Iqbal A, Murtaza A, Hu W, Ahmad I, Ahmed A, Xu X (2019) Activation and inactivation mechanisms of polyphenol oxidase during thermal and non-thermal methods of food processing. Food Bio prod Process 117:170182 7.</w:t>
      </w:r>
    </w:p>
    <w:p w:rsidR="00B51892" w:rsidRDefault="00493E5F" w:rsidP="00217C1D">
      <w:pPr>
        <w:autoSpaceDE w:val="0"/>
        <w:autoSpaceDN w:val="0"/>
        <w:spacing w:before="152" w:after="0" w:line="284" w:lineRule="exact"/>
        <w:ind w:left="460" w:right="576" w:firstLine="60"/>
        <w:jc w:val="both"/>
      </w:pPr>
      <w:r>
        <w:rPr>
          <w:rFonts w:ascii="Roboto" w:eastAsia="Roboto" w:hAnsi="Roboto"/>
          <w:color w:val="000000"/>
          <w:spacing w:val="-10"/>
          <w:sz w:val="24"/>
        </w:rPr>
        <w:t>Khan MK, Ahmad K, Hassan S, Imran M, Ahmad N, Xu C (2018) Effect of novel technologies on polyphenols during food processing. Innov Food Sci Emerg Technol 45:36138</w:t>
      </w:r>
    </w:p>
    <w:p w:rsidR="00B51892" w:rsidRDefault="00493E5F" w:rsidP="00217C1D">
      <w:pPr>
        <w:autoSpaceDE w:val="0"/>
        <w:autoSpaceDN w:val="0"/>
        <w:spacing w:before="148" w:after="0" w:line="284" w:lineRule="exact"/>
        <w:ind w:left="460" w:right="576"/>
        <w:jc w:val="both"/>
      </w:pPr>
      <w:r>
        <w:rPr>
          <w:rFonts w:ascii="Roboto" w:eastAsia="Roboto" w:hAnsi="Roboto"/>
          <w:color w:val="000000"/>
          <w:spacing w:val="-10"/>
          <w:sz w:val="24"/>
        </w:rPr>
        <w:t>Morris C, Brody AL, Wicker L (2007) Non-thermal food processing/preservation technologies: a review with packaging implications. Packag Technol Sci 20(4):275–286</w:t>
      </w:r>
    </w:p>
    <w:p w:rsidR="00B51892" w:rsidRDefault="00493E5F" w:rsidP="00217C1D">
      <w:pPr>
        <w:autoSpaceDE w:val="0"/>
        <w:autoSpaceDN w:val="0"/>
        <w:spacing w:before="152" w:after="0" w:line="284" w:lineRule="exact"/>
        <w:ind w:left="460" w:right="432"/>
        <w:jc w:val="both"/>
      </w:pPr>
      <w:r>
        <w:rPr>
          <w:rFonts w:ascii="Roboto" w:eastAsia="Roboto" w:hAnsi="Roboto"/>
          <w:color w:val="000000"/>
          <w:spacing w:val="-10"/>
          <w:sz w:val="24"/>
        </w:rPr>
        <w:t>Berry EM, Dernini S, Burlingame B, Meybeck A, Conforti P (2015) Food security and sustainability: can one exist without the other? Public Health Nutr 18(13):2293–2302.</w:t>
      </w:r>
    </w:p>
    <w:p w:rsidR="00B51892" w:rsidRDefault="00493E5F" w:rsidP="00217C1D">
      <w:pPr>
        <w:autoSpaceDE w:val="0"/>
        <w:autoSpaceDN w:val="0"/>
        <w:spacing w:before="152" w:after="0" w:line="284" w:lineRule="exact"/>
        <w:ind w:left="460" w:right="576"/>
        <w:jc w:val="both"/>
      </w:pPr>
      <w:r>
        <w:rPr>
          <w:rFonts w:ascii="Roboto" w:eastAsia="Roboto" w:hAnsi="Roboto"/>
          <w:color w:val="000000"/>
          <w:spacing w:val="-10"/>
          <w:sz w:val="24"/>
        </w:rPr>
        <w:t>Solodar A, Bawab O, Levy S, Kadas GJ, Blaustein L, Greenbaum N (2018) Comparing grey water versus tap water and coal ash versus perlite on the growth of two plant species on green roofs. Sci Total Environ 633:12721279.</w:t>
      </w:r>
    </w:p>
    <w:p w:rsidR="00B51892" w:rsidRDefault="00493E5F" w:rsidP="00217C1D">
      <w:pPr>
        <w:autoSpaceDE w:val="0"/>
        <w:autoSpaceDN w:val="0"/>
        <w:spacing w:before="148" w:after="0" w:line="286" w:lineRule="exact"/>
        <w:ind w:left="460" w:right="1440"/>
        <w:jc w:val="both"/>
      </w:pPr>
      <w:r>
        <w:rPr>
          <w:rFonts w:ascii="Roboto" w:eastAsia="Roboto" w:hAnsi="Roboto"/>
          <w:color w:val="000000"/>
          <w:spacing w:val="-10"/>
          <w:sz w:val="24"/>
        </w:rPr>
        <w:t>Linder T (2019) Edible microorganisms—an overlooked technology option to counteract agricultural expansion. Front Sustain Food Syst 3:32</w:t>
      </w:r>
    </w:p>
    <w:p w:rsidR="00B51892" w:rsidRDefault="00493E5F" w:rsidP="00217C1D">
      <w:pPr>
        <w:autoSpaceDE w:val="0"/>
        <w:autoSpaceDN w:val="0"/>
        <w:spacing w:before="148" w:after="0" w:line="286" w:lineRule="exact"/>
        <w:ind w:left="460" w:right="1296"/>
        <w:jc w:val="both"/>
      </w:pPr>
      <w:r>
        <w:rPr>
          <w:rFonts w:ascii="Roboto" w:eastAsia="Roboto" w:hAnsi="Roboto"/>
          <w:color w:val="000000"/>
          <w:spacing w:val="-10"/>
          <w:sz w:val="24"/>
        </w:rPr>
        <w:t>Knorr, D., and Khoo, C.S.H. (2015). Food Science Without Borders. Frontiers in Nutrition 2. doi: 10.3389/fnut.2015.00033.</w:t>
      </w:r>
    </w:p>
    <w:p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K. Ashton, "How the term 'Internet of Things' was invented," A. D. Rayome, Ed., ed: Tech Republic, 2018. H.</w:t>
      </w:r>
    </w:p>
    <w:p w:rsidR="00B51892" w:rsidRDefault="00493E5F" w:rsidP="00217C1D">
      <w:pPr>
        <w:tabs>
          <w:tab w:val="left" w:pos="9460"/>
        </w:tabs>
        <w:autoSpaceDE w:val="0"/>
        <w:autoSpaceDN w:val="0"/>
        <w:spacing w:before="248" w:after="0" w:line="240" w:lineRule="auto"/>
        <w:jc w:val="both"/>
      </w:pPr>
      <w:r>
        <w:rPr>
          <w:noProof/>
        </w:rPr>
        <w:drawing>
          <wp:inline distT="0" distB="0" distL="0" distR="0">
            <wp:extent cx="292100" cy="2921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493E5F" w:rsidP="00217C1D">
      <w:pPr>
        <w:autoSpaceDE w:val="0"/>
        <w:autoSpaceDN w:val="0"/>
        <w:spacing w:after="270" w:line="220" w:lineRule="exact"/>
        <w:jc w:val="both"/>
      </w:pPr>
      <w:r>
        <w:rPr>
          <w:noProof/>
        </w:rPr>
        <w:lastRenderedPageBreak/>
        <w:drawing>
          <wp:anchor distT="0" distB="0" distL="0" distR="0" simplePos="0" relativeHeight="251665408" behindDoc="1" locked="0" layoutInCell="1" allowOverlap="1">
            <wp:simplePos x="0" y="0"/>
            <wp:positionH relativeFrom="page">
              <wp:posOffset>2032000</wp:posOffset>
            </wp:positionH>
            <wp:positionV relativeFrom="page">
              <wp:posOffset>9372600</wp:posOffset>
            </wp:positionV>
            <wp:extent cx="3048000" cy="381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2"/>
                    <a:stretch>
                      <a:fillRect/>
                    </a:stretch>
                  </pic:blipFill>
                  <pic:spPr>
                    <a:xfrm>
                      <a:off x="0" y="0"/>
                      <a:ext cx="3048000" cy="38100"/>
                    </a:xfrm>
                    <a:prstGeom prst="rect">
                      <a:avLst/>
                    </a:prstGeom>
                  </pic:spPr>
                </pic:pic>
              </a:graphicData>
            </a:graphic>
          </wp:anchor>
        </w:drawing>
      </w:r>
    </w:p>
    <w:tbl>
      <w:tblPr>
        <w:tblW w:w="0" w:type="auto"/>
        <w:tblLayout w:type="fixed"/>
        <w:tblLook w:val="04A0" w:firstRow="1" w:lastRow="0" w:firstColumn="1" w:lastColumn="0" w:noHBand="0" w:noVBand="1"/>
      </w:tblPr>
      <w:tblGrid>
        <w:gridCol w:w="9060"/>
        <w:gridCol w:w="880"/>
      </w:tblGrid>
      <w:tr w:rsidR="00B51892">
        <w:trPr>
          <w:trHeight w:hRule="exact" w:val="744"/>
        </w:trPr>
        <w:tc>
          <w:tcPr>
            <w:tcW w:w="906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p w:rsidR="00B51892" w:rsidRDefault="00493E5F" w:rsidP="00217C1D">
            <w:pPr>
              <w:autoSpaceDE w:val="0"/>
              <w:autoSpaceDN w:val="0"/>
              <w:spacing w:after="0" w:line="282" w:lineRule="exact"/>
              <w:ind w:left="460"/>
              <w:jc w:val="both"/>
            </w:pPr>
            <w:r>
              <w:rPr>
                <w:rFonts w:ascii="Roboto" w:eastAsia="Roboto" w:hAnsi="Roboto"/>
                <w:color w:val="000000"/>
                <w:spacing w:val="-10"/>
                <w:sz w:val="24"/>
              </w:rPr>
              <w:t>Lasi, P . Fettke, H.-G. Kemper, T. Feld, and M. Hoffmann, "Industry 4.0," Business</w:t>
            </w:r>
          </w:p>
        </w:tc>
        <w:tc>
          <w:tcPr>
            <w:tcW w:w="88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2" w:lineRule="exact"/>
        <w:ind w:left="460"/>
        <w:jc w:val="both"/>
      </w:pPr>
      <w:r>
        <w:rPr>
          <w:rFonts w:ascii="Roboto" w:eastAsia="Roboto" w:hAnsi="Roboto"/>
          <w:color w:val="000000"/>
          <w:spacing w:val="-10"/>
          <w:sz w:val="24"/>
        </w:rPr>
        <w:t>&amp;Information Systems Engineering, vol. 6, no. 4, pp. 239-242, 2014.</w:t>
      </w:r>
    </w:p>
    <w:p w:rsidR="00B51892" w:rsidRDefault="00493E5F" w:rsidP="00217C1D">
      <w:pPr>
        <w:autoSpaceDE w:val="0"/>
        <w:autoSpaceDN w:val="0"/>
        <w:spacing w:before="150" w:after="0" w:line="284" w:lineRule="exact"/>
        <w:ind w:left="460" w:right="432"/>
        <w:jc w:val="both"/>
      </w:pPr>
      <w:r>
        <w:rPr>
          <w:rFonts w:ascii="Roboto" w:eastAsia="Roboto" w:hAnsi="Roboto"/>
          <w:color w:val="000000"/>
          <w:spacing w:val="-10"/>
          <w:sz w:val="24"/>
        </w:rPr>
        <w:t>R. Lokers, R. Knapen, S. Janssen, Y. van Randen, and J. Jansen, "Analysis of Big Data technologies for use in agro-environmental science," Environmental Modelling &amp; Software, vol. 84, pp. 494 504, 2016</w:t>
      </w:r>
    </w:p>
    <w:p w:rsidR="00B51892" w:rsidRDefault="00493E5F" w:rsidP="00217C1D">
      <w:pPr>
        <w:autoSpaceDE w:val="0"/>
        <w:autoSpaceDN w:val="0"/>
        <w:spacing w:before="148" w:after="0" w:line="286" w:lineRule="exact"/>
        <w:ind w:left="460" w:right="1296"/>
        <w:jc w:val="both"/>
      </w:pPr>
      <w:r>
        <w:rPr>
          <w:rFonts w:ascii="Roboto" w:eastAsia="Roboto" w:hAnsi="Roboto"/>
          <w:color w:val="000000"/>
          <w:spacing w:val="-10"/>
          <w:sz w:val="24"/>
        </w:rPr>
        <w:t>M. Ahmed, S. Choudhury, and F. Al-Turjman, "Big Data Analytics for Intelligent Internet of Things," in Artificial Intelligence in IoT: Springer, 2019, pp. 107-127.</w:t>
      </w:r>
    </w:p>
    <w:p w:rsidR="00B51892" w:rsidRDefault="00493E5F" w:rsidP="00217C1D">
      <w:pPr>
        <w:autoSpaceDE w:val="0"/>
        <w:autoSpaceDN w:val="0"/>
        <w:spacing w:before="150" w:after="0" w:line="284" w:lineRule="exact"/>
        <w:ind w:left="460" w:right="720" w:firstLine="60"/>
        <w:jc w:val="both"/>
      </w:pPr>
      <w:r>
        <w:rPr>
          <w:rFonts w:ascii="Roboto" w:eastAsia="Roboto" w:hAnsi="Roboto"/>
          <w:color w:val="000000"/>
          <w:spacing w:val="-10"/>
          <w:sz w:val="24"/>
        </w:rPr>
        <w:t>A. Kaplan and M. Haenlein, "Siri, Siri, in my hand: Who’s the fairest in the land? On the interpretations, illustrations, and implications of artificial intelligence," Business Horizons, vol. 62, no. 1, pp. 15-25, 2019.</w:t>
      </w:r>
    </w:p>
    <w:p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 N. J. Nilsson, Principles of artificial intelligence. Morgan Kaufmann, 1980.</w:t>
      </w:r>
    </w:p>
    <w:p w:rsidR="00B51892" w:rsidRDefault="00493E5F" w:rsidP="00217C1D">
      <w:pPr>
        <w:autoSpaceDE w:val="0"/>
        <w:autoSpaceDN w:val="0"/>
        <w:spacing w:before="148" w:after="0" w:line="284" w:lineRule="exact"/>
        <w:ind w:left="460" w:right="1152" w:firstLine="60"/>
        <w:jc w:val="both"/>
      </w:pPr>
      <w:r>
        <w:rPr>
          <w:rFonts w:ascii="Roboto" w:eastAsia="Roboto" w:hAnsi="Roboto"/>
          <w:color w:val="000000"/>
          <w:spacing w:val="-10"/>
          <w:sz w:val="24"/>
        </w:rPr>
        <w:t>F. Goyache et al., "The usefulness of artificial intelligence techniques to assess subjective quality of products in the food industry," Trends in Food Science &amp; Technology, vol. 12, no. 10, pp. 370-381, 2001.</w:t>
      </w:r>
    </w:p>
    <w:p w:rsidR="00B51892" w:rsidRDefault="00493E5F" w:rsidP="00217C1D">
      <w:pPr>
        <w:autoSpaceDE w:val="0"/>
        <w:autoSpaceDN w:val="0"/>
        <w:spacing w:before="152" w:after="0" w:line="284" w:lineRule="exact"/>
        <w:ind w:left="460" w:right="576"/>
        <w:jc w:val="both"/>
      </w:pPr>
      <w:r>
        <w:rPr>
          <w:rFonts w:ascii="Roboto" w:eastAsia="Roboto" w:hAnsi="Roboto"/>
          <w:color w:val="000000"/>
          <w:spacing w:val="-10"/>
          <w:sz w:val="24"/>
        </w:rPr>
        <w:t>K. Rajan and A. Saffiotti, "Towards a science of integrated AI and Robotics," Artificial Intelligence, vol. 247, pp. 1-9, 2017.</w:t>
      </w:r>
    </w:p>
    <w:p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J. L. Solé, "Book review: Pattern recognition and machine learning. Christopher M. Bishop. Information Science and Statistics. Springer 2006, 738 pages," SORT-Statistics and Operations Research Transactions, vol. 31, no. 2, 2007.</w:t>
      </w:r>
    </w:p>
    <w:p w:rsidR="00B51892" w:rsidRDefault="00493E5F" w:rsidP="00217C1D">
      <w:pPr>
        <w:tabs>
          <w:tab w:val="left" w:pos="520"/>
        </w:tabs>
        <w:autoSpaceDE w:val="0"/>
        <w:autoSpaceDN w:val="0"/>
        <w:spacing w:before="148" w:after="0" w:line="286" w:lineRule="exact"/>
        <w:ind w:left="460" w:right="576"/>
        <w:jc w:val="both"/>
      </w:pPr>
      <w:r>
        <w:rPr>
          <w:rFonts w:ascii="Roboto" w:eastAsia="Roboto" w:hAnsi="Roboto"/>
          <w:color w:val="000000"/>
          <w:spacing w:val="-10"/>
          <w:sz w:val="24"/>
        </w:rPr>
        <w:t>M. Mohri, A. Rostamizadeh, and A. Talwalkar, Foundations of machine learning. MIT Press, 2012. Y.</w:t>
      </w:r>
    </w:p>
    <w:p w:rsidR="00B51892" w:rsidRDefault="00493E5F" w:rsidP="00217C1D">
      <w:pPr>
        <w:tabs>
          <w:tab w:val="left" w:pos="520"/>
        </w:tabs>
        <w:autoSpaceDE w:val="0"/>
        <w:autoSpaceDN w:val="0"/>
        <w:spacing w:before="148" w:after="0" w:line="286" w:lineRule="exact"/>
        <w:ind w:left="460" w:right="1152"/>
        <w:jc w:val="both"/>
      </w:pPr>
      <w:r>
        <w:rPr>
          <w:rFonts w:ascii="Roboto" w:eastAsia="Roboto" w:hAnsi="Roboto"/>
          <w:color w:val="000000"/>
          <w:spacing w:val="-10"/>
          <w:sz w:val="24"/>
        </w:rPr>
        <w:t>LeCun, Y. Bengio, and G. Hinton, "Deep learning," Nature, vol. 521, no. 7553, pp. 436-44, May 28, 2015.</w:t>
      </w:r>
    </w:p>
    <w:p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Spiess WE, Wolf W, Walz E (2003) New food technologies and processes and their impact on nutrition. Forum Nutr 56:365–367</w:t>
      </w:r>
    </w:p>
    <w:p w:rsidR="00B51892" w:rsidRDefault="00493E5F" w:rsidP="00217C1D">
      <w:pPr>
        <w:autoSpaceDE w:val="0"/>
        <w:autoSpaceDN w:val="0"/>
        <w:spacing w:before="148" w:after="0" w:line="286" w:lineRule="exact"/>
        <w:ind w:left="460" w:right="720"/>
        <w:jc w:val="both"/>
      </w:pPr>
      <w:r>
        <w:rPr>
          <w:rFonts w:ascii="Roboto" w:eastAsia="Roboto" w:hAnsi="Roboto"/>
          <w:color w:val="000000"/>
          <w:spacing w:val="-10"/>
          <w:sz w:val="24"/>
        </w:rPr>
        <w:t>Lazaridesa, HN (2011). Food processing technology in a sustainable food supply chain. Procedia Food Sci 1:1918–1923Manzini R, Accorsi R (2013) The new conceptual framework for food supply chain assessment. J Food Eng 115(2):251–263</w:t>
      </w:r>
    </w:p>
    <w:p w:rsidR="00B51892" w:rsidRDefault="00493E5F" w:rsidP="00217C1D">
      <w:pPr>
        <w:tabs>
          <w:tab w:val="left" w:pos="520"/>
        </w:tabs>
        <w:autoSpaceDE w:val="0"/>
        <w:autoSpaceDN w:val="0"/>
        <w:spacing w:before="148" w:after="0" w:line="286" w:lineRule="exact"/>
        <w:ind w:left="460" w:right="864"/>
        <w:jc w:val="both"/>
      </w:pPr>
      <w:r>
        <w:rPr>
          <w:rFonts w:ascii="Roboto" w:eastAsia="Roboto" w:hAnsi="Roboto"/>
          <w:color w:val="000000"/>
          <w:spacing w:val="-10"/>
          <w:sz w:val="24"/>
        </w:rPr>
        <w:t>Irani Z, Sharif AM (2016) Sustainable food security futures: perspectives on food waste and information across the food supply chain. J Enterp Inf Manag</w:t>
      </w:r>
    </w:p>
    <w:p w:rsidR="00B51892" w:rsidRDefault="00493E5F" w:rsidP="00217C1D">
      <w:pPr>
        <w:autoSpaceDE w:val="0"/>
        <w:autoSpaceDN w:val="0"/>
        <w:spacing w:before="148" w:after="0" w:line="286" w:lineRule="exact"/>
        <w:ind w:left="460" w:right="576"/>
        <w:jc w:val="both"/>
      </w:pPr>
      <w:r>
        <w:rPr>
          <w:rFonts w:ascii="Roboto" w:eastAsia="Roboto" w:hAnsi="Roboto"/>
          <w:color w:val="000000"/>
          <w:spacing w:val="-10"/>
          <w:sz w:val="24"/>
        </w:rPr>
        <w:t>Lan SL, Zhong RY (2018) Coordinated development between metropolitan economy and logistics for sustainability. Resour Conserv Recycl 128:345354</w:t>
      </w:r>
    </w:p>
    <w:p w:rsidR="00B51892" w:rsidRDefault="00493E5F" w:rsidP="00217C1D">
      <w:pPr>
        <w:tabs>
          <w:tab w:val="left" w:pos="520"/>
        </w:tabs>
        <w:autoSpaceDE w:val="0"/>
        <w:autoSpaceDN w:val="0"/>
        <w:spacing w:before="148" w:after="0" w:line="286" w:lineRule="exact"/>
        <w:ind w:left="460" w:right="576"/>
        <w:jc w:val="both"/>
      </w:pPr>
      <w:r>
        <w:rPr>
          <w:rFonts w:ascii="Roboto" w:eastAsia="Roboto" w:hAnsi="Roboto"/>
          <w:color w:val="000000"/>
          <w:spacing w:val="-10"/>
          <w:sz w:val="24"/>
        </w:rPr>
        <w:t>MacCarthy BL, Blome C, Olhager J, Srai JS, Zhao X (2016) Supply chain evolution–theory, concepts and science. Int J Oper Prod Manag</w:t>
      </w:r>
    </w:p>
    <w:p w:rsidR="00B51892" w:rsidRDefault="00493E5F" w:rsidP="00217C1D">
      <w:pPr>
        <w:autoSpaceDE w:val="0"/>
        <w:autoSpaceDN w:val="0"/>
        <w:spacing w:before="148" w:after="0" w:line="286" w:lineRule="exact"/>
        <w:ind w:left="460" w:right="720"/>
        <w:jc w:val="both"/>
      </w:pPr>
      <w:r>
        <w:rPr>
          <w:rFonts w:ascii="Roboto" w:eastAsia="Roboto" w:hAnsi="Roboto"/>
          <w:color w:val="000000"/>
          <w:spacing w:val="-10"/>
          <w:sz w:val="24"/>
        </w:rPr>
        <w:t>Dilibal, S., Sahin, H., Danquah, J. O., Emon, M. O. F., &amp; Choi, J. (2021). Additively, manufactured custom soft gripper with embedded soft force sensors for an industrial robot. International Journal of Precision Engineering and Manufacturing, 22(4), 709–718.</w:t>
      </w:r>
      <w:r>
        <w:rPr>
          <w:rFonts w:ascii="Roboto" w:eastAsia="Roboto" w:hAnsi="Roboto"/>
          <w:color w:val="0563C1"/>
          <w:spacing w:val="-10"/>
          <w:sz w:val="24"/>
        </w:rPr>
        <w:t xml:space="preserve"> https://doi.org/10.1007/s12541-021-00479-0</w:t>
      </w:r>
    </w:p>
    <w:p w:rsidR="00B51892" w:rsidRDefault="00493E5F" w:rsidP="00217C1D">
      <w:pPr>
        <w:tabs>
          <w:tab w:val="left" w:pos="9460"/>
        </w:tabs>
        <w:autoSpaceDE w:val="0"/>
        <w:autoSpaceDN w:val="0"/>
        <w:spacing w:before="578" w:after="0" w:line="240" w:lineRule="auto"/>
        <w:jc w:val="both"/>
      </w:pPr>
      <w:r>
        <w:rPr>
          <w:noProof/>
        </w:rPr>
        <w:lastRenderedPageBreak/>
        <w:drawing>
          <wp:inline distT="0" distB="0" distL="0" distR="0">
            <wp:extent cx="292100" cy="292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493E5F" w:rsidP="00217C1D">
      <w:pPr>
        <w:autoSpaceDE w:val="0"/>
        <w:autoSpaceDN w:val="0"/>
        <w:spacing w:after="270" w:line="220" w:lineRule="exact"/>
        <w:jc w:val="both"/>
      </w:pPr>
      <w:r>
        <w:rPr>
          <w:noProof/>
        </w:rPr>
        <w:lastRenderedPageBreak/>
        <w:drawing>
          <wp:anchor distT="0" distB="0" distL="0" distR="0" simplePos="0" relativeHeight="251666432" behindDoc="1" locked="0" layoutInCell="1" allowOverlap="1">
            <wp:simplePos x="0" y="0"/>
            <wp:positionH relativeFrom="page">
              <wp:posOffset>5092700</wp:posOffset>
            </wp:positionH>
            <wp:positionV relativeFrom="page">
              <wp:posOffset>2806700</wp:posOffset>
            </wp:positionV>
            <wp:extent cx="1041400" cy="254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3"/>
                    <a:stretch>
                      <a:fillRect/>
                    </a:stretch>
                  </pic:blipFill>
                  <pic:spPr>
                    <a:xfrm>
                      <a:off x="0" y="0"/>
                      <a:ext cx="1041400" cy="25400"/>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914400</wp:posOffset>
            </wp:positionH>
            <wp:positionV relativeFrom="page">
              <wp:posOffset>2984500</wp:posOffset>
            </wp:positionV>
            <wp:extent cx="1676400" cy="254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4"/>
                    <a:stretch>
                      <a:fillRect/>
                    </a:stretch>
                  </pic:blipFill>
                  <pic:spPr>
                    <a:xfrm>
                      <a:off x="0" y="0"/>
                      <a:ext cx="1676400" cy="25400"/>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4305300</wp:posOffset>
            </wp:positionH>
            <wp:positionV relativeFrom="page">
              <wp:posOffset>4902200</wp:posOffset>
            </wp:positionV>
            <wp:extent cx="1663700" cy="254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5"/>
                    <a:stretch>
                      <a:fillRect/>
                    </a:stretch>
                  </pic:blipFill>
                  <pic:spPr>
                    <a:xfrm>
                      <a:off x="0" y="0"/>
                      <a:ext cx="1663700" cy="25400"/>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914400</wp:posOffset>
            </wp:positionH>
            <wp:positionV relativeFrom="page">
              <wp:posOffset>5080000</wp:posOffset>
            </wp:positionV>
            <wp:extent cx="901700" cy="254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6"/>
                    <a:stretch>
                      <a:fillRect/>
                    </a:stretch>
                  </pic:blipFill>
                  <pic:spPr>
                    <a:xfrm>
                      <a:off x="0" y="0"/>
                      <a:ext cx="901700" cy="25400"/>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2895600</wp:posOffset>
            </wp:positionH>
            <wp:positionV relativeFrom="page">
              <wp:posOffset>5715000</wp:posOffset>
            </wp:positionV>
            <wp:extent cx="3225800" cy="381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7"/>
                    <a:stretch>
                      <a:fillRect/>
                    </a:stretch>
                  </pic:blipFill>
                  <pic:spPr>
                    <a:xfrm>
                      <a:off x="0" y="0"/>
                      <a:ext cx="3225800" cy="38100"/>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3810000</wp:posOffset>
            </wp:positionH>
            <wp:positionV relativeFrom="page">
              <wp:posOffset>6819900</wp:posOffset>
            </wp:positionV>
            <wp:extent cx="2438400" cy="254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8"/>
                    <a:stretch>
                      <a:fillRect/>
                    </a:stretch>
                  </pic:blipFill>
                  <pic:spPr>
                    <a:xfrm>
                      <a:off x="0" y="0"/>
                      <a:ext cx="2438400" cy="25400"/>
                    </a:xfrm>
                    <a:prstGeom prst="rect">
                      <a:avLst/>
                    </a:prstGeom>
                  </pic:spPr>
                </pic:pic>
              </a:graphicData>
            </a:graphic>
          </wp:anchor>
        </w:drawing>
      </w:r>
      <w:r>
        <w:rPr>
          <w:noProof/>
        </w:rPr>
        <w:drawing>
          <wp:anchor distT="0" distB="0" distL="0" distR="0" simplePos="0" relativeHeight="251672576" behindDoc="1" locked="0" layoutInCell="1" allowOverlap="1">
            <wp:simplePos x="0" y="0"/>
            <wp:positionH relativeFrom="page">
              <wp:posOffset>914400</wp:posOffset>
            </wp:positionH>
            <wp:positionV relativeFrom="page">
              <wp:posOffset>6997700</wp:posOffset>
            </wp:positionV>
            <wp:extent cx="685800" cy="254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9"/>
                    <a:stretch>
                      <a:fillRect/>
                    </a:stretch>
                  </pic:blipFill>
                  <pic:spPr>
                    <a:xfrm>
                      <a:off x="0" y="0"/>
                      <a:ext cx="685800" cy="25400"/>
                    </a:xfrm>
                    <a:prstGeom prst="rect">
                      <a:avLst/>
                    </a:prstGeom>
                  </pic:spPr>
                </pic:pic>
              </a:graphicData>
            </a:graphic>
          </wp:anchor>
        </w:drawing>
      </w:r>
      <w:r>
        <w:rPr>
          <w:noProof/>
        </w:rPr>
        <w:drawing>
          <wp:anchor distT="0" distB="0" distL="0" distR="0" simplePos="0" relativeHeight="251673600" behindDoc="1" locked="0" layoutInCell="1" allowOverlap="1">
            <wp:simplePos x="0" y="0"/>
            <wp:positionH relativeFrom="page">
              <wp:posOffset>2794000</wp:posOffset>
            </wp:positionH>
            <wp:positionV relativeFrom="page">
              <wp:posOffset>7632700</wp:posOffset>
            </wp:positionV>
            <wp:extent cx="3073400" cy="254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0"/>
                    <a:stretch>
                      <a:fillRect/>
                    </a:stretch>
                  </pic:blipFill>
                  <pic:spPr>
                    <a:xfrm>
                      <a:off x="0" y="0"/>
                      <a:ext cx="3073400" cy="25400"/>
                    </a:xfrm>
                    <a:prstGeom prst="rect">
                      <a:avLst/>
                    </a:prstGeom>
                  </pic:spPr>
                </pic:pic>
              </a:graphicData>
            </a:graphic>
          </wp:anchor>
        </w:drawing>
      </w:r>
    </w:p>
    <w:tbl>
      <w:tblPr>
        <w:tblW w:w="0" w:type="auto"/>
        <w:tblLayout w:type="fixed"/>
        <w:tblLook w:val="04A0" w:firstRow="1" w:lastRow="0" w:firstColumn="1" w:lastColumn="0" w:noHBand="0" w:noVBand="1"/>
      </w:tblPr>
      <w:tblGrid>
        <w:gridCol w:w="8980"/>
        <w:gridCol w:w="960"/>
      </w:tblGrid>
      <w:tr w:rsidR="00B51892">
        <w:trPr>
          <w:trHeight w:hRule="exact" w:val="744"/>
        </w:trPr>
        <w:tc>
          <w:tcPr>
            <w:tcW w:w="898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p w:rsidR="00B51892" w:rsidRDefault="00493E5F" w:rsidP="00217C1D">
            <w:pPr>
              <w:autoSpaceDE w:val="0"/>
              <w:autoSpaceDN w:val="0"/>
              <w:spacing w:after="0" w:line="282" w:lineRule="exact"/>
              <w:jc w:val="both"/>
            </w:pPr>
            <w:r>
              <w:rPr>
                <w:rFonts w:ascii="Roboto" w:eastAsia="Roboto" w:hAnsi="Roboto"/>
                <w:color w:val="000000"/>
                <w:spacing w:val="-10"/>
                <w:sz w:val="24"/>
              </w:rPr>
              <w:t>Wang, J., Gao, D., &amp; Lee, P . S. (2021). Recent progress in artificial muscles for</w:t>
            </w:r>
          </w:p>
        </w:tc>
        <w:tc>
          <w:tcPr>
            <w:tcW w:w="96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2" w:lineRule="exact"/>
        <w:ind w:left="460"/>
        <w:jc w:val="both"/>
      </w:pPr>
      <w:r>
        <w:rPr>
          <w:rFonts w:ascii="Roboto" w:eastAsia="Roboto" w:hAnsi="Roboto"/>
          <w:color w:val="000000"/>
          <w:spacing w:val="-10"/>
          <w:sz w:val="24"/>
        </w:rPr>
        <w:t>interactive soft robotics. Advanced Materials, 33(19), 2003088. 17.</w:t>
      </w:r>
    </w:p>
    <w:p w:rsidR="00B51892" w:rsidRDefault="00493E5F" w:rsidP="00217C1D">
      <w:pPr>
        <w:autoSpaceDE w:val="0"/>
        <w:autoSpaceDN w:val="0"/>
        <w:spacing w:before="152" w:after="0" w:line="284" w:lineRule="exact"/>
        <w:ind w:left="460" w:right="720"/>
        <w:jc w:val="both"/>
      </w:pPr>
      <w:r>
        <w:rPr>
          <w:rFonts w:ascii="Roboto" w:eastAsia="Roboto" w:hAnsi="Roboto"/>
          <w:color w:val="000000"/>
          <w:spacing w:val="-10"/>
          <w:sz w:val="24"/>
        </w:rPr>
        <w:t>Gao, Y., Wei, F., Chao, Y., &amp; Yao, L. (2021). Bioinspired soft microrobots actuated by the magnetic field. Biomedical Microde vices, 23(4), 52</w:t>
      </w:r>
    </w:p>
    <w:p w:rsidR="00B51892" w:rsidRDefault="00493E5F" w:rsidP="00217C1D">
      <w:pPr>
        <w:autoSpaceDE w:val="0"/>
        <w:autoSpaceDN w:val="0"/>
        <w:spacing w:before="150" w:after="0" w:line="284" w:lineRule="exact"/>
        <w:ind w:left="460" w:right="1008"/>
        <w:jc w:val="both"/>
      </w:pPr>
      <w:r>
        <w:rPr>
          <w:rFonts w:ascii="Roboto" w:eastAsia="Roboto" w:hAnsi="Roboto"/>
          <w:color w:val="000000"/>
          <w:spacing w:val="-10"/>
          <w:sz w:val="24"/>
        </w:rPr>
        <w:t>Stella, F., &amp; Hughes, J. (2023). The science of soft robot design: a review of motivations, methods and enabling technologies. Frontiers in Robotics and AI, 9, 1059026. 20.</w:t>
      </w:r>
    </w:p>
    <w:p w:rsidR="00B51892" w:rsidRDefault="00493E5F" w:rsidP="00217C1D">
      <w:pPr>
        <w:autoSpaceDE w:val="0"/>
        <w:autoSpaceDN w:val="0"/>
        <w:spacing w:before="150" w:after="0" w:line="284" w:lineRule="exact"/>
        <w:ind w:left="460" w:right="720"/>
        <w:jc w:val="both"/>
      </w:pPr>
      <w:r>
        <w:rPr>
          <w:rFonts w:ascii="Roboto" w:eastAsia="Roboto" w:hAnsi="Roboto"/>
          <w:color w:val="000000"/>
          <w:spacing w:val="-10"/>
          <w:sz w:val="24"/>
        </w:rPr>
        <w:t>Chen, S., &amp; Huang, W. (2023). A review related to MXene preparation and its sensor arrays of electronic skins. Analyst (London), 148(3), 435–453.</w:t>
      </w:r>
      <w:r>
        <w:rPr>
          <w:rFonts w:ascii="Roboto" w:eastAsia="Roboto" w:hAnsi="Roboto"/>
          <w:color w:val="0563C1"/>
          <w:spacing w:val="-10"/>
          <w:sz w:val="24"/>
        </w:rPr>
        <w:t xml:space="preserve"> https://doi.org/ 10.1039/d2an01143c 21</w:t>
      </w:r>
    </w:p>
    <w:p w:rsidR="00B51892" w:rsidRDefault="00493E5F" w:rsidP="00217C1D">
      <w:pPr>
        <w:autoSpaceDE w:val="0"/>
        <w:autoSpaceDN w:val="0"/>
        <w:spacing w:before="152" w:after="0" w:line="284" w:lineRule="exact"/>
        <w:ind w:left="460" w:right="1152" w:firstLine="60"/>
        <w:jc w:val="both"/>
      </w:pPr>
      <w:r>
        <w:rPr>
          <w:rFonts w:ascii="Roboto" w:eastAsia="Roboto" w:hAnsi="Roboto"/>
          <w:color w:val="000000"/>
          <w:spacing w:val="-10"/>
          <w:sz w:val="24"/>
        </w:rPr>
        <w:t>Gonzalez-Vazquez, A., Garcia, L., Kilby, J., &amp; McNair, P . (2023). Soft wearable rehabilitation robots with artificial muscles based on smart materials: a review. Advanced Intelligent Systems, 5(4), 2200159. 22.</w:t>
      </w:r>
    </w:p>
    <w:p w:rsidR="00B51892" w:rsidRDefault="00493E5F" w:rsidP="00217C1D">
      <w:pPr>
        <w:autoSpaceDE w:val="0"/>
        <w:autoSpaceDN w:val="0"/>
        <w:spacing w:before="154" w:after="0" w:line="280" w:lineRule="exact"/>
        <w:ind w:left="460"/>
        <w:jc w:val="both"/>
      </w:pPr>
      <w:r>
        <w:rPr>
          <w:rFonts w:ascii="Roboto" w:eastAsia="Roboto" w:hAnsi="Roboto"/>
          <w:color w:val="000000"/>
          <w:spacing w:val="-10"/>
          <w:sz w:val="24"/>
        </w:rPr>
        <w:t>Morris, L., Diteesawat, R. S., Rahman, N., Turton, A., Cramp, M., &amp; Rossiter, J. (2023).</w:t>
      </w:r>
    </w:p>
    <w:p w:rsidR="00B51892" w:rsidRDefault="00493E5F" w:rsidP="00217C1D">
      <w:pPr>
        <w:autoSpaceDE w:val="0"/>
        <w:autoSpaceDN w:val="0"/>
        <w:spacing w:before="2" w:after="0" w:line="284" w:lineRule="exact"/>
        <w:ind w:left="460" w:right="432"/>
        <w:jc w:val="both"/>
      </w:pPr>
      <w:r>
        <w:rPr>
          <w:rFonts w:ascii="Roboto" w:eastAsia="Roboto" w:hAnsi="Roboto"/>
          <w:color w:val="000000"/>
          <w:spacing w:val="-10"/>
          <w:sz w:val="24"/>
        </w:rPr>
        <w:t>The state of the art of soft robotics to assist mobility: a review of physiotherapist and patient-identified limitations of current lower-limb exoskeletons and the potential soft-robotic solutions. Journal of NeuroEngineering and Rehabilitation, 20(1), 18. 23.</w:t>
      </w:r>
    </w:p>
    <w:p w:rsidR="00B51892" w:rsidRDefault="00493E5F" w:rsidP="00217C1D">
      <w:pPr>
        <w:autoSpaceDE w:val="0"/>
        <w:autoSpaceDN w:val="0"/>
        <w:spacing w:before="148" w:after="0" w:line="284" w:lineRule="exact"/>
        <w:ind w:left="460" w:right="1008" w:firstLine="60"/>
        <w:jc w:val="both"/>
      </w:pPr>
      <w:r>
        <w:rPr>
          <w:rFonts w:ascii="Roboto" w:eastAsia="Roboto" w:hAnsi="Roboto"/>
          <w:color w:val="000000"/>
          <w:spacing w:val="-10"/>
          <w:sz w:val="24"/>
        </w:rPr>
        <w:t>Huang, H., Lyu, Y., &amp; Nan, K. (2023). Soft robot-enabled controlled release of oral drug formulations. Soft Matter, 19(7), 1269–1281.</w:t>
      </w:r>
      <w:r>
        <w:rPr>
          <w:rFonts w:ascii="Roboto" w:eastAsia="Roboto" w:hAnsi="Roboto"/>
          <w:color w:val="0563C1"/>
          <w:spacing w:val="-10"/>
          <w:sz w:val="24"/>
        </w:rPr>
        <w:t xml:space="preserve"> https://doi.org/10.1039/ d2sm01624a</w:t>
      </w:r>
    </w:p>
    <w:p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Heiden, A., Preninger, D., Lehner, L., Baumgartner, M., Drack, M., Woritzka, E., et al., (2022). 3D printing of resilient biogels for omnidirectional and exteroceptive soft actuators. Science Robot ics.</w:t>
      </w:r>
      <w:r>
        <w:rPr>
          <w:rFonts w:ascii="Roboto" w:eastAsia="Roboto" w:hAnsi="Roboto"/>
          <w:color w:val="0563C1"/>
          <w:spacing w:val="-10"/>
          <w:sz w:val="24"/>
        </w:rPr>
        <w:t xml:space="preserve"> https://doi.org/10.1126/scirobotics.abk2119 48</w:t>
      </w:r>
    </w:p>
    <w:p w:rsidR="00B51892" w:rsidRDefault="00493E5F" w:rsidP="00217C1D">
      <w:pPr>
        <w:autoSpaceDE w:val="0"/>
        <w:autoSpaceDN w:val="0"/>
        <w:spacing w:before="148" w:after="0" w:line="286" w:lineRule="exact"/>
        <w:ind w:left="460" w:right="1152"/>
        <w:jc w:val="both"/>
      </w:pPr>
      <w:r>
        <w:rPr>
          <w:rFonts w:ascii="Roboto" w:eastAsia="Roboto" w:hAnsi="Roboto"/>
          <w:color w:val="000000"/>
          <w:spacing w:val="-10"/>
          <w:sz w:val="24"/>
        </w:rPr>
        <w:t>. Tan, Y. J. (2022). Harnessing the circular economy to develop sustainable soft robots. Science Robotics. https:// doi. org/ 10. 1126/ scirobotics.abn8147 .</w:t>
      </w:r>
    </w:p>
    <w:p w:rsidR="00B51892" w:rsidRDefault="00493E5F" w:rsidP="00217C1D">
      <w:pPr>
        <w:tabs>
          <w:tab w:val="left" w:pos="520"/>
        </w:tabs>
        <w:autoSpaceDE w:val="0"/>
        <w:autoSpaceDN w:val="0"/>
        <w:spacing w:before="148" w:after="0" w:line="286" w:lineRule="exact"/>
        <w:ind w:left="460" w:right="576"/>
        <w:jc w:val="both"/>
      </w:pPr>
      <w:r>
        <w:rPr>
          <w:rFonts w:ascii="Roboto" w:eastAsia="Roboto" w:hAnsi="Roboto"/>
          <w:color w:val="000000"/>
          <w:spacing w:val="-10"/>
          <w:sz w:val="24"/>
        </w:rPr>
        <w:t>Higueras-Ruiz, D. R., Nishikawa, K., Feigenbaum, H., &amp; Shafer, M. (2021). What is an artificial muscle? A comparison of soft actuators to biological muscles.</w:t>
      </w:r>
    </w:p>
    <w:p w:rsidR="00B51892" w:rsidRDefault="00493E5F" w:rsidP="00217C1D">
      <w:pPr>
        <w:autoSpaceDE w:val="0"/>
        <w:autoSpaceDN w:val="0"/>
        <w:spacing w:after="0" w:line="284" w:lineRule="exact"/>
        <w:ind w:left="460" w:right="1008"/>
        <w:jc w:val="both"/>
      </w:pPr>
      <w:r>
        <w:rPr>
          <w:rFonts w:ascii="Roboto" w:eastAsia="Roboto" w:hAnsi="Roboto"/>
          <w:color w:val="000000"/>
          <w:spacing w:val="-10"/>
          <w:sz w:val="24"/>
        </w:rPr>
        <w:t>Bioinspiration Biomimetics, 17(1), 011001.</w:t>
      </w:r>
      <w:r>
        <w:rPr>
          <w:rFonts w:ascii="Roboto" w:eastAsia="Roboto" w:hAnsi="Roboto"/>
          <w:color w:val="0563C1"/>
          <w:spacing w:val="-10"/>
          <w:sz w:val="24"/>
        </w:rPr>
        <w:t xml:space="preserve"> https://doi.org/10.1088/1748-3190/ ac3adf 50</w:t>
      </w:r>
    </w:p>
    <w:p w:rsidR="00B51892" w:rsidRDefault="00493E5F" w:rsidP="00217C1D">
      <w:pPr>
        <w:autoSpaceDE w:val="0"/>
        <w:autoSpaceDN w:val="0"/>
        <w:spacing w:before="148" w:after="0" w:line="284" w:lineRule="exact"/>
        <w:ind w:left="460" w:right="720"/>
        <w:jc w:val="both"/>
      </w:pPr>
      <w:r>
        <w:rPr>
          <w:rFonts w:ascii="Roboto" w:eastAsia="Roboto" w:hAnsi="Roboto"/>
          <w:color w:val="000000"/>
          <w:spacing w:val="-10"/>
          <w:sz w:val="24"/>
        </w:rPr>
        <w:t>Won, P ., Kim, K. K., Kim, H., Park, J. J., Ha, I., Shin, J., et al., (2021). Transparent soft actuators/sensors and camouflage skins for imperceptible soft robotics. Advanced Materials, 33(19), 2002397.</w:t>
      </w:r>
      <w:r>
        <w:rPr>
          <w:rFonts w:ascii="Roboto" w:eastAsia="Roboto" w:hAnsi="Roboto"/>
          <w:color w:val="0563C1"/>
          <w:spacing w:val="-10"/>
          <w:sz w:val="24"/>
        </w:rPr>
        <w:t xml:space="preserve"> https://doi.org/10.1002/adma.202002397 51</w:t>
      </w:r>
    </w:p>
    <w:p w:rsidR="00B51892" w:rsidRDefault="00493E5F" w:rsidP="00217C1D">
      <w:pPr>
        <w:autoSpaceDE w:val="0"/>
        <w:autoSpaceDN w:val="0"/>
        <w:spacing w:before="152" w:after="0" w:line="284" w:lineRule="exact"/>
        <w:ind w:left="460" w:right="576"/>
        <w:jc w:val="both"/>
      </w:pPr>
      <w:r>
        <w:rPr>
          <w:rFonts w:ascii="Roboto" w:eastAsia="Roboto" w:hAnsi="Roboto"/>
          <w:color w:val="000000"/>
          <w:spacing w:val="-10"/>
          <w:sz w:val="24"/>
        </w:rPr>
        <w:t>Li, M., Pal, A., Aghakhani, A., Pena-Francesch, A., &amp; Sitti, M. (2022). Soft actuators for real-world applications. Nature Reviews Materials, 7(3), 235–249. https:// doi. org/ 10. 1038/ s41578-021-00389-7</w:t>
      </w:r>
    </w:p>
    <w:p w:rsidR="00B51892" w:rsidRDefault="00493E5F" w:rsidP="00217C1D">
      <w:pPr>
        <w:autoSpaceDE w:val="0"/>
        <w:autoSpaceDN w:val="0"/>
        <w:spacing w:before="148" w:after="0" w:line="284" w:lineRule="exact"/>
        <w:ind w:left="460" w:right="864"/>
        <w:jc w:val="both"/>
      </w:pPr>
      <w:r>
        <w:rPr>
          <w:rFonts w:ascii="Roboto" w:eastAsia="Roboto" w:hAnsi="Roboto"/>
          <w:color w:val="000000"/>
          <w:spacing w:val="-10"/>
          <w:sz w:val="24"/>
        </w:rPr>
        <w:t>Ananta E, Birkeland S-E, Corcoran B, Fitzgerald G, Hinz S, Klijn A, et al., Processing effects onthenutritional advancement of probiotics and prebiotics. Microb Ecol Health Dis. (2004) 16:11324. doi: 10.1080/08910600410032277</w:t>
      </w:r>
    </w:p>
    <w:p w:rsidR="00B51892" w:rsidRDefault="00493E5F" w:rsidP="00217C1D">
      <w:pPr>
        <w:autoSpaceDE w:val="0"/>
        <w:autoSpaceDN w:val="0"/>
        <w:spacing w:before="152" w:after="0" w:line="284" w:lineRule="exact"/>
        <w:ind w:left="460" w:right="576"/>
        <w:jc w:val="both"/>
      </w:pPr>
      <w:r>
        <w:rPr>
          <w:rFonts w:ascii="Roboto" w:eastAsia="Roboto" w:hAnsi="Roboto"/>
          <w:color w:val="000000"/>
          <w:spacing w:val="-10"/>
          <w:sz w:val="24"/>
        </w:rPr>
        <w:t>Berry EM, Dernini S, Burlingame B, Meybeck A, Conforti P . Food security and sustainability: can one exist without the other? Public Health Nutr. (2015) 18:2293–302. doi: 10.1017/S136898001500021X</w:t>
      </w:r>
    </w:p>
    <w:p w:rsidR="00B51892" w:rsidRDefault="00493E5F" w:rsidP="00217C1D">
      <w:pPr>
        <w:tabs>
          <w:tab w:val="left" w:pos="9460"/>
        </w:tabs>
        <w:autoSpaceDE w:val="0"/>
        <w:autoSpaceDN w:val="0"/>
        <w:spacing w:before="308" w:after="0" w:line="240" w:lineRule="auto"/>
        <w:jc w:val="both"/>
      </w:pPr>
      <w:r>
        <w:rPr>
          <w:noProof/>
        </w:rPr>
        <w:drawing>
          <wp:inline distT="0" distB="0" distL="0" distR="0">
            <wp:extent cx="292100" cy="2921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9040"/>
        <w:gridCol w:w="900"/>
      </w:tblGrid>
      <w:tr w:rsidR="00B51892">
        <w:trPr>
          <w:trHeight w:hRule="exact" w:val="744"/>
        </w:trPr>
        <w:tc>
          <w:tcPr>
            <w:tcW w:w="904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p w:rsidR="00B51892" w:rsidRDefault="00493E5F" w:rsidP="00217C1D">
            <w:pPr>
              <w:autoSpaceDE w:val="0"/>
              <w:autoSpaceDN w:val="0"/>
              <w:spacing w:after="0" w:line="282" w:lineRule="exact"/>
              <w:jc w:val="both"/>
            </w:pPr>
            <w:r>
              <w:rPr>
                <w:rFonts w:ascii="Roboto" w:eastAsia="Roboto" w:hAnsi="Roboto"/>
                <w:color w:val="000000"/>
                <w:spacing w:val="-10"/>
                <w:sz w:val="24"/>
              </w:rPr>
              <w:t>Holdaway J. Urbanisation, Rural Transformations and Food Security. London:</w:t>
            </w:r>
          </w:p>
        </w:tc>
        <w:tc>
          <w:tcPr>
            <w:tcW w:w="90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2" w:lineRule="exact"/>
        <w:ind w:left="460"/>
        <w:jc w:val="both"/>
      </w:pPr>
      <w:r>
        <w:rPr>
          <w:rFonts w:ascii="Roboto" w:eastAsia="Roboto" w:hAnsi="Roboto"/>
          <w:color w:val="000000"/>
          <w:spacing w:val="-10"/>
          <w:sz w:val="24"/>
        </w:rPr>
        <w:t>International. Inst. Environment &amp; Development (IIED) (2015).</w:t>
      </w:r>
    </w:p>
    <w:p w:rsidR="00B51892" w:rsidRDefault="00493E5F" w:rsidP="00217C1D">
      <w:pPr>
        <w:autoSpaceDE w:val="0"/>
        <w:autoSpaceDN w:val="0"/>
        <w:spacing w:before="150" w:after="0" w:line="284" w:lineRule="exact"/>
        <w:ind w:left="460" w:right="720"/>
        <w:jc w:val="both"/>
      </w:pPr>
      <w:r>
        <w:rPr>
          <w:rFonts w:ascii="Roboto" w:eastAsia="Roboto" w:hAnsi="Roboto"/>
          <w:color w:val="000000"/>
          <w:spacing w:val="-10"/>
          <w:sz w:val="24"/>
        </w:rPr>
        <w:t>Smetana S, Mathys A, Knoch A, Heinz V. Meat alternatives: life cycle assessment of the most known meat substitutes. Int J Life Cycle Assess. (2015) 20:1254–67. doi: 10.1007/s11367-015-0931-6 66.</w:t>
      </w:r>
    </w:p>
    <w:p w:rsidR="00B51892" w:rsidRDefault="00493E5F" w:rsidP="00217C1D">
      <w:pPr>
        <w:autoSpaceDE w:val="0"/>
        <w:autoSpaceDN w:val="0"/>
        <w:spacing w:before="148" w:after="0" w:line="286" w:lineRule="exact"/>
        <w:ind w:left="460" w:right="1008"/>
        <w:jc w:val="both"/>
      </w:pPr>
      <w:r>
        <w:rPr>
          <w:rFonts w:ascii="Roboto" w:eastAsia="Roboto" w:hAnsi="Roboto"/>
          <w:color w:val="000000"/>
          <w:spacing w:val="-10"/>
          <w:sz w:val="24"/>
        </w:rPr>
        <w:t>Metcalfe, R. Food Routes: Growing Bananas in Iceland and Other Tales From the Logistics of Eating. Cambridge, MA: MIT Press (2019). 67</w:t>
      </w:r>
    </w:p>
    <w:p w:rsidR="00B51892" w:rsidRDefault="00493E5F" w:rsidP="00217C1D">
      <w:pPr>
        <w:autoSpaceDE w:val="0"/>
        <w:autoSpaceDN w:val="0"/>
        <w:spacing w:before="148" w:after="0" w:line="286" w:lineRule="exact"/>
        <w:ind w:left="460" w:right="576"/>
        <w:jc w:val="both"/>
      </w:pPr>
      <w:r>
        <w:rPr>
          <w:rFonts w:ascii="Roboto" w:eastAsia="Roboto" w:hAnsi="Roboto"/>
          <w:color w:val="000000"/>
          <w:spacing w:val="-10"/>
          <w:sz w:val="24"/>
        </w:rPr>
        <w:t>. Velenturf AP , Jopson JS. Making the business case for resource recovery. Sci Total Environ. (2019) 648:1031–41. doi: 10.1016/j.scitotenv.2018. 08.224</w:t>
      </w:r>
    </w:p>
    <w:p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Wrangham R. 2009. Catching fire: how cooking made us human. New York: Basic Books.</w:t>
      </w:r>
    </w:p>
    <w:p w:rsidR="00B51892" w:rsidRDefault="00493E5F" w:rsidP="00217C1D">
      <w:pPr>
        <w:tabs>
          <w:tab w:val="left" w:pos="520"/>
        </w:tabs>
        <w:autoSpaceDE w:val="0"/>
        <w:autoSpaceDN w:val="0"/>
        <w:spacing w:before="148" w:after="0" w:line="286" w:lineRule="exact"/>
        <w:ind w:left="460" w:right="1008"/>
        <w:jc w:val="both"/>
      </w:pPr>
      <w:r>
        <w:rPr>
          <w:rFonts w:ascii="Roboto" w:eastAsia="Roboto" w:hAnsi="Roboto"/>
          <w:color w:val="000000"/>
          <w:spacing w:val="-10"/>
          <w:sz w:val="24"/>
        </w:rPr>
        <w:t>Knorr D. 1999. Novel approaches in food processing technologies for preserving foods and modifying function. Current Opinion in Biotechnology, 10(5): 485-491</w:t>
      </w:r>
    </w:p>
    <w:p w:rsidR="00B51892" w:rsidRDefault="00493E5F" w:rsidP="00217C1D">
      <w:pPr>
        <w:tabs>
          <w:tab w:val="left" w:pos="520"/>
        </w:tabs>
        <w:autoSpaceDE w:val="0"/>
        <w:autoSpaceDN w:val="0"/>
        <w:spacing w:before="148" w:after="0" w:line="286" w:lineRule="exact"/>
        <w:ind w:left="460" w:right="864"/>
        <w:jc w:val="both"/>
      </w:pPr>
      <w:r>
        <w:rPr>
          <w:rFonts w:ascii="Roboto" w:eastAsia="Roboto" w:hAnsi="Roboto"/>
          <w:color w:val="000000"/>
          <w:spacing w:val="-10"/>
          <w:sz w:val="24"/>
        </w:rPr>
        <w:t>Spiess W.E.L., Wolf W. &amp; Walz E. 2003. New food technologies and processes and their impact on nutrition. Forum Nutr., 56:365-367 .</w:t>
      </w:r>
    </w:p>
    <w:p w:rsidR="00B51892" w:rsidRDefault="00493E5F" w:rsidP="00217C1D">
      <w:pPr>
        <w:autoSpaceDE w:val="0"/>
        <w:autoSpaceDN w:val="0"/>
        <w:spacing w:before="148" w:after="0" w:line="286" w:lineRule="exact"/>
        <w:ind w:left="460" w:right="1440"/>
        <w:jc w:val="both"/>
      </w:pPr>
      <w:r>
        <w:rPr>
          <w:rFonts w:ascii="Roboto" w:eastAsia="Roboto" w:hAnsi="Roboto"/>
          <w:color w:val="000000"/>
          <w:spacing w:val="-10"/>
          <w:sz w:val="24"/>
        </w:rPr>
        <w:t>Lazarides H. N. (Ed.). 2000. Food Technology and Sustainability. Art of Text Publications, Thessaloniki, Greece</w:t>
      </w:r>
    </w:p>
    <w:p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Spiess W.E.L. 2011. IUFoST Life Achievement Award (Unpublished)</w:t>
      </w:r>
    </w:p>
    <w:p w:rsidR="00B51892" w:rsidRDefault="00493E5F" w:rsidP="00217C1D">
      <w:pPr>
        <w:autoSpaceDE w:val="0"/>
        <w:autoSpaceDN w:val="0"/>
        <w:spacing w:before="152" w:after="0" w:line="284" w:lineRule="exact"/>
        <w:ind w:left="460" w:right="576"/>
        <w:jc w:val="both"/>
      </w:pPr>
      <w:r>
        <w:rPr>
          <w:rFonts w:ascii="Roboto" w:eastAsia="Roboto" w:hAnsi="Roboto"/>
          <w:color w:val="000000"/>
          <w:spacing w:val="-10"/>
          <w:sz w:val="24"/>
        </w:rPr>
        <w:t>Ferrando M. &amp; Spiess W.E.L. 2000. Review: Confocal scanning laser microscopy. A powerful tool in food science. FOOD SCIENCE AND TECHNOLOGY INTERNATIONAL.</w:t>
      </w:r>
    </w:p>
    <w:p w:rsidR="00B51892" w:rsidRDefault="00493E5F" w:rsidP="00217C1D">
      <w:pPr>
        <w:autoSpaceDE w:val="0"/>
        <w:autoSpaceDN w:val="0"/>
        <w:spacing w:before="4" w:after="0" w:line="282" w:lineRule="exact"/>
        <w:ind w:left="460"/>
        <w:jc w:val="both"/>
      </w:pPr>
      <w:r>
        <w:rPr>
          <w:rFonts w:ascii="Roboto" w:eastAsia="Roboto" w:hAnsi="Roboto"/>
          <w:color w:val="000000"/>
          <w:spacing w:val="-10"/>
          <w:sz w:val="24"/>
        </w:rPr>
        <w:t>6(4), 267-284</w:t>
      </w:r>
    </w:p>
    <w:p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Petrotos K.B. &amp; Lazarides H.N. 2001. Osmotic processing of liquid foods. J. Food Engineering, 49:201-206.</w:t>
      </w:r>
    </w:p>
    <w:p w:rsidR="00B51892" w:rsidRDefault="00493E5F" w:rsidP="00217C1D">
      <w:pPr>
        <w:autoSpaceDE w:val="0"/>
        <w:autoSpaceDN w:val="0"/>
        <w:spacing w:before="148" w:after="0" w:line="286" w:lineRule="exact"/>
        <w:ind w:left="460" w:right="1008"/>
        <w:jc w:val="both"/>
      </w:pPr>
      <w:r>
        <w:rPr>
          <w:rFonts w:ascii="Roboto" w:eastAsia="Roboto" w:hAnsi="Roboto"/>
          <w:color w:val="000000"/>
          <w:spacing w:val="-10"/>
          <w:sz w:val="24"/>
        </w:rPr>
        <w:t>Hite B.H. 1899. The effects of pressure on the preservation of milk. West Virginia Agric. Exp. Station Bull. 58:15-35 .</w:t>
      </w:r>
    </w:p>
    <w:p w:rsidR="00B51892" w:rsidRDefault="00493E5F" w:rsidP="00217C1D">
      <w:pPr>
        <w:autoSpaceDE w:val="0"/>
        <w:autoSpaceDN w:val="0"/>
        <w:spacing w:before="148" w:after="0" w:line="284" w:lineRule="exact"/>
        <w:ind w:left="460" w:right="576"/>
        <w:jc w:val="both"/>
      </w:pPr>
      <w:r>
        <w:rPr>
          <w:rFonts w:ascii="Roboto" w:eastAsia="Roboto" w:hAnsi="Roboto"/>
          <w:color w:val="000000"/>
          <w:spacing w:val="-10"/>
          <w:sz w:val="24"/>
        </w:rPr>
        <w:t>Knorr D. &amp; Heinz V. 1996. High-pressure inactivation kinetics of Bacillus subtilis cells by a three-state model considering distribution resistance mechanisms. Food Biotechnol 10: 149-161.</w:t>
      </w:r>
    </w:p>
    <w:p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Heinz V. &amp; Knorr D. 1998. High-pressure germination and inactivation kinetics of bacterial spores. In: NS Isaacs (Ed.). High Pressure Food Science, Bioscience and Chemistry. The Royal Society of Chemistry, Cambridge, 435-441.</w:t>
      </w:r>
    </w:p>
    <w:p w:rsidR="00B51892" w:rsidRDefault="00493E5F" w:rsidP="00217C1D">
      <w:pPr>
        <w:autoSpaceDE w:val="0"/>
        <w:autoSpaceDN w:val="0"/>
        <w:spacing w:before="148" w:after="0" w:line="284" w:lineRule="exact"/>
        <w:ind w:left="460" w:right="576"/>
        <w:jc w:val="both"/>
      </w:pPr>
      <w:r>
        <w:rPr>
          <w:rFonts w:ascii="Roboto" w:eastAsia="Roboto" w:hAnsi="Roboto"/>
          <w:color w:val="000000"/>
          <w:spacing w:val="-10"/>
          <w:sz w:val="24"/>
        </w:rPr>
        <w:t xml:space="preserve">Palou E., Lopet-Malo A., Barbosa-Canovas G.V. &amp; Swanson B.G. 1999. High-pressure treatment in food preservation. In: Rahman M.S. (Ed.) Handbook of Food </w:t>
      </w:r>
      <w:r>
        <w:br/>
      </w:r>
      <w:r>
        <w:rPr>
          <w:rFonts w:ascii="Roboto" w:eastAsia="Roboto" w:hAnsi="Roboto"/>
          <w:color w:val="000000"/>
          <w:spacing w:val="-10"/>
          <w:sz w:val="24"/>
        </w:rPr>
        <w:t>Preservation, Marcel Dekker, New York</w:t>
      </w:r>
    </w:p>
    <w:p w:rsidR="00B51892" w:rsidRDefault="00493E5F" w:rsidP="00217C1D">
      <w:pPr>
        <w:tabs>
          <w:tab w:val="left" w:pos="520"/>
        </w:tabs>
        <w:autoSpaceDE w:val="0"/>
        <w:autoSpaceDN w:val="0"/>
        <w:spacing w:before="152" w:after="0" w:line="284" w:lineRule="exact"/>
        <w:ind w:left="460" w:right="432"/>
        <w:jc w:val="both"/>
      </w:pPr>
      <w:r>
        <w:rPr>
          <w:rFonts w:ascii="Roboto" w:eastAsia="Roboto" w:hAnsi="Roboto"/>
          <w:color w:val="000000"/>
          <w:spacing w:val="-10"/>
          <w:sz w:val="24"/>
        </w:rPr>
        <w:t>Knorr D. &amp; Angersbach A. 1998. Impact of high-intensity electric field pulses on plant membrane permeabilization. Trends on Food Sci Technol, 9: 185-191</w:t>
      </w:r>
    </w:p>
    <w:p w:rsidR="00B51892" w:rsidRDefault="00493E5F" w:rsidP="00217C1D">
      <w:pPr>
        <w:autoSpaceDE w:val="0"/>
        <w:autoSpaceDN w:val="0"/>
        <w:spacing w:before="584" w:after="0" w:line="286" w:lineRule="exact"/>
        <w:ind w:left="460" w:right="720"/>
        <w:jc w:val="both"/>
      </w:pPr>
      <w:r>
        <w:rPr>
          <w:rFonts w:ascii="Roboto" w:eastAsia="Roboto" w:hAnsi="Roboto"/>
          <w:color w:val="000000"/>
          <w:spacing w:val="-10"/>
          <w:sz w:val="24"/>
        </w:rPr>
        <w:t>M. Ben-Daya, E. Hassini, and Z. Bahroun, "Internet of things and supply chain management: a literature review," International Journal of Production Research, pp.</w:t>
      </w:r>
    </w:p>
    <w:p w:rsidR="00B51892" w:rsidRDefault="00493E5F" w:rsidP="00217C1D">
      <w:pPr>
        <w:tabs>
          <w:tab w:val="left" w:pos="9460"/>
        </w:tabs>
        <w:autoSpaceDE w:val="0"/>
        <w:autoSpaceDN w:val="0"/>
        <w:spacing w:before="278" w:after="0" w:line="240" w:lineRule="auto"/>
        <w:jc w:val="both"/>
      </w:pPr>
      <w:r>
        <w:rPr>
          <w:noProof/>
        </w:rPr>
        <w:lastRenderedPageBreak/>
        <w:drawing>
          <wp:inline distT="0" distB="0" distL="0" distR="0">
            <wp:extent cx="292100" cy="2921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5540"/>
        <w:gridCol w:w="4400"/>
      </w:tblGrid>
      <w:tr w:rsidR="00B51892">
        <w:trPr>
          <w:trHeight w:hRule="exact" w:val="802"/>
        </w:trPr>
        <w:tc>
          <w:tcPr>
            <w:tcW w:w="554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p w:rsidR="00B51892" w:rsidRDefault="00493E5F" w:rsidP="00217C1D">
            <w:pPr>
              <w:autoSpaceDE w:val="0"/>
              <w:autoSpaceDN w:val="0"/>
              <w:spacing w:after="0" w:line="282" w:lineRule="exact"/>
              <w:ind w:left="460"/>
              <w:jc w:val="both"/>
            </w:pPr>
            <w:r>
              <w:rPr>
                <w:rFonts w:ascii="Roboto" w:eastAsia="Roboto" w:hAnsi="Roboto"/>
                <w:color w:val="000000"/>
                <w:spacing w:val="-10"/>
                <w:sz w:val="24"/>
              </w:rPr>
              <w:t>1-24, 2017.</w:t>
            </w:r>
          </w:p>
        </w:tc>
        <w:tc>
          <w:tcPr>
            <w:tcW w:w="440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before="88" w:after="0" w:line="286" w:lineRule="exact"/>
        <w:ind w:left="460" w:right="720"/>
        <w:jc w:val="both"/>
      </w:pPr>
      <w:r>
        <w:rPr>
          <w:rFonts w:ascii="Roboto" w:eastAsia="Roboto" w:hAnsi="Roboto"/>
          <w:color w:val="000000"/>
          <w:spacing w:val="-10"/>
          <w:sz w:val="24"/>
        </w:rPr>
        <w:t>M. Lezoche, J. E. Hernandez, M. d. M. E. Alemany Díaz, H. Panetto, and J. Kacprzyk, "Agri-food 4.0: A survey of the supply chains and technologies for the future agriculture," Computers in Industry, vol. 117, p. 103187, 2020/05/01/ 2020. ]</w:t>
      </w:r>
    </w:p>
    <w:p w:rsidR="00B51892" w:rsidRDefault="00493E5F" w:rsidP="00217C1D">
      <w:pPr>
        <w:autoSpaceDE w:val="0"/>
        <w:autoSpaceDN w:val="0"/>
        <w:spacing w:before="150" w:after="0" w:line="284" w:lineRule="exact"/>
        <w:ind w:left="460" w:right="720"/>
        <w:jc w:val="both"/>
      </w:pPr>
      <w:r>
        <w:rPr>
          <w:rFonts w:ascii="Roboto" w:eastAsia="Roboto" w:hAnsi="Roboto"/>
          <w:color w:val="000000"/>
          <w:spacing w:val="-10"/>
          <w:sz w:val="24"/>
        </w:rPr>
        <w:t>C. N. Verdouw, J. Wolfert, A. J. M. Beulens, and A. Rialland, "Virtualization of food supply chains with the internet of things," Journal of Food Engineering, vol. 176, pp. 128-136, 2016.</w:t>
      </w:r>
    </w:p>
    <w:p w:rsidR="00B51892" w:rsidRDefault="00493E5F" w:rsidP="00217C1D">
      <w:pPr>
        <w:autoSpaceDE w:val="0"/>
        <w:autoSpaceDN w:val="0"/>
        <w:spacing w:before="148" w:after="0" w:line="286" w:lineRule="exact"/>
        <w:ind w:left="460" w:right="720"/>
        <w:jc w:val="both"/>
      </w:pPr>
      <w:r>
        <w:rPr>
          <w:rFonts w:ascii="Roboto" w:eastAsia="Roboto" w:hAnsi="Roboto"/>
          <w:color w:val="000000"/>
          <w:spacing w:val="-10"/>
          <w:sz w:val="24"/>
        </w:rPr>
        <w:t>C. N. Verdouw, H. Sundmaeker, F. Meyer, J. Wolfert, and J. Verhoosel, "Smart agri-food logistics: requirements for the future internet," in 3rd International Conference on Dynamics in Logistics (LDIC 2012), Bremen, Germany, 2013, pp. 247-257: Springer.</w:t>
      </w:r>
    </w:p>
    <w:p w:rsidR="00B51892" w:rsidRDefault="00493E5F" w:rsidP="00217C1D">
      <w:pPr>
        <w:autoSpaceDE w:val="0"/>
        <w:autoSpaceDN w:val="0"/>
        <w:spacing w:before="150" w:after="0" w:line="284" w:lineRule="exact"/>
        <w:ind w:left="460" w:right="1152" w:firstLine="60"/>
        <w:jc w:val="both"/>
      </w:pPr>
      <w:r>
        <w:rPr>
          <w:rFonts w:ascii="Roboto" w:eastAsia="Roboto" w:hAnsi="Roboto"/>
          <w:color w:val="000000"/>
          <w:spacing w:val="-10"/>
          <w:sz w:val="24"/>
        </w:rPr>
        <w:t xml:space="preserve">R. Accorsi, M. Bortolini, G. Baruffaldi, F. Pilati, and E. Ferrari, "Internet-of-things Paradigm in Food Supply Chains Control and Management," Procedia </w:t>
      </w:r>
      <w:r>
        <w:br/>
      </w:r>
      <w:r>
        <w:rPr>
          <w:rFonts w:ascii="Roboto" w:eastAsia="Roboto" w:hAnsi="Roboto"/>
          <w:color w:val="000000"/>
          <w:spacing w:val="-10"/>
          <w:sz w:val="24"/>
        </w:rPr>
        <w:t>Manufacturing, vol. 11, pp. 889-895, 2017.</w:t>
      </w:r>
    </w:p>
    <w:p w:rsidR="00B51892" w:rsidRDefault="00493E5F" w:rsidP="00217C1D">
      <w:pPr>
        <w:tabs>
          <w:tab w:val="left" w:pos="580"/>
        </w:tabs>
        <w:autoSpaceDE w:val="0"/>
        <w:autoSpaceDN w:val="0"/>
        <w:spacing w:before="152" w:after="0" w:line="284" w:lineRule="exact"/>
        <w:ind w:left="460" w:right="864"/>
        <w:jc w:val="both"/>
      </w:pPr>
      <w:r>
        <w:tab/>
      </w:r>
      <w:r>
        <w:rPr>
          <w:rFonts w:ascii="Roboto" w:eastAsia="Roboto" w:hAnsi="Roboto"/>
          <w:color w:val="000000"/>
          <w:spacing w:val="-10"/>
          <w:sz w:val="24"/>
        </w:rPr>
        <w:t>G. Ullrich, "Automated guided vehicle systems," Springer-Verlag Berlin Heidelberg. doi, vol. 10, pp. 978-3, 2015.</w:t>
      </w:r>
    </w:p>
    <w:p w:rsidR="00B51892" w:rsidRDefault="00493E5F" w:rsidP="00217C1D">
      <w:pPr>
        <w:tabs>
          <w:tab w:val="left" w:pos="520"/>
          <w:tab w:val="left" w:pos="1890"/>
          <w:tab w:val="left" w:pos="3620"/>
        </w:tabs>
        <w:autoSpaceDE w:val="0"/>
        <w:autoSpaceDN w:val="0"/>
        <w:spacing w:before="152" w:after="0" w:line="284" w:lineRule="exact"/>
        <w:ind w:left="460" w:right="1008"/>
        <w:jc w:val="both"/>
      </w:pPr>
      <w:r>
        <w:rPr>
          <w:rFonts w:ascii="Roboto" w:eastAsia="Roboto" w:hAnsi="Roboto"/>
          <w:color w:val="000000"/>
          <w:spacing w:val="-10"/>
          <w:sz w:val="24"/>
        </w:rPr>
        <w:t>A. Rushton, P . Croucher, and P . Baker, The handbook of logistics and distribution management: Understanding the supply chain. Kogan Page Publishers, 2014.</w:t>
      </w:r>
    </w:p>
    <w:p w:rsidR="00B51892" w:rsidRDefault="00493E5F" w:rsidP="00217C1D">
      <w:pPr>
        <w:autoSpaceDE w:val="0"/>
        <w:autoSpaceDN w:val="0"/>
        <w:spacing w:before="152" w:after="0" w:line="284" w:lineRule="exact"/>
        <w:ind w:left="460" w:right="864" w:firstLine="60"/>
        <w:jc w:val="both"/>
      </w:pPr>
      <w:r>
        <w:rPr>
          <w:rFonts w:ascii="Roboto" w:eastAsia="Roboto" w:hAnsi="Roboto"/>
          <w:color w:val="000000"/>
          <w:spacing w:val="-10"/>
          <w:sz w:val="24"/>
        </w:rPr>
        <w:t>N. P . Mahalik and A. N. Nambiar, "Trends in food packaging and manufacturing systems and technology," Trends in Food Science &amp; Technology, vol. 21, no. 3, pp. 117-128, 2010.</w:t>
      </w:r>
    </w:p>
    <w:p w:rsidR="00B51892" w:rsidRDefault="00493E5F" w:rsidP="00217C1D">
      <w:pPr>
        <w:autoSpaceDE w:val="0"/>
        <w:autoSpaceDN w:val="0"/>
        <w:spacing w:before="148" w:after="0" w:line="286" w:lineRule="exact"/>
        <w:ind w:left="460" w:right="1008"/>
        <w:jc w:val="both"/>
      </w:pPr>
      <w:r>
        <w:rPr>
          <w:rFonts w:ascii="Roboto" w:eastAsia="Roboto" w:hAnsi="Roboto"/>
          <w:color w:val="000000"/>
          <w:spacing w:val="-10"/>
          <w:sz w:val="24"/>
        </w:rPr>
        <w:t>D. G. Caldwell, Robotics and automation in the food industry- Current and future technologies. PA, USA: Woodhead Publishing, 2012.</w:t>
      </w:r>
    </w:p>
    <w:p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M. Christopher, Logistics &amp; supply chain management. Pearson UK, 2016.</w:t>
      </w:r>
    </w:p>
    <w:p w:rsidR="00B51892" w:rsidRDefault="00493E5F" w:rsidP="00217C1D">
      <w:pPr>
        <w:autoSpaceDE w:val="0"/>
        <w:autoSpaceDN w:val="0"/>
        <w:spacing w:before="152" w:after="0" w:line="284" w:lineRule="exact"/>
        <w:ind w:left="460" w:right="1008"/>
        <w:jc w:val="both"/>
      </w:pPr>
      <w:r>
        <w:rPr>
          <w:rFonts w:ascii="Roboto" w:eastAsia="Roboto" w:hAnsi="Roboto"/>
          <w:color w:val="000000"/>
          <w:spacing w:val="-10"/>
          <w:sz w:val="24"/>
        </w:rPr>
        <w:t>K. O'Marah. (2015, July 10). Mass Customization and the Factory of the Future. Available: https://www.industryweek.com/factory of-future.</w:t>
      </w:r>
    </w:p>
    <w:p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R. Allen. (2017, 06 June). What happens online in 60 seconds? Available: https:// www.smartinsights.com/internet-marketing statistics/happens-online-60-seconds</w:t>
      </w:r>
    </w:p>
    <w:p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N. V. Olsen and K. Christensen, "Social media, new digital technologies and their potential application in sensory and consumer research," Current Opinion in Food Science, vol. 3, pp. 23-26, 2015.</w:t>
      </w:r>
    </w:p>
    <w:p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H. W. Chesbrough, Open innovation: The new imperative for creating and profiting from technology. Harvard Business Press, 2006.</w:t>
      </w:r>
    </w:p>
    <w:p w:rsidR="00B51892" w:rsidRDefault="00493E5F" w:rsidP="00217C1D">
      <w:pPr>
        <w:autoSpaceDE w:val="0"/>
        <w:autoSpaceDN w:val="0"/>
        <w:spacing w:before="148" w:after="0" w:line="286" w:lineRule="exact"/>
        <w:ind w:left="460" w:right="576"/>
        <w:jc w:val="both"/>
      </w:pPr>
      <w:r>
        <w:rPr>
          <w:rFonts w:ascii="Roboto" w:eastAsia="Roboto" w:hAnsi="Roboto"/>
          <w:color w:val="000000"/>
          <w:spacing w:val="-10"/>
          <w:sz w:val="24"/>
        </w:rPr>
        <w:t>S. Sarkar and A. Costa, "Dynamics of open innovation in the food industry," Trends in Food Science &amp; Technology, vol. 19, no. 11, pp. 574-580, 2008.</w:t>
      </w:r>
    </w:p>
    <w:p w:rsidR="00B51892" w:rsidRDefault="00493E5F" w:rsidP="00217C1D">
      <w:pPr>
        <w:tabs>
          <w:tab w:val="left" w:pos="520"/>
          <w:tab w:val="left" w:pos="2102"/>
        </w:tabs>
        <w:autoSpaceDE w:val="0"/>
        <w:autoSpaceDN w:val="0"/>
        <w:spacing w:before="148" w:after="0" w:line="286" w:lineRule="exact"/>
        <w:ind w:left="460" w:right="576"/>
        <w:jc w:val="both"/>
      </w:pPr>
      <w:r>
        <w:rPr>
          <w:rFonts w:ascii="Roboto" w:eastAsia="Roboto" w:hAnsi="Roboto"/>
          <w:color w:val="000000"/>
          <w:spacing w:val="-10"/>
          <w:sz w:val="24"/>
        </w:rPr>
        <w:t>S. Saguy and P . S. Taoukis, "From open innovation to enginomics: Paradigm shifts," Trends in Food Science &amp; Technology, vol. 60, pp. 64-70, 2017.</w:t>
      </w:r>
    </w:p>
    <w:p w:rsidR="00B51892" w:rsidRDefault="00493E5F" w:rsidP="00217C1D">
      <w:pPr>
        <w:autoSpaceDE w:val="0"/>
        <w:autoSpaceDN w:val="0"/>
        <w:spacing w:before="148" w:after="0" w:line="284" w:lineRule="exact"/>
        <w:ind w:left="460" w:right="432"/>
        <w:jc w:val="both"/>
      </w:pPr>
      <w:r>
        <w:rPr>
          <w:rFonts w:ascii="Roboto" w:eastAsia="Roboto" w:hAnsi="Roboto"/>
          <w:color w:val="000000"/>
          <w:spacing w:val="-10"/>
          <w:sz w:val="24"/>
        </w:rPr>
        <w:t>I.S. Saguy and V. Sirotinskaya, "Challenges in exploiting open innovation's full potential in the food industry with a focus on small and medium enterprises (SMEs)," Trends in Food Science &amp; Technology, vol. 38, no. 2, pp. 136-148, 2014.</w:t>
      </w:r>
    </w:p>
    <w:p w:rsidR="00B51892" w:rsidRDefault="00493E5F" w:rsidP="00217C1D">
      <w:pPr>
        <w:tabs>
          <w:tab w:val="left" w:pos="9460"/>
        </w:tabs>
        <w:autoSpaceDE w:val="0"/>
        <w:autoSpaceDN w:val="0"/>
        <w:spacing w:before="144" w:after="0" w:line="240" w:lineRule="auto"/>
        <w:jc w:val="both"/>
      </w:pPr>
      <w:r>
        <w:rPr>
          <w:noProof/>
        </w:rPr>
        <w:lastRenderedPageBreak/>
        <w:drawing>
          <wp:inline distT="0" distB="0" distL="0" distR="0">
            <wp:extent cx="292100" cy="2921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rsidR="00B51892" w:rsidRDefault="00B51892" w:rsidP="00217C1D">
      <w:pPr>
        <w:jc w:val="both"/>
        <w:sectPr w:rsidR="00B51892">
          <w:pgSz w:w="11895" w:h="16830"/>
          <w:pgMar w:top="490" w:right="956" w:bottom="100" w:left="980" w:header="720" w:footer="720" w:gutter="0"/>
          <w:cols w:space="720"/>
          <w:docGrid w:linePitch="360"/>
        </w:sectPr>
      </w:pPr>
    </w:p>
    <w:p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480"/>
        <w:gridCol w:w="8740"/>
        <w:gridCol w:w="720"/>
      </w:tblGrid>
      <w:tr w:rsidR="00B51892">
        <w:trPr>
          <w:trHeight w:hRule="exact" w:val="744"/>
        </w:trPr>
        <w:tc>
          <w:tcPr>
            <w:tcW w:w="48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292100" cy="2921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740" w:type="dxa"/>
            <w:tcMar>
              <w:left w:w="0" w:type="dxa"/>
              <w:right w:w="0" w:type="dxa"/>
            </w:tcMar>
          </w:tcPr>
          <w:p w:rsidR="00B51892" w:rsidRDefault="00493E5F" w:rsidP="00217C1D">
            <w:pPr>
              <w:autoSpaceDE w:val="0"/>
              <w:autoSpaceDN w:val="0"/>
              <w:spacing w:before="460" w:after="0" w:line="282" w:lineRule="exact"/>
              <w:ind w:left="40"/>
              <w:jc w:val="both"/>
            </w:pPr>
            <w:r>
              <w:rPr>
                <w:rFonts w:ascii="Roboto" w:eastAsia="Roboto" w:hAnsi="Roboto"/>
                <w:color w:val="000000"/>
                <w:spacing w:val="-10"/>
                <w:sz w:val="24"/>
              </w:rPr>
              <w:t>B. Bigliardi and F. Galati, "Models of adoption of open innovation within the food</w:t>
            </w:r>
          </w:p>
        </w:tc>
        <w:tc>
          <w:tcPr>
            <w:tcW w:w="720" w:type="dxa"/>
            <w:tcMar>
              <w:left w:w="0" w:type="dxa"/>
              <w:right w:w="0" w:type="dxa"/>
            </w:tcMar>
          </w:tcPr>
          <w:p w:rsidR="00B51892" w:rsidRDefault="00493E5F" w:rsidP="00217C1D">
            <w:pPr>
              <w:autoSpaceDE w:val="0"/>
              <w:autoSpaceDN w:val="0"/>
              <w:spacing w:after="0" w:line="240" w:lineRule="auto"/>
              <w:jc w:val="both"/>
            </w:pPr>
            <w:r>
              <w:rPr>
                <w:noProof/>
              </w:rPr>
              <w:drawing>
                <wp:inline distT="0" distB="0" distL="0" distR="0">
                  <wp:extent cx="304800" cy="2921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rsidR="00B51892" w:rsidRDefault="00493E5F" w:rsidP="00217C1D">
      <w:pPr>
        <w:autoSpaceDE w:val="0"/>
        <w:autoSpaceDN w:val="0"/>
        <w:spacing w:after="0" w:line="282" w:lineRule="exact"/>
        <w:ind w:left="460"/>
        <w:jc w:val="both"/>
      </w:pPr>
      <w:r>
        <w:rPr>
          <w:rFonts w:ascii="Roboto" w:eastAsia="Roboto" w:hAnsi="Roboto"/>
          <w:color w:val="000000"/>
          <w:spacing w:val="-10"/>
          <w:sz w:val="24"/>
        </w:rPr>
        <w:t>industry," Trends in Food Science &amp; Technology, vol. 30, no. 1, pp. 16-26, 2013.</w:t>
      </w:r>
    </w:p>
    <w:p w:rsidR="00B51892" w:rsidRDefault="00493E5F" w:rsidP="00217C1D">
      <w:pPr>
        <w:autoSpaceDE w:val="0"/>
        <w:autoSpaceDN w:val="0"/>
        <w:spacing w:before="150" w:after="0" w:line="284" w:lineRule="exact"/>
        <w:ind w:left="460" w:right="576"/>
        <w:jc w:val="both"/>
      </w:pPr>
      <w:r>
        <w:rPr>
          <w:rFonts w:ascii="Roboto" w:eastAsia="Roboto" w:hAnsi="Roboto"/>
          <w:color w:val="000000"/>
          <w:spacing w:val="-10"/>
          <w:sz w:val="24"/>
        </w:rPr>
        <w:t>K. M. Klassen, C. H. Douglass, L. Brennan, H. Truby, and M. S. C. Lim, "Social media use for nutrition outcomes in young adults: a mixed-methods systematic review," Int J Behav Nutr Phys Act, vol. 15, no. 1, p. 70, Jul 24, 2018.</w:t>
      </w:r>
    </w:p>
    <w:p w:rsidR="00B51892" w:rsidRDefault="00493E5F" w:rsidP="00217C1D">
      <w:pPr>
        <w:autoSpaceDE w:val="0"/>
        <w:autoSpaceDN w:val="0"/>
        <w:spacing w:before="150" w:after="0" w:line="284" w:lineRule="exact"/>
        <w:ind w:left="460" w:right="576"/>
        <w:jc w:val="both"/>
      </w:pPr>
      <w:r>
        <w:rPr>
          <w:rFonts w:ascii="Roboto" w:eastAsia="Roboto" w:hAnsi="Roboto"/>
          <w:color w:val="000000"/>
          <w:spacing w:val="-10"/>
          <w:sz w:val="24"/>
        </w:rPr>
        <w:t>A. Abbas, M. Ali, M. U. S. Khan, and S. U. Khan, "Personalized healthcare cloud services for disease risk assessment and wellness management using social media," Pervasive and Mobile Computing, vol. 28, pp. 81-99, 2016.</w:t>
      </w:r>
    </w:p>
    <w:p w:rsidR="00B51892" w:rsidRDefault="00493E5F" w:rsidP="00217C1D">
      <w:pPr>
        <w:tabs>
          <w:tab w:val="left" w:pos="520"/>
        </w:tabs>
        <w:autoSpaceDE w:val="0"/>
        <w:autoSpaceDN w:val="0"/>
        <w:spacing w:before="152" w:after="0" w:line="284" w:lineRule="exact"/>
        <w:ind w:left="460" w:right="864"/>
        <w:jc w:val="both"/>
      </w:pPr>
      <w:r>
        <w:rPr>
          <w:rFonts w:ascii="Roboto" w:eastAsia="Roboto" w:hAnsi="Roboto"/>
          <w:color w:val="000000"/>
          <w:spacing w:val="-10"/>
          <w:sz w:val="24"/>
        </w:rPr>
        <w:t>B. Freeman et al., "Digital junk: food and beverage marketing on Facebook," Am J Public Health, vol. 104, no. 12, pp. e56-e64, Dec 2014.</w:t>
      </w:r>
    </w:p>
    <w:p w:rsidR="00B51892" w:rsidRDefault="00493E5F" w:rsidP="00217C1D">
      <w:pPr>
        <w:autoSpaceDE w:val="0"/>
        <w:autoSpaceDN w:val="0"/>
        <w:spacing w:before="152" w:after="0" w:line="284" w:lineRule="exact"/>
        <w:ind w:left="460" w:right="720"/>
        <w:jc w:val="both"/>
      </w:pPr>
      <w:r>
        <w:rPr>
          <w:rFonts w:ascii="Roboto" w:eastAsia="Roboto" w:hAnsi="Roboto"/>
          <w:color w:val="000000"/>
          <w:spacing w:val="-10"/>
          <w:sz w:val="24"/>
        </w:rPr>
        <w:t>N. Alexandratos and J. Bruinsma, "World agriculture towards 2030/2050: the 2012 revision," ESA Working paper, Rome, FAO2012.</w:t>
      </w:r>
    </w:p>
    <w:p w:rsidR="00B51892" w:rsidRDefault="00493E5F" w:rsidP="00217C1D">
      <w:pPr>
        <w:autoSpaceDE w:val="0"/>
        <w:autoSpaceDN w:val="0"/>
        <w:spacing w:before="152" w:after="0" w:line="284" w:lineRule="exact"/>
        <w:ind w:left="460" w:right="1152"/>
        <w:jc w:val="both"/>
      </w:pPr>
      <w:r>
        <w:rPr>
          <w:rFonts w:ascii="Roboto" w:eastAsia="Roboto" w:hAnsi="Roboto"/>
          <w:color w:val="000000"/>
          <w:spacing w:val="-10"/>
          <w:sz w:val="24"/>
        </w:rPr>
        <w:t>A. H. Gomez, Y. He, and A. G. Pereira, "Non-destructive measurement of acidity, soluble solids and firmness of Satsuma mandarin using Vis/NIR-spectroscopy techniques," Journal of food engineering, vol. 77, no. 2, pp. 313-319, 2006.</w:t>
      </w:r>
    </w:p>
    <w:p w:rsidR="00B51892" w:rsidRDefault="00493E5F" w:rsidP="00217C1D">
      <w:pPr>
        <w:autoSpaceDE w:val="0"/>
        <w:autoSpaceDN w:val="0"/>
        <w:spacing w:before="148" w:after="0" w:line="284" w:lineRule="exact"/>
        <w:ind w:left="460" w:right="720"/>
        <w:jc w:val="both"/>
      </w:pPr>
      <w:r>
        <w:rPr>
          <w:rFonts w:ascii="Roboto" w:eastAsia="Roboto" w:hAnsi="Roboto"/>
          <w:color w:val="000000"/>
          <w:spacing w:val="-10"/>
          <w:sz w:val="24"/>
        </w:rPr>
        <w:t>A. Gowen, C. Odonnell, P . Cullen, G. Downey, and J. Frias, "Hyperspectral imaging –an emerging process analytical tool for food quality and safety control," Trends in Food Science &amp; Technology, vol. 18, no. 12, pp. 590-598, 2007.</w:t>
      </w:r>
    </w:p>
    <w:p w:rsidR="00B51892" w:rsidRDefault="00493E5F" w:rsidP="00217C1D">
      <w:pPr>
        <w:autoSpaceDE w:val="0"/>
        <w:autoSpaceDN w:val="0"/>
        <w:spacing w:before="152" w:after="0" w:line="284" w:lineRule="exact"/>
        <w:ind w:left="460" w:right="864" w:firstLine="60"/>
        <w:jc w:val="both"/>
      </w:pPr>
      <w:r>
        <w:rPr>
          <w:rFonts w:ascii="Roboto" w:eastAsia="Roboto" w:hAnsi="Roboto"/>
          <w:color w:val="000000"/>
          <w:spacing w:val="-10"/>
          <w:sz w:val="24"/>
        </w:rPr>
        <w:t>Y. Dixit et al., "Multipoint NIR spectrometry and collimated light for predicting the composition of meat samples with high standoff distances," Journal of Food Engineering, vol. 175, pp. 58-64, 2016.</w:t>
      </w:r>
    </w:p>
    <w:p w:rsidR="00B51892" w:rsidRDefault="00493E5F" w:rsidP="00217C1D">
      <w:pPr>
        <w:autoSpaceDE w:val="0"/>
        <w:autoSpaceDN w:val="0"/>
        <w:spacing w:before="148" w:after="0" w:line="284" w:lineRule="exact"/>
        <w:ind w:left="460" w:right="576" w:firstLine="60"/>
        <w:jc w:val="both"/>
      </w:pPr>
      <w:r>
        <w:rPr>
          <w:rFonts w:ascii="Roboto" w:eastAsia="Roboto" w:hAnsi="Roboto"/>
          <w:color w:val="000000"/>
          <w:spacing w:val="-10"/>
          <w:sz w:val="24"/>
        </w:rPr>
        <w:t>B. M. Nicolai et al., "Nondestructive measurement of fruit and vegetable quality employing NIR spectroscopy: A review," Postharvest biology and technology, vol. 46, no. 2, pp. 99-118, 2007.</w:t>
      </w:r>
    </w:p>
    <w:p w:rsidR="00B51892" w:rsidRDefault="00493E5F" w:rsidP="00217C1D">
      <w:pPr>
        <w:autoSpaceDE w:val="0"/>
        <w:autoSpaceDN w:val="0"/>
        <w:spacing w:before="152" w:after="0" w:line="284" w:lineRule="exact"/>
        <w:ind w:left="460" w:right="576" w:firstLine="60"/>
        <w:jc w:val="both"/>
      </w:pPr>
      <w:r>
        <w:rPr>
          <w:rFonts w:ascii="Roboto" w:eastAsia="Roboto" w:hAnsi="Roboto"/>
          <w:color w:val="000000"/>
          <w:spacing w:val="-10"/>
          <w:sz w:val="24"/>
        </w:rPr>
        <w:t>Y. Dixit et al., "NIR spectrophotometry with integrated beam splitter as a process analytical technology for meat composition analysis," Analytical Methods, vol. 8, no. 20, pp. 4134-4141, 2016.</w:t>
      </w:r>
    </w:p>
    <w:p w:rsidR="00B51892" w:rsidRDefault="00493E5F" w:rsidP="00217C1D">
      <w:pPr>
        <w:autoSpaceDE w:val="0"/>
        <w:autoSpaceDN w:val="0"/>
        <w:spacing w:before="148" w:after="0" w:line="284" w:lineRule="exact"/>
        <w:ind w:left="460" w:right="568"/>
        <w:jc w:val="both"/>
      </w:pPr>
      <w:r>
        <w:rPr>
          <w:rFonts w:ascii="Roboto" w:eastAsia="Roboto" w:hAnsi="Roboto"/>
          <w:color w:val="000000"/>
          <w:spacing w:val="-10"/>
          <w:sz w:val="24"/>
        </w:rPr>
        <w:t>L. Salguero-Chaparro, V. Baeten, J. A. Fernandez-Pierna, and F. Pena-Rodriguez, "Near infrared spectroscopy (NIRS) for on-line determination of quality parameters in intact olives," Food Chemistry, vol. 139, no. 1-4, pp. 1121-1126, Jul 2013.</w:t>
      </w:r>
    </w:p>
    <w:p w:rsidR="00B51892" w:rsidRDefault="00493E5F" w:rsidP="00217C1D">
      <w:pPr>
        <w:tabs>
          <w:tab w:val="left" w:pos="9460"/>
        </w:tabs>
        <w:autoSpaceDE w:val="0"/>
        <w:autoSpaceDN w:val="0"/>
        <w:spacing w:before="3894" w:after="0" w:line="240" w:lineRule="auto"/>
        <w:jc w:val="both"/>
      </w:pPr>
      <w:r>
        <w:rPr>
          <w:noProof/>
        </w:rPr>
        <w:lastRenderedPageBreak/>
        <w:drawing>
          <wp:inline distT="0" distB="0" distL="0" distR="0">
            <wp:extent cx="292100" cy="2921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sectPr w:rsidR="00B51892" w:rsidSect="00034616">
      <w:pgSz w:w="11895" w:h="16830"/>
      <w:pgMar w:top="490" w:right="956" w:bottom="100" w:left="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20A" w:rsidRDefault="0030520A" w:rsidP="00A0179D">
      <w:pPr>
        <w:spacing w:after="0" w:line="240" w:lineRule="auto"/>
      </w:pPr>
      <w:r>
        <w:separator/>
      </w:r>
    </w:p>
  </w:endnote>
  <w:endnote w:type="continuationSeparator" w:id="0">
    <w:p w:rsidR="0030520A" w:rsidRDefault="0030520A" w:rsidP="00A0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Noto Serif">
    <w:altName w:val="Cambria"/>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20A" w:rsidRDefault="0030520A" w:rsidP="00A0179D">
      <w:pPr>
        <w:spacing w:after="0" w:line="240" w:lineRule="auto"/>
      </w:pPr>
      <w:r>
        <w:separator/>
      </w:r>
    </w:p>
  </w:footnote>
  <w:footnote w:type="continuationSeparator" w:id="0">
    <w:p w:rsidR="0030520A" w:rsidRDefault="0030520A" w:rsidP="00A0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3052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4" o:spid="_x0000_s2050" type="#_x0000_t136" style="position:absolute;margin-left:0;margin-top:0;width:624pt;height:7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3052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5" o:spid="_x0000_s2051" type="#_x0000_t136" style="position:absolute;margin-left:0;margin-top:0;width:624pt;height:7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3052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3" o:spid="_x0000_s2049" type="#_x0000_t136" style="position:absolute;margin-left:0;margin-top:0;width:624pt;height:7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MzA0tTA3MTI2MjZT0lEKTi0uzszPAykwrAUAKYlR2iwAAAA="/>
  </w:docVars>
  <w:rsids>
    <w:rsidRoot w:val="00B47730"/>
    <w:rsid w:val="00034616"/>
    <w:rsid w:val="0006063C"/>
    <w:rsid w:val="0015074B"/>
    <w:rsid w:val="00217C1D"/>
    <w:rsid w:val="0029639D"/>
    <w:rsid w:val="00304179"/>
    <w:rsid w:val="0030520A"/>
    <w:rsid w:val="00326F90"/>
    <w:rsid w:val="00493E5F"/>
    <w:rsid w:val="00A0179D"/>
    <w:rsid w:val="00AA1D8D"/>
    <w:rsid w:val="00B47730"/>
    <w:rsid w:val="00B5189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22FE154"/>
  <w14:defaultImageDpi w14:val="300"/>
  <w15:docId w15:val="{F6F8D66E-F049-46AA-9E54-5A36B9FC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B57B-3F73-41A8-B44B-65BC434C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6833</Words>
  <Characters>38952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4</cp:revision>
  <dcterms:created xsi:type="dcterms:W3CDTF">2013-12-23T23:15:00Z</dcterms:created>
  <dcterms:modified xsi:type="dcterms:W3CDTF">2025-04-17T10:43:00Z</dcterms:modified>
  <cp:category/>
</cp:coreProperties>
</file>