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1FBD" w14:textId="77777777" w:rsidR="00EB361E" w:rsidRDefault="00BA519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COINFECTION OF TUBERCULOSIS (TB) AND OCCULT HEPATITIS B (OBI) INFECTION AMONG RESIDENTS IN RIVERS STATE NIGERIA</w:t>
      </w:r>
    </w:p>
    <w:p w14:paraId="33445F96" w14:textId="77777777" w:rsidR="00563253" w:rsidRDefault="00563253">
      <w:pPr>
        <w:spacing w:line="240" w:lineRule="auto"/>
        <w:jc w:val="both"/>
        <w:rPr>
          <w:rFonts w:ascii="Times New Roman" w:hAnsi="Times New Roman" w:cs="Times New Roman"/>
          <w:b/>
          <w:sz w:val="24"/>
          <w:szCs w:val="24"/>
        </w:rPr>
      </w:pPr>
    </w:p>
    <w:p w14:paraId="73475CFF" w14:textId="3E252D37" w:rsidR="00EB361E" w:rsidRDefault="00BA519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3C79894" w14:textId="77777777" w:rsidR="00EB361E" w:rsidRDefault="00BA519F">
      <w:pPr>
        <w:spacing w:line="24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6B3515A4" w14:textId="77777777" w:rsidR="00EB361E" w:rsidRDefault="00BA519F" w:rsidP="005D7D5D">
      <w:pPr>
        <w:tabs>
          <w:tab w:val="left" w:pos="74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Tuberculosis (TB) and Occult Hepatitis B Infection (OBI) presents a significant health challenge globally, particularly in regions like Rivers State, Nigeria.</w:t>
      </w:r>
      <w:r>
        <w:rPr>
          <w:rFonts w:ascii="Times New Roman" w:hAnsi="Times New Roman" w:cs="Times New Roman"/>
          <w:sz w:val="24"/>
          <w:szCs w:val="24"/>
          <w:shd w:val="clear" w:color="auto" w:fill="FFFFFF"/>
        </w:rPr>
        <w:t xml:space="preserve"> The </w:t>
      </w:r>
      <w:r>
        <w:rPr>
          <w:rStyle w:val="Emphasis"/>
          <w:rFonts w:ascii="Times New Roman" w:hAnsi="Times New Roman" w:cs="Times New Roman"/>
          <w:b/>
          <w:bCs/>
          <w:i w:val="0"/>
          <w:iCs w:val="0"/>
          <w:sz w:val="24"/>
          <w:szCs w:val="24"/>
          <w:shd w:val="clear" w:color="auto" w:fill="FFFFFF"/>
        </w:rPr>
        <w:t>prevalence</w:t>
      </w:r>
      <w:r>
        <w:rPr>
          <w:rFonts w:ascii="Times New Roman" w:hAnsi="Times New Roman" w:cs="Times New Roman"/>
          <w:sz w:val="24"/>
          <w:szCs w:val="24"/>
          <w:shd w:val="clear" w:color="auto" w:fill="FFFFFF"/>
        </w:rPr>
        <w:t xml:space="preserve"> of OBI in different world regions varies from 1 to 87%. </w:t>
      </w:r>
      <w:r>
        <w:rPr>
          <w:rFonts w:ascii="Times New Roman" w:hAnsi="Times New Roman" w:cs="Times New Roman"/>
          <w:sz w:val="24"/>
          <w:szCs w:val="24"/>
        </w:rPr>
        <w:t>This cross-sectional study aimed to investigate the prevalence of TB/OBI coinfection among residents in Rivers State and compare demographic differences in coinfection distribution.</w:t>
      </w:r>
    </w:p>
    <w:p w14:paraId="6E8C3767"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Method</w:t>
      </w:r>
    </w:p>
    <w:p w14:paraId="143649F4"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392 participants suspected of TB/OBI were enrolled. Sputum and blood samples were collected for TB and HBV DNA quantification respectively. Simple random sampling was employed to select participants, ensuring equal representation. </w:t>
      </w:r>
    </w:p>
    <w:p w14:paraId="01BFDFE6"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p>
    <w:p w14:paraId="38FD2E42"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 showed a low prevalence of TB/OBI coinfection, with only one case detected (0.3%). Statistical analysis revealed no significant differences in coinfection rates based on sex or age at (p=0.42) and (p=0.88) respectively.</w:t>
      </w:r>
    </w:p>
    <w:p w14:paraId="63E45A31"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w:t>
      </w:r>
    </w:p>
    <w:p w14:paraId="4A64EDD4"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findings highlight the importance of comprehensive surveillance and integrated healthcare strategies to address infectious diseases effectively. While the study provides valuable insights into TB/OBI coinfection in Rivers State, its cross-sectional design and sample size limitations warrant further longitudinal research for a deeper understanding of coinfection dynamics and trends. Nonetheless, the study contributes to the body of knowledge guiding public health interventions aimed at improving patient outcomes in regions burdened by TB and HBV infections.</w:t>
      </w:r>
    </w:p>
    <w:p w14:paraId="1D04CAAA" w14:textId="77777777" w:rsidR="00EB361E" w:rsidRDefault="00EB361E">
      <w:pPr>
        <w:spacing w:after="0" w:line="360" w:lineRule="auto"/>
        <w:jc w:val="both"/>
        <w:rPr>
          <w:rFonts w:ascii="Times New Roman" w:hAnsi="Times New Roman" w:cs="Times New Roman"/>
          <w:sz w:val="24"/>
          <w:szCs w:val="24"/>
        </w:rPr>
      </w:pPr>
    </w:p>
    <w:p w14:paraId="5BDF9DC5" w14:textId="614BBEB1" w:rsidR="00EB361E" w:rsidRDefault="00BA519F">
      <w:pPr>
        <w:spacing w:line="360" w:lineRule="auto"/>
        <w:jc w:val="both"/>
        <w:rPr>
          <w:rFonts w:ascii="Times New Roman" w:hAnsi="Times New Roman" w:cs="Times New Roman"/>
          <w:sz w:val="24"/>
          <w:szCs w:val="24"/>
        </w:rPr>
      </w:pPr>
      <w:r>
        <w:rPr>
          <w:rFonts w:ascii="Times New Roman" w:hAnsi="Times New Roman" w:cs="Times New Roman"/>
          <w:b/>
          <w:i/>
          <w:iCs/>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Coinfection, Occult Hepatitis B, Prevalence, Tuberculosis</w:t>
      </w:r>
    </w:p>
    <w:p w14:paraId="2CB46962" w14:textId="77777777" w:rsidR="00EB361E" w:rsidRDefault="00EB361E">
      <w:pPr>
        <w:spacing w:line="360" w:lineRule="auto"/>
        <w:jc w:val="both"/>
        <w:rPr>
          <w:rFonts w:ascii="Times New Roman" w:hAnsi="Times New Roman" w:cs="Times New Roman"/>
          <w:b/>
          <w:sz w:val="24"/>
          <w:szCs w:val="24"/>
        </w:rPr>
      </w:pPr>
    </w:p>
    <w:p w14:paraId="203B8DC6" w14:textId="77777777" w:rsidR="00EB361E" w:rsidRDefault="00EB361E">
      <w:pPr>
        <w:spacing w:line="360" w:lineRule="auto"/>
        <w:jc w:val="both"/>
        <w:rPr>
          <w:rFonts w:ascii="Times New Roman" w:hAnsi="Times New Roman" w:cs="Times New Roman"/>
          <w:b/>
          <w:sz w:val="24"/>
          <w:szCs w:val="24"/>
        </w:rPr>
      </w:pPr>
    </w:p>
    <w:p w14:paraId="27BAAF1C"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FDC9845"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Tuberculosis (TB) and Hepatitis B Virus (HBV) infection are two significant infectious diseases that pose a substantial health burden [1].   TB, caused by </w:t>
      </w:r>
      <w:r>
        <w:rPr>
          <w:rFonts w:ascii="Times New Roman" w:hAnsi="Times New Roman" w:cs="Times New Roman"/>
          <w:i/>
          <w:sz w:val="24"/>
          <w:szCs w:val="24"/>
        </w:rPr>
        <w:t>Mycobacterium tuberculosis</w:t>
      </w:r>
      <w:r>
        <w:rPr>
          <w:rFonts w:ascii="Times New Roman" w:hAnsi="Times New Roman" w:cs="Times New Roman"/>
          <w:sz w:val="24"/>
          <w:szCs w:val="24"/>
        </w:rPr>
        <w:t>, is one of the top 10 causes of death worldwide [2]. In Nigeria, TB is a major public health problem, with the country ranking among those with the highest TB burden globally [3]. The disease is contagious and spreads through infected droplets released into the air by coughing or sneezing. Symptoms of TB can range from a persistent cough, chest pain, and fever to weight loss and night sweats [1].</w:t>
      </w:r>
    </w:p>
    <w:p w14:paraId="0CCA5368"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Hepatitis B, an infectious disease caused by the Hepatitis B virus, is a significant health issue, particularly in Africa. According to the WHO, as of 2022, an estimated 254 million people were living with chronic Hepatitis B infection [4]. The term “occult” Hepatitis B infection describes a condition where Hepatitis B virus DNA is detectable in the blood or liver tissues, but the Hepatitis B surface antigen (HBsAg) is not detectable in the serum. This condition is of particular concern as it poses a risk for transmission through blood transfusion and organ transplantation [5]. The overall, </w:t>
      </w:r>
      <w:r>
        <w:rPr>
          <w:rStyle w:val="Emphasis"/>
          <w:rFonts w:ascii="Times New Roman" w:hAnsi="Times New Roman" w:cs="Times New Roman"/>
          <w:i w:val="0"/>
          <w:iCs w:val="0"/>
          <w:sz w:val="24"/>
          <w:szCs w:val="24"/>
          <w:shd w:val="clear" w:color="auto" w:fill="FFFFFF"/>
        </w:rPr>
        <w:t>prevalence</w:t>
      </w:r>
      <w:r>
        <w:rPr>
          <w:rFonts w:ascii="Times New Roman" w:hAnsi="Times New Roman" w:cs="Times New Roman"/>
          <w:sz w:val="24"/>
          <w:szCs w:val="24"/>
          <w:shd w:val="clear" w:color="auto" w:fill="FFFFFF"/>
        </w:rPr>
        <w:t> of OBI in different world regions varies from 1 to 87%</w:t>
      </w:r>
      <w:r>
        <w:rPr>
          <w:rFonts w:ascii="Times New Roman" w:hAnsi="Times New Roman" w:cs="Times New Roman"/>
          <w:sz w:val="24"/>
          <w:szCs w:val="24"/>
        </w:rPr>
        <w:t xml:space="preserve"> [6].</w:t>
      </w:r>
    </w:p>
    <w:p w14:paraId="48EE6312"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coexistence of TB and occult HBV infection introduces a complex clinical scenario [7]. The pathogenesis of TB involves the invasion of </w:t>
      </w:r>
      <w:r>
        <w:rPr>
          <w:rFonts w:ascii="Times New Roman" w:hAnsi="Times New Roman" w:cs="Times New Roman"/>
          <w:i/>
          <w:sz w:val="24"/>
          <w:szCs w:val="24"/>
        </w:rPr>
        <w:t>Mycobacterium tuberculosis</w:t>
      </w:r>
      <w:r>
        <w:rPr>
          <w:rFonts w:ascii="Times New Roman" w:hAnsi="Times New Roman" w:cs="Times New Roman"/>
          <w:sz w:val="24"/>
          <w:szCs w:val="24"/>
        </w:rPr>
        <w:t xml:space="preserve"> into the lungs, leading to the formation of granulomas and tissue damage [2]. Hepatitis B virus, on the other hand, primarily targets the liver, leading to inflammation and potentially progressing to cirrhosis or hepatocellular carcinoma. The interaction between these pathogens and their impact on the host's immune response complicates disease prognosis and management [7].</w:t>
      </w:r>
    </w:p>
    <w:p w14:paraId="7C5B7C68" w14:textId="22C2C5AD"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Rivers State, located in the Niger Delta region of Nigeria, is not exempt from these health challenges. Recent studies have shown a high prevalence of TB in the state [8,9]. </w:t>
      </w:r>
      <w:r w:rsidR="00DB5E05" w:rsidRPr="00DB5E05">
        <w:rPr>
          <w:rFonts w:ascii="Times New Roman" w:hAnsi="Times New Roman" w:cs="Times New Roman"/>
          <w:sz w:val="24"/>
          <w:szCs w:val="24"/>
        </w:rPr>
        <w:t>There is a high prevalence of HBV in Nigeria along with inadequate data on HBV cases thereby requiring further research</w:t>
      </w:r>
      <w:r>
        <w:rPr>
          <w:rFonts w:ascii="Times New Roman" w:hAnsi="Times New Roman" w:cs="Times New Roman"/>
          <w:sz w:val="24"/>
          <w:szCs w:val="24"/>
        </w:rPr>
        <w:t xml:space="preserve"> [9</w:t>
      </w:r>
      <w:r w:rsidR="00DB5E05">
        <w:rPr>
          <w:rFonts w:ascii="Times New Roman" w:hAnsi="Times New Roman" w:cs="Times New Roman"/>
          <w:sz w:val="24"/>
          <w:szCs w:val="24"/>
        </w:rPr>
        <w:t xml:space="preserve">]. This study aims to determine </w:t>
      </w:r>
      <w:r>
        <w:rPr>
          <w:rFonts w:ascii="Times New Roman" w:hAnsi="Times New Roman" w:cs="Times New Roman"/>
          <w:sz w:val="24"/>
          <w:szCs w:val="24"/>
        </w:rPr>
        <w:t xml:space="preserve">the coinfection of Tuberculosis and Occult Hepatitis B among residents in Rivers State, Nigeria. The specific objectives are to determine the prevalence of Tuberculosis /Occult Hepatitis B Coinfection among residents in Rivers State Nigeria and to compare the demographic difference in the distribution of Tuberculosis and Occult Hepatitis B Coinfection in the study population. By achieving these objectives, this study will provide valuable insights into the epidemiology of TB and occult HBV coinfection in Rivers State. This </w:t>
      </w:r>
      <w:r w:rsidR="00DB5E05">
        <w:rPr>
          <w:rFonts w:ascii="Times New Roman" w:hAnsi="Times New Roman" w:cs="Times New Roman"/>
          <w:sz w:val="24"/>
          <w:szCs w:val="24"/>
        </w:rPr>
        <w:t>data</w:t>
      </w:r>
      <w:r>
        <w:rPr>
          <w:rFonts w:ascii="Times New Roman" w:hAnsi="Times New Roman" w:cs="Times New Roman"/>
          <w:sz w:val="24"/>
          <w:szCs w:val="24"/>
        </w:rPr>
        <w:t xml:space="preserve"> is </w:t>
      </w:r>
      <w:r w:rsidR="00DB5E05">
        <w:rPr>
          <w:rFonts w:ascii="Times New Roman" w:hAnsi="Times New Roman" w:cs="Times New Roman"/>
          <w:sz w:val="24"/>
          <w:szCs w:val="24"/>
        </w:rPr>
        <w:t>vital for undertaking public health measures</w:t>
      </w:r>
      <w:r>
        <w:rPr>
          <w:rFonts w:ascii="Times New Roman" w:hAnsi="Times New Roman" w:cs="Times New Roman"/>
          <w:sz w:val="24"/>
          <w:szCs w:val="24"/>
        </w:rPr>
        <w:t xml:space="preserve"> aimed at controlling these infections and improving the health outcomes of the affected population.</w:t>
      </w:r>
    </w:p>
    <w:p w14:paraId="5CC09DF0" w14:textId="77777777" w:rsidR="00EB361E" w:rsidRDefault="00EB361E">
      <w:pPr>
        <w:spacing w:line="276" w:lineRule="auto"/>
        <w:jc w:val="both"/>
        <w:rPr>
          <w:rFonts w:ascii="Times New Roman" w:hAnsi="Times New Roman" w:cs="Times New Roman"/>
          <w:b/>
          <w:sz w:val="24"/>
          <w:szCs w:val="24"/>
        </w:rPr>
      </w:pPr>
    </w:p>
    <w:p w14:paraId="6477D946" w14:textId="77777777" w:rsidR="00EB361E" w:rsidRDefault="00EB361E">
      <w:pPr>
        <w:spacing w:line="276" w:lineRule="auto"/>
        <w:jc w:val="both"/>
        <w:rPr>
          <w:rFonts w:ascii="Times New Roman" w:hAnsi="Times New Roman" w:cs="Times New Roman"/>
          <w:b/>
          <w:sz w:val="24"/>
          <w:szCs w:val="24"/>
        </w:rPr>
      </w:pPr>
    </w:p>
    <w:p w14:paraId="64D75182" w14:textId="77777777" w:rsidR="00EB361E" w:rsidRDefault="00EB361E">
      <w:pPr>
        <w:spacing w:line="276" w:lineRule="auto"/>
        <w:jc w:val="both"/>
        <w:rPr>
          <w:rFonts w:ascii="Times New Roman" w:hAnsi="Times New Roman" w:cs="Times New Roman"/>
          <w:b/>
          <w:sz w:val="24"/>
          <w:szCs w:val="24"/>
        </w:rPr>
      </w:pPr>
    </w:p>
    <w:p w14:paraId="335EC477"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55A3D3B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08FDB5BA" w14:textId="16F16C41"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the Rivers State University Teaching Hospital (RSUTH), a tertiary healthcare institution </w:t>
      </w:r>
      <w:r w:rsidR="00DB5E05" w:rsidRPr="00DB5E05">
        <w:rPr>
          <w:rFonts w:ascii="Times New Roman" w:hAnsi="Times New Roman" w:cs="Times New Roman"/>
          <w:sz w:val="24"/>
          <w:szCs w:val="24"/>
        </w:rPr>
        <w:t>in</w:t>
      </w:r>
      <w:r>
        <w:rPr>
          <w:rFonts w:ascii="Times New Roman" w:hAnsi="Times New Roman" w:cs="Times New Roman"/>
          <w:sz w:val="24"/>
          <w:szCs w:val="24"/>
        </w:rPr>
        <w:t xml:space="preserve"> Nigeria. RSUTH provides a high level of medical care, offering a wide range of specialized health services. Its location in a major urban center allows it to serve a diverse population, making it an ideal setting for this study.</w:t>
      </w:r>
    </w:p>
    <w:p w14:paraId="0831546D"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Study Design</w:t>
      </w:r>
    </w:p>
    <w:p w14:paraId="67808162"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cross-sectional study was conducted from October 2023 to February 2024.  A total of 392 participants suspected of having Tuberculosis (TB) and Occult Hepatitis B were enrolled in the study. Sputum samples were systematically collected for TB examinations, and blood samples were collected for HBV DNA Quantification to detect Occult Hepatitis B.</w:t>
      </w:r>
    </w:p>
    <w:p w14:paraId="47F077C0"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Sampling Method</w:t>
      </w:r>
    </w:p>
    <w:p w14:paraId="6F2ED0D9"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The sampling method employed in this study was simple random sampling. Each presumptive patient was assigned a binary numbering system, consisting of the digits “1” and “0”. Participants were then asked to pick a number at random. Those who picked a “0” were included in the study sample, while those who picked a “1” were not selected.  This method ensures that every individual in the population has an equal chance of being selected, thereby reducing selection bias and allowing the results to be generalized to the larger population</w:t>
      </w:r>
    </w:p>
    <w:p w14:paraId="720EF556"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Measures</w:t>
      </w:r>
    </w:p>
    <w:p w14:paraId="42E6E2A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Processing of Sputum Samples for Culture:</w:t>
      </w:r>
    </w:p>
    <w:p w14:paraId="2E91BE44"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The processing of sputum samples for culture was meticulously carried out using the N-Acetyl-L-Cysteine (NALC)-NaOH method [10]. Initially, 4% NaOH and 2.9% Sodium citrate were prepared and sterilized separately. These reagents were then mixed in equal volumes to create the working solution. To this, 1 gram of NALC was added freshly. An equal volume of the NALC-NaOH solution was then added to the sputum samples, which were gently mixed by inversion and subsequently vortexed for 30 seconds. The mixture was allowed to stand for 15 minutes, with intermittent mixing to ensure proper lysis of the sputum. Following this, the content was neutralized using phosphate-buffered saline (PBS) at a pH of 6.8. The samples were then centrifuged at 3000xg for 15 minutes. After discarding the supernatant, the pellet was resuspended in 2 ml of PBS. Finally, 3 drops of the resuspended sample were inoculated into the Lowenstein-Jensen media in duplicate and incubated at 37°C for 8 weeks to allow for the growth and identification of mycobacteria.</w:t>
      </w:r>
    </w:p>
    <w:p w14:paraId="283D06E1" w14:textId="77777777" w:rsidR="00EB361E" w:rsidRDefault="00EB361E">
      <w:pPr>
        <w:spacing w:line="276" w:lineRule="auto"/>
        <w:jc w:val="both"/>
        <w:rPr>
          <w:rFonts w:ascii="Times New Roman" w:hAnsi="Times New Roman" w:cs="Times New Roman"/>
          <w:b/>
          <w:sz w:val="24"/>
          <w:szCs w:val="24"/>
        </w:rPr>
      </w:pPr>
    </w:p>
    <w:p w14:paraId="483DA6DA" w14:textId="77777777" w:rsidR="00EB361E" w:rsidRDefault="00EB361E">
      <w:pPr>
        <w:spacing w:line="276" w:lineRule="auto"/>
        <w:jc w:val="both"/>
        <w:rPr>
          <w:rFonts w:ascii="Times New Roman" w:hAnsi="Times New Roman" w:cs="Times New Roman"/>
          <w:b/>
          <w:sz w:val="24"/>
          <w:szCs w:val="24"/>
        </w:rPr>
      </w:pPr>
    </w:p>
    <w:p w14:paraId="0036CD1F"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HBV DNA Quantification:</w:t>
      </w:r>
    </w:p>
    <w:p w14:paraId="5167BC28" w14:textId="46D2BEEC"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The quantification of HBV DNA was meticulously carried out using Real-Time Polymerase Chain Reaction (PCR) [11]. Initially, blood was collected, typically from a vein in the arm. The blood sample was then centrifuged to separate the serum or plasma and was used for the test.</w:t>
      </w:r>
      <w:r>
        <w:rPr>
          <w:rFonts w:ascii="Times New Roman" w:hAnsi="Times New Roman" w:cs="Times New Roman"/>
          <w:b/>
          <w:sz w:val="24"/>
          <w:szCs w:val="24"/>
        </w:rPr>
        <w:t xml:space="preserve"> </w:t>
      </w:r>
      <w:r>
        <w:rPr>
          <w:rFonts w:ascii="Times New Roman" w:hAnsi="Times New Roman" w:cs="Times New Roman"/>
          <w:sz w:val="24"/>
          <w:szCs w:val="24"/>
        </w:rPr>
        <w:t>HBV DNA was extracted from the serum using a DNA extraction kit following the manufacturer's instructions. The extracted DNA was then prepared for PCR. The PCR reaction mix was prepared by adding the extracted DNA, a pair of primers specific to HBV DNA, and a fluorescent probe to a PCR master mix. The master mix contained the necessary components for the PCR, including Taq polymerase, dNTPs, and buffer. The reaction mix was loaded into a real-</w:t>
      </w:r>
      <w:r>
        <w:rPr>
          <w:rFonts w:ascii="Times New Roman" w:hAnsi="Times New Roman" w:cs="Times New Roman"/>
          <w:sz w:val="24"/>
          <w:szCs w:val="24"/>
        </w:rPr>
        <w:lastRenderedPageBreak/>
        <w:t>time PCR machine. The machine cycled through different temperatures to denature the DNA, anneal the primers, and extend the new DNA strands. The fluorescent probe was bound to the amplified HBV DNA, and the machine measured the fluorescence after each cycle.</w:t>
      </w:r>
      <w:r>
        <w:rPr>
          <w:rFonts w:ascii="Times New Roman" w:hAnsi="Times New Roman" w:cs="Times New Roman"/>
          <w:b/>
          <w:sz w:val="24"/>
          <w:szCs w:val="24"/>
        </w:rPr>
        <w:t xml:space="preserve"> </w:t>
      </w:r>
      <w:r>
        <w:rPr>
          <w:rFonts w:ascii="Times New Roman" w:hAnsi="Times New Roman" w:cs="Times New Roman"/>
          <w:sz w:val="24"/>
          <w:szCs w:val="24"/>
        </w:rPr>
        <w:t>The real-time PCR machine generated a cycle threshold (Ct) value, which was the number of cycles it took for the fluorescence to exceed a certain threshold. This Ct value was inversely proportional to the amount of HBV DNA in the sample. The viral load (HBV DNA copies/mL) was then calculated based on the Ct value.</w:t>
      </w:r>
      <w:r>
        <w:rPr>
          <w:rFonts w:ascii="Times New Roman" w:hAnsi="Times New Roman" w:cs="Times New Roman"/>
          <w:b/>
          <w:sz w:val="24"/>
          <w:szCs w:val="24"/>
        </w:rPr>
        <w:t xml:space="preserve"> </w:t>
      </w:r>
      <w:r>
        <w:rPr>
          <w:rFonts w:ascii="Times New Roman" w:hAnsi="Times New Roman" w:cs="Times New Roman"/>
          <w:sz w:val="24"/>
          <w:szCs w:val="24"/>
        </w:rPr>
        <w:t>Finally, the results were documented and reported to the healthcare provider. This entire process was carried out with strict adherence to the manufacturer's instructions and local guidelines when performing HBV DNA testing.</w:t>
      </w:r>
    </w:p>
    <w:p w14:paraId="13AA369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14:paraId="789D13E1" w14:textId="674F50E0" w:rsidR="00222DAE" w:rsidRPr="00222DA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In the statistical analysis of the collected data, descriptive statistics were employed, with results expressed as percentages. The Chi-square test was utilized to ascertain the association between the rates of infection and various socio-demographic variables. Mann-Whitney Test was used to compare Sex Specific Difference in Distribution of TB/OBI Co-infection, and Kruskal-Wallis Test was used to compare age Specific differences in the distribution of TB/OBI Co-infection. Throughout the analysis, the level of significance was established at α of 0.05, indicating that results with a p-value less than 0.05 would be considered statistically significant.</w:t>
      </w:r>
    </w:p>
    <w:p w14:paraId="0A26CEDB" w14:textId="77777777" w:rsidR="00EB361E" w:rsidRDefault="00EB361E">
      <w:pPr>
        <w:spacing w:line="276" w:lineRule="auto"/>
        <w:jc w:val="both"/>
        <w:rPr>
          <w:rFonts w:ascii="Times New Roman" w:hAnsi="Times New Roman" w:cs="Times New Roman"/>
          <w:b/>
          <w:sz w:val="24"/>
          <w:szCs w:val="24"/>
        </w:rPr>
      </w:pPr>
    </w:p>
    <w:p w14:paraId="0DDA6E12" w14:textId="77777777" w:rsidR="00EB361E" w:rsidRDefault="00EB361E">
      <w:pPr>
        <w:spacing w:line="276" w:lineRule="auto"/>
        <w:jc w:val="both"/>
        <w:rPr>
          <w:rFonts w:ascii="Times New Roman" w:hAnsi="Times New Roman" w:cs="Times New Roman"/>
          <w:b/>
          <w:sz w:val="24"/>
          <w:szCs w:val="24"/>
        </w:rPr>
      </w:pPr>
    </w:p>
    <w:p w14:paraId="0FBD5919" w14:textId="77777777" w:rsidR="00EB361E" w:rsidRDefault="00EB361E">
      <w:pPr>
        <w:spacing w:line="276" w:lineRule="auto"/>
        <w:jc w:val="both"/>
        <w:rPr>
          <w:rFonts w:ascii="Times New Roman" w:hAnsi="Times New Roman" w:cs="Times New Roman"/>
          <w:b/>
          <w:sz w:val="24"/>
          <w:szCs w:val="24"/>
        </w:rPr>
      </w:pPr>
    </w:p>
    <w:p w14:paraId="6E0FBC2B" w14:textId="77777777" w:rsidR="00EB361E" w:rsidRDefault="00EB361E">
      <w:pPr>
        <w:spacing w:line="276" w:lineRule="auto"/>
        <w:jc w:val="both"/>
        <w:rPr>
          <w:rFonts w:ascii="Times New Roman" w:hAnsi="Times New Roman" w:cs="Times New Roman"/>
          <w:b/>
          <w:sz w:val="24"/>
          <w:szCs w:val="24"/>
        </w:rPr>
      </w:pPr>
    </w:p>
    <w:p w14:paraId="6CB29E47" w14:textId="77777777" w:rsidR="00EB361E" w:rsidRDefault="00EB361E">
      <w:pPr>
        <w:spacing w:line="276" w:lineRule="auto"/>
        <w:jc w:val="both"/>
        <w:rPr>
          <w:rFonts w:ascii="Times New Roman" w:hAnsi="Times New Roman" w:cs="Times New Roman"/>
          <w:b/>
          <w:sz w:val="24"/>
          <w:szCs w:val="24"/>
        </w:rPr>
      </w:pPr>
    </w:p>
    <w:p w14:paraId="1B6EEFEC" w14:textId="77777777" w:rsidR="00EB361E" w:rsidRDefault="00EB361E">
      <w:pPr>
        <w:spacing w:line="276" w:lineRule="auto"/>
        <w:jc w:val="both"/>
        <w:rPr>
          <w:rFonts w:ascii="Times New Roman" w:hAnsi="Times New Roman" w:cs="Times New Roman"/>
          <w:b/>
          <w:sz w:val="24"/>
          <w:szCs w:val="24"/>
        </w:rPr>
      </w:pPr>
    </w:p>
    <w:p w14:paraId="09F6FA64" w14:textId="77777777" w:rsidR="00EB361E" w:rsidRDefault="00BA519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62F09702" w14:textId="5D1E1BD8" w:rsidR="00EB361E" w:rsidRPr="00DB5E05" w:rsidRDefault="00BA519F" w:rsidP="00DB5E05">
      <w:pPr>
        <w:pStyle w:val="CommentText"/>
      </w:pPr>
      <w:r>
        <w:rPr>
          <w:rFonts w:ascii="Times New Roman" w:hAnsi="Times New Roman" w:cs="Times New Roman"/>
          <w:b/>
          <w:sz w:val="24"/>
          <w:szCs w:val="24"/>
        </w:rPr>
        <w:t>Table 1</w:t>
      </w:r>
      <w:r w:rsidR="00DB5E05" w:rsidRPr="00DB5E05">
        <w:t xml:space="preserve"> </w:t>
      </w:r>
      <w:r w:rsidR="00DB5E05" w:rsidRPr="00DB5E05">
        <w:rPr>
          <w:rFonts w:ascii="Times New Roman" w:hAnsi="Times New Roman" w:cs="Times New Roman"/>
          <w:b/>
          <w:sz w:val="24"/>
          <w:szCs w:val="24"/>
        </w:rPr>
        <w:t>Baseline Demographics and Clinical Characteristics</w:t>
      </w:r>
      <w:r w:rsidR="00DB5E05" w:rsidRPr="005964ED">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B361E" w14:paraId="26675F64" w14:textId="77777777">
        <w:tc>
          <w:tcPr>
            <w:tcW w:w="2394" w:type="dxa"/>
            <w:tcBorders>
              <w:top w:val="single" w:sz="4" w:space="0" w:color="auto"/>
              <w:bottom w:val="single" w:sz="4" w:space="0" w:color="auto"/>
            </w:tcBorders>
          </w:tcPr>
          <w:p w14:paraId="42DE08E9"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2394" w:type="dxa"/>
            <w:tcBorders>
              <w:top w:val="single" w:sz="4" w:space="0" w:color="auto"/>
              <w:bottom w:val="single" w:sz="4" w:space="0" w:color="auto"/>
            </w:tcBorders>
          </w:tcPr>
          <w:p w14:paraId="5B089CAC"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Group</w:t>
            </w:r>
          </w:p>
        </w:tc>
        <w:tc>
          <w:tcPr>
            <w:tcW w:w="2394" w:type="dxa"/>
            <w:tcBorders>
              <w:top w:val="single" w:sz="4" w:space="0" w:color="auto"/>
              <w:bottom w:val="single" w:sz="4" w:space="0" w:color="auto"/>
            </w:tcBorders>
          </w:tcPr>
          <w:p w14:paraId="746F5E01"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Frequency</w:t>
            </w:r>
          </w:p>
        </w:tc>
        <w:tc>
          <w:tcPr>
            <w:tcW w:w="2394" w:type="dxa"/>
            <w:tcBorders>
              <w:top w:val="single" w:sz="4" w:space="0" w:color="auto"/>
              <w:bottom w:val="single" w:sz="4" w:space="0" w:color="auto"/>
            </w:tcBorders>
          </w:tcPr>
          <w:p w14:paraId="6F763F4D" w14:textId="49DBA035"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Percent</w:t>
            </w:r>
            <w:r w:rsidR="00DB5E05">
              <w:rPr>
                <w:rFonts w:ascii="Times New Roman" w:hAnsi="Times New Roman" w:cs="Times New Roman"/>
                <w:sz w:val="24"/>
                <w:szCs w:val="24"/>
              </w:rPr>
              <w:t>age</w:t>
            </w:r>
          </w:p>
        </w:tc>
      </w:tr>
      <w:tr w:rsidR="00EB361E" w14:paraId="7E02B41E" w14:textId="77777777">
        <w:tc>
          <w:tcPr>
            <w:tcW w:w="2394" w:type="dxa"/>
            <w:tcBorders>
              <w:top w:val="single" w:sz="4" w:space="0" w:color="auto"/>
            </w:tcBorders>
            <w:vAlign w:val="center"/>
          </w:tcPr>
          <w:p w14:paraId="66C340E3" w14:textId="77777777" w:rsidR="00EB361E" w:rsidRDefault="00BA519F">
            <w:pPr>
              <w:autoSpaceDE w:val="0"/>
              <w:autoSpaceDN w:val="0"/>
              <w:adjustRightInd w:val="0"/>
              <w:spacing w:after="0" w:line="240" w:lineRule="auto"/>
              <w:ind w:right="60"/>
              <w:rPr>
                <w:rFonts w:ascii="Times New Roman" w:hAnsi="Times New Roman" w:cs="Times New Roman"/>
                <w:sz w:val="24"/>
                <w:szCs w:val="24"/>
              </w:rPr>
            </w:pPr>
            <w:r>
              <w:rPr>
                <w:rFonts w:ascii="Times New Roman" w:hAnsi="Times New Roman" w:cs="Times New Roman"/>
                <w:sz w:val="24"/>
                <w:szCs w:val="24"/>
              </w:rPr>
              <w:t>Age</w:t>
            </w:r>
          </w:p>
        </w:tc>
        <w:tc>
          <w:tcPr>
            <w:tcW w:w="2394" w:type="dxa"/>
            <w:tcBorders>
              <w:top w:val="single" w:sz="4" w:space="0" w:color="auto"/>
            </w:tcBorders>
            <w:vAlign w:val="center"/>
          </w:tcPr>
          <w:p w14:paraId="6B9D423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&lt;20</w:t>
            </w:r>
          </w:p>
        </w:tc>
        <w:tc>
          <w:tcPr>
            <w:tcW w:w="2394" w:type="dxa"/>
            <w:tcBorders>
              <w:top w:val="single" w:sz="4" w:space="0" w:color="auto"/>
            </w:tcBorders>
          </w:tcPr>
          <w:p w14:paraId="0B014A10"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51</w:t>
            </w:r>
          </w:p>
        </w:tc>
        <w:tc>
          <w:tcPr>
            <w:tcW w:w="2394" w:type="dxa"/>
            <w:tcBorders>
              <w:top w:val="single" w:sz="4" w:space="0" w:color="auto"/>
            </w:tcBorders>
          </w:tcPr>
          <w:p w14:paraId="4B830FD1"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13.0</w:t>
            </w:r>
          </w:p>
        </w:tc>
      </w:tr>
      <w:tr w:rsidR="00EB361E" w14:paraId="3CBDACFF" w14:textId="77777777">
        <w:tc>
          <w:tcPr>
            <w:tcW w:w="2394" w:type="dxa"/>
            <w:vAlign w:val="center"/>
          </w:tcPr>
          <w:p w14:paraId="48C4D204"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1B9CBAE"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21-29</w:t>
            </w:r>
          </w:p>
        </w:tc>
        <w:tc>
          <w:tcPr>
            <w:tcW w:w="2394" w:type="dxa"/>
          </w:tcPr>
          <w:p w14:paraId="0FC79F17"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70</w:t>
            </w:r>
          </w:p>
        </w:tc>
        <w:tc>
          <w:tcPr>
            <w:tcW w:w="2394" w:type="dxa"/>
          </w:tcPr>
          <w:p w14:paraId="782EF6C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17.9</w:t>
            </w:r>
          </w:p>
        </w:tc>
      </w:tr>
      <w:tr w:rsidR="00EB361E" w14:paraId="255171C7" w14:textId="77777777">
        <w:tc>
          <w:tcPr>
            <w:tcW w:w="2394" w:type="dxa"/>
            <w:vAlign w:val="center"/>
          </w:tcPr>
          <w:p w14:paraId="53A28CC6"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1DFF757A"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30-39</w:t>
            </w:r>
          </w:p>
        </w:tc>
        <w:tc>
          <w:tcPr>
            <w:tcW w:w="2394" w:type="dxa"/>
          </w:tcPr>
          <w:p w14:paraId="6C4A9239"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180</w:t>
            </w:r>
          </w:p>
        </w:tc>
        <w:tc>
          <w:tcPr>
            <w:tcW w:w="2394" w:type="dxa"/>
          </w:tcPr>
          <w:p w14:paraId="03D88ACC"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45.9</w:t>
            </w:r>
          </w:p>
        </w:tc>
      </w:tr>
      <w:tr w:rsidR="00EB361E" w14:paraId="26128E26" w14:textId="77777777">
        <w:tc>
          <w:tcPr>
            <w:tcW w:w="2394" w:type="dxa"/>
            <w:vAlign w:val="center"/>
          </w:tcPr>
          <w:p w14:paraId="4086A59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088AE0C8"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40-50</w:t>
            </w:r>
          </w:p>
        </w:tc>
        <w:tc>
          <w:tcPr>
            <w:tcW w:w="2394" w:type="dxa"/>
          </w:tcPr>
          <w:p w14:paraId="52DE0D1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73</w:t>
            </w:r>
          </w:p>
        </w:tc>
        <w:tc>
          <w:tcPr>
            <w:tcW w:w="2394" w:type="dxa"/>
          </w:tcPr>
          <w:p w14:paraId="2BA9A458"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18.6</w:t>
            </w:r>
          </w:p>
        </w:tc>
      </w:tr>
      <w:tr w:rsidR="00EB361E" w14:paraId="7EB17231" w14:textId="77777777">
        <w:tc>
          <w:tcPr>
            <w:tcW w:w="2394" w:type="dxa"/>
            <w:vAlign w:val="center"/>
          </w:tcPr>
          <w:p w14:paraId="30E41AE7"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39E8D44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51&gt;</w:t>
            </w:r>
          </w:p>
        </w:tc>
        <w:tc>
          <w:tcPr>
            <w:tcW w:w="2394" w:type="dxa"/>
          </w:tcPr>
          <w:p w14:paraId="34238E4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2394" w:type="dxa"/>
          </w:tcPr>
          <w:p w14:paraId="53159993"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4.6</w:t>
            </w:r>
          </w:p>
        </w:tc>
      </w:tr>
      <w:tr w:rsidR="00EB361E" w14:paraId="3F572138" w14:textId="77777777">
        <w:tc>
          <w:tcPr>
            <w:tcW w:w="2394" w:type="dxa"/>
            <w:vAlign w:val="center"/>
          </w:tcPr>
          <w:p w14:paraId="7876C12D"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EDDD374"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1F060FF0"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469E3B5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4EC94B03" w14:textId="77777777">
        <w:tc>
          <w:tcPr>
            <w:tcW w:w="2394" w:type="dxa"/>
            <w:vAlign w:val="center"/>
          </w:tcPr>
          <w:p w14:paraId="0CA2260E"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39AB037" w14:textId="77777777" w:rsidR="00EB361E" w:rsidRDefault="00EB361E">
            <w:pPr>
              <w:autoSpaceDE w:val="0"/>
              <w:autoSpaceDN w:val="0"/>
              <w:adjustRightInd w:val="0"/>
              <w:spacing w:after="0" w:line="240" w:lineRule="auto"/>
              <w:ind w:left="60" w:right="60"/>
              <w:rPr>
                <w:rFonts w:ascii="Times New Roman" w:hAnsi="Times New Roman" w:cs="Times New Roman"/>
                <w:sz w:val="24"/>
                <w:szCs w:val="24"/>
              </w:rPr>
            </w:pPr>
          </w:p>
        </w:tc>
        <w:tc>
          <w:tcPr>
            <w:tcW w:w="2394" w:type="dxa"/>
          </w:tcPr>
          <w:p w14:paraId="2067129D"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c>
          <w:tcPr>
            <w:tcW w:w="2394" w:type="dxa"/>
          </w:tcPr>
          <w:p w14:paraId="2D41C257"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r>
      <w:tr w:rsidR="00EB361E" w14:paraId="119EE490" w14:textId="77777777">
        <w:tc>
          <w:tcPr>
            <w:tcW w:w="2394" w:type="dxa"/>
          </w:tcPr>
          <w:p w14:paraId="1B4F8FE7"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w:t>
            </w:r>
          </w:p>
        </w:tc>
        <w:tc>
          <w:tcPr>
            <w:tcW w:w="2394" w:type="dxa"/>
            <w:vAlign w:val="center"/>
          </w:tcPr>
          <w:p w14:paraId="56505447"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Male</w:t>
            </w:r>
          </w:p>
        </w:tc>
        <w:tc>
          <w:tcPr>
            <w:tcW w:w="2394" w:type="dxa"/>
          </w:tcPr>
          <w:p w14:paraId="62BE0CF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154</w:t>
            </w:r>
          </w:p>
        </w:tc>
        <w:tc>
          <w:tcPr>
            <w:tcW w:w="2394" w:type="dxa"/>
          </w:tcPr>
          <w:p w14:paraId="300381FF"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39.3</w:t>
            </w:r>
          </w:p>
        </w:tc>
      </w:tr>
      <w:tr w:rsidR="00EB361E" w14:paraId="1F464D16" w14:textId="77777777">
        <w:tc>
          <w:tcPr>
            <w:tcW w:w="2394" w:type="dxa"/>
          </w:tcPr>
          <w:p w14:paraId="17B32262"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E3ADAA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Female</w:t>
            </w:r>
          </w:p>
        </w:tc>
        <w:tc>
          <w:tcPr>
            <w:tcW w:w="2394" w:type="dxa"/>
          </w:tcPr>
          <w:p w14:paraId="42E3E6D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238</w:t>
            </w:r>
          </w:p>
        </w:tc>
        <w:tc>
          <w:tcPr>
            <w:tcW w:w="2394" w:type="dxa"/>
          </w:tcPr>
          <w:p w14:paraId="3C1C286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60.7</w:t>
            </w:r>
          </w:p>
        </w:tc>
      </w:tr>
      <w:tr w:rsidR="00EB361E" w14:paraId="6FCF2024" w14:textId="77777777">
        <w:tc>
          <w:tcPr>
            <w:tcW w:w="2394" w:type="dxa"/>
          </w:tcPr>
          <w:p w14:paraId="670806C7"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39F8EC9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1D983C3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744AACA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3783DEE8" w14:textId="77777777">
        <w:tc>
          <w:tcPr>
            <w:tcW w:w="2394" w:type="dxa"/>
          </w:tcPr>
          <w:p w14:paraId="78110760"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054E948" w14:textId="77777777" w:rsidR="00EB361E" w:rsidRDefault="00EB361E">
            <w:pPr>
              <w:autoSpaceDE w:val="0"/>
              <w:autoSpaceDN w:val="0"/>
              <w:adjustRightInd w:val="0"/>
              <w:spacing w:after="0" w:line="240" w:lineRule="auto"/>
              <w:ind w:left="60" w:right="60"/>
              <w:rPr>
                <w:rFonts w:ascii="Times New Roman" w:hAnsi="Times New Roman" w:cs="Times New Roman"/>
                <w:sz w:val="24"/>
                <w:szCs w:val="24"/>
              </w:rPr>
            </w:pPr>
          </w:p>
        </w:tc>
        <w:tc>
          <w:tcPr>
            <w:tcW w:w="2394" w:type="dxa"/>
          </w:tcPr>
          <w:p w14:paraId="14864F4B"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c>
          <w:tcPr>
            <w:tcW w:w="2394" w:type="dxa"/>
          </w:tcPr>
          <w:p w14:paraId="7F9CA571"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r>
      <w:tr w:rsidR="00EB361E" w14:paraId="77C0703B" w14:textId="77777777">
        <w:tc>
          <w:tcPr>
            <w:tcW w:w="2394" w:type="dxa"/>
          </w:tcPr>
          <w:p w14:paraId="590B31B0"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Family History of TB</w:t>
            </w:r>
          </w:p>
        </w:tc>
        <w:tc>
          <w:tcPr>
            <w:tcW w:w="2394" w:type="dxa"/>
            <w:vAlign w:val="center"/>
          </w:tcPr>
          <w:p w14:paraId="1D7E0AC0"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Yes</w:t>
            </w:r>
          </w:p>
        </w:tc>
        <w:tc>
          <w:tcPr>
            <w:tcW w:w="2394" w:type="dxa"/>
          </w:tcPr>
          <w:p w14:paraId="076F2B1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4ED5B653"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EB361E" w14:paraId="4F6F82DC" w14:textId="77777777">
        <w:tc>
          <w:tcPr>
            <w:tcW w:w="2394" w:type="dxa"/>
          </w:tcPr>
          <w:p w14:paraId="2C9E7EB9"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57703946"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No</w:t>
            </w:r>
          </w:p>
        </w:tc>
        <w:tc>
          <w:tcPr>
            <w:tcW w:w="2394" w:type="dxa"/>
          </w:tcPr>
          <w:p w14:paraId="075229DF"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391</w:t>
            </w:r>
          </w:p>
        </w:tc>
        <w:tc>
          <w:tcPr>
            <w:tcW w:w="2394" w:type="dxa"/>
          </w:tcPr>
          <w:p w14:paraId="761CF1A7"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99.7</w:t>
            </w:r>
          </w:p>
        </w:tc>
      </w:tr>
      <w:tr w:rsidR="00EB361E" w14:paraId="46272AA3" w14:textId="77777777">
        <w:tc>
          <w:tcPr>
            <w:tcW w:w="2394" w:type="dxa"/>
          </w:tcPr>
          <w:p w14:paraId="03FC210B"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A8C64C8"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770338E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51ABC81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111EB4F9" w14:textId="77777777">
        <w:tc>
          <w:tcPr>
            <w:tcW w:w="2394" w:type="dxa"/>
          </w:tcPr>
          <w:p w14:paraId="679B8FB8"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TB/OBI Co-infection</w:t>
            </w:r>
          </w:p>
        </w:tc>
        <w:tc>
          <w:tcPr>
            <w:tcW w:w="2394" w:type="dxa"/>
            <w:vAlign w:val="center"/>
          </w:tcPr>
          <w:p w14:paraId="55E5843F"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Positive</w:t>
            </w:r>
          </w:p>
        </w:tc>
        <w:tc>
          <w:tcPr>
            <w:tcW w:w="2394" w:type="dxa"/>
          </w:tcPr>
          <w:p w14:paraId="610F4F2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235BBAEC"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EB361E" w14:paraId="61F4A6D2" w14:textId="77777777">
        <w:tc>
          <w:tcPr>
            <w:tcW w:w="2394" w:type="dxa"/>
          </w:tcPr>
          <w:p w14:paraId="621161A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FDB985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Negative</w:t>
            </w:r>
          </w:p>
        </w:tc>
        <w:tc>
          <w:tcPr>
            <w:tcW w:w="2394" w:type="dxa"/>
          </w:tcPr>
          <w:p w14:paraId="3670DBB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391</w:t>
            </w:r>
          </w:p>
        </w:tc>
        <w:tc>
          <w:tcPr>
            <w:tcW w:w="2394" w:type="dxa"/>
          </w:tcPr>
          <w:p w14:paraId="22A9AA3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99.7</w:t>
            </w:r>
          </w:p>
        </w:tc>
      </w:tr>
      <w:tr w:rsidR="00EB361E" w14:paraId="472F3C9C" w14:textId="77777777">
        <w:tc>
          <w:tcPr>
            <w:tcW w:w="2394" w:type="dxa"/>
          </w:tcPr>
          <w:p w14:paraId="01B0BD21"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454519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61CBB779"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5F4A79C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bl>
    <w:p w14:paraId="7A34FAAB"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5D8175B2" w14:textId="77777777" w:rsidR="00EB361E" w:rsidRDefault="00BA519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1: Presents the demographic distribution of the study participants, totaling 392 individuals. The age distribution is segmented into five categories: under 20 years (13.0%), 21-29 years (17.9%), 30-39 years (45.9%), 40-50 years (18.6%), and above 51 years (4.6%). The gender composition is predominantly female, constituting 60.7%, while males account for 39.3%. Regarding the family history of TB, only 0.3% of participants reported a positive family history. The prevalence of TB/OBI co-infection in the study population was found to be 0.3%.</w:t>
      </w:r>
    </w:p>
    <w:p w14:paraId="4A8D0601" w14:textId="77777777" w:rsidR="00EB361E" w:rsidRDefault="00EB361E">
      <w:pPr>
        <w:autoSpaceDE w:val="0"/>
        <w:autoSpaceDN w:val="0"/>
        <w:adjustRightInd w:val="0"/>
        <w:spacing w:after="0" w:line="240" w:lineRule="auto"/>
        <w:rPr>
          <w:rFonts w:ascii="Times New Roman" w:hAnsi="Times New Roman" w:cs="Times New Roman"/>
          <w:b/>
          <w:bCs/>
          <w:sz w:val="24"/>
          <w:szCs w:val="24"/>
        </w:rPr>
      </w:pPr>
    </w:p>
    <w:p w14:paraId="1F2C3420"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2: Prevalence of TB/OBI Co-infection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B361E" w:rsidRPr="00DB5E05" w14:paraId="1E1A70B4" w14:textId="77777777">
        <w:tc>
          <w:tcPr>
            <w:tcW w:w="2394" w:type="dxa"/>
            <w:tcBorders>
              <w:top w:val="single" w:sz="4" w:space="0" w:color="auto"/>
              <w:bottom w:val="single" w:sz="4" w:space="0" w:color="auto"/>
            </w:tcBorders>
          </w:tcPr>
          <w:p w14:paraId="04B28536" w14:textId="77777777" w:rsidR="00DB5E05" w:rsidRPr="00DB5E05" w:rsidRDefault="00DB5E05" w:rsidP="00DB5E05">
            <w:pPr>
              <w:pStyle w:val="CommentText"/>
              <w:jc w:val="center"/>
              <w:rPr>
                <w:rFonts w:ascii="Times New Roman" w:hAnsi="Times New Roman" w:cs="Times New Roman"/>
                <w:b/>
                <w:sz w:val="16"/>
                <w:szCs w:val="16"/>
              </w:rPr>
            </w:pPr>
            <w:r w:rsidRPr="00DB5E05">
              <w:rPr>
                <w:rFonts w:ascii="Times New Roman" w:hAnsi="Times New Roman" w:cs="Times New Roman"/>
                <w:b/>
                <w:sz w:val="16"/>
                <w:szCs w:val="16"/>
              </w:rPr>
              <w:t>Total no of participants</w:t>
            </w:r>
          </w:p>
          <w:p w14:paraId="7DD86858" w14:textId="3FBE5AE9" w:rsidR="00EB361E" w:rsidRPr="00DB5E05" w:rsidRDefault="00EB361E" w:rsidP="00DB5E05">
            <w:pPr>
              <w:autoSpaceDE w:val="0"/>
              <w:autoSpaceDN w:val="0"/>
              <w:adjustRightInd w:val="0"/>
              <w:spacing w:after="0" w:line="480" w:lineRule="auto"/>
              <w:jc w:val="center"/>
              <w:rPr>
                <w:rFonts w:ascii="Times New Roman" w:hAnsi="Times New Roman" w:cs="Times New Roman"/>
                <w:b/>
                <w:bCs/>
                <w:sz w:val="16"/>
                <w:szCs w:val="16"/>
              </w:rPr>
            </w:pPr>
          </w:p>
        </w:tc>
        <w:tc>
          <w:tcPr>
            <w:tcW w:w="2394" w:type="dxa"/>
            <w:tcBorders>
              <w:top w:val="single" w:sz="4" w:space="0" w:color="auto"/>
              <w:bottom w:val="single" w:sz="4" w:space="0" w:color="auto"/>
            </w:tcBorders>
          </w:tcPr>
          <w:p w14:paraId="460215D7" w14:textId="77777777" w:rsidR="00DB5E05" w:rsidRPr="00DB5E05" w:rsidRDefault="00DB5E05" w:rsidP="00DB5E05">
            <w:pPr>
              <w:pStyle w:val="CommentText"/>
              <w:jc w:val="center"/>
              <w:rPr>
                <w:rFonts w:ascii="Times New Roman" w:hAnsi="Times New Roman" w:cs="Times New Roman"/>
                <w:b/>
                <w:sz w:val="16"/>
                <w:szCs w:val="16"/>
              </w:rPr>
            </w:pPr>
            <w:r w:rsidRPr="00DB5E05">
              <w:rPr>
                <w:rFonts w:ascii="Times New Roman" w:hAnsi="Times New Roman" w:cs="Times New Roman"/>
                <w:b/>
                <w:sz w:val="16"/>
                <w:szCs w:val="16"/>
              </w:rPr>
              <w:t>Co-infection of TB/OBI negative</w:t>
            </w:r>
          </w:p>
          <w:p w14:paraId="7227E510" w14:textId="635EC6EB" w:rsidR="00EB361E" w:rsidRPr="00DB5E05" w:rsidRDefault="00EB361E" w:rsidP="00DB5E05">
            <w:pPr>
              <w:autoSpaceDE w:val="0"/>
              <w:autoSpaceDN w:val="0"/>
              <w:adjustRightInd w:val="0"/>
              <w:spacing w:after="0" w:line="480" w:lineRule="auto"/>
              <w:jc w:val="center"/>
              <w:rPr>
                <w:rFonts w:ascii="Times New Roman" w:hAnsi="Times New Roman" w:cs="Times New Roman"/>
                <w:b/>
                <w:bCs/>
                <w:sz w:val="16"/>
                <w:szCs w:val="16"/>
              </w:rPr>
            </w:pPr>
          </w:p>
        </w:tc>
        <w:tc>
          <w:tcPr>
            <w:tcW w:w="2394" w:type="dxa"/>
            <w:tcBorders>
              <w:top w:val="single" w:sz="4" w:space="0" w:color="auto"/>
              <w:bottom w:val="single" w:sz="4" w:space="0" w:color="auto"/>
            </w:tcBorders>
          </w:tcPr>
          <w:p w14:paraId="092204E5" w14:textId="77777777" w:rsidR="00DB5E05" w:rsidRPr="00DB5E05" w:rsidRDefault="00DB5E05" w:rsidP="00DB5E05">
            <w:pPr>
              <w:pStyle w:val="CommentText"/>
              <w:jc w:val="center"/>
              <w:rPr>
                <w:rFonts w:ascii="Times New Roman" w:hAnsi="Times New Roman" w:cs="Times New Roman"/>
                <w:b/>
                <w:sz w:val="16"/>
                <w:szCs w:val="16"/>
              </w:rPr>
            </w:pPr>
            <w:r w:rsidRPr="00DB5E05">
              <w:rPr>
                <w:rFonts w:ascii="Times New Roman" w:hAnsi="Times New Roman" w:cs="Times New Roman"/>
                <w:b/>
                <w:sz w:val="16"/>
                <w:szCs w:val="16"/>
              </w:rPr>
              <w:t>Co-infection of TB/OBI positive</w:t>
            </w:r>
          </w:p>
          <w:p w14:paraId="7F8B82A1" w14:textId="552BB740" w:rsidR="00EB361E" w:rsidRPr="00DB5E05" w:rsidRDefault="00EB361E" w:rsidP="00DB5E05">
            <w:pPr>
              <w:autoSpaceDE w:val="0"/>
              <w:autoSpaceDN w:val="0"/>
              <w:adjustRightInd w:val="0"/>
              <w:spacing w:after="0" w:line="480" w:lineRule="auto"/>
              <w:jc w:val="center"/>
              <w:rPr>
                <w:rFonts w:ascii="Times New Roman" w:hAnsi="Times New Roman" w:cs="Times New Roman"/>
                <w:b/>
                <w:bCs/>
                <w:sz w:val="16"/>
                <w:szCs w:val="16"/>
              </w:rPr>
            </w:pPr>
          </w:p>
        </w:tc>
        <w:tc>
          <w:tcPr>
            <w:tcW w:w="2394" w:type="dxa"/>
            <w:tcBorders>
              <w:top w:val="single" w:sz="4" w:space="0" w:color="auto"/>
              <w:bottom w:val="single" w:sz="4" w:space="0" w:color="auto"/>
            </w:tcBorders>
          </w:tcPr>
          <w:p w14:paraId="261F6961" w14:textId="4C3540DB" w:rsidR="00EB361E" w:rsidRPr="00DB5E05" w:rsidRDefault="00DB5E05" w:rsidP="00DB5E05">
            <w:pPr>
              <w:pStyle w:val="CommentText"/>
              <w:jc w:val="center"/>
              <w:rPr>
                <w:rFonts w:ascii="Times New Roman" w:hAnsi="Times New Roman" w:cs="Times New Roman"/>
                <w:b/>
                <w:sz w:val="16"/>
                <w:szCs w:val="16"/>
              </w:rPr>
            </w:pPr>
            <w:r w:rsidRPr="00DB5E05">
              <w:rPr>
                <w:rFonts w:ascii="Times New Roman" w:hAnsi="Times New Roman" w:cs="Times New Roman"/>
                <w:b/>
                <w:sz w:val="16"/>
                <w:szCs w:val="16"/>
              </w:rPr>
              <w:t>Prevalence of  co-infection of TB/OBI</w:t>
            </w:r>
          </w:p>
        </w:tc>
      </w:tr>
      <w:tr w:rsidR="00EB361E" w14:paraId="7B177E99" w14:textId="77777777">
        <w:tc>
          <w:tcPr>
            <w:tcW w:w="2394" w:type="dxa"/>
            <w:tcBorders>
              <w:top w:val="single" w:sz="4" w:space="0" w:color="auto"/>
            </w:tcBorders>
          </w:tcPr>
          <w:p w14:paraId="77626149"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143B1AB1"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3A7BC4CE"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3939D7C5"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r>
      <w:tr w:rsidR="00EB361E" w14:paraId="07A3EA75" w14:textId="77777777">
        <w:tc>
          <w:tcPr>
            <w:tcW w:w="2394" w:type="dxa"/>
          </w:tcPr>
          <w:p w14:paraId="4F60B236"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392</w:t>
            </w:r>
          </w:p>
        </w:tc>
        <w:tc>
          <w:tcPr>
            <w:tcW w:w="2394" w:type="dxa"/>
          </w:tcPr>
          <w:p w14:paraId="4BA19A8F"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391</w:t>
            </w:r>
          </w:p>
        </w:tc>
        <w:tc>
          <w:tcPr>
            <w:tcW w:w="2394" w:type="dxa"/>
          </w:tcPr>
          <w:p w14:paraId="11B32ABB"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2394" w:type="dxa"/>
          </w:tcPr>
          <w:p w14:paraId="217B060D"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0.3%</w:t>
            </w:r>
          </w:p>
        </w:tc>
      </w:tr>
      <w:tr w:rsidR="00EB361E" w14:paraId="6C2A7B6E" w14:textId="77777777">
        <w:tc>
          <w:tcPr>
            <w:tcW w:w="2394" w:type="dxa"/>
          </w:tcPr>
          <w:p w14:paraId="366633CA"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09DDA973"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17BA44D2"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5FEEEDED"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r>
    </w:tbl>
    <w:p w14:paraId="34CE1F1A" w14:textId="77777777" w:rsidR="00EB361E" w:rsidRDefault="00EB361E">
      <w:pPr>
        <w:autoSpaceDE w:val="0"/>
        <w:autoSpaceDN w:val="0"/>
        <w:adjustRightInd w:val="0"/>
        <w:spacing w:after="0" w:line="240" w:lineRule="auto"/>
        <w:rPr>
          <w:rFonts w:ascii="Times New Roman" w:hAnsi="Times New Roman" w:cs="Times New Roman"/>
          <w:b/>
          <w:bCs/>
          <w:sz w:val="24"/>
          <w:szCs w:val="24"/>
        </w:rPr>
      </w:pPr>
    </w:p>
    <w:p w14:paraId="628BF0E6"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t>Table 2: Provides a summary of the prevalence of TB/OBI co-infection in the study population. Out of the 392 participants examined, only one was found to be positive for TB/OBI co-infection, resulting in a prevalence rate of 0.3%.</w:t>
      </w:r>
    </w:p>
    <w:p w14:paraId="2DA59A32"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4519468E"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75B49FFB"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3: Sex Specific Difference in Distribution of TB/OBI Co-infection</w:t>
      </w:r>
    </w:p>
    <w:tbl>
      <w:tblPr>
        <w:tblW w:w="869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08"/>
        <w:gridCol w:w="792"/>
        <w:gridCol w:w="1298"/>
        <w:gridCol w:w="1632"/>
        <w:gridCol w:w="1565"/>
        <w:gridCol w:w="899"/>
        <w:gridCol w:w="1298"/>
      </w:tblGrid>
      <w:tr w:rsidR="00EB361E" w14:paraId="1CAF46F7" w14:textId="77777777">
        <w:trPr>
          <w:cantSplit/>
          <w:trHeight w:val="685"/>
        </w:trPr>
        <w:tc>
          <w:tcPr>
            <w:tcW w:w="1208" w:type="dxa"/>
            <w:tcBorders>
              <w:top w:val="single" w:sz="4" w:space="0" w:color="auto"/>
              <w:bottom w:val="single" w:sz="4" w:space="0" w:color="auto"/>
            </w:tcBorders>
            <w:shd w:val="clear" w:color="auto" w:fill="FFFFFF"/>
          </w:tcPr>
          <w:p w14:paraId="2D6A5DB1"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Sex</w:t>
            </w:r>
          </w:p>
        </w:tc>
        <w:tc>
          <w:tcPr>
            <w:tcW w:w="792" w:type="dxa"/>
            <w:tcBorders>
              <w:top w:val="single" w:sz="4" w:space="0" w:color="auto"/>
              <w:bottom w:val="single" w:sz="4" w:space="0" w:color="auto"/>
            </w:tcBorders>
            <w:shd w:val="clear" w:color="auto" w:fill="FFFFFF"/>
          </w:tcPr>
          <w:p w14:paraId="64990C5E"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N</w:t>
            </w:r>
          </w:p>
        </w:tc>
        <w:tc>
          <w:tcPr>
            <w:tcW w:w="1298" w:type="dxa"/>
            <w:tcBorders>
              <w:top w:val="single" w:sz="4" w:space="0" w:color="auto"/>
              <w:bottom w:val="single" w:sz="4" w:space="0" w:color="auto"/>
            </w:tcBorders>
            <w:shd w:val="clear" w:color="auto" w:fill="FFFFFF"/>
          </w:tcPr>
          <w:p w14:paraId="5E7C4D69"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Mean Rank</w:t>
            </w:r>
          </w:p>
        </w:tc>
        <w:tc>
          <w:tcPr>
            <w:tcW w:w="1632" w:type="dxa"/>
            <w:tcBorders>
              <w:top w:val="single" w:sz="4" w:space="0" w:color="auto"/>
              <w:bottom w:val="single" w:sz="4" w:space="0" w:color="auto"/>
            </w:tcBorders>
            <w:shd w:val="clear" w:color="auto" w:fill="FFFFFF"/>
          </w:tcPr>
          <w:p w14:paraId="61B29820"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Sum of Ranks</w:t>
            </w:r>
          </w:p>
        </w:tc>
        <w:tc>
          <w:tcPr>
            <w:tcW w:w="1565" w:type="dxa"/>
            <w:tcBorders>
              <w:top w:val="single" w:sz="4" w:space="0" w:color="auto"/>
              <w:bottom w:val="single" w:sz="4" w:space="0" w:color="auto"/>
            </w:tcBorders>
            <w:shd w:val="clear" w:color="auto" w:fill="FFFFFF"/>
          </w:tcPr>
          <w:p w14:paraId="1B82DB72" w14:textId="77777777" w:rsidR="00EB361E" w:rsidRDefault="00BA519F">
            <w:pPr>
              <w:rPr>
                <w:rFonts w:ascii="Times New Roman" w:hAnsi="Times New Roman" w:cs="Times New Roman"/>
                <w:sz w:val="24"/>
                <w:szCs w:val="24"/>
              </w:rPr>
            </w:pPr>
            <w:r>
              <w:rPr>
                <w:rFonts w:ascii="Times New Roman" w:hAnsi="Times New Roman" w:cs="Times New Roman"/>
                <w:sz w:val="24"/>
                <w:szCs w:val="24"/>
              </w:rPr>
              <w:t>Mann-Whitney U</w:t>
            </w:r>
          </w:p>
          <w:p w14:paraId="06295366" w14:textId="77777777" w:rsidR="00EB361E" w:rsidRDefault="00EB361E">
            <w:pPr>
              <w:autoSpaceDE w:val="0"/>
              <w:autoSpaceDN w:val="0"/>
              <w:adjustRightInd w:val="0"/>
              <w:spacing w:after="0" w:line="320" w:lineRule="atLeast"/>
              <w:ind w:right="60"/>
              <w:jc w:val="center"/>
              <w:rPr>
                <w:rFonts w:ascii="Times New Roman" w:hAnsi="Times New Roman" w:cs="Times New Roman"/>
                <w:sz w:val="24"/>
                <w:szCs w:val="24"/>
              </w:rPr>
            </w:pPr>
          </w:p>
        </w:tc>
        <w:tc>
          <w:tcPr>
            <w:tcW w:w="899" w:type="dxa"/>
            <w:tcBorders>
              <w:top w:val="single" w:sz="4" w:space="0" w:color="auto"/>
              <w:bottom w:val="single" w:sz="4" w:space="0" w:color="auto"/>
            </w:tcBorders>
            <w:shd w:val="clear" w:color="auto" w:fill="FFFFFF"/>
          </w:tcPr>
          <w:p w14:paraId="7A711F42"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p-value</w:t>
            </w:r>
          </w:p>
        </w:tc>
        <w:tc>
          <w:tcPr>
            <w:tcW w:w="1298" w:type="dxa"/>
            <w:tcBorders>
              <w:top w:val="single" w:sz="4" w:space="0" w:color="auto"/>
              <w:bottom w:val="single" w:sz="4" w:space="0" w:color="auto"/>
            </w:tcBorders>
            <w:shd w:val="clear" w:color="auto" w:fill="FFFFFF"/>
          </w:tcPr>
          <w:p w14:paraId="60C91173" w14:textId="77777777" w:rsidR="00EB361E" w:rsidRDefault="00BA519F">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Remark</w:t>
            </w:r>
          </w:p>
        </w:tc>
      </w:tr>
      <w:tr w:rsidR="00EB361E" w14:paraId="2BE5825D" w14:textId="77777777">
        <w:trPr>
          <w:cantSplit/>
          <w:trHeight w:val="288"/>
        </w:trPr>
        <w:tc>
          <w:tcPr>
            <w:tcW w:w="1208" w:type="dxa"/>
            <w:tcBorders>
              <w:top w:val="single" w:sz="4" w:space="0" w:color="auto"/>
            </w:tcBorders>
            <w:shd w:val="clear" w:color="auto" w:fill="FFFFFF"/>
            <w:vAlign w:val="center"/>
          </w:tcPr>
          <w:p w14:paraId="0B42319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Male</w:t>
            </w:r>
          </w:p>
        </w:tc>
        <w:tc>
          <w:tcPr>
            <w:tcW w:w="792" w:type="dxa"/>
            <w:tcBorders>
              <w:top w:val="single" w:sz="4" w:space="0" w:color="auto"/>
            </w:tcBorders>
            <w:shd w:val="clear" w:color="auto" w:fill="FFFFFF"/>
          </w:tcPr>
          <w:p w14:paraId="05747E97"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154</w:t>
            </w:r>
          </w:p>
        </w:tc>
        <w:tc>
          <w:tcPr>
            <w:tcW w:w="1298" w:type="dxa"/>
            <w:tcBorders>
              <w:top w:val="single" w:sz="4" w:space="0" w:color="auto"/>
            </w:tcBorders>
            <w:shd w:val="clear" w:color="auto" w:fill="FFFFFF"/>
          </w:tcPr>
          <w:p w14:paraId="61292472"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632" w:type="dxa"/>
            <w:tcBorders>
              <w:top w:val="single" w:sz="4" w:space="0" w:color="auto"/>
            </w:tcBorders>
            <w:shd w:val="clear" w:color="auto" w:fill="FFFFFF"/>
          </w:tcPr>
          <w:p w14:paraId="02680F1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30338.00</w:t>
            </w:r>
          </w:p>
        </w:tc>
        <w:tc>
          <w:tcPr>
            <w:tcW w:w="1565" w:type="dxa"/>
            <w:tcBorders>
              <w:top w:val="single" w:sz="4" w:space="0" w:color="auto"/>
            </w:tcBorders>
            <w:shd w:val="clear" w:color="auto" w:fill="FFFFFF"/>
          </w:tcPr>
          <w:p w14:paraId="6D17D1D9" w14:textId="77777777" w:rsidR="00EB361E" w:rsidRDefault="00BA519F">
            <w:pPr>
              <w:autoSpaceDE w:val="0"/>
              <w:autoSpaceDN w:val="0"/>
              <w:adjustRightInd w:val="0"/>
              <w:spacing w:after="0" w:line="320" w:lineRule="atLeast"/>
              <w:ind w:right="60"/>
              <w:jc w:val="right"/>
              <w:rPr>
                <w:rFonts w:ascii="Times New Roman" w:hAnsi="Times New Roman" w:cs="Times New Roman"/>
                <w:sz w:val="24"/>
                <w:szCs w:val="24"/>
              </w:rPr>
            </w:pPr>
            <w:r>
              <w:rPr>
                <w:rFonts w:ascii="Times New Roman" w:hAnsi="Times New Roman" w:cs="Times New Roman"/>
                <w:sz w:val="24"/>
                <w:szCs w:val="24"/>
              </w:rPr>
              <w:t>18249.000</w:t>
            </w:r>
          </w:p>
        </w:tc>
        <w:tc>
          <w:tcPr>
            <w:tcW w:w="899" w:type="dxa"/>
            <w:tcBorders>
              <w:top w:val="single" w:sz="4" w:space="0" w:color="auto"/>
            </w:tcBorders>
            <w:shd w:val="clear" w:color="auto" w:fill="FFFFFF"/>
          </w:tcPr>
          <w:p w14:paraId="45DA72A3"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0.421</w:t>
            </w:r>
          </w:p>
        </w:tc>
        <w:tc>
          <w:tcPr>
            <w:tcW w:w="1298" w:type="dxa"/>
            <w:tcBorders>
              <w:top w:val="single" w:sz="4" w:space="0" w:color="auto"/>
            </w:tcBorders>
            <w:shd w:val="clear" w:color="auto" w:fill="FFFFFF"/>
          </w:tcPr>
          <w:p w14:paraId="686CAAE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NS</w:t>
            </w:r>
          </w:p>
        </w:tc>
      </w:tr>
      <w:tr w:rsidR="00EB361E" w14:paraId="3C039987" w14:textId="77777777">
        <w:trPr>
          <w:cantSplit/>
          <w:trHeight w:val="288"/>
        </w:trPr>
        <w:tc>
          <w:tcPr>
            <w:tcW w:w="1208" w:type="dxa"/>
            <w:shd w:val="clear" w:color="auto" w:fill="FFFFFF"/>
            <w:vAlign w:val="center"/>
          </w:tcPr>
          <w:p w14:paraId="1EC6FBD6"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Female</w:t>
            </w:r>
          </w:p>
        </w:tc>
        <w:tc>
          <w:tcPr>
            <w:tcW w:w="792" w:type="dxa"/>
            <w:shd w:val="clear" w:color="auto" w:fill="FFFFFF"/>
          </w:tcPr>
          <w:p w14:paraId="52B7F03F"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238</w:t>
            </w:r>
          </w:p>
        </w:tc>
        <w:tc>
          <w:tcPr>
            <w:tcW w:w="1298" w:type="dxa"/>
            <w:shd w:val="clear" w:color="auto" w:fill="FFFFFF"/>
          </w:tcPr>
          <w:p w14:paraId="758880DE"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196.18</w:t>
            </w:r>
          </w:p>
        </w:tc>
        <w:tc>
          <w:tcPr>
            <w:tcW w:w="1632" w:type="dxa"/>
            <w:shd w:val="clear" w:color="auto" w:fill="FFFFFF"/>
          </w:tcPr>
          <w:p w14:paraId="10C4B8A4"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46690.00</w:t>
            </w:r>
          </w:p>
        </w:tc>
        <w:tc>
          <w:tcPr>
            <w:tcW w:w="1565" w:type="dxa"/>
            <w:shd w:val="clear" w:color="auto" w:fill="FFFFFF"/>
          </w:tcPr>
          <w:p w14:paraId="65EC25F2" w14:textId="77777777" w:rsidR="00EB361E" w:rsidRDefault="00EB361E">
            <w:pPr>
              <w:autoSpaceDE w:val="0"/>
              <w:autoSpaceDN w:val="0"/>
              <w:adjustRightInd w:val="0"/>
              <w:spacing w:after="0" w:line="320" w:lineRule="atLeast"/>
              <w:ind w:right="60"/>
              <w:jc w:val="right"/>
              <w:rPr>
                <w:rFonts w:ascii="Times New Roman" w:hAnsi="Times New Roman" w:cs="Times New Roman"/>
                <w:sz w:val="24"/>
                <w:szCs w:val="24"/>
              </w:rPr>
            </w:pPr>
          </w:p>
        </w:tc>
        <w:tc>
          <w:tcPr>
            <w:tcW w:w="899" w:type="dxa"/>
            <w:shd w:val="clear" w:color="auto" w:fill="FFFFFF"/>
          </w:tcPr>
          <w:p w14:paraId="2F78A1DC"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298" w:type="dxa"/>
            <w:shd w:val="clear" w:color="auto" w:fill="FFFFFF"/>
          </w:tcPr>
          <w:p w14:paraId="41E652C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21B9D9C9" w14:textId="77777777">
        <w:trPr>
          <w:cantSplit/>
          <w:trHeight w:val="302"/>
        </w:trPr>
        <w:tc>
          <w:tcPr>
            <w:tcW w:w="1208" w:type="dxa"/>
            <w:shd w:val="clear" w:color="auto" w:fill="FFFFFF"/>
            <w:vAlign w:val="center"/>
          </w:tcPr>
          <w:p w14:paraId="7125B11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Total</w:t>
            </w:r>
          </w:p>
        </w:tc>
        <w:tc>
          <w:tcPr>
            <w:tcW w:w="792" w:type="dxa"/>
            <w:shd w:val="clear" w:color="auto" w:fill="FFFFFF"/>
          </w:tcPr>
          <w:p w14:paraId="4E07085C"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392</w:t>
            </w:r>
          </w:p>
        </w:tc>
        <w:tc>
          <w:tcPr>
            <w:tcW w:w="1298" w:type="dxa"/>
            <w:shd w:val="clear" w:color="auto" w:fill="FFFFFF"/>
          </w:tcPr>
          <w:p w14:paraId="7ED87EF8"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632" w:type="dxa"/>
            <w:shd w:val="clear" w:color="auto" w:fill="FFFFFF"/>
          </w:tcPr>
          <w:p w14:paraId="528BF038"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565" w:type="dxa"/>
            <w:shd w:val="clear" w:color="auto" w:fill="FFFFFF"/>
          </w:tcPr>
          <w:p w14:paraId="5D8B858F"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899" w:type="dxa"/>
            <w:shd w:val="clear" w:color="auto" w:fill="FFFFFF"/>
          </w:tcPr>
          <w:p w14:paraId="4C8FAA65"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298" w:type="dxa"/>
            <w:shd w:val="clear" w:color="auto" w:fill="FFFFFF"/>
          </w:tcPr>
          <w:p w14:paraId="3E88D0AA"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r>
    </w:tbl>
    <w:p w14:paraId="71E4A731" w14:textId="77777777" w:rsidR="00EB361E" w:rsidRDefault="00EB361E">
      <w:pPr>
        <w:autoSpaceDE w:val="0"/>
        <w:autoSpaceDN w:val="0"/>
        <w:adjustRightInd w:val="0"/>
        <w:spacing w:after="0" w:line="23" w:lineRule="atLeast"/>
        <w:rPr>
          <w:rFonts w:ascii="Times New Roman" w:hAnsi="Times New Roman" w:cs="Times New Roman"/>
          <w:sz w:val="24"/>
          <w:szCs w:val="24"/>
        </w:rPr>
      </w:pPr>
    </w:p>
    <w:p w14:paraId="6BEF0553"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Table 3: Presents the results of the Mann-Whitney U test, which was used to compare the distribution of TB/OBI co-infection between males and females. The test did not find a </w:t>
      </w:r>
      <w:r>
        <w:rPr>
          <w:rFonts w:ascii="Times New Roman" w:hAnsi="Times New Roman" w:cs="Times New Roman"/>
          <w:sz w:val="24"/>
          <w:szCs w:val="24"/>
        </w:rPr>
        <w:lastRenderedPageBreak/>
        <w:t>significant difference in the distribution of TB/OBI co-infection between the two sexes (p-value = 0.421).</w:t>
      </w:r>
    </w:p>
    <w:p w14:paraId="4BAC2B2D"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27013816"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sz w:val="24"/>
          <w:szCs w:val="24"/>
        </w:rPr>
        <w:t xml:space="preserve">able 4: </w:t>
      </w:r>
      <w:r>
        <w:rPr>
          <w:rFonts w:ascii="Times New Roman" w:hAnsi="Times New Roman" w:cs="Times New Roman"/>
          <w:b/>
          <w:bCs/>
          <w:sz w:val="24"/>
          <w:szCs w:val="24"/>
        </w:rPr>
        <w:t>Age Specific differences in the distribution of TB/OBI Co-infection</w:t>
      </w:r>
    </w:p>
    <w:tbl>
      <w:tblPr>
        <w:tblW w:w="8394" w:type="dxa"/>
        <w:tblInd w:w="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630"/>
        <w:gridCol w:w="1170"/>
        <w:gridCol w:w="1440"/>
        <w:gridCol w:w="630"/>
        <w:gridCol w:w="990"/>
        <w:gridCol w:w="1914"/>
      </w:tblGrid>
      <w:tr w:rsidR="00EB361E" w14:paraId="0EED1CFA" w14:textId="77777777">
        <w:trPr>
          <w:cantSplit/>
          <w:trHeight w:val="892"/>
        </w:trPr>
        <w:tc>
          <w:tcPr>
            <w:tcW w:w="1620" w:type="dxa"/>
            <w:tcBorders>
              <w:top w:val="single" w:sz="4" w:space="0" w:color="auto"/>
              <w:bottom w:val="single" w:sz="4" w:space="0" w:color="auto"/>
            </w:tcBorders>
            <w:shd w:val="clear" w:color="auto" w:fill="FFFFFF"/>
          </w:tcPr>
          <w:p w14:paraId="74D17C8E"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Age</w:t>
            </w:r>
          </w:p>
        </w:tc>
        <w:tc>
          <w:tcPr>
            <w:tcW w:w="630" w:type="dxa"/>
            <w:tcBorders>
              <w:top w:val="single" w:sz="4" w:space="0" w:color="auto"/>
              <w:bottom w:val="single" w:sz="4" w:space="0" w:color="auto"/>
            </w:tcBorders>
            <w:shd w:val="clear" w:color="auto" w:fill="FFFFFF"/>
          </w:tcPr>
          <w:p w14:paraId="23A44840"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N</w:t>
            </w:r>
          </w:p>
        </w:tc>
        <w:tc>
          <w:tcPr>
            <w:tcW w:w="1170" w:type="dxa"/>
            <w:tcBorders>
              <w:top w:val="single" w:sz="4" w:space="0" w:color="auto"/>
              <w:bottom w:val="single" w:sz="4" w:space="0" w:color="auto"/>
            </w:tcBorders>
            <w:shd w:val="clear" w:color="auto" w:fill="FFFFFF"/>
          </w:tcPr>
          <w:p w14:paraId="7074920B"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Mean Rank</w:t>
            </w:r>
          </w:p>
        </w:tc>
        <w:tc>
          <w:tcPr>
            <w:tcW w:w="1440" w:type="dxa"/>
            <w:tcBorders>
              <w:top w:val="single" w:sz="4" w:space="0" w:color="auto"/>
              <w:bottom w:val="single" w:sz="4" w:space="0" w:color="auto"/>
            </w:tcBorders>
            <w:shd w:val="clear" w:color="auto" w:fill="FFFFFF"/>
          </w:tcPr>
          <w:p w14:paraId="4313A52F" w14:textId="77777777" w:rsidR="00EB361E" w:rsidRDefault="00BA519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Chi Square (Kruskal-Wallis)</w:t>
            </w:r>
          </w:p>
        </w:tc>
        <w:tc>
          <w:tcPr>
            <w:tcW w:w="630" w:type="dxa"/>
            <w:tcBorders>
              <w:top w:val="single" w:sz="4" w:space="0" w:color="auto"/>
              <w:bottom w:val="single" w:sz="4" w:space="0" w:color="auto"/>
            </w:tcBorders>
            <w:shd w:val="clear" w:color="auto" w:fill="FFFFFF"/>
          </w:tcPr>
          <w:p w14:paraId="63B4D935" w14:textId="77777777" w:rsidR="00EB361E" w:rsidRDefault="00EB361E">
            <w:pPr>
              <w:rPr>
                <w:rFonts w:ascii="Times New Roman" w:hAnsi="Times New Roman" w:cs="Times New Roman"/>
                <w:sz w:val="24"/>
                <w:szCs w:val="24"/>
              </w:rPr>
            </w:pPr>
          </w:p>
          <w:p w14:paraId="2BFDBDFE" w14:textId="77777777" w:rsidR="00EB361E" w:rsidRDefault="00BA519F">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Df</w:t>
            </w:r>
          </w:p>
        </w:tc>
        <w:tc>
          <w:tcPr>
            <w:tcW w:w="990" w:type="dxa"/>
            <w:tcBorders>
              <w:top w:val="single" w:sz="4" w:space="0" w:color="auto"/>
              <w:bottom w:val="single" w:sz="4" w:space="0" w:color="auto"/>
            </w:tcBorders>
            <w:shd w:val="clear" w:color="auto" w:fill="FFFFFF"/>
          </w:tcPr>
          <w:p w14:paraId="406E76CA"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p-value</w:t>
            </w:r>
          </w:p>
        </w:tc>
        <w:tc>
          <w:tcPr>
            <w:tcW w:w="1914" w:type="dxa"/>
            <w:tcBorders>
              <w:top w:val="single" w:sz="4" w:space="0" w:color="auto"/>
              <w:bottom w:val="single" w:sz="4" w:space="0" w:color="auto"/>
            </w:tcBorders>
            <w:shd w:val="clear" w:color="auto" w:fill="FFFFFF"/>
          </w:tcPr>
          <w:p w14:paraId="68D00217"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Remark</w:t>
            </w:r>
          </w:p>
        </w:tc>
      </w:tr>
      <w:tr w:rsidR="00EB361E" w14:paraId="7208BC68" w14:textId="77777777">
        <w:trPr>
          <w:cantSplit/>
          <w:trHeight w:val="307"/>
        </w:trPr>
        <w:tc>
          <w:tcPr>
            <w:tcW w:w="1620" w:type="dxa"/>
            <w:tcBorders>
              <w:top w:val="single" w:sz="4" w:space="0" w:color="auto"/>
            </w:tcBorders>
            <w:shd w:val="clear" w:color="auto" w:fill="FFFFFF"/>
            <w:vAlign w:val="center"/>
          </w:tcPr>
          <w:p w14:paraId="397D5686"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&lt;20years</w:t>
            </w:r>
          </w:p>
        </w:tc>
        <w:tc>
          <w:tcPr>
            <w:tcW w:w="630" w:type="dxa"/>
            <w:tcBorders>
              <w:top w:val="single" w:sz="4" w:space="0" w:color="auto"/>
            </w:tcBorders>
            <w:shd w:val="clear" w:color="auto" w:fill="FFFFFF"/>
          </w:tcPr>
          <w:p w14:paraId="186D12E5"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51</w:t>
            </w:r>
          </w:p>
        </w:tc>
        <w:tc>
          <w:tcPr>
            <w:tcW w:w="1170" w:type="dxa"/>
            <w:tcBorders>
              <w:top w:val="single" w:sz="4" w:space="0" w:color="auto"/>
            </w:tcBorders>
            <w:shd w:val="clear" w:color="auto" w:fill="FFFFFF"/>
          </w:tcPr>
          <w:p w14:paraId="2B7AA83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tcBorders>
              <w:top w:val="single" w:sz="4" w:space="0" w:color="auto"/>
            </w:tcBorders>
            <w:shd w:val="clear" w:color="auto" w:fill="FFFFFF"/>
          </w:tcPr>
          <w:p w14:paraId="1B943BB2"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tcBorders>
              <w:top w:val="single" w:sz="4" w:space="0" w:color="auto"/>
            </w:tcBorders>
            <w:shd w:val="clear" w:color="auto" w:fill="FFFFFF"/>
          </w:tcPr>
          <w:p w14:paraId="20C2DCDB"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tcBorders>
              <w:top w:val="single" w:sz="4" w:space="0" w:color="auto"/>
            </w:tcBorders>
            <w:shd w:val="clear" w:color="auto" w:fill="FFFFFF"/>
          </w:tcPr>
          <w:p w14:paraId="6E9F7215"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tcBorders>
              <w:top w:val="single" w:sz="4" w:space="0" w:color="auto"/>
            </w:tcBorders>
            <w:shd w:val="clear" w:color="auto" w:fill="FFFFFF"/>
          </w:tcPr>
          <w:p w14:paraId="75E87621"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18E12C6F" w14:textId="77777777">
        <w:trPr>
          <w:cantSplit/>
          <w:trHeight w:val="322"/>
        </w:trPr>
        <w:tc>
          <w:tcPr>
            <w:tcW w:w="1620" w:type="dxa"/>
            <w:shd w:val="clear" w:color="auto" w:fill="FFFFFF"/>
            <w:vAlign w:val="center"/>
          </w:tcPr>
          <w:p w14:paraId="5430DBB0"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21-29 years</w:t>
            </w:r>
          </w:p>
        </w:tc>
        <w:tc>
          <w:tcPr>
            <w:tcW w:w="630" w:type="dxa"/>
            <w:shd w:val="clear" w:color="auto" w:fill="FFFFFF"/>
          </w:tcPr>
          <w:p w14:paraId="7168DD2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w:t>
            </w:r>
          </w:p>
        </w:tc>
        <w:tc>
          <w:tcPr>
            <w:tcW w:w="1170" w:type="dxa"/>
            <w:shd w:val="clear" w:color="auto" w:fill="FFFFFF"/>
          </w:tcPr>
          <w:p w14:paraId="5EF928C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179E9E8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1.178</w:t>
            </w:r>
          </w:p>
        </w:tc>
        <w:tc>
          <w:tcPr>
            <w:tcW w:w="630" w:type="dxa"/>
            <w:shd w:val="clear" w:color="auto" w:fill="FFFFFF"/>
          </w:tcPr>
          <w:p w14:paraId="3B349662"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shd w:val="clear" w:color="auto" w:fill="FFFFFF"/>
          </w:tcPr>
          <w:p w14:paraId="6B79F24F"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0.88</w:t>
            </w:r>
          </w:p>
        </w:tc>
        <w:tc>
          <w:tcPr>
            <w:tcW w:w="1914" w:type="dxa"/>
            <w:shd w:val="clear" w:color="auto" w:fill="FFFFFF"/>
          </w:tcPr>
          <w:p w14:paraId="4051B031"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Not Significant</w:t>
            </w:r>
          </w:p>
        </w:tc>
      </w:tr>
      <w:tr w:rsidR="00EB361E" w14:paraId="4D9A9F79" w14:textId="77777777">
        <w:trPr>
          <w:cantSplit/>
          <w:trHeight w:val="307"/>
        </w:trPr>
        <w:tc>
          <w:tcPr>
            <w:tcW w:w="1620" w:type="dxa"/>
            <w:shd w:val="clear" w:color="auto" w:fill="FFFFFF"/>
            <w:vAlign w:val="center"/>
          </w:tcPr>
          <w:p w14:paraId="11724FA1"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30-39 years</w:t>
            </w:r>
          </w:p>
        </w:tc>
        <w:tc>
          <w:tcPr>
            <w:tcW w:w="630" w:type="dxa"/>
            <w:shd w:val="clear" w:color="auto" w:fill="FFFFFF"/>
          </w:tcPr>
          <w:p w14:paraId="69659AE5"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180</w:t>
            </w:r>
          </w:p>
        </w:tc>
        <w:tc>
          <w:tcPr>
            <w:tcW w:w="1170" w:type="dxa"/>
            <w:shd w:val="clear" w:color="auto" w:fill="FFFFFF"/>
          </w:tcPr>
          <w:p w14:paraId="79F42100"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195.91</w:t>
            </w:r>
          </w:p>
        </w:tc>
        <w:tc>
          <w:tcPr>
            <w:tcW w:w="1440" w:type="dxa"/>
            <w:shd w:val="clear" w:color="auto" w:fill="FFFFFF"/>
          </w:tcPr>
          <w:p w14:paraId="25A2E6BA"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757A2C6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6B07875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1AE13AD4"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2E7F9C10" w14:textId="77777777">
        <w:trPr>
          <w:cantSplit/>
          <w:trHeight w:val="307"/>
        </w:trPr>
        <w:tc>
          <w:tcPr>
            <w:tcW w:w="1620" w:type="dxa"/>
            <w:shd w:val="clear" w:color="auto" w:fill="FFFFFF"/>
            <w:vAlign w:val="center"/>
          </w:tcPr>
          <w:p w14:paraId="3FE4B13C"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40-50 years</w:t>
            </w:r>
          </w:p>
        </w:tc>
        <w:tc>
          <w:tcPr>
            <w:tcW w:w="630" w:type="dxa"/>
            <w:shd w:val="clear" w:color="auto" w:fill="FFFFFF"/>
          </w:tcPr>
          <w:p w14:paraId="43702130"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73</w:t>
            </w:r>
          </w:p>
        </w:tc>
        <w:tc>
          <w:tcPr>
            <w:tcW w:w="1170" w:type="dxa"/>
            <w:shd w:val="clear" w:color="auto" w:fill="FFFFFF"/>
          </w:tcPr>
          <w:p w14:paraId="3FB618D6"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47E3A0E2"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029FE176"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4A9919CC"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6E7F8E36"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5BED6711" w14:textId="77777777">
        <w:trPr>
          <w:cantSplit/>
          <w:trHeight w:val="322"/>
        </w:trPr>
        <w:tc>
          <w:tcPr>
            <w:tcW w:w="1620" w:type="dxa"/>
            <w:shd w:val="clear" w:color="auto" w:fill="FFFFFF"/>
            <w:vAlign w:val="center"/>
          </w:tcPr>
          <w:p w14:paraId="7092E1C2"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51 years &amp; Above</w:t>
            </w:r>
          </w:p>
        </w:tc>
        <w:tc>
          <w:tcPr>
            <w:tcW w:w="630" w:type="dxa"/>
            <w:shd w:val="clear" w:color="auto" w:fill="FFFFFF"/>
          </w:tcPr>
          <w:p w14:paraId="4DEBC86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w:t>
            </w:r>
          </w:p>
        </w:tc>
        <w:tc>
          <w:tcPr>
            <w:tcW w:w="1170" w:type="dxa"/>
            <w:shd w:val="clear" w:color="auto" w:fill="FFFFFF"/>
          </w:tcPr>
          <w:p w14:paraId="69744493"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2C77B2D7"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0714AA1E"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3ECEE35E"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21F555E8"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07F4B9D2" w14:textId="77777777">
        <w:trPr>
          <w:cantSplit/>
          <w:trHeight w:val="322"/>
        </w:trPr>
        <w:tc>
          <w:tcPr>
            <w:tcW w:w="1620" w:type="dxa"/>
            <w:shd w:val="clear" w:color="auto" w:fill="FFFFFF"/>
            <w:vAlign w:val="center"/>
          </w:tcPr>
          <w:p w14:paraId="3D97E37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Total</w:t>
            </w:r>
          </w:p>
        </w:tc>
        <w:tc>
          <w:tcPr>
            <w:tcW w:w="630" w:type="dxa"/>
            <w:shd w:val="clear" w:color="auto" w:fill="FFFFFF"/>
          </w:tcPr>
          <w:p w14:paraId="06FD7851"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392</w:t>
            </w:r>
          </w:p>
        </w:tc>
        <w:tc>
          <w:tcPr>
            <w:tcW w:w="1170" w:type="dxa"/>
            <w:shd w:val="clear" w:color="auto" w:fill="FFFFFF"/>
          </w:tcPr>
          <w:p w14:paraId="44FD5E1E"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440" w:type="dxa"/>
            <w:shd w:val="clear" w:color="auto" w:fill="FFFFFF"/>
          </w:tcPr>
          <w:p w14:paraId="4710828F"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tcPr>
          <w:p w14:paraId="5F6D83BC"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tcPr>
          <w:p w14:paraId="0763B0B2"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914" w:type="dxa"/>
            <w:shd w:val="clear" w:color="auto" w:fill="FFFFFF"/>
          </w:tcPr>
          <w:p w14:paraId="167E57A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r>
    </w:tbl>
    <w:p w14:paraId="52896A34" w14:textId="77777777" w:rsidR="00EB361E" w:rsidRDefault="00EB361E">
      <w:pPr>
        <w:autoSpaceDE w:val="0"/>
        <w:autoSpaceDN w:val="0"/>
        <w:adjustRightInd w:val="0"/>
        <w:spacing w:after="0" w:line="23" w:lineRule="atLeast"/>
        <w:rPr>
          <w:rFonts w:ascii="Times New Roman" w:hAnsi="Times New Roman" w:cs="Times New Roman"/>
          <w:sz w:val="24"/>
          <w:szCs w:val="24"/>
        </w:rPr>
      </w:pPr>
    </w:p>
    <w:p w14:paraId="7CBC4094"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t>Table 4: Presents the results of the Kruskal-Wallis test, which was used to compare the distribution of TB/OBI co-infection across different age groups. The test did not find a significant difference in the distribution of TB/OBI co-infection across the age groups (p-value = 0.88).</w:t>
      </w:r>
    </w:p>
    <w:p w14:paraId="5D0658FD" w14:textId="77777777" w:rsidR="00EB361E" w:rsidRDefault="00EB361E">
      <w:pPr>
        <w:tabs>
          <w:tab w:val="left" w:pos="7500"/>
        </w:tabs>
        <w:jc w:val="both"/>
        <w:rPr>
          <w:rFonts w:ascii="Times New Roman" w:hAnsi="Times New Roman" w:cs="Times New Roman"/>
          <w:b/>
          <w:sz w:val="24"/>
          <w:szCs w:val="24"/>
        </w:rPr>
      </w:pPr>
    </w:p>
    <w:p w14:paraId="5790B90D" w14:textId="77777777" w:rsidR="00EB361E" w:rsidRDefault="00BA519F">
      <w:pPr>
        <w:tabs>
          <w:tab w:val="left" w:pos="7500"/>
        </w:tabs>
        <w:spacing w:line="23" w:lineRule="atLeast"/>
        <w:jc w:val="both"/>
        <w:rPr>
          <w:rFonts w:ascii="Times New Roman" w:hAnsi="Times New Roman" w:cs="Times New Roman"/>
          <w:b/>
          <w:sz w:val="24"/>
          <w:szCs w:val="24"/>
        </w:rPr>
      </w:pPr>
      <w:r>
        <w:rPr>
          <w:rFonts w:ascii="Times New Roman" w:hAnsi="Times New Roman" w:cs="Times New Roman"/>
          <w:b/>
          <w:sz w:val="24"/>
          <w:szCs w:val="24"/>
        </w:rPr>
        <w:t>DISCUSSION</w:t>
      </w:r>
    </w:p>
    <w:p w14:paraId="66180B13"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Out of the 392 participants, 391 tested negative for TB/OBI co-infection. This indicates the vast majority of the study population did not have a co-infection of TB and OBI. This could be due to several factors, such as effective public health interventions, low exposure to pathogens, or high immunity among the study population.</w:t>
      </w:r>
    </w:p>
    <w:p w14:paraId="436DD28F" w14:textId="1DC53F1A"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Interestingly, only one participant tested positive for TB/OBI co-infection, resulting in a prevalence rate of 0.3%. This low prevalence rate suggests that co-infection of TB and OBI is not common among the residents in Rivers State, Nigeria. However, even a single case of co-infection can have significant implications</w:t>
      </w:r>
      <w:r>
        <w:rPr>
          <w:sz w:val="24"/>
          <w:szCs w:val="24"/>
        </w:rPr>
        <w:t xml:space="preserve">, </w:t>
      </w:r>
      <w:r>
        <w:rPr>
          <w:rFonts w:ascii="Times New Roman" w:hAnsi="Times New Roman" w:cs="Times New Roman"/>
          <w:sz w:val="24"/>
          <w:szCs w:val="24"/>
        </w:rPr>
        <w:t>as both TB and OBI are diseases with significant morbidity and mortality risks. Co-infection can complicate disease prognosis and management due to the interaction between the two pathogens and their impact on the host’s immune response [7]. Moreover, the treatment of TB can be complicated by the reactivation of occult HBV, leading to severe hepatitis [1]. It’s important to note that these results are based on the specific sample of residents who participated in this study. The actual prevalence rate in the broader population might be different. The implications of this finding are multifaceted. Firstly, it</w:t>
      </w:r>
      <w:r>
        <w:rPr>
          <w:rFonts w:ascii="Times New Roman" w:hAnsi="Times New Roman" w:cs="Times New Roman"/>
          <w:b/>
          <w:sz w:val="24"/>
          <w:szCs w:val="24"/>
        </w:rPr>
        <w:t xml:space="preserve"> </w:t>
      </w:r>
      <w:r>
        <w:rPr>
          <w:rFonts w:ascii="Times New Roman" w:hAnsi="Times New Roman" w:cs="Times New Roman"/>
          <w:sz w:val="24"/>
          <w:szCs w:val="24"/>
        </w:rPr>
        <w:t xml:space="preserve">emphasizes the necessity for health surveillance systems to include testing for OBI in TB patients, as OBI can remain undetected due to its occult nature. Secondly, it highlights the need for further research to understand the transmission dynamics of OBI among TB patients, </w:t>
      </w:r>
      <w:r w:rsidR="00DB5E05">
        <w:rPr>
          <w:rFonts w:ascii="Times New Roman" w:hAnsi="Times New Roman" w:cs="Times New Roman"/>
          <w:sz w:val="24"/>
          <w:szCs w:val="24"/>
        </w:rPr>
        <w:t xml:space="preserve">necessitating </w:t>
      </w:r>
      <w:r>
        <w:rPr>
          <w:rFonts w:ascii="Times New Roman" w:hAnsi="Times New Roman" w:cs="Times New Roman"/>
          <w:sz w:val="24"/>
          <w:szCs w:val="24"/>
        </w:rPr>
        <w:t xml:space="preserve">targeted interventions. Studies on prevalent rates in TB/OBI coinfection is generally lacking, however, comparing this study’s findings with other research, such as the study conducted in Southeast China [12], which reported a higher prevalence of TB co-infection with hepatitis B virus, suggests regional variations in co-infection rates. Another study on the impacts of hepatitis B and C co-infection with tuberculosis [13] provides additional context on </w:t>
      </w:r>
      <w:r>
        <w:rPr>
          <w:rFonts w:ascii="Times New Roman" w:hAnsi="Times New Roman" w:cs="Times New Roman"/>
          <w:sz w:val="24"/>
          <w:szCs w:val="24"/>
        </w:rPr>
        <w:lastRenderedPageBreak/>
        <w:t>the complexity of managing TB in the presence of viral hepatitis co-infections. The differences in co-infection rates between Rivers State and other regions could be due to several factors, including the effectiveness of public health interventions, such as vaccination programs and TB control measures. Additionally, genetic factors, environmental conditions, and social determinants of health may play roles in influencing the prevalence of co-infections.</w:t>
      </w:r>
    </w:p>
    <w:p w14:paraId="67339F0C" w14:textId="56248BD9"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There was no significant sex-specific difference in the distribution of TB/OBI co-infection within the study population (p-value = 0.421). This finding suggests that the risk of co-infection is not influenced by se</w:t>
      </w:r>
      <w:r w:rsidR="00DB5E05">
        <w:rPr>
          <w:rFonts w:ascii="Times New Roman" w:hAnsi="Times New Roman" w:cs="Times New Roman"/>
          <w:sz w:val="24"/>
          <w:szCs w:val="24"/>
        </w:rPr>
        <w:t>x</w:t>
      </w:r>
      <w:r>
        <w:rPr>
          <w:rFonts w:ascii="Times New Roman" w:hAnsi="Times New Roman" w:cs="Times New Roman"/>
          <w:sz w:val="24"/>
          <w:szCs w:val="24"/>
        </w:rPr>
        <w:t xml:space="preserve">, contrasting </w:t>
      </w:r>
      <w:r w:rsidR="00E72F59">
        <w:rPr>
          <w:rFonts w:ascii="Times New Roman" w:hAnsi="Times New Roman" w:cs="Times New Roman"/>
          <w:sz w:val="24"/>
          <w:szCs w:val="24"/>
        </w:rPr>
        <w:t>a recent study by Seifert and his colleagues who reported that test positivity was higher among males compared to females [14].</w:t>
      </w:r>
      <w:r>
        <w:rPr>
          <w:rFonts w:ascii="Times New Roman" w:hAnsi="Times New Roman" w:cs="Times New Roman"/>
          <w:sz w:val="24"/>
          <w:szCs w:val="24"/>
        </w:rPr>
        <w:t xml:space="preserve"> The lack of significance in this study could be due to the relatively small number of co-infection cases or the specific demographics of the population studied.</w:t>
      </w:r>
    </w:p>
    <w:p w14:paraId="42698D2A" w14:textId="3F6748F5"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Similarly, the Kruskal-Wallis test showed no significant age-specific difference in the distribution of TB/OBI co-infection (p-value = 0.88). This uniformity across age groups suggests that age may not be a determining factor for co-infection within this region, also contrasting </w:t>
      </w:r>
      <w:r w:rsidR="00E72F59">
        <w:rPr>
          <w:rFonts w:ascii="Times New Roman" w:hAnsi="Times New Roman" w:cs="Times New Roman"/>
          <w:sz w:val="24"/>
          <w:szCs w:val="24"/>
        </w:rPr>
        <w:t>the study by Seifert and his colleagues which</w:t>
      </w:r>
      <w:r w:rsidR="00D14C3B">
        <w:rPr>
          <w:rFonts w:ascii="Times New Roman" w:hAnsi="Times New Roman" w:cs="Times New Roman"/>
          <w:sz w:val="24"/>
          <w:szCs w:val="24"/>
        </w:rPr>
        <w:t xml:space="preserve"> suggested that</w:t>
      </w:r>
      <w:r w:rsidR="00E72F59">
        <w:rPr>
          <w:rFonts w:ascii="Times New Roman" w:hAnsi="Times New Roman" w:cs="Times New Roman"/>
          <w:sz w:val="24"/>
          <w:szCs w:val="24"/>
        </w:rPr>
        <w:t xml:space="preserve"> </w:t>
      </w:r>
      <w:r w:rsidR="00D14C3B">
        <w:rPr>
          <w:rFonts w:ascii="Times New Roman" w:hAnsi="Times New Roman" w:cs="Times New Roman"/>
          <w:sz w:val="24"/>
          <w:szCs w:val="24"/>
        </w:rPr>
        <w:t>age group may be a factor</w:t>
      </w:r>
      <w:r w:rsidR="00E72F59">
        <w:rPr>
          <w:rFonts w:ascii="Times New Roman" w:hAnsi="Times New Roman" w:cs="Times New Roman"/>
          <w:sz w:val="24"/>
          <w:szCs w:val="24"/>
        </w:rPr>
        <w:t xml:space="preserve"> </w:t>
      </w:r>
      <w:r w:rsidR="00D14C3B">
        <w:rPr>
          <w:rFonts w:ascii="Times New Roman" w:hAnsi="Times New Roman" w:cs="Times New Roman"/>
          <w:sz w:val="24"/>
          <w:szCs w:val="24"/>
        </w:rPr>
        <w:t>[</w:t>
      </w:r>
      <w:r>
        <w:rPr>
          <w:rFonts w:ascii="Times New Roman" w:hAnsi="Times New Roman" w:cs="Times New Roman"/>
          <w:sz w:val="24"/>
          <w:szCs w:val="24"/>
        </w:rPr>
        <w:t>14]. The consistent mean ranks across all age categories in this study imply a homogenous distribution of co-infection risk, which may reflect effective public health interventions or unique epidemiological characteristics of the region.</w:t>
      </w:r>
    </w:p>
    <w:p w14:paraId="66595D1F"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The absence of significant sex and age differences in TB/OBI co-infection within this study’s cohort could have several implications. It may indicate the need for uniform public health strategies across all sexes and ages rather than targeted interventions. However, it also highlights the importance of continuous surveillance to monitor potential shifts in trends that could emerge due to changes in public health policies, healthcare access, or socio-economic factors.</w:t>
      </w:r>
    </w:p>
    <w:p w14:paraId="0D565870"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b/>
          <w:sz w:val="24"/>
          <w:szCs w:val="24"/>
        </w:rPr>
        <w:t>Conclusion</w:t>
      </w:r>
    </w:p>
    <w:p w14:paraId="448B82ED" w14:textId="7B1B953B"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This stud</w:t>
      </w:r>
      <w:r w:rsidR="00DB5E05">
        <w:rPr>
          <w:rFonts w:ascii="Times New Roman" w:hAnsi="Times New Roman" w:cs="Times New Roman"/>
          <w:sz w:val="24"/>
          <w:szCs w:val="24"/>
        </w:rPr>
        <w:t>y provides valuable insights on t</w:t>
      </w:r>
      <w:r>
        <w:rPr>
          <w:rFonts w:ascii="Times New Roman" w:hAnsi="Times New Roman" w:cs="Times New Roman"/>
          <w:sz w:val="24"/>
          <w:szCs w:val="24"/>
        </w:rPr>
        <w:t>he coinfection of tuberculosis (TB) and occult hepatitis B infection (OBI) among residents in Rivers State, Nigeria. The findings indicate a low prevalence of TB/OBI coinfection, with only one case detected out of 392 participants, yielding a prevalence rate of 0.3%. This relatively low prevalence suggests that while coinfection may occur, it is not a common occurrence in this population. The implications of TB/OBI coinfection, despite its low prevalence, are substantial. Coinfection presents challenges in disease management and prognosis due to the complex interplay between TB and hepatitis B virus (HBV), potentially leading to adverse health outcomes. It is imperative to recognize the possibility of coinfection in clinical practice, particularly in regions where TB and HBV are endemic.</w:t>
      </w:r>
    </w:p>
    <w:p w14:paraId="372A8774" w14:textId="12FAF4EA"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Furthermore, this study highlights the importance of comprehensive surveillance and integrated healthcare strategies in addressing infectious diseases. While no significant differences were observed in coinfection rates based on sex or age, continuous monitoring is essential to detect any emerging trends or shifts in epidemiology. Understanding the epidemiological factors influencing TB/OBI coinfection can inform targeted interventions and improve patient outcomes. It is essential to acknowledge certain limitations of this study, including its cross-sectional design, which provides a snapshot of coinfection prevalence at a specific point in time. Longitudinal studies are warranted to assess temporal trends and dynamics of TB/OBI </w:t>
      </w:r>
      <w:r>
        <w:rPr>
          <w:rFonts w:ascii="Times New Roman" w:hAnsi="Times New Roman" w:cs="Times New Roman"/>
          <w:sz w:val="24"/>
          <w:szCs w:val="24"/>
        </w:rPr>
        <w:lastRenderedPageBreak/>
        <w:t>coinfection. Additionally, the study's sample size may limit the generalizability of findings to the broader population of Rivers State.</w:t>
      </w:r>
    </w:p>
    <w:p w14:paraId="028AB765" w14:textId="5418970C" w:rsidR="005804BC" w:rsidRDefault="005804BC" w:rsidP="005804B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Ethical </w:t>
      </w:r>
      <w:r>
        <w:rPr>
          <w:rFonts w:ascii="Times New Roman" w:hAnsi="Times New Roman" w:cs="Times New Roman"/>
          <w:b/>
          <w:sz w:val="24"/>
          <w:szCs w:val="24"/>
        </w:rPr>
        <w:t>Approval and consent</w:t>
      </w:r>
    </w:p>
    <w:p w14:paraId="1EAA54C4" w14:textId="77777777" w:rsidR="005804BC" w:rsidRDefault="005804BC" w:rsidP="005804BC">
      <w:pPr>
        <w:spacing w:line="276" w:lineRule="auto"/>
        <w:jc w:val="both"/>
        <w:rPr>
          <w:rFonts w:ascii="Times New Roman" w:hAnsi="Times New Roman" w:cs="Times New Roman"/>
          <w:sz w:val="24"/>
          <w:szCs w:val="24"/>
        </w:rPr>
      </w:pPr>
      <w:r>
        <w:rPr>
          <w:rFonts w:ascii="Times New Roman" w:hAnsi="Times New Roman" w:cs="Times New Roman"/>
          <w:sz w:val="24"/>
          <w:szCs w:val="24"/>
        </w:rPr>
        <w:t>Ethical approval was obtained for this study was obtained from the Rivers state ministry of health, and written consent was obtained from all participants.</w:t>
      </w:r>
    </w:p>
    <w:p w14:paraId="40927B84" w14:textId="4E994DDF" w:rsidR="00196DA6" w:rsidRDefault="00196DA6">
      <w:pPr>
        <w:spacing w:line="23" w:lineRule="atLeast"/>
        <w:jc w:val="both"/>
        <w:rPr>
          <w:rFonts w:ascii="Times New Roman" w:hAnsi="Times New Roman" w:cs="Times New Roman"/>
          <w:sz w:val="24"/>
          <w:szCs w:val="24"/>
        </w:rPr>
      </w:pPr>
    </w:p>
    <w:p w14:paraId="26863FE9" w14:textId="77777777" w:rsidR="00196DA6" w:rsidRDefault="00196DA6" w:rsidP="00196DA6">
      <w:pPr>
        <w:rPr>
          <w:highlight w:val="yellow"/>
        </w:rPr>
      </w:pPr>
      <w:r>
        <w:rPr>
          <w:highlight w:val="yellow"/>
        </w:rPr>
        <w:t>Disclaimer (Artificial intelligence)</w:t>
      </w:r>
    </w:p>
    <w:p w14:paraId="074E8F6F" w14:textId="77777777" w:rsidR="00196DA6" w:rsidRDefault="00196DA6" w:rsidP="00196DA6">
      <w:pPr>
        <w:rPr>
          <w:highlight w:val="yellow"/>
        </w:rPr>
      </w:pPr>
      <w:r>
        <w:rPr>
          <w:highlight w:val="yellow"/>
        </w:rPr>
        <w:t xml:space="preserve">Option 1: </w:t>
      </w:r>
    </w:p>
    <w:p w14:paraId="6BE15B3B" w14:textId="77777777" w:rsidR="00196DA6" w:rsidRDefault="00196DA6" w:rsidP="00196DA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F75D255" w14:textId="77777777" w:rsidR="00196DA6" w:rsidRDefault="00196DA6" w:rsidP="00196DA6">
      <w:pPr>
        <w:rPr>
          <w:highlight w:val="yellow"/>
        </w:rPr>
      </w:pPr>
      <w:r>
        <w:rPr>
          <w:highlight w:val="yellow"/>
        </w:rPr>
        <w:t xml:space="preserve">Option 2: </w:t>
      </w:r>
    </w:p>
    <w:p w14:paraId="2612CFF0" w14:textId="77777777" w:rsidR="00196DA6" w:rsidRDefault="00196DA6" w:rsidP="00196DA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BFE17C" w14:textId="77777777" w:rsidR="00196DA6" w:rsidRDefault="00196DA6" w:rsidP="00196DA6">
      <w:pPr>
        <w:rPr>
          <w:highlight w:val="yellow"/>
        </w:rPr>
      </w:pPr>
      <w:r>
        <w:rPr>
          <w:highlight w:val="yellow"/>
        </w:rPr>
        <w:t>Details of the AI usage are given below:</w:t>
      </w:r>
    </w:p>
    <w:p w14:paraId="6E3A2DD5" w14:textId="77777777" w:rsidR="00196DA6" w:rsidRDefault="00196DA6" w:rsidP="00196DA6">
      <w:pPr>
        <w:rPr>
          <w:highlight w:val="yellow"/>
        </w:rPr>
      </w:pPr>
      <w:r>
        <w:rPr>
          <w:highlight w:val="yellow"/>
        </w:rPr>
        <w:t>1.</w:t>
      </w:r>
    </w:p>
    <w:p w14:paraId="48FD31C6" w14:textId="77777777" w:rsidR="00196DA6" w:rsidRDefault="00196DA6" w:rsidP="00196DA6">
      <w:pPr>
        <w:rPr>
          <w:highlight w:val="yellow"/>
        </w:rPr>
      </w:pPr>
      <w:r>
        <w:rPr>
          <w:highlight w:val="yellow"/>
        </w:rPr>
        <w:t>2.</w:t>
      </w:r>
    </w:p>
    <w:p w14:paraId="346B5A43" w14:textId="77777777" w:rsidR="00196DA6" w:rsidRDefault="00196DA6" w:rsidP="00196DA6">
      <w:r>
        <w:rPr>
          <w:highlight w:val="yellow"/>
        </w:rPr>
        <w:t>3.</w:t>
      </w:r>
    </w:p>
    <w:p w14:paraId="6A4D3276" w14:textId="77777777" w:rsidR="00196DA6" w:rsidRDefault="00196DA6">
      <w:pPr>
        <w:spacing w:line="23" w:lineRule="atLeast"/>
        <w:jc w:val="both"/>
        <w:rPr>
          <w:rFonts w:ascii="Times New Roman" w:hAnsi="Times New Roman" w:cs="Times New Roman"/>
          <w:sz w:val="24"/>
          <w:szCs w:val="24"/>
        </w:rPr>
      </w:pPr>
    </w:p>
    <w:p w14:paraId="759B404F" w14:textId="77777777" w:rsidR="00EB361E" w:rsidRDefault="00EB361E">
      <w:pPr>
        <w:spacing w:line="360" w:lineRule="auto"/>
        <w:rPr>
          <w:rFonts w:ascii="Times New Roman" w:hAnsi="Times New Roman" w:cs="Times New Roman"/>
          <w:b/>
          <w:sz w:val="24"/>
          <w:szCs w:val="24"/>
        </w:rPr>
      </w:pPr>
    </w:p>
    <w:p w14:paraId="5FFF085D" w14:textId="77777777" w:rsidR="00EB361E" w:rsidRDefault="00BA519F">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55F0C6C1"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Chen L, Bao D, Gu L, Gu Y, Zhou L, Gao Z, et al. Co-infection with hepatitis B virus among tuberculosis patients is associated with poor outcomes during anti-tuberculosis treatment. BMC Infectious Diseases. 2018 Jul 3;18(1).</w:t>
      </w:r>
    </w:p>
    <w:p w14:paraId="1105B455"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Agyeman AA, Ofori-Asenso R. Tuberculosis—an overview. Journal of Public Health and Emergency. 2017;1(7):1-11.</w:t>
      </w:r>
    </w:p>
    <w:p w14:paraId="22E3C8AB"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Ogbo FA, Ogeleka P, Okoro A, Olusanya BO, Olusanya J, Ifegwu IK, et al. Tuberculosis disease burden and attributable risk factors in Nigeria, 1990–2016. Tropical Medicine </w:t>
      </w:r>
      <w:r>
        <w:rPr>
          <w:rFonts w:ascii="Times New Roman" w:hAnsi="Times New Roman" w:cs="Times New Roman"/>
          <w:sz w:val="24"/>
          <w:szCs w:val="24"/>
        </w:rPr>
        <w:lastRenderedPageBreak/>
        <w:t xml:space="preserve">and Health [Internet]. 2018 Sep 25;46(1). Available from: </w:t>
      </w:r>
      <w:hyperlink r:id="rId7" w:history="1">
        <w:r>
          <w:rPr>
            <w:rStyle w:val="Hyperlink"/>
            <w:rFonts w:ascii="Times New Roman" w:hAnsi="Times New Roman" w:cs="Times New Roman"/>
            <w:color w:val="auto"/>
            <w:sz w:val="24"/>
            <w:szCs w:val="24"/>
          </w:rPr>
          <w:t>https://tropmedhealth.biomedcentral.com/articles/10.1186/s41182-018-0114-9</w:t>
        </w:r>
      </w:hyperlink>
    </w:p>
    <w:p w14:paraId="17960CE8"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World Health Organization. Hepatitis B [Internet]. World Health Organization. 2023. Available from: </w:t>
      </w:r>
      <w:hyperlink r:id="rId8" w:history="1">
        <w:r>
          <w:rPr>
            <w:rStyle w:val="Hyperlink"/>
            <w:rFonts w:ascii="Times New Roman" w:hAnsi="Times New Roman" w:cs="Times New Roman"/>
            <w:color w:val="auto"/>
            <w:sz w:val="24"/>
            <w:szCs w:val="24"/>
          </w:rPr>
          <w:t>https://www.who.int/news-room/fact-sheets/detail/hepatitis-b</w:t>
        </w:r>
      </w:hyperlink>
      <w:r>
        <w:rPr>
          <w:rFonts w:ascii="Times New Roman" w:hAnsi="Times New Roman" w:cs="Times New Roman"/>
          <w:sz w:val="24"/>
          <w:szCs w:val="24"/>
        </w:rPr>
        <w:t xml:space="preserve"> </w:t>
      </w:r>
    </w:p>
    <w:p w14:paraId="7279F060"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Lee BT, Perumalswami PV. Diagnosis and Management of Occult Hepatitis B Infection. Current Hepatology Reports. 2020 Nov 23;19(4):354–61.</w:t>
      </w:r>
    </w:p>
    <w:p w14:paraId="4B0799BF"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Ghezeldasht SA, Soleimanpour S, Moghaddam MR, Farshchian M, Rezaee SA, Mosavat A. Rate of occult hepatitis B virus infection among individuals with tuberculosis in northeastern Iran: A molecular epidemiological study. Journal of Virus Eradication. 2023 Jun 19;9(2):10033</w:t>
      </w:r>
    </w:p>
    <w:p w14:paraId="7DA20C6D"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Trigo C, Emmanuel P, Alice M, Liane de Castro. Occult hepatitis B virus infection: clinical implications in tuberculosis treatment. Journal of Viral Hepatitis. 2016 Sep 13;23(12):1027–35.</w:t>
      </w:r>
    </w:p>
    <w:p w14:paraId="4CC39BD8"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Prevalence of Tuberculosis and Compliance to Treatment from 2010-2020 In Rivers State, Southsouth Nigeria [Internet]. International Journal of Environment and Pollution Research (IJEPR). [cited 2024 Apr 16]. Available from: </w:t>
      </w:r>
      <w:hyperlink r:id="rId9" w:history="1">
        <w:r>
          <w:rPr>
            <w:rStyle w:val="Hyperlink"/>
            <w:rFonts w:ascii="Times New Roman" w:hAnsi="Times New Roman" w:cs="Times New Roman"/>
            <w:color w:val="auto"/>
            <w:sz w:val="24"/>
            <w:szCs w:val="24"/>
          </w:rPr>
          <w:t>https://eajournals.org/ijepr/vol10-issue-3-2022/prevalence-of-tuberculosis-and-compliance-to-treatment-from-2010-2020-in-rivers-state-southsouth-nigeria/</w:t>
        </w:r>
      </w:hyperlink>
    </w:p>
    <w:p w14:paraId="073E9D31"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Ajuwon BI, Yujuico I, Roper K, Richardson A, Sheel M, Lidbury BA. Hepatitis B virus infection in Nigeria: a systematic review and meta-analysis of data published between 2010 and 2019. BMC Infectious Diseases. 2021 Oct 30;21(1).</w:t>
      </w:r>
    </w:p>
    <w:p w14:paraId="08210D9D" w14:textId="77777777" w:rsidR="00EB361E" w:rsidRDefault="00BA51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Verma G. Decontamination Method for Tuberculosis: A Review 1 MedDocs Publishers of Creative Commons Attribution 4.0 International License. 2021;4(1):1025. Available from: https://meddocsonline.org/journal-of-tuberculosis/Decontamination-Method-for-Tuberculosis-A-Review.pdf</w:t>
      </w:r>
    </w:p>
    <w:p w14:paraId="7713E4F9"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Watanabe M, Toyoda H, Kawabata T. Rapid quantification assay of hepatitis B virus DNA in human serum and plasma by Fully Automated Genetic Analyzer μTASWako g1. Hossain MdG, editor. PLOS ONE. 2023 Feb 9;18(2):e02781</w:t>
      </w:r>
    </w:p>
    <w:p w14:paraId="5144135A"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Zhou Y, Li T, Lin SY, Chen DY, Du Y, Chen J, Chen K, Dai Z. Characteristics and treatment outcomes of co-infected tuberculosis patients with human immunodeficiency virus in Southeast China, 2012–2021. BMC Infectious Diseases. 2023 Aug 10;23(1).</w:t>
      </w:r>
    </w:p>
    <w:p w14:paraId="3BA736F1"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Feleke BE, Feleke TE, Adane WG, Girma A. Impacts of hepatitis B and hepatitis C co-infection with tuberculosis, a prospective cohort study. Virology Journal. 2020 Jul 23;17(1).</w:t>
      </w:r>
    </w:p>
    <w:p w14:paraId="18F38DD3"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Seifert M, Aung HT, Besler N, Harris V, Mar TT, Colman RE, Rodwell TC, Aung ST. Age and sex distribution of Mycobacterium tuberculosis infection and rifampicin resistance in Myanmar as detected by Xpert MTB/RIF. BMC Infectious Diseases. 2021 Aug 9;21(1).</w:t>
      </w:r>
    </w:p>
    <w:p w14:paraId="52949C10" w14:textId="77777777" w:rsidR="00EB361E" w:rsidRDefault="00EB361E">
      <w:pPr>
        <w:spacing w:line="360" w:lineRule="auto"/>
        <w:rPr>
          <w:rFonts w:ascii="Times New Roman" w:eastAsia="Times New Roman" w:hAnsi="Times New Roman" w:cs="Times New Roman"/>
          <w:sz w:val="24"/>
          <w:szCs w:val="24"/>
        </w:rPr>
      </w:pPr>
    </w:p>
    <w:p w14:paraId="2A33E56F" w14:textId="77777777" w:rsidR="00EB361E" w:rsidRDefault="00BA519F">
      <w:pPr>
        <w:spacing w:line="360" w:lineRule="auto"/>
        <w:rPr>
          <w:rFonts w:ascii="Times New Roman" w:hAnsi="Times New Roman" w:cs="Times New Roman"/>
          <w:sz w:val="24"/>
          <w:szCs w:val="24"/>
        </w:rPr>
      </w:pPr>
      <w:r>
        <w:rPr>
          <w:rFonts w:ascii="Times New Roman" w:hAnsi="Times New Roman" w:cs="Times New Roman"/>
          <w:sz w:val="24"/>
          <w:szCs w:val="24"/>
        </w:rPr>
        <w:t>‌</w:t>
      </w:r>
    </w:p>
    <w:sectPr w:rsidR="00EB36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FE65" w14:textId="77777777" w:rsidR="00BA498A" w:rsidRDefault="00BA498A">
      <w:pPr>
        <w:spacing w:line="240" w:lineRule="auto"/>
      </w:pPr>
      <w:r>
        <w:separator/>
      </w:r>
    </w:p>
  </w:endnote>
  <w:endnote w:type="continuationSeparator" w:id="0">
    <w:p w14:paraId="57FDCFBC" w14:textId="77777777" w:rsidR="00BA498A" w:rsidRDefault="00BA4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SansPro-Bold">
    <w:altName w:val="Cambria"/>
    <w:charset w:val="00"/>
    <w:family w:val="roman"/>
    <w:pitch w:val="default"/>
  </w:font>
  <w:font w:name="SourceSansPro-I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F0B" w14:textId="77777777" w:rsidR="00563253" w:rsidRDefault="0056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A48" w14:textId="77777777" w:rsidR="00563253" w:rsidRDefault="00563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F8BE" w14:textId="77777777" w:rsidR="00563253" w:rsidRDefault="0056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CD6B" w14:textId="77777777" w:rsidR="00BA498A" w:rsidRDefault="00BA498A">
      <w:pPr>
        <w:spacing w:after="0"/>
      </w:pPr>
      <w:r>
        <w:separator/>
      </w:r>
    </w:p>
  </w:footnote>
  <w:footnote w:type="continuationSeparator" w:id="0">
    <w:p w14:paraId="3D40B7C0" w14:textId="77777777" w:rsidR="00BA498A" w:rsidRDefault="00BA49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1EB" w14:textId="5045CD7C" w:rsidR="00563253" w:rsidRDefault="00000000">
    <w:pPr>
      <w:pStyle w:val="Header"/>
    </w:pPr>
    <w:r>
      <w:rPr>
        <w:noProof/>
      </w:rPr>
      <w:pict w14:anchorId="11038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AD2F" w14:textId="57101007" w:rsidR="00563253" w:rsidRDefault="00000000">
    <w:pPr>
      <w:pStyle w:val="Header"/>
    </w:pPr>
    <w:r>
      <w:rPr>
        <w:noProof/>
      </w:rPr>
      <w:pict w14:anchorId="7C72B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FDE6" w14:textId="2E1EE507" w:rsidR="00563253" w:rsidRDefault="00000000">
    <w:pPr>
      <w:pStyle w:val="Header"/>
    </w:pPr>
    <w:r>
      <w:rPr>
        <w:noProof/>
      </w:rPr>
      <w:pict w14:anchorId="6FFB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D0A7A"/>
    <w:multiLevelType w:val="multilevel"/>
    <w:tmpl w:val="659D0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998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8C6"/>
    <w:rsid w:val="000205D4"/>
    <w:rsid w:val="00033EB7"/>
    <w:rsid w:val="000B7024"/>
    <w:rsid w:val="000D1758"/>
    <w:rsid w:val="000D5A8A"/>
    <w:rsid w:val="000E12A9"/>
    <w:rsid w:val="00124EF2"/>
    <w:rsid w:val="0013463D"/>
    <w:rsid w:val="0018188A"/>
    <w:rsid w:val="00196DA6"/>
    <w:rsid w:val="001B5BCD"/>
    <w:rsid w:val="001C01C7"/>
    <w:rsid w:val="00222DAE"/>
    <w:rsid w:val="00227ECA"/>
    <w:rsid w:val="00272684"/>
    <w:rsid w:val="00322CA4"/>
    <w:rsid w:val="00373E53"/>
    <w:rsid w:val="003A78C6"/>
    <w:rsid w:val="003F79E9"/>
    <w:rsid w:val="0044444A"/>
    <w:rsid w:val="00501230"/>
    <w:rsid w:val="00503765"/>
    <w:rsid w:val="00510330"/>
    <w:rsid w:val="00551D58"/>
    <w:rsid w:val="005523CA"/>
    <w:rsid w:val="0055512E"/>
    <w:rsid w:val="00563253"/>
    <w:rsid w:val="00567AB0"/>
    <w:rsid w:val="00570E05"/>
    <w:rsid w:val="005804BC"/>
    <w:rsid w:val="005964ED"/>
    <w:rsid w:val="005D1B69"/>
    <w:rsid w:val="005D7D5D"/>
    <w:rsid w:val="005E00EB"/>
    <w:rsid w:val="005E48B1"/>
    <w:rsid w:val="00614670"/>
    <w:rsid w:val="00626D5C"/>
    <w:rsid w:val="00653B5A"/>
    <w:rsid w:val="006564D7"/>
    <w:rsid w:val="006B1D22"/>
    <w:rsid w:val="006D3889"/>
    <w:rsid w:val="006E2FBE"/>
    <w:rsid w:val="0070168C"/>
    <w:rsid w:val="007046AE"/>
    <w:rsid w:val="008010E7"/>
    <w:rsid w:val="00814D93"/>
    <w:rsid w:val="008777D1"/>
    <w:rsid w:val="008A7135"/>
    <w:rsid w:val="008C39CF"/>
    <w:rsid w:val="008C4FE2"/>
    <w:rsid w:val="008F7F04"/>
    <w:rsid w:val="00934897"/>
    <w:rsid w:val="009E7A0F"/>
    <w:rsid w:val="00A108C0"/>
    <w:rsid w:val="00A4148E"/>
    <w:rsid w:val="00A52B2E"/>
    <w:rsid w:val="00A94EB3"/>
    <w:rsid w:val="00AF7A6D"/>
    <w:rsid w:val="00B21D9B"/>
    <w:rsid w:val="00B34D92"/>
    <w:rsid w:val="00B714C9"/>
    <w:rsid w:val="00B8198E"/>
    <w:rsid w:val="00BA498A"/>
    <w:rsid w:val="00BA519F"/>
    <w:rsid w:val="00C04A5F"/>
    <w:rsid w:val="00C1308B"/>
    <w:rsid w:val="00C54577"/>
    <w:rsid w:val="00CA1079"/>
    <w:rsid w:val="00CB6DCF"/>
    <w:rsid w:val="00CE5D4E"/>
    <w:rsid w:val="00CF794D"/>
    <w:rsid w:val="00D016CF"/>
    <w:rsid w:val="00D14C3B"/>
    <w:rsid w:val="00D2631C"/>
    <w:rsid w:val="00D4583B"/>
    <w:rsid w:val="00D569E2"/>
    <w:rsid w:val="00D93A54"/>
    <w:rsid w:val="00DB5E05"/>
    <w:rsid w:val="00DC0BD2"/>
    <w:rsid w:val="00E65D0B"/>
    <w:rsid w:val="00E72F59"/>
    <w:rsid w:val="00EA4CFF"/>
    <w:rsid w:val="00EB361E"/>
    <w:rsid w:val="00EB5CA0"/>
    <w:rsid w:val="00F01B97"/>
    <w:rsid w:val="00F22D22"/>
    <w:rsid w:val="00F3219B"/>
    <w:rsid w:val="00F45AC1"/>
    <w:rsid w:val="00F6118E"/>
    <w:rsid w:val="00FD5112"/>
    <w:rsid w:val="00FF1FD7"/>
    <w:rsid w:val="0D0A0F15"/>
    <w:rsid w:val="4569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05578"/>
  <w15:docId w15:val="{30CBA328-7F77-406C-B719-C294CD67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964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name">
    <w:name w:val="name"/>
    <w:basedOn w:val="DefaultParagraphFont"/>
  </w:style>
  <w:style w:type="character" w:customStyle="1" w:styleId="fontstyle01">
    <w:name w:val="fontstyle01"/>
    <w:basedOn w:val="DefaultParagraphFont"/>
    <w:qFormat/>
    <w:rPr>
      <w:rFonts w:ascii="SourceSansPro-Bold" w:hAnsi="SourceSansPro-Bold" w:hint="default"/>
      <w:b/>
      <w:bCs/>
      <w:color w:val="000000"/>
      <w:sz w:val="18"/>
      <w:szCs w:val="18"/>
    </w:rPr>
  </w:style>
  <w:style w:type="character" w:customStyle="1" w:styleId="fontstyle21">
    <w:name w:val="fontstyle21"/>
    <w:basedOn w:val="DefaultParagraphFont"/>
    <w:qFormat/>
    <w:rPr>
      <w:rFonts w:ascii="SourceSansPro-It" w:hAnsi="SourceSansPro-It" w:hint="default"/>
      <w:i/>
      <w:iCs/>
      <w:color w:val="000000"/>
      <w:sz w:val="16"/>
      <w:szCs w:val="16"/>
    </w:rPr>
  </w:style>
  <w:style w:type="character" w:customStyle="1" w:styleId="UnresolvedMention1">
    <w:name w:val="Unresolved Mention1"/>
    <w:basedOn w:val="DefaultParagraphFont"/>
    <w:uiPriority w:val="99"/>
    <w:semiHidden/>
    <w:unhideWhenUsed/>
    <w:rsid w:val="00322CA4"/>
    <w:rPr>
      <w:color w:val="605E5C"/>
      <w:shd w:val="clear" w:color="auto" w:fill="E1DFDD"/>
    </w:rPr>
  </w:style>
  <w:style w:type="paragraph" w:styleId="Header">
    <w:name w:val="header"/>
    <w:basedOn w:val="Normal"/>
    <w:link w:val="HeaderChar"/>
    <w:uiPriority w:val="99"/>
    <w:unhideWhenUsed/>
    <w:rsid w:val="0056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53"/>
    <w:rPr>
      <w:sz w:val="22"/>
      <w:szCs w:val="22"/>
      <w:lang w:val="en-US" w:eastAsia="en-US"/>
    </w:rPr>
  </w:style>
  <w:style w:type="paragraph" w:styleId="Footer">
    <w:name w:val="footer"/>
    <w:basedOn w:val="Normal"/>
    <w:link w:val="FooterChar"/>
    <w:uiPriority w:val="99"/>
    <w:unhideWhenUsed/>
    <w:rsid w:val="0056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53"/>
    <w:rPr>
      <w:sz w:val="22"/>
      <w:szCs w:val="22"/>
      <w:lang w:val="en-US" w:eastAsia="en-US"/>
    </w:rPr>
  </w:style>
  <w:style w:type="character" w:styleId="CommentReference">
    <w:name w:val="annotation reference"/>
    <w:basedOn w:val="DefaultParagraphFont"/>
    <w:uiPriority w:val="99"/>
    <w:semiHidden/>
    <w:unhideWhenUsed/>
    <w:rsid w:val="00501230"/>
    <w:rPr>
      <w:sz w:val="16"/>
      <w:szCs w:val="16"/>
    </w:rPr>
  </w:style>
  <w:style w:type="paragraph" w:styleId="CommentText">
    <w:name w:val="annotation text"/>
    <w:basedOn w:val="Normal"/>
    <w:link w:val="CommentTextChar"/>
    <w:uiPriority w:val="99"/>
    <w:unhideWhenUsed/>
    <w:rsid w:val="00501230"/>
    <w:pPr>
      <w:spacing w:line="240" w:lineRule="auto"/>
    </w:pPr>
    <w:rPr>
      <w:sz w:val="20"/>
      <w:szCs w:val="20"/>
    </w:rPr>
  </w:style>
  <w:style w:type="character" w:customStyle="1" w:styleId="CommentTextChar">
    <w:name w:val="Comment Text Char"/>
    <w:basedOn w:val="DefaultParagraphFont"/>
    <w:link w:val="CommentText"/>
    <w:uiPriority w:val="99"/>
    <w:rsid w:val="00501230"/>
    <w:rPr>
      <w:lang w:val="en-US" w:eastAsia="en-US"/>
    </w:rPr>
  </w:style>
  <w:style w:type="paragraph" w:styleId="CommentSubject">
    <w:name w:val="annotation subject"/>
    <w:basedOn w:val="CommentText"/>
    <w:next w:val="CommentText"/>
    <w:link w:val="CommentSubjectChar"/>
    <w:uiPriority w:val="99"/>
    <w:semiHidden/>
    <w:unhideWhenUsed/>
    <w:rsid w:val="00501230"/>
    <w:rPr>
      <w:b/>
      <w:bCs/>
    </w:rPr>
  </w:style>
  <w:style w:type="character" w:customStyle="1" w:styleId="CommentSubjectChar">
    <w:name w:val="Comment Subject Char"/>
    <w:basedOn w:val="CommentTextChar"/>
    <w:link w:val="CommentSubject"/>
    <w:uiPriority w:val="99"/>
    <w:semiHidden/>
    <w:rsid w:val="00501230"/>
    <w:rPr>
      <w:b/>
      <w:bCs/>
      <w:lang w:val="en-US" w:eastAsia="en-US"/>
    </w:rPr>
  </w:style>
  <w:style w:type="paragraph" w:styleId="BalloonText">
    <w:name w:val="Balloon Text"/>
    <w:basedOn w:val="Normal"/>
    <w:link w:val="BalloonTextChar"/>
    <w:uiPriority w:val="99"/>
    <w:semiHidden/>
    <w:unhideWhenUsed/>
    <w:rsid w:val="00501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230"/>
    <w:rPr>
      <w:rFonts w:ascii="Segoe UI" w:hAnsi="Segoe UI" w:cs="Segoe UI"/>
      <w:sz w:val="18"/>
      <w:szCs w:val="18"/>
      <w:lang w:val="en-US" w:eastAsia="en-US"/>
    </w:rPr>
  </w:style>
  <w:style w:type="character" w:customStyle="1" w:styleId="Heading3Char">
    <w:name w:val="Heading 3 Char"/>
    <w:basedOn w:val="DefaultParagraphFont"/>
    <w:link w:val="Heading3"/>
    <w:uiPriority w:val="9"/>
    <w:semiHidden/>
    <w:rsid w:val="005964E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34512">
      <w:bodyDiv w:val="1"/>
      <w:marLeft w:val="0"/>
      <w:marRight w:val="0"/>
      <w:marTop w:val="0"/>
      <w:marBottom w:val="0"/>
      <w:divBdr>
        <w:top w:val="none" w:sz="0" w:space="0" w:color="auto"/>
        <w:left w:val="none" w:sz="0" w:space="0" w:color="auto"/>
        <w:bottom w:val="none" w:sz="0" w:space="0" w:color="auto"/>
        <w:right w:val="none" w:sz="0" w:space="0" w:color="auto"/>
      </w:divBdr>
    </w:div>
    <w:div w:id="174044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epatitis-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ropmedhealth.biomedcentral.com/articles/10.1186/s41182-018-0114-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journals.org/ijepr/vol10-issue-3-2022/prevalence-of-tuberculosis-and-compliance-to-treatment-from-2010-2020-in-rivers-state-southsouth-niger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8</cp:revision>
  <dcterms:created xsi:type="dcterms:W3CDTF">2025-01-30T05:20:00Z</dcterms:created>
  <dcterms:modified xsi:type="dcterms:W3CDTF">2025-04-04T10:19:00Z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47fa286d2261cada2346b7289c02fb4412a87df7ade30b36495c7350c46f1660</vt:lpwstr>
  </property>
  <property fmtid="{D5CDD505-2E9C-101B-9397-08002B2CF9AE}" pid="3" name="KSOProductBuildVer">
    <vt:lpwstr>1033-12.2.0.18607</vt:lpwstr>
  </property>
  <property fmtid="{D5CDD505-2E9C-101B-9397-08002B2CF9AE}" pid="4" name="ICV">
    <vt:lpwstr>6BEFDC61EE054DA0BD454584C8B9E236_12</vt:lpwstr>
  </property>
</Properties>
</file>