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1A" w:rsidRDefault="0001181A" w:rsidP="00E75114">
      <w:pPr>
        <w:spacing w:after="0" w:line="276" w:lineRule="auto"/>
        <w:ind w:firstLine="720"/>
        <w:jc w:val="center"/>
        <w:rPr>
          <w:rFonts w:ascii="Arial" w:hAnsi="Arial" w:cs="Arial"/>
          <w:b/>
          <w:bCs/>
          <w:sz w:val="22"/>
          <w:szCs w:val="22"/>
        </w:rPr>
      </w:pPr>
      <w:bookmarkStart w:id="0" w:name="_GoBack"/>
      <w:bookmarkEnd w:id="0"/>
      <w:r w:rsidRPr="0001181A">
        <w:rPr>
          <w:rFonts w:ascii="Arial" w:hAnsi="Arial" w:cs="Arial"/>
          <w:b/>
          <w:bCs/>
          <w:sz w:val="22"/>
          <w:szCs w:val="22"/>
        </w:rPr>
        <w:t>Original Research Article</w:t>
      </w:r>
    </w:p>
    <w:p w:rsidR="0001181A" w:rsidRDefault="0001181A" w:rsidP="00E75114">
      <w:pPr>
        <w:spacing w:after="0" w:line="276" w:lineRule="auto"/>
        <w:ind w:firstLine="720"/>
        <w:jc w:val="center"/>
        <w:rPr>
          <w:rFonts w:ascii="Arial" w:hAnsi="Arial" w:cs="Arial"/>
          <w:b/>
          <w:bCs/>
          <w:sz w:val="22"/>
          <w:szCs w:val="22"/>
        </w:rPr>
      </w:pPr>
    </w:p>
    <w:p w:rsidR="00F52E65" w:rsidRDefault="00F52E65" w:rsidP="00E75114">
      <w:pPr>
        <w:spacing w:after="0" w:line="276" w:lineRule="auto"/>
        <w:ind w:firstLine="720"/>
        <w:jc w:val="center"/>
        <w:rPr>
          <w:rFonts w:ascii="Arial" w:hAnsi="Arial" w:cs="Arial"/>
          <w:b/>
          <w:bCs/>
          <w:sz w:val="22"/>
          <w:szCs w:val="22"/>
        </w:rPr>
      </w:pPr>
      <w:r w:rsidRPr="00F52E65">
        <w:rPr>
          <w:rFonts w:ascii="Arial" w:hAnsi="Arial" w:cs="Arial"/>
          <w:b/>
          <w:bCs/>
          <w:sz w:val="22"/>
          <w:szCs w:val="22"/>
        </w:rPr>
        <w:t>A Comparative Study of Women Vegetable Vendors in Tlabung and Mamit Towns, Mizoram.</w:t>
      </w:r>
    </w:p>
    <w:p w:rsidR="00F52E65" w:rsidRDefault="00F52E65" w:rsidP="00C70611">
      <w:pPr>
        <w:spacing w:after="0" w:line="276" w:lineRule="auto"/>
        <w:ind w:firstLine="720"/>
        <w:jc w:val="both"/>
        <w:rPr>
          <w:rFonts w:ascii="Arial" w:hAnsi="Arial" w:cs="Arial"/>
          <w:b/>
          <w:bCs/>
          <w:sz w:val="22"/>
          <w:szCs w:val="22"/>
        </w:rPr>
      </w:pPr>
    </w:p>
    <w:p w:rsidR="002E18B6" w:rsidRPr="00E36422" w:rsidRDefault="002E18B6" w:rsidP="002E18B6">
      <w:pPr>
        <w:spacing w:after="0" w:line="276" w:lineRule="auto"/>
        <w:ind w:firstLine="720"/>
        <w:jc w:val="both"/>
        <w:rPr>
          <w:rFonts w:ascii="Arial" w:hAnsi="Arial" w:cs="Arial"/>
          <w:sz w:val="22"/>
          <w:szCs w:val="22"/>
        </w:rPr>
      </w:pPr>
      <w:bookmarkStart w:id="1" w:name="_Hlk198630222"/>
    </w:p>
    <w:bookmarkEnd w:id="1"/>
    <w:p w:rsidR="00BC13DC" w:rsidRPr="00E36422" w:rsidRDefault="00E36422" w:rsidP="00BC13DC">
      <w:pPr>
        <w:spacing w:before="240" w:line="360" w:lineRule="auto"/>
        <w:jc w:val="both"/>
        <w:rPr>
          <w:rFonts w:ascii="Arial" w:hAnsi="Arial" w:cs="Arial"/>
          <w:b/>
          <w:bCs/>
          <w:sz w:val="22"/>
          <w:szCs w:val="22"/>
        </w:rPr>
      </w:pPr>
      <w:r w:rsidRPr="00E36422">
        <w:rPr>
          <w:rFonts w:ascii="Arial" w:hAnsi="Arial" w:cs="Arial"/>
          <w:b/>
          <w:bCs/>
          <w:sz w:val="22"/>
          <w:szCs w:val="22"/>
        </w:rPr>
        <w:t>ABSTRACT</w:t>
      </w:r>
    </w:p>
    <w:p w:rsidR="00700DFD" w:rsidRPr="00700DFD" w:rsidRDefault="00E36422" w:rsidP="00CF7F55">
      <w:pPr>
        <w:spacing w:before="240" w:line="360" w:lineRule="auto"/>
        <w:ind w:firstLine="720"/>
        <w:jc w:val="both"/>
        <w:rPr>
          <w:rFonts w:ascii="Arial" w:hAnsi="Arial" w:cs="Arial"/>
          <w:sz w:val="22"/>
          <w:szCs w:val="22"/>
        </w:rPr>
      </w:pPr>
      <w:r w:rsidRPr="00E36422">
        <w:rPr>
          <w:rFonts w:ascii="Arial" w:hAnsi="Arial" w:cs="Arial"/>
          <w:sz w:val="22"/>
          <w:szCs w:val="22"/>
        </w:rPr>
        <w:t>The present study aims to assess the socio-demographic conditions of street vendors in Tlabung town and Mamit town and compare the occupational characteristics of street vendors in Tlabung town and Mamit town.</w:t>
      </w:r>
      <w:r w:rsidRPr="00302E84">
        <w:rPr>
          <w:rFonts w:ascii="Arial" w:hAnsi="Arial" w:cs="Arial"/>
          <w:sz w:val="22"/>
          <w:szCs w:val="22"/>
          <w:highlight w:val="yellow"/>
        </w:rPr>
        <w:t>The present study</w:t>
      </w:r>
      <w:r w:rsidRPr="00E36422">
        <w:rPr>
          <w:rFonts w:ascii="Arial" w:hAnsi="Arial" w:cs="Arial"/>
          <w:sz w:val="22"/>
          <w:szCs w:val="22"/>
        </w:rPr>
        <w:t xml:space="preserve"> was conducted in Tlabung and Mamit in the year 2023.This research used both primary and secondary data. Primary data were gathered from 50 randomly selected women street vendors in two towns using structured </w:t>
      </w:r>
      <w:r w:rsidRPr="00302E84">
        <w:rPr>
          <w:rFonts w:ascii="Arial" w:hAnsi="Arial" w:cs="Arial"/>
          <w:sz w:val="22"/>
          <w:szCs w:val="22"/>
          <w:highlight w:val="yellow"/>
        </w:rPr>
        <w:t>interview questionnaires</w:t>
      </w:r>
      <w:r w:rsidRPr="00E36422">
        <w:rPr>
          <w:rFonts w:ascii="Arial" w:hAnsi="Arial" w:cs="Arial"/>
          <w:sz w:val="22"/>
          <w:szCs w:val="22"/>
        </w:rPr>
        <w:t xml:space="preserve"> focused on their socio-economic conditions. Secondary data were sourced from government and non-government publications and research journals, and all data were analyzed using percentage calculations in Microsoft Excel.</w:t>
      </w:r>
      <w:r w:rsidR="00700DFD" w:rsidRPr="00700DFD">
        <w:rPr>
          <w:rFonts w:ascii="Arial" w:hAnsi="Arial" w:cs="Arial"/>
          <w:sz w:val="22"/>
          <w:szCs w:val="22"/>
        </w:rPr>
        <w:t>The study found that most women street vendors were middle-aged, especially between 41 and 50 years old, with younger vendors in Tlabung and older ones in Mamit. Marital status varied, with more unmarried vendors in Tlabung and more separated or widowed vendors in Mamit, reflecting different social conditions. Educational attainment was low, with many high school dropouts and some illiterate in Tlabung. Vendors primarily used personal savings to start businesses, citing financial hardship and unemployment. Income levels varied, with most vendors expressing moderate satisfaction.</w:t>
      </w:r>
    </w:p>
    <w:p w:rsidR="00BC13DC" w:rsidRPr="00E36422" w:rsidRDefault="00BC13DC" w:rsidP="00E36422">
      <w:pPr>
        <w:spacing w:before="240" w:line="360" w:lineRule="auto"/>
        <w:jc w:val="both"/>
        <w:rPr>
          <w:rFonts w:ascii="Arial" w:hAnsi="Arial" w:cs="Arial"/>
          <w:i/>
          <w:iCs/>
          <w:sz w:val="22"/>
          <w:szCs w:val="22"/>
        </w:rPr>
      </w:pPr>
      <w:r w:rsidRPr="00E36422">
        <w:rPr>
          <w:rFonts w:ascii="Arial" w:hAnsi="Arial" w:cs="Arial"/>
          <w:b/>
          <w:bCs/>
          <w:sz w:val="22"/>
          <w:szCs w:val="22"/>
        </w:rPr>
        <w:t>Keywords:</w:t>
      </w:r>
      <w:r w:rsidRPr="00E36422">
        <w:rPr>
          <w:rFonts w:ascii="Arial" w:hAnsi="Arial" w:cs="Arial"/>
          <w:i/>
          <w:iCs/>
          <w:sz w:val="22"/>
          <w:szCs w:val="22"/>
        </w:rPr>
        <w:t xml:space="preserve">Street Vendors, Socio-Demographic profile, Occupation characteristics, </w:t>
      </w:r>
      <w:r w:rsidR="00D80A09" w:rsidRPr="00E36422">
        <w:rPr>
          <w:rFonts w:ascii="Arial" w:hAnsi="Arial" w:cs="Arial"/>
          <w:i/>
          <w:iCs/>
          <w:sz w:val="22"/>
          <w:szCs w:val="22"/>
        </w:rPr>
        <w:t xml:space="preserve">Mizoram. </w:t>
      </w:r>
    </w:p>
    <w:p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Introduction</w:t>
      </w:r>
    </w:p>
    <w:p w:rsidR="004B0619" w:rsidRDefault="00BC13DC" w:rsidP="004B0619">
      <w:pPr>
        <w:spacing w:before="240" w:line="360" w:lineRule="auto"/>
        <w:ind w:firstLine="720"/>
        <w:jc w:val="both"/>
        <w:rPr>
          <w:rFonts w:ascii="Arial" w:hAnsi="Arial" w:cs="Arial"/>
          <w:sz w:val="22"/>
          <w:szCs w:val="22"/>
        </w:rPr>
      </w:pPr>
      <w:r w:rsidRPr="00E36422">
        <w:rPr>
          <w:rFonts w:ascii="Arial" w:hAnsi="Arial" w:cs="Arial"/>
          <w:sz w:val="22"/>
          <w:szCs w:val="22"/>
        </w:rPr>
        <w:t xml:space="preserve">Street vending is a major component of the informal economy and it is among the most visible economic activities worldwide (Recchi, 2021). Street vending plays a crucial part in economic development by </w:t>
      </w:r>
      <w:r w:rsidR="00C70611" w:rsidRPr="00E36422">
        <w:rPr>
          <w:rFonts w:ascii="Arial" w:hAnsi="Arial" w:cs="Arial"/>
          <w:sz w:val="22"/>
          <w:szCs w:val="22"/>
        </w:rPr>
        <w:t>reducing</w:t>
      </w:r>
      <w:r w:rsidRPr="00E36422">
        <w:rPr>
          <w:rFonts w:ascii="Arial" w:hAnsi="Arial" w:cs="Arial"/>
          <w:sz w:val="22"/>
          <w:szCs w:val="22"/>
        </w:rPr>
        <w:t xml:space="preserve"> poverty and creating employment (Nirathron, 2006; Njaya, 2014). </w:t>
      </w:r>
    </w:p>
    <w:p w:rsidR="00C70611" w:rsidRPr="00E36422" w:rsidRDefault="00BC13DC" w:rsidP="004B0619">
      <w:pPr>
        <w:spacing w:before="240" w:line="360" w:lineRule="auto"/>
        <w:ind w:firstLine="720"/>
        <w:jc w:val="both"/>
        <w:rPr>
          <w:rFonts w:ascii="Arial" w:hAnsi="Arial" w:cs="Arial"/>
          <w:sz w:val="22"/>
          <w:szCs w:val="22"/>
        </w:rPr>
      </w:pPr>
      <w:r w:rsidRPr="00E36422">
        <w:rPr>
          <w:rFonts w:ascii="Arial" w:hAnsi="Arial" w:cs="Arial"/>
          <w:sz w:val="22"/>
          <w:szCs w:val="22"/>
        </w:rPr>
        <w:t>Street vending is an important source of livelihood since an ancient time. Due to their ability to work for themselves, street vendors make up an important part of the urban population and play a crucial role in global urban economies. Residents can easily purchase everyday necessities at affordable prices from street vendors.</w:t>
      </w:r>
    </w:p>
    <w:p w:rsidR="00BC13DC" w:rsidRPr="00E36422" w:rsidRDefault="00BC13DC" w:rsidP="00C70611">
      <w:pPr>
        <w:spacing w:before="240" w:line="360" w:lineRule="auto"/>
        <w:ind w:firstLine="720"/>
        <w:jc w:val="both"/>
        <w:rPr>
          <w:rFonts w:ascii="Arial" w:hAnsi="Arial" w:cs="Arial"/>
          <w:i/>
          <w:iCs/>
          <w:sz w:val="22"/>
          <w:szCs w:val="22"/>
        </w:rPr>
      </w:pPr>
      <w:r w:rsidRPr="00E36422">
        <w:rPr>
          <w:rFonts w:ascii="Arial" w:hAnsi="Arial" w:cs="Arial"/>
          <w:sz w:val="22"/>
          <w:szCs w:val="22"/>
        </w:rPr>
        <w:lastRenderedPageBreak/>
        <w:t xml:space="preserve">Street vendors are those who find it difficult to get secure jobs in the formal sector due to their lower level of education and lack of skills. They are self-employed, informal poor retail traders in the urban labour market. In India, National Policy for Urban Street Vendors (NPUSV, 2004) defined a street vendor as </w:t>
      </w:r>
      <w:r w:rsidRPr="00E36422">
        <w:rPr>
          <w:rFonts w:ascii="Arial" w:hAnsi="Arial" w:cs="Arial"/>
          <w:i/>
          <w:iCs/>
          <w:sz w:val="22"/>
          <w:szCs w:val="22"/>
        </w:rPr>
        <w:t>“who offers goods and services for sale to the public without having a permanent built-up structure but with a temporary static structure or mobile stall or head load”</w:t>
      </w:r>
      <w:r w:rsidR="004B0619">
        <w:rPr>
          <w:rFonts w:ascii="Arial" w:hAnsi="Arial" w:cs="Arial"/>
          <w:i/>
          <w:iCs/>
          <w:sz w:val="22"/>
          <w:szCs w:val="22"/>
        </w:rPr>
        <w:t>.</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Street vendors are often considered among the most vulnerable and marginalized workers, yet they play a crucial role in providing essential goods and services to the community at affordable prices, making it easier for people to access these items. Street vendors also support their families by creating jobs and generating income (Suraiya and Noor, 2012). Timalsina (2011) mentioned street vending as a good source of generating livelihood for rural people in urban areas while providing goods at an inexpensive price. Thus, the present study aims to compare and highlight the socio-demographic conditions and the occupational characteristics of women street vendors in Tlabung town and Mamit town.</w:t>
      </w:r>
    </w:p>
    <w:p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Objectives</w:t>
      </w:r>
    </w:p>
    <w:p w:rsidR="00C70611" w:rsidRPr="00E36422" w:rsidRDefault="00BC13DC" w:rsidP="00BC13DC">
      <w:pPr>
        <w:pStyle w:val="ListParagraph"/>
        <w:numPr>
          <w:ilvl w:val="0"/>
          <w:numId w:val="3"/>
        </w:numPr>
        <w:spacing w:before="240" w:line="360" w:lineRule="auto"/>
        <w:jc w:val="both"/>
        <w:rPr>
          <w:rFonts w:ascii="Arial" w:hAnsi="Arial" w:cs="Arial"/>
          <w:sz w:val="22"/>
          <w:szCs w:val="22"/>
        </w:rPr>
      </w:pPr>
      <w:bookmarkStart w:id="2" w:name="_Hlk198628810"/>
      <w:r w:rsidRPr="00E36422">
        <w:rPr>
          <w:rFonts w:ascii="Arial" w:hAnsi="Arial" w:cs="Arial"/>
          <w:sz w:val="22"/>
          <w:szCs w:val="22"/>
        </w:rPr>
        <w:t>To assess the socio-demographic conditions of street vendors in Tlabung town and Mamit town.</w:t>
      </w:r>
    </w:p>
    <w:p w:rsidR="00BC13DC" w:rsidRPr="00E36422" w:rsidRDefault="00BC13DC" w:rsidP="00BC13DC">
      <w:pPr>
        <w:pStyle w:val="ListParagraph"/>
        <w:numPr>
          <w:ilvl w:val="0"/>
          <w:numId w:val="3"/>
        </w:numPr>
        <w:spacing w:before="240" w:line="360" w:lineRule="auto"/>
        <w:jc w:val="both"/>
        <w:rPr>
          <w:rFonts w:ascii="Arial" w:hAnsi="Arial" w:cs="Arial"/>
          <w:sz w:val="22"/>
          <w:szCs w:val="22"/>
        </w:rPr>
      </w:pPr>
      <w:r w:rsidRPr="00E36422">
        <w:rPr>
          <w:rFonts w:ascii="Arial" w:hAnsi="Arial" w:cs="Arial"/>
          <w:sz w:val="22"/>
          <w:szCs w:val="22"/>
        </w:rPr>
        <w:t>To compare the occupational characteristics of street vendors in Tlabung town and Mamit town.</w:t>
      </w:r>
    </w:p>
    <w:bookmarkEnd w:id="2"/>
    <w:p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Study area</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Tlabung town is located in the south-western part of Mizoram, which is under the district of Lunglei, Mizoram. It is a notified town. Tlabung was founded in 1871 by Lt. Col. T.H. Lewin, the Superintendent of the Chittagong Hill Tracts. According to 2011 census, Tlabung has a population of 4,554 among them 2,267 were males while 2,287 were females (Statistical Handbook, 2011).  </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On the other hand, Mamit is located in the central region of Mamit district in the northwestern part of Mizoram. Mamit town is the headquarters of Mamit district in Mizoram. In the 2011 census, the total population was 7,884 among them 4074 were male and 3810 were female (Statistical Handbook, 2011). In June, 2018, NITI Aayog identified Mamit district as aspirational district due to the high poverty rate and low health and nutrition, education, and basic infrastructure (NITI Aayog, 2018).</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Mamit and Tlabung towns of Mizoram show disparity in market characteristics indicating different community structures. Mamit has an operational daily market up to the evening, excluding Sunday by providing fresh goods. On the other hand, Tlabung has assigned 3 market days such as Tuesday, Thursday and Saturday; the activities of the market are most alert during early morning to about 11:00 AM (Thangluah </w:t>
      </w:r>
      <w:r w:rsidRPr="00E36422">
        <w:rPr>
          <w:rFonts w:ascii="Arial" w:hAnsi="Arial" w:cs="Arial"/>
          <w:i/>
          <w:iCs/>
          <w:sz w:val="22"/>
          <w:szCs w:val="22"/>
        </w:rPr>
        <w:t>et al.,</w:t>
      </w:r>
      <w:r w:rsidRPr="00E36422">
        <w:rPr>
          <w:rFonts w:ascii="Arial" w:hAnsi="Arial" w:cs="Arial"/>
          <w:sz w:val="22"/>
          <w:szCs w:val="22"/>
        </w:rPr>
        <w:t xml:space="preserve"> 2024) </w:t>
      </w:r>
    </w:p>
    <w:p w:rsidR="00BC13DC"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Methodology</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This research incorporates both primary and secondary data. Primary data were collected through interview schedules. The well-structured questionnaire was developed for the collection of primary data regarding various socio-economic conditions of street vendors. A random sampling method was adopted and a total of 50 women vendors were interviewed through scheduled questionnaires in both towns. </w:t>
      </w:r>
    </w:p>
    <w:p w:rsidR="00BC13DC" w:rsidRPr="00E36422" w:rsidRDefault="00BC13DC" w:rsidP="0025258D">
      <w:pPr>
        <w:spacing w:after="0" w:line="360" w:lineRule="auto"/>
        <w:ind w:firstLine="720"/>
        <w:jc w:val="both"/>
        <w:rPr>
          <w:rFonts w:ascii="Arial" w:hAnsi="Arial" w:cs="Arial"/>
          <w:sz w:val="22"/>
          <w:szCs w:val="22"/>
        </w:rPr>
      </w:pPr>
      <w:r w:rsidRPr="00E36422">
        <w:rPr>
          <w:rFonts w:ascii="Arial" w:hAnsi="Arial" w:cs="Arial"/>
          <w:sz w:val="22"/>
          <w:szCs w:val="22"/>
        </w:rPr>
        <w:t xml:space="preserve">Documents published by Government and non-governmental agencies and research journals and works were used for collecting secondary data. </w:t>
      </w:r>
    </w:p>
    <w:p w:rsidR="00BC13DC" w:rsidRPr="00E36422" w:rsidRDefault="00BC13DC" w:rsidP="0025258D">
      <w:pPr>
        <w:spacing w:after="0" w:line="360" w:lineRule="auto"/>
        <w:ind w:firstLine="720"/>
        <w:jc w:val="both"/>
        <w:rPr>
          <w:rFonts w:ascii="Arial" w:hAnsi="Arial" w:cs="Arial"/>
          <w:sz w:val="22"/>
          <w:szCs w:val="22"/>
        </w:rPr>
      </w:pPr>
      <w:r w:rsidRPr="00E36422">
        <w:rPr>
          <w:rFonts w:ascii="Arial" w:hAnsi="Arial" w:cs="Arial"/>
          <w:sz w:val="22"/>
          <w:szCs w:val="22"/>
        </w:rPr>
        <w:t>The data was analyzed using percentages calculated in Microsoft Excel</w:t>
      </w:r>
    </w:p>
    <w:p w:rsidR="0025258D" w:rsidRPr="0025258D" w:rsidRDefault="0025258D" w:rsidP="0025258D">
      <w:pPr>
        <w:spacing w:after="0" w:line="360" w:lineRule="auto"/>
        <w:jc w:val="both"/>
        <w:rPr>
          <w:rFonts w:ascii="Arial" w:hAnsi="Arial" w:cs="Arial"/>
          <w:sz w:val="22"/>
          <w:szCs w:val="22"/>
          <w:highlight w:val="yellow"/>
        </w:rPr>
      </w:pPr>
      <w:r w:rsidRPr="0025258D">
        <w:rPr>
          <w:rFonts w:ascii="Arial" w:hAnsi="Arial" w:cs="Arial"/>
          <w:sz w:val="22"/>
          <w:szCs w:val="22"/>
          <w:highlight w:val="yellow"/>
        </w:rPr>
        <w:t xml:space="preserve">I am Suggested </w:t>
      </w:r>
    </w:p>
    <w:p w:rsidR="0025258D" w:rsidRPr="0025258D" w:rsidRDefault="0025258D" w:rsidP="0025258D">
      <w:pPr>
        <w:spacing w:after="0" w:line="240" w:lineRule="auto"/>
        <w:jc w:val="both"/>
        <w:rPr>
          <w:rFonts w:ascii="Arial" w:hAnsi="Arial" w:cs="Arial"/>
          <w:sz w:val="22"/>
          <w:szCs w:val="22"/>
          <w:highlight w:val="yellow"/>
        </w:rPr>
      </w:pPr>
      <w:r w:rsidRPr="0025258D">
        <w:rPr>
          <w:rFonts w:ascii="Arial" w:hAnsi="Arial" w:cs="Arial"/>
          <w:sz w:val="22"/>
          <w:szCs w:val="22"/>
          <w:highlight w:val="yellow"/>
        </w:rPr>
        <w:t>Data Collection Method</w:t>
      </w:r>
    </w:p>
    <w:p w:rsidR="0025258D" w:rsidRPr="0025258D" w:rsidRDefault="0025258D" w:rsidP="0025258D">
      <w:pPr>
        <w:spacing w:after="0" w:line="360" w:lineRule="auto"/>
        <w:jc w:val="both"/>
        <w:rPr>
          <w:rFonts w:ascii="Arial" w:hAnsi="Arial" w:cs="Arial"/>
          <w:b/>
          <w:bCs/>
          <w:sz w:val="22"/>
          <w:szCs w:val="22"/>
          <w:highlight w:val="yellow"/>
        </w:rPr>
      </w:pPr>
      <w:r w:rsidRPr="0025258D">
        <w:rPr>
          <w:rFonts w:ascii="Arial" w:hAnsi="Arial" w:cs="Arial"/>
          <w:b/>
          <w:bCs/>
          <w:sz w:val="22"/>
          <w:szCs w:val="22"/>
          <w:highlight w:val="yellow"/>
        </w:rPr>
        <w:t xml:space="preserve">Both Primary and Secondary data has been used. </w:t>
      </w:r>
    </w:p>
    <w:p w:rsidR="0025258D" w:rsidRPr="0025258D" w:rsidRDefault="0025258D" w:rsidP="0025258D">
      <w:pPr>
        <w:spacing w:after="0" w:line="360" w:lineRule="auto"/>
        <w:jc w:val="both"/>
        <w:rPr>
          <w:rFonts w:ascii="Arial" w:hAnsi="Arial" w:cs="Arial"/>
          <w:b/>
          <w:bCs/>
          <w:sz w:val="22"/>
          <w:szCs w:val="22"/>
          <w:highlight w:val="yellow"/>
        </w:rPr>
      </w:pPr>
      <w:r w:rsidRPr="0025258D">
        <w:rPr>
          <w:rFonts w:ascii="Arial" w:hAnsi="Arial" w:cs="Arial"/>
          <w:b/>
          <w:bCs/>
          <w:sz w:val="22"/>
          <w:szCs w:val="22"/>
          <w:highlight w:val="yellow"/>
        </w:rPr>
        <w:t xml:space="preserve">Primary Data </w:t>
      </w:r>
    </w:p>
    <w:p w:rsidR="0025258D" w:rsidRPr="0025258D" w:rsidRDefault="0025258D" w:rsidP="0025258D">
      <w:pPr>
        <w:spacing w:after="0" w:line="360" w:lineRule="auto"/>
        <w:jc w:val="both"/>
        <w:rPr>
          <w:rFonts w:ascii="Arial" w:hAnsi="Arial" w:cs="Arial"/>
          <w:b/>
          <w:bCs/>
          <w:sz w:val="22"/>
          <w:szCs w:val="22"/>
          <w:highlight w:val="yellow"/>
        </w:rPr>
      </w:pPr>
      <w:r w:rsidRPr="0025258D">
        <w:rPr>
          <w:rFonts w:ascii="Arial" w:hAnsi="Arial" w:cs="Arial"/>
          <w:sz w:val="22"/>
          <w:szCs w:val="22"/>
          <w:highlight w:val="yellow"/>
        </w:rPr>
        <w:t>Primary data were collected through interview schedules. The well-structured questionnaire was developed for the collection of primary data regarding various socio-economic conditions of street vendors.</w:t>
      </w:r>
    </w:p>
    <w:p w:rsidR="0025258D" w:rsidRPr="0025258D" w:rsidRDefault="0025258D" w:rsidP="0025258D">
      <w:pPr>
        <w:spacing w:after="0" w:line="360" w:lineRule="auto"/>
        <w:jc w:val="both"/>
        <w:rPr>
          <w:rFonts w:ascii="Arial" w:hAnsi="Arial" w:cs="Arial"/>
          <w:b/>
          <w:bCs/>
          <w:sz w:val="22"/>
          <w:szCs w:val="22"/>
          <w:highlight w:val="yellow"/>
        </w:rPr>
      </w:pPr>
      <w:r w:rsidRPr="0025258D">
        <w:rPr>
          <w:rFonts w:ascii="Arial" w:hAnsi="Arial" w:cs="Arial"/>
          <w:b/>
          <w:bCs/>
          <w:sz w:val="22"/>
          <w:szCs w:val="22"/>
          <w:highlight w:val="yellow"/>
        </w:rPr>
        <w:t xml:space="preserve">Secondary Data </w:t>
      </w:r>
    </w:p>
    <w:p w:rsidR="0025258D" w:rsidRPr="0025258D" w:rsidRDefault="0025258D" w:rsidP="0025258D">
      <w:pPr>
        <w:spacing w:after="0" w:line="360" w:lineRule="auto"/>
        <w:jc w:val="both"/>
        <w:rPr>
          <w:rFonts w:ascii="Arial" w:hAnsi="Arial" w:cs="Arial"/>
          <w:sz w:val="22"/>
          <w:szCs w:val="22"/>
          <w:highlight w:val="yellow"/>
        </w:rPr>
      </w:pPr>
      <w:r w:rsidRPr="0025258D">
        <w:rPr>
          <w:rFonts w:ascii="Arial" w:hAnsi="Arial" w:cs="Arial"/>
          <w:sz w:val="22"/>
          <w:szCs w:val="22"/>
          <w:highlight w:val="yellow"/>
        </w:rPr>
        <w:t>Primary data were collected through interview schedules. The well-structured questionnaire was developed for the collection of primary data regarding various socio-economic conditions of street vendors.</w:t>
      </w:r>
    </w:p>
    <w:p w:rsidR="0025258D" w:rsidRPr="0025258D" w:rsidRDefault="0025258D" w:rsidP="0025258D">
      <w:pPr>
        <w:spacing w:after="0" w:line="360" w:lineRule="auto"/>
        <w:jc w:val="both"/>
        <w:rPr>
          <w:rFonts w:ascii="Arial" w:hAnsi="Arial" w:cs="Arial"/>
          <w:b/>
          <w:bCs/>
          <w:sz w:val="22"/>
          <w:szCs w:val="22"/>
          <w:highlight w:val="yellow"/>
        </w:rPr>
      </w:pPr>
      <w:r w:rsidRPr="0025258D">
        <w:rPr>
          <w:rFonts w:ascii="Arial" w:hAnsi="Arial" w:cs="Arial"/>
          <w:b/>
          <w:bCs/>
          <w:sz w:val="22"/>
          <w:szCs w:val="22"/>
          <w:highlight w:val="yellow"/>
        </w:rPr>
        <w:t>Sampling method</w:t>
      </w:r>
    </w:p>
    <w:p w:rsidR="0025258D" w:rsidRPr="0025258D" w:rsidRDefault="0025258D" w:rsidP="0025258D">
      <w:pPr>
        <w:spacing w:after="0" w:line="360" w:lineRule="auto"/>
        <w:jc w:val="both"/>
        <w:rPr>
          <w:rFonts w:ascii="Arial" w:hAnsi="Arial" w:cs="Arial"/>
          <w:sz w:val="22"/>
          <w:szCs w:val="22"/>
          <w:highlight w:val="yellow"/>
        </w:rPr>
      </w:pPr>
      <w:r w:rsidRPr="0025258D">
        <w:rPr>
          <w:rFonts w:ascii="Arial" w:hAnsi="Arial" w:cs="Arial"/>
          <w:sz w:val="22"/>
          <w:szCs w:val="22"/>
          <w:highlight w:val="yellow"/>
        </w:rPr>
        <w:t>Random sampling method was adopted</w:t>
      </w:r>
    </w:p>
    <w:p w:rsidR="0025258D" w:rsidRPr="0025258D" w:rsidRDefault="0025258D" w:rsidP="0025258D">
      <w:pPr>
        <w:spacing w:after="0" w:line="360" w:lineRule="auto"/>
        <w:jc w:val="both"/>
        <w:rPr>
          <w:rFonts w:ascii="Arial" w:hAnsi="Arial" w:cs="Arial"/>
          <w:b/>
          <w:bCs/>
          <w:sz w:val="22"/>
          <w:szCs w:val="22"/>
          <w:highlight w:val="yellow"/>
        </w:rPr>
      </w:pPr>
      <w:r w:rsidRPr="0025258D">
        <w:rPr>
          <w:rFonts w:ascii="Arial" w:hAnsi="Arial" w:cs="Arial"/>
          <w:b/>
          <w:bCs/>
          <w:sz w:val="22"/>
          <w:szCs w:val="22"/>
          <w:highlight w:val="yellow"/>
        </w:rPr>
        <w:t>Number of Respondents</w:t>
      </w:r>
    </w:p>
    <w:p w:rsidR="0025258D" w:rsidRPr="0025258D" w:rsidRDefault="0025258D" w:rsidP="0025258D">
      <w:pPr>
        <w:spacing w:after="0" w:line="360" w:lineRule="auto"/>
        <w:jc w:val="both"/>
        <w:rPr>
          <w:rFonts w:ascii="Arial" w:hAnsi="Arial" w:cs="Arial"/>
          <w:b/>
          <w:bCs/>
          <w:sz w:val="22"/>
          <w:szCs w:val="22"/>
        </w:rPr>
      </w:pPr>
      <w:r w:rsidRPr="0025258D">
        <w:rPr>
          <w:rFonts w:ascii="Arial" w:hAnsi="Arial" w:cs="Arial"/>
          <w:sz w:val="22"/>
          <w:szCs w:val="22"/>
          <w:highlight w:val="yellow"/>
        </w:rPr>
        <w:t>50 women vendors</w:t>
      </w:r>
    </w:p>
    <w:p w:rsidR="00BC13DC"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Literature review</w:t>
      </w:r>
    </w:p>
    <w:p w:rsidR="006605F8" w:rsidRPr="00E36422" w:rsidRDefault="006605F8" w:rsidP="00BC13DC">
      <w:pPr>
        <w:spacing w:before="240" w:line="360" w:lineRule="auto"/>
        <w:jc w:val="both"/>
        <w:rPr>
          <w:rFonts w:ascii="Arial" w:hAnsi="Arial" w:cs="Arial"/>
          <w:b/>
          <w:bCs/>
          <w:sz w:val="22"/>
          <w:szCs w:val="22"/>
        </w:rPr>
      </w:pPr>
      <w:r w:rsidRPr="006605F8">
        <w:rPr>
          <w:rFonts w:ascii="Arial" w:hAnsi="Arial" w:cs="Arial"/>
          <w:b/>
          <w:bCs/>
          <w:sz w:val="22"/>
          <w:szCs w:val="22"/>
          <w:highlight w:val="yellow"/>
        </w:rPr>
        <w:t>I am suggested Ascending order wise year or Descending order wise year arranged</w:t>
      </w:r>
      <w:r>
        <w:rPr>
          <w:rFonts w:ascii="Arial" w:hAnsi="Arial" w:cs="Arial"/>
          <w:b/>
          <w:bCs/>
          <w:sz w:val="22"/>
          <w:szCs w:val="22"/>
        </w:rPr>
        <w:t xml:space="preserve">   </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Roever (2011) examined the challenges faced by street vendors in Africa, Asia, and Latin America through three key criteria: physical environment, policy environment, and social protection. It highlights that vendors often work in inadequate conditions lacking essential infrastructure like running water and sanitation facilities. Moreover, local governments and police frequently evict vendors and confiscate their goods. Lastly, access to state-sponsored social protection is limited, leaving most vendors without the necessary support.</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Selvakumar </w:t>
      </w:r>
      <w:r w:rsidRPr="00E36422">
        <w:rPr>
          <w:rFonts w:ascii="Arial" w:hAnsi="Arial" w:cs="Arial"/>
          <w:i/>
          <w:iCs/>
          <w:sz w:val="22"/>
          <w:szCs w:val="22"/>
        </w:rPr>
        <w:t>et al.</w:t>
      </w:r>
      <w:r w:rsidRPr="00E36422">
        <w:rPr>
          <w:rFonts w:ascii="Arial" w:hAnsi="Arial" w:cs="Arial"/>
          <w:sz w:val="22"/>
          <w:szCs w:val="22"/>
        </w:rPr>
        <w:t xml:space="preserve"> (2014) conducted a study on street vendors in Sivakasi, Tamil Nadu, identifying eleven key challenges they face in their business. These include limited business opportunities, issues with local politicians, difficulties in collecting credit, an unfavorable physical environment, inadequate storage, hygiene and sanitation problems, challenges with registration, unstable earnings, hostility from local authorities, competition among vendors, and a lack of government support. Additionally, their analysis using Chi-Square tests revealed that all null hypotheses were accepted, indicating that vendors collectively acknowledged both the problems they encountered and the prospects for their businesses.</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Kaur and Kaur (2017) found that the main challenge for street vendors in India is their inability to obtain formal institutional credit. This lack of financial resources hampers their ability to expand their businesses and achieve economic stability, ultimately limiting their socio-economic contributions. Street vending is a crucial livelihood source for the urban poor, and the researchers argue that this marginalized group deserves support through social and government initiatives, including NGOs, along with policies and laws to protect and promote the informal sector.</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Bhowmik (2005) conducted a review titled "Street Vendors in Asia," focusing on street vendors in several Asian countries, including Bangladesh, Sri Lanka, Thailand, Singapore, Malaysia, the Philippines, Vietnam, Cambodia, Seoul, and India. The study highlighted a growing number of street vendors, driven by declining job opportunities in the formal sector and limited work in rural areas, particularly in countries like Bangladesh, Nepal, Vietnam, and Cambodia. Despite this growth, most Asian governments have been unwilling to identify street vending as a legal activity. However, countries like Malaysia, the Philippines, and India have implemented policies to regulate and protect vendors. Most street vendors in Asia are not unionized, with Korea and India being exceptions, where organizations like NASVI have had notable success.</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Nirathron (2006) conducted a study on street food vendors and customers in the Klogtoey and Dindaeng districts of Bangkok. The research revealed that approximately 88% of the vendors were migrants, and many had previously worked in other sectors such as farming or manual labor. About 56% operated as individual vendors, while 44% were family-run. Many entered food vending primarily for financial reasons (48%), while 22% sought greater autonomy. The study found that 97% believed there were ample earning opportunities in vending, with 80% reporting adequate income and 86% expressing satisfaction with their work. Among consumers, around 33.2% purchased food multiple times a day, and 43.5% opted for cooked meals. The main reasons for choosing street food were its proximity (44.7%) and affordability (39.2%). The study also analyzed the advantages and disadvantages of street food vending, noting that convenience was the primary advantage (70.1%), while the main drawback was obstruction for pedestrians (53.5%).</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Dimas (2008) examined the complexities surrounding street vending and proposed solutions based on successful global practices. He highlighted that street vendors pose significant challenges for urban governance, with city officials often resorting to removal tactics that prove counterproductive. Dimas advocated for a shift in the mindset of urban policymakers, suggesting the formulation of effective policies that leverage a "trickle-down effect" for street vendors. He recommended initiatives like allocating capital to reduce poverty, promoting microfinancing, and establishing registration processes for small enterprises. These measures, he argued, could enable street vendors to contribute positively to society.</w:t>
      </w:r>
    </w:p>
    <w:p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Analysis and discussion</w:t>
      </w:r>
    </w:p>
    <w:p w:rsidR="00BC13DC" w:rsidRPr="00E36422" w:rsidRDefault="00BC13DC" w:rsidP="00C70611">
      <w:pPr>
        <w:pStyle w:val="ListParagraph"/>
        <w:numPr>
          <w:ilvl w:val="0"/>
          <w:numId w:val="4"/>
        </w:numPr>
        <w:spacing w:before="240" w:line="360" w:lineRule="auto"/>
        <w:jc w:val="both"/>
        <w:rPr>
          <w:rFonts w:ascii="Arial" w:hAnsi="Arial" w:cs="Arial"/>
          <w:b/>
          <w:bCs/>
          <w:sz w:val="22"/>
          <w:szCs w:val="22"/>
        </w:rPr>
      </w:pPr>
      <w:r w:rsidRPr="00E36422">
        <w:rPr>
          <w:rFonts w:ascii="Arial" w:hAnsi="Arial" w:cs="Arial"/>
          <w:b/>
          <w:bCs/>
          <w:sz w:val="22"/>
          <w:szCs w:val="22"/>
        </w:rPr>
        <w:t>Socio-demographic profiles of street vendors in Tlabung town and Mamit town.</w:t>
      </w:r>
    </w:p>
    <w:p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The study revealed that the majority of women street vendors in both towns were middle-aged, specifically between 41 and 50 years old. This indicates that middle-aged women play a significant role in the street vending industry in both Tlabung and Mamit. The study also revealed that Tlabung town has a relatively higher number of younger vendors compared with Mamit town. On the other hand, Vendors from Mamit town were older than Tlabung town. This indicated the distinct on social or economic conditions in Mamit town, where older women may turn to street vending for income due to limited job opportunities in formal sectors or to supplement household earnings. This showed the variation in age demographics between the two towns (Table 1).</w:t>
      </w:r>
    </w:p>
    <w:p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The marital status of women street vendors in Tlabung town and Mamit town provided important insights into their economic and social roles. The majority of vendors in both towns were currently married, with 58 per cent in Tlabung town and 56 per cent in Mamit town. This suggested that the currently married women balance domestic responsibilities with contributing to household income, benefiting from shared resources and spousal support, which enhances business sustainability (Table 1).</w:t>
      </w:r>
    </w:p>
    <w:p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In Tlabung town, the higher percentage of unmarried vendors (26%) reflected a trend among younger women seeking financial independence and entrepreneurial opportunities before marriage. On the other hand, the higher proportion of separated vendors in Mamit town (22%) highlights social challenges, as separation can lead to emotional and financial vulnerability (Table 1).</w:t>
      </w:r>
    </w:p>
    <w:p w:rsidR="00C70611"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The presence of widowed vendors, particularly in Mamit town (10%), emphasizes the economic challenges they face, relying on vending as their main income source after losing a spouse. financial aid and business training are essential for this group (Table 1).</w:t>
      </w:r>
    </w:p>
    <w:p w:rsidR="0025258D" w:rsidRPr="00E36422" w:rsidRDefault="0025258D" w:rsidP="00C70611">
      <w:pPr>
        <w:spacing w:before="240" w:line="360" w:lineRule="auto"/>
        <w:ind w:firstLine="720"/>
        <w:jc w:val="both"/>
        <w:rPr>
          <w:rFonts w:ascii="Arial" w:hAnsi="Arial" w:cs="Arial"/>
          <w:sz w:val="22"/>
          <w:szCs w:val="22"/>
        </w:rPr>
      </w:pPr>
      <w:r w:rsidRPr="0025258D">
        <w:rPr>
          <w:rFonts w:ascii="Arial" w:hAnsi="Arial" w:cs="Arial"/>
          <w:sz w:val="22"/>
          <w:szCs w:val="22"/>
          <w:highlight w:val="yellow"/>
        </w:rPr>
        <w:t>I am recommended, Add Number of Respondents for out 50 women vegetable vendors</w:t>
      </w:r>
      <w:r>
        <w:rPr>
          <w:rFonts w:ascii="Arial" w:hAnsi="Arial" w:cs="Arial"/>
          <w:sz w:val="22"/>
          <w:szCs w:val="22"/>
        </w:rPr>
        <w:t xml:space="preserve"> </w:t>
      </w:r>
    </w:p>
    <w:p w:rsidR="00C70611" w:rsidRDefault="00C70611" w:rsidP="00C70611">
      <w:pPr>
        <w:spacing w:before="240" w:after="0" w:line="360" w:lineRule="auto"/>
        <w:jc w:val="center"/>
        <w:rPr>
          <w:rFonts w:ascii="Arial" w:hAnsi="Arial" w:cs="Arial"/>
          <w:b/>
          <w:bCs/>
          <w:sz w:val="22"/>
          <w:szCs w:val="22"/>
        </w:rPr>
      </w:pPr>
      <w:r w:rsidRPr="00E36422">
        <w:rPr>
          <w:rFonts w:ascii="Arial" w:hAnsi="Arial" w:cs="Arial"/>
          <w:b/>
          <w:bCs/>
          <w:sz w:val="22"/>
          <w:szCs w:val="22"/>
        </w:rPr>
        <w:t>Table 1 Socio Demographic profiles of Women Vegetable vendors</w:t>
      </w:r>
    </w:p>
    <w:p w:rsidR="0025258D" w:rsidRPr="00E36422" w:rsidRDefault="0025258D" w:rsidP="00C70611">
      <w:pPr>
        <w:spacing w:after="0" w:line="360" w:lineRule="auto"/>
        <w:jc w:val="center"/>
        <w:rPr>
          <w:rFonts w:ascii="Arial" w:hAnsi="Arial" w:cs="Arial"/>
          <w:b/>
          <w:bCs/>
          <w:sz w:val="22"/>
          <w:szCs w:val="22"/>
        </w:rPr>
      </w:pPr>
    </w:p>
    <w:tbl>
      <w:tblPr>
        <w:tblW w:w="6160" w:type="dxa"/>
        <w:jc w:val="center"/>
        <w:tblLook w:val="04A0"/>
      </w:tblPr>
      <w:tblGrid>
        <w:gridCol w:w="1512"/>
        <w:gridCol w:w="2728"/>
        <w:gridCol w:w="1072"/>
        <w:gridCol w:w="960"/>
      </w:tblGrid>
      <w:tr w:rsidR="00C70611" w:rsidRPr="00E36422" w:rsidTr="00C821CC">
        <w:trPr>
          <w:trHeight w:val="320"/>
          <w:jc w:val="center"/>
        </w:trPr>
        <w:tc>
          <w:tcPr>
            <w:tcW w:w="4240" w:type="dxa"/>
            <w:gridSpan w:val="2"/>
            <w:tcBorders>
              <w:top w:val="single" w:sz="8" w:space="0" w:color="auto"/>
              <w:left w:val="single" w:sz="8" w:space="0" w:color="auto"/>
              <w:bottom w:val="nil"/>
              <w:right w:val="nil"/>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rPr>
            </w:pPr>
            <w:r w:rsidRPr="00E36422">
              <w:rPr>
                <w:rFonts w:ascii="Arial" w:eastAsia="Times New Roman" w:hAnsi="Arial" w:cs="Arial"/>
                <w:b/>
                <w:bCs/>
                <w:color w:val="000000"/>
                <w:kern w:val="0"/>
                <w:sz w:val="22"/>
                <w:szCs w:val="22"/>
                <w:lang w:eastAsia="en-IN"/>
              </w:rPr>
              <w:t>Indicators</w:t>
            </w:r>
          </w:p>
        </w:tc>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rPr>
            </w:pPr>
            <w:r w:rsidRPr="00E36422">
              <w:rPr>
                <w:rFonts w:ascii="Arial" w:eastAsia="Times New Roman" w:hAnsi="Arial" w:cs="Arial"/>
                <w:b/>
                <w:bCs/>
                <w:color w:val="000000"/>
                <w:kern w:val="0"/>
                <w:sz w:val="22"/>
                <w:szCs w:val="22"/>
                <w:lang w:eastAsia="en-IN"/>
              </w:rPr>
              <w:t>Tlabung</w:t>
            </w:r>
          </w:p>
        </w:tc>
        <w:tc>
          <w:tcPr>
            <w:tcW w:w="960" w:type="dxa"/>
            <w:tcBorders>
              <w:top w:val="single" w:sz="8" w:space="0" w:color="auto"/>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rPr>
            </w:pPr>
            <w:r w:rsidRPr="00E36422">
              <w:rPr>
                <w:rFonts w:ascii="Arial" w:eastAsia="Times New Roman" w:hAnsi="Arial" w:cs="Arial"/>
                <w:b/>
                <w:bCs/>
                <w:color w:val="000000"/>
                <w:kern w:val="0"/>
                <w:sz w:val="22"/>
                <w:szCs w:val="22"/>
                <w:lang w:eastAsia="en-IN"/>
              </w:rPr>
              <w:t>Mamit</w:t>
            </w:r>
          </w:p>
        </w:tc>
      </w:tr>
      <w:tr w:rsidR="00C70611" w:rsidRPr="00E36422" w:rsidTr="00C821CC">
        <w:trPr>
          <w:trHeight w:val="310"/>
          <w:jc w:val="center"/>
        </w:trPr>
        <w:tc>
          <w:tcPr>
            <w:tcW w:w="1512"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Age</w:t>
            </w:r>
          </w:p>
        </w:tc>
        <w:tc>
          <w:tcPr>
            <w:tcW w:w="2728" w:type="dxa"/>
            <w:tcBorders>
              <w:top w:val="single" w:sz="8" w:space="0" w:color="auto"/>
              <w:left w:val="single" w:sz="8" w:space="0" w:color="auto"/>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Less than 30</w:t>
            </w:r>
          </w:p>
        </w:tc>
        <w:tc>
          <w:tcPr>
            <w:tcW w:w="960" w:type="dxa"/>
            <w:tcBorders>
              <w:top w:val="single" w:sz="8" w:space="0" w:color="auto"/>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18%</w:t>
            </w:r>
          </w:p>
        </w:tc>
        <w:tc>
          <w:tcPr>
            <w:tcW w:w="960" w:type="dxa"/>
            <w:tcBorders>
              <w:top w:val="single" w:sz="8" w:space="0" w:color="auto"/>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8%</w:t>
            </w:r>
          </w:p>
        </w:tc>
      </w:tr>
      <w:tr w:rsidR="00C70611" w:rsidRPr="00E36422" w:rsidTr="00C821CC">
        <w:trPr>
          <w:trHeight w:val="310"/>
          <w:jc w:val="center"/>
        </w:trPr>
        <w:tc>
          <w:tcPr>
            <w:tcW w:w="1512" w:type="dxa"/>
            <w:vMerge/>
            <w:tcBorders>
              <w:top w:val="single" w:sz="8" w:space="0" w:color="auto"/>
              <w:left w:val="single" w:sz="8" w:space="0" w:color="auto"/>
              <w:bottom w:val="single" w:sz="8" w:space="0" w:color="000000"/>
              <w:right w:val="nil"/>
            </w:tcBorders>
            <w:vAlign w:val="center"/>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31-40</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32%</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28%</w:t>
            </w:r>
          </w:p>
        </w:tc>
      </w:tr>
      <w:tr w:rsidR="00C70611" w:rsidRPr="00E36422" w:rsidTr="00C821CC">
        <w:trPr>
          <w:trHeight w:val="320"/>
          <w:jc w:val="center"/>
        </w:trPr>
        <w:tc>
          <w:tcPr>
            <w:tcW w:w="1512" w:type="dxa"/>
            <w:vMerge/>
            <w:tcBorders>
              <w:top w:val="single" w:sz="8" w:space="0" w:color="auto"/>
              <w:left w:val="single" w:sz="8" w:space="0" w:color="auto"/>
              <w:bottom w:val="single" w:sz="8" w:space="0" w:color="000000"/>
              <w:right w:val="nil"/>
            </w:tcBorders>
            <w:vAlign w:val="center"/>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41-50</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36%</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38%</w:t>
            </w:r>
          </w:p>
        </w:tc>
      </w:tr>
      <w:tr w:rsidR="00C70611" w:rsidRPr="00E36422" w:rsidTr="00C821CC">
        <w:trPr>
          <w:trHeight w:val="310"/>
          <w:jc w:val="center"/>
        </w:trPr>
        <w:tc>
          <w:tcPr>
            <w:tcW w:w="1512" w:type="dxa"/>
            <w:vMerge/>
            <w:tcBorders>
              <w:top w:val="single" w:sz="8" w:space="0" w:color="auto"/>
              <w:left w:val="single" w:sz="8" w:space="0" w:color="auto"/>
              <w:bottom w:val="single" w:sz="8" w:space="0" w:color="000000"/>
              <w:right w:val="nil"/>
            </w:tcBorders>
            <w:vAlign w:val="center"/>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51-60</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16%</w:t>
            </w:r>
          </w:p>
        </w:tc>
      </w:tr>
      <w:tr w:rsidR="00C70611" w:rsidRPr="00E36422" w:rsidTr="00C821CC">
        <w:trPr>
          <w:trHeight w:val="320"/>
          <w:jc w:val="center"/>
        </w:trPr>
        <w:tc>
          <w:tcPr>
            <w:tcW w:w="1512" w:type="dxa"/>
            <w:vMerge/>
            <w:tcBorders>
              <w:top w:val="single" w:sz="8" w:space="0" w:color="auto"/>
              <w:left w:val="single" w:sz="8" w:space="0" w:color="auto"/>
              <w:bottom w:val="single" w:sz="8" w:space="0" w:color="000000"/>
              <w:right w:val="nil"/>
            </w:tcBorders>
            <w:vAlign w:val="center"/>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Above 60</w:t>
            </w:r>
          </w:p>
        </w:tc>
        <w:tc>
          <w:tcPr>
            <w:tcW w:w="960"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8%</w:t>
            </w:r>
          </w:p>
        </w:tc>
        <w:tc>
          <w:tcPr>
            <w:tcW w:w="960"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10%</w:t>
            </w:r>
          </w:p>
        </w:tc>
      </w:tr>
      <w:tr w:rsidR="00C70611" w:rsidRPr="00E36422" w:rsidTr="00C821CC">
        <w:trPr>
          <w:trHeight w:val="320"/>
          <w:jc w:val="center"/>
        </w:trPr>
        <w:tc>
          <w:tcPr>
            <w:tcW w:w="1512" w:type="dxa"/>
            <w:vMerge w:val="restart"/>
            <w:tcBorders>
              <w:top w:val="nil"/>
              <w:left w:val="single" w:sz="8" w:space="0" w:color="auto"/>
              <w:bottom w:val="single" w:sz="4" w:space="0" w:color="auto"/>
              <w:right w:val="nil"/>
            </w:tcBorders>
            <w:shd w:val="clear" w:color="auto" w:fill="auto"/>
            <w:noWrap/>
            <w:vAlign w:val="center"/>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Marital Status</w:t>
            </w:r>
          </w:p>
        </w:tc>
        <w:tc>
          <w:tcPr>
            <w:tcW w:w="2728" w:type="dxa"/>
            <w:tcBorders>
              <w:top w:val="nil"/>
              <w:left w:val="single" w:sz="8" w:space="0" w:color="auto"/>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Unmarried</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26%</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12%</w:t>
            </w:r>
          </w:p>
        </w:tc>
      </w:tr>
      <w:tr w:rsidR="00C70611" w:rsidRPr="00E36422" w:rsidTr="00C821CC">
        <w:trPr>
          <w:trHeight w:val="310"/>
          <w:jc w:val="center"/>
        </w:trPr>
        <w:tc>
          <w:tcPr>
            <w:tcW w:w="1512" w:type="dxa"/>
            <w:vMerge/>
            <w:tcBorders>
              <w:top w:val="nil"/>
              <w:left w:val="single" w:sz="8" w:space="0" w:color="auto"/>
              <w:bottom w:val="single" w:sz="4" w:space="0" w:color="auto"/>
              <w:right w:val="nil"/>
            </w:tcBorders>
            <w:vAlign w:val="center"/>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Married</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58%</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56%</w:t>
            </w:r>
          </w:p>
        </w:tc>
      </w:tr>
      <w:tr w:rsidR="00C70611" w:rsidRPr="00E36422" w:rsidTr="00C821CC">
        <w:trPr>
          <w:trHeight w:val="310"/>
          <w:jc w:val="center"/>
        </w:trPr>
        <w:tc>
          <w:tcPr>
            <w:tcW w:w="1512" w:type="dxa"/>
            <w:vMerge/>
            <w:tcBorders>
              <w:top w:val="nil"/>
              <w:left w:val="single" w:sz="8" w:space="0" w:color="auto"/>
              <w:bottom w:val="single" w:sz="4" w:space="0" w:color="auto"/>
              <w:right w:val="nil"/>
            </w:tcBorders>
            <w:vAlign w:val="center"/>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Divorced</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10%</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22%</w:t>
            </w:r>
          </w:p>
        </w:tc>
      </w:tr>
      <w:tr w:rsidR="00C70611" w:rsidRPr="00E36422" w:rsidTr="00C821CC">
        <w:trPr>
          <w:trHeight w:val="320"/>
          <w:jc w:val="center"/>
        </w:trPr>
        <w:tc>
          <w:tcPr>
            <w:tcW w:w="1512" w:type="dxa"/>
            <w:vMerge/>
            <w:tcBorders>
              <w:top w:val="nil"/>
              <w:left w:val="single" w:sz="8" w:space="0" w:color="auto"/>
              <w:bottom w:val="single" w:sz="4" w:space="0" w:color="auto"/>
              <w:right w:val="nil"/>
            </w:tcBorders>
            <w:vAlign w:val="center"/>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Widow</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10%</w:t>
            </w:r>
          </w:p>
        </w:tc>
      </w:tr>
      <w:tr w:rsidR="00C70611" w:rsidRPr="00E36422" w:rsidTr="00C821CC">
        <w:trPr>
          <w:trHeight w:val="310"/>
          <w:jc w:val="center"/>
        </w:trPr>
        <w:tc>
          <w:tcPr>
            <w:tcW w:w="1512" w:type="dxa"/>
            <w:vMerge w:val="restart"/>
            <w:tcBorders>
              <w:top w:val="nil"/>
              <w:left w:val="single" w:sz="8" w:space="0" w:color="auto"/>
              <w:bottom w:val="single" w:sz="4" w:space="0" w:color="auto"/>
              <w:right w:val="nil"/>
            </w:tcBorders>
            <w:shd w:val="clear" w:color="auto" w:fill="auto"/>
            <w:noWrap/>
            <w:vAlign w:val="center"/>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Education</w:t>
            </w:r>
          </w:p>
        </w:tc>
        <w:tc>
          <w:tcPr>
            <w:tcW w:w="2728" w:type="dxa"/>
            <w:tcBorders>
              <w:top w:val="single" w:sz="8" w:space="0" w:color="auto"/>
              <w:left w:val="single" w:sz="8" w:space="0" w:color="auto"/>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Illiterate</w:t>
            </w:r>
          </w:p>
        </w:tc>
        <w:tc>
          <w:tcPr>
            <w:tcW w:w="960" w:type="dxa"/>
            <w:tcBorders>
              <w:top w:val="single" w:sz="8" w:space="0" w:color="auto"/>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8%</w:t>
            </w:r>
          </w:p>
        </w:tc>
        <w:tc>
          <w:tcPr>
            <w:tcW w:w="960" w:type="dxa"/>
            <w:tcBorders>
              <w:top w:val="single" w:sz="8" w:space="0" w:color="auto"/>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0%</w:t>
            </w:r>
          </w:p>
        </w:tc>
      </w:tr>
      <w:tr w:rsidR="00C70611" w:rsidRPr="00E36422" w:rsidTr="00C821CC">
        <w:trPr>
          <w:trHeight w:val="310"/>
          <w:jc w:val="center"/>
        </w:trPr>
        <w:tc>
          <w:tcPr>
            <w:tcW w:w="1512" w:type="dxa"/>
            <w:vMerge/>
            <w:tcBorders>
              <w:top w:val="nil"/>
              <w:left w:val="single" w:sz="8" w:space="0" w:color="auto"/>
              <w:bottom w:val="single" w:sz="4" w:space="0" w:color="auto"/>
              <w:right w:val="nil"/>
            </w:tcBorders>
            <w:vAlign w:val="center"/>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Primary School</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48%</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12%</w:t>
            </w:r>
          </w:p>
        </w:tc>
      </w:tr>
      <w:tr w:rsidR="00C70611" w:rsidRPr="00E36422" w:rsidTr="00C821CC">
        <w:trPr>
          <w:trHeight w:val="320"/>
          <w:jc w:val="center"/>
        </w:trPr>
        <w:tc>
          <w:tcPr>
            <w:tcW w:w="1512" w:type="dxa"/>
            <w:vMerge/>
            <w:tcBorders>
              <w:top w:val="nil"/>
              <w:left w:val="single" w:sz="8" w:space="0" w:color="auto"/>
              <w:bottom w:val="single" w:sz="4" w:space="0" w:color="auto"/>
              <w:right w:val="nil"/>
            </w:tcBorders>
            <w:vAlign w:val="center"/>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Middle School</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28%</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20%</w:t>
            </w:r>
          </w:p>
        </w:tc>
      </w:tr>
      <w:tr w:rsidR="00C70611" w:rsidRPr="00E36422" w:rsidTr="00C821CC">
        <w:trPr>
          <w:trHeight w:val="310"/>
          <w:jc w:val="center"/>
        </w:trPr>
        <w:tc>
          <w:tcPr>
            <w:tcW w:w="1512" w:type="dxa"/>
            <w:vMerge/>
            <w:tcBorders>
              <w:top w:val="nil"/>
              <w:left w:val="single" w:sz="8" w:space="0" w:color="auto"/>
              <w:bottom w:val="single" w:sz="4" w:space="0" w:color="auto"/>
              <w:right w:val="nil"/>
            </w:tcBorders>
            <w:vAlign w:val="center"/>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High School</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10%</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64%</w:t>
            </w:r>
          </w:p>
        </w:tc>
      </w:tr>
      <w:tr w:rsidR="00C70611" w:rsidRPr="00E36422" w:rsidTr="00C821CC">
        <w:trPr>
          <w:trHeight w:val="320"/>
          <w:jc w:val="center"/>
        </w:trPr>
        <w:tc>
          <w:tcPr>
            <w:tcW w:w="1512" w:type="dxa"/>
            <w:vMerge/>
            <w:tcBorders>
              <w:top w:val="nil"/>
              <w:left w:val="single" w:sz="8" w:space="0" w:color="auto"/>
              <w:bottom w:val="single" w:sz="4" w:space="0" w:color="auto"/>
              <w:right w:val="nil"/>
            </w:tcBorders>
            <w:vAlign w:val="center"/>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Higher Secondary School</w:t>
            </w:r>
          </w:p>
        </w:tc>
        <w:tc>
          <w:tcPr>
            <w:tcW w:w="960"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w:t>
            </w:r>
          </w:p>
        </w:tc>
        <w:tc>
          <w:tcPr>
            <w:tcW w:w="960"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4%</w:t>
            </w:r>
          </w:p>
        </w:tc>
      </w:tr>
      <w:tr w:rsidR="00C70611" w:rsidRPr="00E36422" w:rsidTr="00C821CC">
        <w:trPr>
          <w:trHeight w:val="320"/>
          <w:jc w:val="center"/>
        </w:trPr>
        <w:tc>
          <w:tcPr>
            <w:tcW w:w="1512" w:type="dxa"/>
            <w:vMerge w:val="restart"/>
            <w:tcBorders>
              <w:top w:val="nil"/>
              <w:left w:val="single" w:sz="8" w:space="0" w:color="auto"/>
              <w:bottom w:val="single" w:sz="8" w:space="0" w:color="000000"/>
              <w:right w:val="nil"/>
            </w:tcBorders>
            <w:shd w:val="clear" w:color="auto" w:fill="auto"/>
            <w:noWrap/>
            <w:vAlign w:val="center"/>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Family Size</w:t>
            </w:r>
          </w:p>
        </w:tc>
        <w:tc>
          <w:tcPr>
            <w:tcW w:w="2728" w:type="dxa"/>
            <w:tcBorders>
              <w:top w:val="nil"/>
              <w:left w:val="single" w:sz="8" w:space="0" w:color="auto"/>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Less than 5</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64%</w:t>
            </w:r>
          </w:p>
        </w:tc>
        <w:tc>
          <w:tcPr>
            <w:tcW w:w="960"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60%</w:t>
            </w:r>
          </w:p>
        </w:tc>
      </w:tr>
      <w:tr w:rsidR="00C70611" w:rsidRPr="00E36422" w:rsidTr="00C821CC">
        <w:trPr>
          <w:trHeight w:val="320"/>
          <w:jc w:val="center"/>
        </w:trPr>
        <w:tc>
          <w:tcPr>
            <w:tcW w:w="1512" w:type="dxa"/>
            <w:vMerge/>
            <w:tcBorders>
              <w:top w:val="nil"/>
              <w:left w:val="single" w:sz="8" w:space="0" w:color="auto"/>
              <w:bottom w:val="single" w:sz="8" w:space="0" w:color="000000"/>
              <w:right w:val="nil"/>
            </w:tcBorders>
            <w:vAlign w:val="center"/>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More than 5</w:t>
            </w:r>
          </w:p>
        </w:tc>
        <w:tc>
          <w:tcPr>
            <w:tcW w:w="960"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36%</w:t>
            </w:r>
          </w:p>
        </w:tc>
        <w:tc>
          <w:tcPr>
            <w:tcW w:w="960"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40%</w:t>
            </w:r>
          </w:p>
        </w:tc>
      </w:tr>
    </w:tbl>
    <w:p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The educational levels of street vendors in Tlabung town and Mamit town were quite low, reflecting significant challenges in their backgrounds. In Tlabung town, 8 per cent of vendors were illiterate, while 86 per cent of the sampled vendors were high school dropouts. However, Mamit town has no illiterate vendors, but an even higher percentage (96%) were high school dropouts (Table 1).</w:t>
      </w:r>
    </w:p>
    <w:p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Only a small fraction of vendors have completed high school, with just 6 per cent in Tlabung town and 4 per cent in Mamit town achieving this level of education. This educational disparity highlights the need for initiatives to improve access to education and vocational training for street vendors, which could enhance their skills and economic opportunities (Table 1).</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The family sizes of street vendors in Tlabung town and Mamit town were quite similar, with the majority of vendors in both towns having less than five members in their households. Specifically, 64 per cent of vendors in Tlabung town and 60 per cent in Mamit town fall into this category. This similarity in family size may reflect common cultural or economic conditions in both towns, suggesting that most vendors manage relatively small households (Table 1).</w:t>
      </w:r>
    </w:p>
    <w:p w:rsidR="00BC13DC" w:rsidRPr="00E36422" w:rsidRDefault="00BC13DC" w:rsidP="00C70611">
      <w:pPr>
        <w:pStyle w:val="ListParagraph"/>
        <w:numPr>
          <w:ilvl w:val="0"/>
          <w:numId w:val="4"/>
        </w:numPr>
        <w:spacing w:before="240" w:line="360" w:lineRule="auto"/>
        <w:jc w:val="both"/>
        <w:rPr>
          <w:rFonts w:ascii="Arial" w:hAnsi="Arial" w:cs="Arial"/>
          <w:b/>
          <w:bCs/>
          <w:sz w:val="22"/>
          <w:szCs w:val="22"/>
        </w:rPr>
      </w:pPr>
      <w:r w:rsidRPr="00E36422">
        <w:rPr>
          <w:rFonts w:ascii="Arial" w:hAnsi="Arial" w:cs="Arial"/>
          <w:b/>
          <w:bCs/>
          <w:sz w:val="22"/>
          <w:szCs w:val="22"/>
        </w:rPr>
        <w:t>Occupational characteristics of street vendors in Tlabung town and Mamit town.</w:t>
      </w:r>
    </w:p>
    <w:p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Regarding entry into street vending, the majority of respondents in both Tlabung town (64%) and Mamit town (66%) chose street vending primarily due to financial problems. Moreover, 28 per cent of vendors in both towns mentioned unemployment as a significant factor in their decision to engage in vending. Around 6 per cent in Mamit town and 8 per cent in Tlabung town reported that health issues prevented them from participating in more physically demanding jobs (Table 2).</w:t>
      </w:r>
    </w:p>
    <w:p w:rsidR="00C70611" w:rsidRPr="00E36422" w:rsidRDefault="00C70611" w:rsidP="00C70611">
      <w:pPr>
        <w:spacing w:before="240" w:after="0" w:line="360" w:lineRule="auto"/>
        <w:jc w:val="center"/>
        <w:rPr>
          <w:rFonts w:ascii="Arial" w:hAnsi="Arial" w:cs="Arial"/>
          <w:b/>
          <w:bCs/>
          <w:sz w:val="22"/>
          <w:szCs w:val="22"/>
        </w:rPr>
      </w:pPr>
      <w:r w:rsidRPr="00E36422">
        <w:rPr>
          <w:rFonts w:ascii="Arial" w:hAnsi="Arial" w:cs="Arial"/>
          <w:b/>
          <w:bCs/>
          <w:sz w:val="22"/>
          <w:szCs w:val="22"/>
        </w:rPr>
        <w:t>Table 2 occupational characteristics of Women Vegetable vendors</w:t>
      </w:r>
    </w:p>
    <w:tbl>
      <w:tblPr>
        <w:tblW w:w="7542" w:type="dxa"/>
        <w:jc w:val="center"/>
        <w:tblLook w:val="04A0"/>
      </w:tblPr>
      <w:tblGrid>
        <w:gridCol w:w="3050"/>
        <w:gridCol w:w="2306"/>
        <w:gridCol w:w="1124"/>
        <w:gridCol w:w="1062"/>
      </w:tblGrid>
      <w:tr w:rsidR="00C70611" w:rsidRPr="00E36422" w:rsidTr="00C821CC">
        <w:trPr>
          <w:trHeight w:val="321"/>
          <w:jc w:val="center"/>
        </w:trPr>
        <w:tc>
          <w:tcPr>
            <w:tcW w:w="5356" w:type="dxa"/>
            <w:gridSpan w:val="2"/>
            <w:tcBorders>
              <w:top w:val="single" w:sz="8" w:space="0" w:color="auto"/>
              <w:left w:val="single" w:sz="8" w:space="0" w:color="auto"/>
              <w:bottom w:val="single" w:sz="8" w:space="0" w:color="auto"/>
              <w:right w:val="nil"/>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rPr>
            </w:pPr>
            <w:r w:rsidRPr="00E36422">
              <w:rPr>
                <w:rFonts w:ascii="Arial" w:eastAsia="Times New Roman" w:hAnsi="Arial" w:cs="Arial"/>
                <w:b/>
                <w:bCs/>
                <w:color w:val="000000"/>
                <w:kern w:val="0"/>
                <w:sz w:val="22"/>
                <w:szCs w:val="22"/>
                <w:lang w:eastAsia="en-IN"/>
              </w:rPr>
              <w:t>Indicators</w:t>
            </w:r>
          </w:p>
        </w:tc>
        <w:tc>
          <w:tcPr>
            <w:tcW w:w="11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rPr>
            </w:pPr>
            <w:r w:rsidRPr="00E36422">
              <w:rPr>
                <w:rFonts w:ascii="Arial" w:eastAsia="Times New Roman" w:hAnsi="Arial" w:cs="Arial"/>
                <w:b/>
                <w:bCs/>
                <w:color w:val="000000"/>
                <w:kern w:val="0"/>
                <w:sz w:val="22"/>
                <w:szCs w:val="22"/>
                <w:lang w:eastAsia="en-IN"/>
              </w:rPr>
              <w:t>Tlabung</w:t>
            </w:r>
          </w:p>
        </w:tc>
        <w:tc>
          <w:tcPr>
            <w:tcW w:w="1062" w:type="dxa"/>
            <w:tcBorders>
              <w:top w:val="single" w:sz="8" w:space="0" w:color="auto"/>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rPr>
            </w:pPr>
            <w:r w:rsidRPr="00E36422">
              <w:rPr>
                <w:rFonts w:ascii="Arial" w:eastAsia="Times New Roman" w:hAnsi="Arial" w:cs="Arial"/>
                <w:b/>
                <w:bCs/>
                <w:color w:val="000000"/>
                <w:kern w:val="0"/>
                <w:sz w:val="22"/>
                <w:szCs w:val="22"/>
                <w:lang w:eastAsia="en-IN"/>
              </w:rPr>
              <w:t>Mamit</w:t>
            </w:r>
          </w:p>
        </w:tc>
      </w:tr>
      <w:tr w:rsidR="00C70611" w:rsidRPr="00E36422" w:rsidTr="00C821CC">
        <w:trPr>
          <w:trHeight w:val="311"/>
          <w:jc w:val="center"/>
        </w:trPr>
        <w:tc>
          <w:tcPr>
            <w:tcW w:w="30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Reasons</w:t>
            </w:r>
          </w:p>
        </w:tc>
        <w:tc>
          <w:tcPr>
            <w:tcW w:w="2306"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Health problem</w:t>
            </w:r>
          </w:p>
        </w:tc>
        <w:tc>
          <w:tcPr>
            <w:tcW w:w="1124"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8%</w:t>
            </w:r>
          </w:p>
        </w:tc>
        <w:tc>
          <w:tcPr>
            <w:tcW w:w="1062"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10%</w:t>
            </w:r>
          </w:p>
        </w:tc>
      </w:tr>
      <w:tr w:rsidR="00C70611" w:rsidRPr="00E36422" w:rsidTr="00C821CC">
        <w:trPr>
          <w:trHeight w:val="311"/>
          <w:jc w:val="center"/>
        </w:trPr>
        <w:tc>
          <w:tcPr>
            <w:tcW w:w="3050" w:type="dxa"/>
            <w:vMerge/>
            <w:tcBorders>
              <w:top w:val="nil"/>
              <w:left w:val="single" w:sz="8" w:space="0" w:color="auto"/>
              <w:bottom w:val="single" w:sz="8" w:space="0" w:color="000000"/>
              <w:right w:val="single" w:sz="8" w:space="0" w:color="auto"/>
            </w:tcBorders>
            <w:vAlign w:val="center"/>
            <w:hideMark/>
          </w:tcPr>
          <w:p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p>
        </w:tc>
        <w:tc>
          <w:tcPr>
            <w:tcW w:w="2306"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Financial Problem</w:t>
            </w:r>
          </w:p>
        </w:tc>
        <w:tc>
          <w:tcPr>
            <w:tcW w:w="1124"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64%</w:t>
            </w:r>
          </w:p>
        </w:tc>
        <w:tc>
          <w:tcPr>
            <w:tcW w:w="1062"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66%</w:t>
            </w:r>
          </w:p>
        </w:tc>
      </w:tr>
      <w:tr w:rsidR="00C70611" w:rsidRPr="00E36422"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p>
        </w:tc>
        <w:tc>
          <w:tcPr>
            <w:tcW w:w="2306"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Unemployment</w:t>
            </w:r>
          </w:p>
        </w:tc>
        <w:tc>
          <w:tcPr>
            <w:tcW w:w="1124"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28%</w:t>
            </w:r>
          </w:p>
        </w:tc>
        <w:tc>
          <w:tcPr>
            <w:tcW w:w="1062"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24%</w:t>
            </w:r>
          </w:p>
        </w:tc>
      </w:tr>
      <w:tr w:rsidR="00C70611" w:rsidRPr="00E36422" w:rsidTr="00C821CC">
        <w:trPr>
          <w:trHeight w:val="311"/>
          <w:jc w:val="center"/>
        </w:trPr>
        <w:tc>
          <w:tcPr>
            <w:tcW w:w="30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Sources of capital</w:t>
            </w:r>
          </w:p>
        </w:tc>
        <w:tc>
          <w:tcPr>
            <w:tcW w:w="2306"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Personal Saving</w:t>
            </w:r>
          </w:p>
        </w:tc>
        <w:tc>
          <w:tcPr>
            <w:tcW w:w="1124"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72%</w:t>
            </w:r>
          </w:p>
        </w:tc>
        <w:tc>
          <w:tcPr>
            <w:tcW w:w="1062"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90%</w:t>
            </w:r>
          </w:p>
        </w:tc>
      </w:tr>
      <w:tr w:rsidR="00C70611" w:rsidRPr="00E36422" w:rsidTr="00C821CC">
        <w:trPr>
          <w:trHeight w:val="311"/>
          <w:jc w:val="center"/>
        </w:trPr>
        <w:tc>
          <w:tcPr>
            <w:tcW w:w="3050" w:type="dxa"/>
            <w:vMerge/>
            <w:tcBorders>
              <w:top w:val="nil"/>
              <w:left w:val="single" w:sz="8" w:space="0" w:color="auto"/>
              <w:bottom w:val="single" w:sz="8" w:space="0" w:color="000000"/>
              <w:right w:val="single" w:sz="8" w:space="0" w:color="auto"/>
            </w:tcBorders>
            <w:vAlign w:val="center"/>
            <w:hideMark/>
          </w:tcPr>
          <w:p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p>
        </w:tc>
        <w:tc>
          <w:tcPr>
            <w:tcW w:w="2306"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Lent from relatives</w:t>
            </w:r>
          </w:p>
        </w:tc>
        <w:tc>
          <w:tcPr>
            <w:tcW w:w="1124"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20%</w:t>
            </w:r>
          </w:p>
        </w:tc>
        <w:tc>
          <w:tcPr>
            <w:tcW w:w="1062"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w:t>
            </w:r>
          </w:p>
        </w:tc>
      </w:tr>
      <w:tr w:rsidR="00C70611" w:rsidRPr="00E36422"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p>
        </w:tc>
        <w:tc>
          <w:tcPr>
            <w:tcW w:w="2306"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Private money lender</w:t>
            </w:r>
          </w:p>
        </w:tc>
        <w:tc>
          <w:tcPr>
            <w:tcW w:w="1124"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8%</w:t>
            </w:r>
          </w:p>
        </w:tc>
        <w:tc>
          <w:tcPr>
            <w:tcW w:w="1062"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4%</w:t>
            </w:r>
          </w:p>
        </w:tc>
      </w:tr>
      <w:tr w:rsidR="00C70611" w:rsidRPr="00E36422" w:rsidTr="00C821CC">
        <w:trPr>
          <w:trHeight w:val="311"/>
          <w:jc w:val="center"/>
        </w:trPr>
        <w:tc>
          <w:tcPr>
            <w:tcW w:w="30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Monthly Income</w:t>
            </w:r>
          </w:p>
        </w:tc>
        <w:tc>
          <w:tcPr>
            <w:tcW w:w="2306"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Less than ₹5000</w:t>
            </w:r>
          </w:p>
        </w:tc>
        <w:tc>
          <w:tcPr>
            <w:tcW w:w="1124"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20%</w:t>
            </w:r>
          </w:p>
        </w:tc>
        <w:tc>
          <w:tcPr>
            <w:tcW w:w="1062"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36%</w:t>
            </w:r>
          </w:p>
        </w:tc>
      </w:tr>
      <w:tr w:rsidR="00C70611" w:rsidRPr="00E36422" w:rsidTr="00C821CC">
        <w:trPr>
          <w:trHeight w:val="311"/>
          <w:jc w:val="center"/>
        </w:trPr>
        <w:tc>
          <w:tcPr>
            <w:tcW w:w="3050" w:type="dxa"/>
            <w:vMerge/>
            <w:tcBorders>
              <w:top w:val="nil"/>
              <w:left w:val="single" w:sz="8" w:space="0" w:color="auto"/>
              <w:bottom w:val="single" w:sz="8" w:space="0" w:color="000000"/>
              <w:right w:val="single" w:sz="8" w:space="0" w:color="auto"/>
            </w:tcBorders>
            <w:vAlign w:val="center"/>
            <w:hideMark/>
          </w:tcPr>
          <w:p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p>
        </w:tc>
        <w:tc>
          <w:tcPr>
            <w:tcW w:w="2306"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₹5001- ₹10000</w:t>
            </w:r>
          </w:p>
        </w:tc>
        <w:tc>
          <w:tcPr>
            <w:tcW w:w="1124"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40%</w:t>
            </w:r>
          </w:p>
        </w:tc>
        <w:tc>
          <w:tcPr>
            <w:tcW w:w="1062"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52%</w:t>
            </w:r>
          </w:p>
        </w:tc>
      </w:tr>
      <w:tr w:rsidR="00C70611" w:rsidRPr="00E36422"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p>
        </w:tc>
        <w:tc>
          <w:tcPr>
            <w:tcW w:w="2306"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Above ₹10000</w:t>
            </w:r>
          </w:p>
        </w:tc>
        <w:tc>
          <w:tcPr>
            <w:tcW w:w="1124"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40%</w:t>
            </w:r>
          </w:p>
        </w:tc>
        <w:tc>
          <w:tcPr>
            <w:tcW w:w="1062"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12%</w:t>
            </w:r>
          </w:p>
        </w:tc>
      </w:tr>
      <w:tr w:rsidR="00C70611" w:rsidRPr="00E36422" w:rsidTr="00C821CC">
        <w:trPr>
          <w:trHeight w:val="311"/>
          <w:jc w:val="center"/>
        </w:trPr>
        <w:tc>
          <w:tcPr>
            <w:tcW w:w="30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 xml:space="preserve">Satisfaction on income level </w:t>
            </w:r>
          </w:p>
        </w:tc>
        <w:tc>
          <w:tcPr>
            <w:tcW w:w="2306"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Low</w:t>
            </w:r>
          </w:p>
        </w:tc>
        <w:tc>
          <w:tcPr>
            <w:tcW w:w="1124"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22%</w:t>
            </w:r>
          </w:p>
        </w:tc>
        <w:tc>
          <w:tcPr>
            <w:tcW w:w="1062"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22%</w:t>
            </w:r>
          </w:p>
        </w:tc>
      </w:tr>
      <w:tr w:rsidR="00C70611" w:rsidRPr="00E36422"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306"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Moderate</w:t>
            </w:r>
          </w:p>
        </w:tc>
        <w:tc>
          <w:tcPr>
            <w:tcW w:w="1124"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62%</w:t>
            </w:r>
          </w:p>
        </w:tc>
        <w:tc>
          <w:tcPr>
            <w:tcW w:w="1062" w:type="dxa"/>
            <w:tcBorders>
              <w:top w:val="nil"/>
              <w:left w:val="nil"/>
              <w:bottom w:val="nil"/>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66%</w:t>
            </w:r>
          </w:p>
        </w:tc>
      </w:tr>
      <w:tr w:rsidR="00C70611" w:rsidRPr="00E36422"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306"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High</w:t>
            </w:r>
          </w:p>
        </w:tc>
        <w:tc>
          <w:tcPr>
            <w:tcW w:w="1124"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16%</w:t>
            </w:r>
          </w:p>
        </w:tc>
        <w:tc>
          <w:tcPr>
            <w:tcW w:w="1062" w:type="dxa"/>
            <w:tcBorders>
              <w:top w:val="nil"/>
              <w:left w:val="nil"/>
              <w:bottom w:val="single" w:sz="8" w:space="0" w:color="auto"/>
              <w:right w:val="single" w:sz="8" w:space="0" w:color="auto"/>
            </w:tcBorders>
            <w:shd w:val="clear" w:color="auto" w:fill="auto"/>
            <w:noWrap/>
            <w:vAlign w:val="bottom"/>
            <w:hideMark/>
          </w:tcPr>
          <w:p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12%</w:t>
            </w:r>
          </w:p>
        </w:tc>
      </w:tr>
    </w:tbl>
    <w:p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Most street vendors in both Tlabung town and Mamit town mainly relied on personal savings to start their businesses. Specifically, 72 per cent of vendors in Tlabung town and 90 per cent in Mamit town used their savings as initial capital. In contrast, borrowing from relatives, private lenders, or banks was less common. Merely 6% and 20% of street vendors in Mamit town and Tlabung town, respectively, obtained their initial funding from family members. Additionally, loans from money lenders and private financiers accounted for 8 per cent of vendors in Tlabung town and just 4 per cent in Mamit town (Table 2). The findings highlighted that the significance of personal savings as the main capital source, indicating a strong reliance on individual financial resources. </w:t>
      </w:r>
    </w:p>
    <w:p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In Mamit town, the majority of street vendors reported monthly earnings between Rs. 5001 and Rs. 10000. However, there was a significant variation in income levels, with only 12 per cent of vendors earning more than Rs. 10,000 per month. In contrast, Tlabung town presented that a different income distribution. Among the street vendors from Tlabung town, 40 per cent of street vendors earned between Rs. 5001 and Rs. 10000 in a month, while another 40 per cent earned above Rs. 10,000. Additionally, those earning less than Rs. 5,000 per month account for 36 per cent of respondents in Mamit town and 20 per cent in Tlabung town (Table 2).</w:t>
      </w:r>
    </w:p>
    <w:p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These findings indicated variation in income between the two towns. Mamit town had a higher proportion of vendors in the lower income, while Tlabung town showed a more balanced distribution with a significant portion earning above Rs. 10,000 (Table 2).</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The study assessed satisfaction on income level among street vendors in Tlabung town and Mamit town by providing three satisfaction levels: high, moderate, and low. The findings revealed that 16 per cent of vendors in Tlabung town and 12 per cent in Mamit town reported a high level of satisfaction with their jobs. In contrast, a larger proportion expressed moderate satisfaction, with 62 per cent in Tlabung town and 66 per cent in Mamit town. Notably, 22 per cent of vendors in both towns reported a low level of satisfaction (Table 2).</w:t>
      </w:r>
    </w:p>
    <w:p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Conclusion</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The study focused on the women street vendors in Tlabung and Mamit towns. The high proportion of married vendors showed that the responsibility for family management and income in both towns. Tlabung had a relatively higher percentage of unmarried vendors, suggesting that many of these women are pursuing financial independence and business opportunities and Mamit has more separated and widowed vendors which states significant social challenges. Educational levels had been low in both of the towns, therefore requiring economic opportunities. The majority of vendors used their savings to start up their businesses. The distribution of income showed that women vendors from Mamit town were earning less than the women vendors from Tlabung town. The levels of satisfaction with incomes were moderate, which shows the desire of many vendors to uplift their standard of living.</w:t>
      </w:r>
    </w:p>
    <w:p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From the findings, it can be concluded that support from the government to woman street vendors from Tlabung and Mamit towns could be uplifting </w:t>
      </w:r>
      <w:r w:rsidR="000E4254" w:rsidRPr="00E36422">
        <w:rPr>
          <w:rFonts w:ascii="Arial" w:hAnsi="Arial" w:cs="Arial"/>
          <w:sz w:val="22"/>
          <w:szCs w:val="22"/>
        </w:rPr>
        <w:t xml:space="preserve">the conditions of women </w:t>
      </w:r>
      <w:r w:rsidRPr="00E36422">
        <w:rPr>
          <w:rFonts w:ascii="Arial" w:hAnsi="Arial" w:cs="Arial"/>
          <w:sz w:val="22"/>
          <w:szCs w:val="22"/>
        </w:rPr>
        <w:t>by meeting their needs, supporting these vendors will not only benefit individually but also have a positive impact on the community.</w:t>
      </w:r>
    </w:p>
    <w:p w:rsidR="00C70611" w:rsidRPr="00E36422" w:rsidRDefault="00C70611" w:rsidP="00C70611">
      <w:pPr>
        <w:spacing w:before="240" w:line="360" w:lineRule="auto"/>
        <w:jc w:val="both"/>
        <w:rPr>
          <w:rFonts w:ascii="Arial" w:hAnsi="Arial" w:cs="Arial"/>
          <w:b/>
          <w:bCs/>
          <w:sz w:val="22"/>
          <w:szCs w:val="22"/>
        </w:rPr>
      </w:pPr>
      <w:r w:rsidRPr="00E36422">
        <w:rPr>
          <w:rFonts w:ascii="Arial" w:hAnsi="Arial" w:cs="Arial"/>
          <w:b/>
          <w:bCs/>
          <w:sz w:val="22"/>
          <w:szCs w:val="22"/>
        </w:rPr>
        <w:t>References</w:t>
      </w:r>
    </w:p>
    <w:p w:rsidR="00C70611" w:rsidRPr="00E36422" w:rsidRDefault="00C70611" w:rsidP="00C70611">
      <w:pPr>
        <w:spacing w:after="0" w:line="360" w:lineRule="auto"/>
        <w:ind w:left="567" w:hanging="567"/>
        <w:jc w:val="both"/>
        <w:rPr>
          <w:rFonts w:ascii="Arial" w:hAnsi="Arial" w:cs="Arial"/>
          <w:color w:val="000000" w:themeColor="text1"/>
          <w:sz w:val="22"/>
          <w:szCs w:val="22"/>
        </w:rPr>
      </w:pPr>
      <w:r w:rsidRPr="00E36422">
        <w:rPr>
          <w:rFonts w:ascii="Arial" w:hAnsi="Arial" w:cs="Arial"/>
          <w:color w:val="000000" w:themeColor="text1"/>
          <w:sz w:val="22"/>
          <w:szCs w:val="22"/>
        </w:rPr>
        <w:t>Bhowmik, S. (2005)</w:t>
      </w:r>
      <w:r w:rsidR="006669DB" w:rsidRPr="00E36422">
        <w:rPr>
          <w:rFonts w:ascii="Arial" w:hAnsi="Arial" w:cs="Arial"/>
          <w:color w:val="000000" w:themeColor="text1"/>
          <w:sz w:val="22"/>
          <w:szCs w:val="22"/>
        </w:rPr>
        <w:t xml:space="preserve">. </w:t>
      </w:r>
      <w:r w:rsidRPr="00E36422">
        <w:rPr>
          <w:rFonts w:ascii="Arial" w:hAnsi="Arial" w:cs="Arial"/>
          <w:color w:val="000000" w:themeColor="text1"/>
          <w:sz w:val="22"/>
          <w:szCs w:val="22"/>
        </w:rPr>
        <w:t xml:space="preserve">Street Vendors in Asia: A Review. </w:t>
      </w:r>
      <w:r w:rsidRPr="00E36422">
        <w:rPr>
          <w:rFonts w:ascii="Arial" w:hAnsi="Arial" w:cs="Arial"/>
          <w:i/>
          <w:iCs/>
          <w:color w:val="000000" w:themeColor="text1"/>
          <w:sz w:val="22"/>
          <w:szCs w:val="22"/>
        </w:rPr>
        <w:t>Economic and Political Weekly</w:t>
      </w:r>
      <w:r w:rsidRPr="00E36422">
        <w:rPr>
          <w:rFonts w:ascii="Arial" w:hAnsi="Arial" w:cs="Arial"/>
          <w:color w:val="000000" w:themeColor="text1"/>
          <w:sz w:val="22"/>
          <w:szCs w:val="22"/>
        </w:rPr>
        <w:t>. 40</w:t>
      </w:r>
      <w:r w:rsidR="006669DB" w:rsidRPr="00E36422">
        <w:rPr>
          <w:rFonts w:ascii="Arial" w:hAnsi="Arial" w:cs="Arial"/>
          <w:color w:val="000000" w:themeColor="text1"/>
          <w:sz w:val="22"/>
          <w:szCs w:val="22"/>
        </w:rPr>
        <w:t xml:space="preserve">, </w:t>
      </w:r>
      <w:r w:rsidRPr="00E36422">
        <w:rPr>
          <w:rFonts w:ascii="Arial" w:hAnsi="Arial" w:cs="Arial"/>
          <w:color w:val="000000" w:themeColor="text1"/>
          <w:sz w:val="22"/>
          <w:szCs w:val="22"/>
        </w:rPr>
        <w:t>2256-2264.</w:t>
      </w:r>
    </w:p>
    <w:p w:rsidR="00C70611" w:rsidRPr="00E36422" w:rsidRDefault="00C70611" w:rsidP="00C70611">
      <w:pPr>
        <w:spacing w:after="0" w:line="360" w:lineRule="auto"/>
        <w:ind w:left="567" w:hanging="567"/>
        <w:jc w:val="both"/>
        <w:rPr>
          <w:rFonts w:ascii="Arial" w:hAnsi="Arial" w:cs="Arial"/>
          <w:color w:val="000000" w:themeColor="text1"/>
          <w:sz w:val="22"/>
          <w:szCs w:val="22"/>
        </w:rPr>
      </w:pPr>
      <w:r w:rsidRPr="00E36422">
        <w:rPr>
          <w:rFonts w:ascii="Arial" w:hAnsi="Arial" w:cs="Arial"/>
          <w:color w:val="000000" w:themeColor="text1"/>
          <w:sz w:val="22"/>
          <w:szCs w:val="22"/>
        </w:rPr>
        <w:t>Dimas, H. (2008)</w:t>
      </w:r>
      <w:r w:rsidR="006669DB" w:rsidRPr="00E36422">
        <w:rPr>
          <w:rFonts w:ascii="Arial" w:hAnsi="Arial" w:cs="Arial"/>
          <w:color w:val="000000" w:themeColor="text1"/>
          <w:sz w:val="22"/>
          <w:szCs w:val="22"/>
        </w:rPr>
        <w:t xml:space="preserve">. </w:t>
      </w:r>
      <w:r w:rsidRPr="00E36422">
        <w:rPr>
          <w:rFonts w:ascii="Arial" w:hAnsi="Arial" w:cs="Arial"/>
          <w:i/>
          <w:iCs/>
          <w:color w:val="000000" w:themeColor="text1"/>
          <w:sz w:val="22"/>
          <w:szCs w:val="22"/>
        </w:rPr>
        <w:t>Street Vendors: Urban Problem and Economic Potential</w:t>
      </w:r>
      <w:r w:rsidRPr="00E36422">
        <w:rPr>
          <w:rFonts w:ascii="Arial" w:hAnsi="Arial" w:cs="Arial"/>
          <w:color w:val="000000" w:themeColor="text1"/>
          <w:sz w:val="22"/>
          <w:szCs w:val="22"/>
        </w:rPr>
        <w:t>, Working Papers in Economics and Development Studies (WoPEDS), Department of Economics, Padjadjaran University.</w:t>
      </w:r>
    </w:p>
    <w:p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sz w:val="22"/>
          <w:szCs w:val="22"/>
        </w:rPr>
        <w:t>Government of India. (2004)</w:t>
      </w:r>
      <w:r w:rsidR="006669DB" w:rsidRPr="00E36422">
        <w:rPr>
          <w:rFonts w:ascii="Arial" w:hAnsi="Arial" w:cs="Arial"/>
          <w:sz w:val="22"/>
          <w:szCs w:val="22"/>
        </w:rPr>
        <w:t xml:space="preserve">. </w:t>
      </w:r>
      <w:r w:rsidRPr="00E36422">
        <w:rPr>
          <w:rFonts w:ascii="Arial" w:hAnsi="Arial" w:cs="Arial"/>
          <w:i/>
          <w:iCs/>
          <w:sz w:val="22"/>
          <w:szCs w:val="22"/>
        </w:rPr>
        <w:t>National Policy on Urban Street Vendors. Department of Urban Employment &amp; Poverty Alleviation</w:t>
      </w:r>
      <w:r w:rsidRPr="00E36422">
        <w:rPr>
          <w:rFonts w:ascii="Arial" w:hAnsi="Arial" w:cs="Arial"/>
          <w:sz w:val="22"/>
          <w:szCs w:val="22"/>
        </w:rPr>
        <w:t>, Ministry of Urban Development &amp; Poverty Alleviation</w:t>
      </w:r>
    </w:p>
    <w:p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sz w:val="22"/>
          <w:szCs w:val="22"/>
        </w:rPr>
        <w:t>Government of India. (2018)</w:t>
      </w:r>
      <w:r w:rsidR="006669DB" w:rsidRPr="00E36422">
        <w:rPr>
          <w:rFonts w:ascii="Arial" w:hAnsi="Arial" w:cs="Arial"/>
          <w:sz w:val="22"/>
          <w:szCs w:val="22"/>
        </w:rPr>
        <w:t xml:space="preserve">. </w:t>
      </w:r>
      <w:r w:rsidRPr="00E36422">
        <w:rPr>
          <w:rFonts w:ascii="Arial" w:hAnsi="Arial" w:cs="Arial"/>
          <w:i/>
          <w:iCs/>
          <w:sz w:val="22"/>
          <w:szCs w:val="22"/>
        </w:rPr>
        <w:t>Aspirational Districts: Transforming India, One District at a Time</w:t>
      </w:r>
      <w:r w:rsidRPr="00E36422">
        <w:rPr>
          <w:rFonts w:ascii="Arial" w:hAnsi="Arial" w:cs="Arial"/>
          <w:sz w:val="22"/>
          <w:szCs w:val="22"/>
        </w:rPr>
        <w:t>, The National Institution for Transforming India (NITI) Aayog</w:t>
      </w:r>
    </w:p>
    <w:p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sz w:val="22"/>
          <w:szCs w:val="22"/>
        </w:rPr>
        <w:t>Government of Mizoram. (2011)</w:t>
      </w:r>
      <w:r w:rsidR="006669DB" w:rsidRPr="00E36422">
        <w:rPr>
          <w:rFonts w:ascii="Arial" w:hAnsi="Arial" w:cs="Arial"/>
          <w:sz w:val="22"/>
          <w:szCs w:val="22"/>
        </w:rPr>
        <w:t>.</w:t>
      </w:r>
      <w:r w:rsidRPr="00E36422">
        <w:rPr>
          <w:rFonts w:ascii="Arial" w:hAnsi="Arial" w:cs="Arial"/>
          <w:i/>
          <w:iCs/>
          <w:sz w:val="22"/>
          <w:szCs w:val="22"/>
        </w:rPr>
        <w:t>Statistical handbook, 2011,</w:t>
      </w:r>
      <w:r w:rsidRPr="00E36422">
        <w:rPr>
          <w:rFonts w:ascii="Arial" w:hAnsi="Arial" w:cs="Arial"/>
          <w:sz w:val="22"/>
          <w:szCs w:val="22"/>
        </w:rPr>
        <w:t xml:space="preserve"> Directorate of Economics and Statistics Mizoram: Aizawl</w:t>
      </w:r>
    </w:p>
    <w:p w:rsidR="00C70611" w:rsidRPr="00E36422" w:rsidRDefault="00C70611" w:rsidP="00C70611">
      <w:pPr>
        <w:spacing w:after="0" w:line="360" w:lineRule="auto"/>
        <w:ind w:left="567" w:hanging="567"/>
        <w:jc w:val="both"/>
        <w:rPr>
          <w:rFonts w:ascii="Arial" w:hAnsi="Arial" w:cs="Arial"/>
          <w:color w:val="000000" w:themeColor="text1"/>
          <w:sz w:val="22"/>
          <w:szCs w:val="22"/>
        </w:rPr>
      </w:pPr>
      <w:r w:rsidRPr="00E36422">
        <w:rPr>
          <w:rFonts w:ascii="Arial" w:hAnsi="Arial" w:cs="Arial"/>
          <w:sz w:val="22"/>
          <w:szCs w:val="22"/>
        </w:rPr>
        <w:t>Kaur,H., &amp; Kaur</w:t>
      </w:r>
      <w:r w:rsidR="006669DB" w:rsidRPr="00E36422">
        <w:rPr>
          <w:rFonts w:ascii="Arial" w:hAnsi="Arial" w:cs="Arial"/>
          <w:sz w:val="22"/>
          <w:szCs w:val="22"/>
        </w:rPr>
        <w:t xml:space="preserve">, </w:t>
      </w:r>
      <w:r w:rsidRPr="00E36422">
        <w:rPr>
          <w:rFonts w:ascii="Arial" w:hAnsi="Arial" w:cs="Arial"/>
          <w:sz w:val="22"/>
          <w:szCs w:val="22"/>
        </w:rPr>
        <w:t>S. (2017)</w:t>
      </w:r>
      <w:r w:rsidR="006669DB" w:rsidRPr="00E36422">
        <w:rPr>
          <w:rFonts w:ascii="Arial" w:hAnsi="Arial" w:cs="Arial"/>
          <w:sz w:val="22"/>
          <w:szCs w:val="22"/>
        </w:rPr>
        <w:t>.</w:t>
      </w:r>
      <w:r w:rsidRPr="00E36422">
        <w:rPr>
          <w:rFonts w:ascii="Arial" w:hAnsi="Arial" w:cs="Arial"/>
          <w:sz w:val="22"/>
          <w:szCs w:val="22"/>
        </w:rPr>
        <w:t xml:space="preserve"> A Study on Quality of work life of street vendors of Khanna. </w:t>
      </w:r>
      <w:r w:rsidRPr="00E36422">
        <w:rPr>
          <w:rFonts w:ascii="Arial" w:hAnsi="Arial" w:cs="Arial"/>
          <w:i/>
          <w:iCs/>
          <w:sz w:val="22"/>
          <w:szCs w:val="22"/>
        </w:rPr>
        <w:t>Biz and Bytes,</w:t>
      </w:r>
      <w:r w:rsidRPr="00E36422">
        <w:rPr>
          <w:rFonts w:ascii="Arial" w:hAnsi="Arial" w:cs="Arial"/>
          <w:sz w:val="22"/>
          <w:szCs w:val="22"/>
        </w:rPr>
        <w:t xml:space="preserve"> 8(1),59-63.</w:t>
      </w:r>
    </w:p>
    <w:p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color w:val="000000" w:themeColor="text1"/>
          <w:sz w:val="22"/>
          <w:szCs w:val="22"/>
        </w:rPr>
        <w:t>Nirathron, N.(2006)</w:t>
      </w:r>
      <w:r w:rsidR="006669DB" w:rsidRPr="00E36422">
        <w:rPr>
          <w:rFonts w:ascii="Arial" w:hAnsi="Arial" w:cs="Arial"/>
          <w:color w:val="000000" w:themeColor="text1"/>
          <w:sz w:val="22"/>
          <w:szCs w:val="22"/>
        </w:rPr>
        <w:t>.</w:t>
      </w:r>
      <w:r w:rsidRPr="00E36422">
        <w:rPr>
          <w:rFonts w:ascii="Arial" w:hAnsi="Arial" w:cs="Arial"/>
          <w:i/>
          <w:iCs/>
          <w:color w:val="000000" w:themeColor="text1"/>
          <w:sz w:val="22"/>
          <w:szCs w:val="22"/>
        </w:rPr>
        <w:t>Fighting Poverty from the Street A Survey of Street Food Vendors in Bangkok,</w:t>
      </w:r>
      <w:r w:rsidRPr="00E36422">
        <w:rPr>
          <w:rFonts w:ascii="Arial" w:hAnsi="Arial" w:cs="Arial"/>
          <w:color w:val="000000" w:themeColor="text1"/>
          <w:sz w:val="22"/>
          <w:szCs w:val="22"/>
        </w:rPr>
        <w:t>Bangkok : ILO</w:t>
      </w:r>
    </w:p>
    <w:p w:rsidR="00C70611" w:rsidRPr="00E36422" w:rsidRDefault="00C70611" w:rsidP="00C70611">
      <w:pPr>
        <w:spacing w:after="0" w:line="360" w:lineRule="auto"/>
        <w:ind w:left="567" w:hanging="567"/>
        <w:jc w:val="both"/>
        <w:rPr>
          <w:rFonts w:ascii="Arial" w:hAnsi="Arial" w:cs="Arial"/>
          <w:color w:val="000000" w:themeColor="text1"/>
          <w:sz w:val="22"/>
          <w:szCs w:val="22"/>
        </w:rPr>
      </w:pPr>
      <w:r w:rsidRPr="00E36422">
        <w:rPr>
          <w:rFonts w:ascii="Arial" w:hAnsi="Arial" w:cs="Arial"/>
          <w:sz w:val="22"/>
          <w:szCs w:val="22"/>
        </w:rPr>
        <w:t>Njaya, T. (2014)</w:t>
      </w:r>
      <w:r w:rsidR="006669DB" w:rsidRPr="00E36422">
        <w:rPr>
          <w:rFonts w:ascii="Arial" w:hAnsi="Arial" w:cs="Arial"/>
          <w:sz w:val="22"/>
          <w:szCs w:val="22"/>
        </w:rPr>
        <w:t>.</w:t>
      </w:r>
      <w:r w:rsidRPr="00E36422">
        <w:rPr>
          <w:rFonts w:ascii="Arial" w:hAnsi="Arial" w:cs="Arial"/>
          <w:sz w:val="22"/>
          <w:szCs w:val="22"/>
        </w:rPr>
        <w:t xml:space="preserve"> Employment creation or sheer survival? Case of street vendors of Harare Metropolitan in Zimbabwe. </w:t>
      </w:r>
      <w:r w:rsidRPr="00E36422">
        <w:rPr>
          <w:rFonts w:ascii="Arial" w:hAnsi="Arial" w:cs="Arial"/>
          <w:i/>
          <w:iCs/>
          <w:sz w:val="22"/>
          <w:szCs w:val="22"/>
        </w:rPr>
        <w:t>Global Journal of Advanced Research</w:t>
      </w:r>
      <w:r w:rsidRPr="00E36422">
        <w:rPr>
          <w:rFonts w:ascii="Arial" w:hAnsi="Arial" w:cs="Arial"/>
          <w:sz w:val="22"/>
          <w:szCs w:val="22"/>
        </w:rPr>
        <w:t>, 1(2), 264-274.</w:t>
      </w:r>
    </w:p>
    <w:p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color w:val="000000" w:themeColor="text1"/>
          <w:sz w:val="22"/>
          <w:szCs w:val="22"/>
        </w:rPr>
        <w:t>Recchi, S. (2021)</w:t>
      </w:r>
      <w:r w:rsidR="006669DB" w:rsidRPr="00E36422">
        <w:rPr>
          <w:rFonts w:ascii="Arial" w:hAnsi="Arial" w:cs="Arial"/>
          <w:color w:val="000000" w:themeColor="text1"/>
          <w:sz w:val="22"/>
          <w:szCs w:val="22"/>
        </w:rPr>
        <w:t xml:space="preserve">. </w:t>
      </w:r>
      <w:r w:rsidRPr="00E36422">
        <w:rPr>
          <w:rFonts w:ascii="Arial" w:hAnsi="Arial" w:cs="Arial"/>
          <w:color w:val="000000" w:themeColor="text1"/>
          <w:sz w:val="22"/>
          <w:szCs w:val="22"/>
        </w:rPr>
        <w:t>Informal street vending: a comparative literature review</w:t>
      </w:r>
      <w:r w:rsidRPr="00E36422">
        <w:rPr>
          <w:rFonts w:ascii="Arial" w:hAnsi="Arial" w:cs="Arial"/>
          <w:i/>
          <w:iCs/>
          <w:color w:val="000000" w:themeColor="text1"/>
          <w:sz w:val="22"/>
          <w:szCs w:val="22"/>
        </w:rPr>
        <w:t>, International Journal of Sociology and Social Policy</w:t>
      </w:r>
      <w:r w:rsidRPr="00E36422">
        <w:rPr>
          <w:rFonts w:ascii="Arial" w:hAnsi="Arial" w:cs="Arial"/>
          <w:color w:val="000000" w:themeColor="text1"/>
          <w:sz w:val="22"/>
          <w:szCs w:val="22"/>
        </w:rPr>
        <w:t>, 41(7/8),805-825.</w:t>
      </w:r>
    </w:p>
    <w:p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color w:val="000000" w:themeColor="text1"/>
          <w:sz w:val="22"/>
          <w:szCs w:val="22"/>
        </w:rPr>
        <w:t>Roever, S. (2011)</w:t>
      </w:r>
      <w:r w:rsidR="006669DB" w:rsidRPr="00E36422">
        <w:rPr>
          <w:rFonts w:ascii="Arial" w:hAnsi="Arial" w:cs="Arial"/>
          <w:color w:val="000000" w:themeColor="text1"/>
          <w:sz w:val="22"/>
          <w:szCs w:val="22"/>
        </w:rPr>
        <w:t xml:space="preserve">. </w:t>
      </w:r>
      <w:r w:rsidRPr="00E36422">
        <w:rPr>
          <w:rFonts w:ascii="Arial" w:hAnsi="Arial" w:cs="Arial"/>
          <w:i/>
          <w:iCs/>
          <w:color w:val="000000" w:themeColor="text1"/>
          <w:sz w:val="22"/>
          <w:szCs w:val="22"/>
        </w:rPr>
        <w:t>Livelihood Profile: Street Vendors</w:t>
      </w:r>
      <w:r w:rsidRPr="00E36422">
        <w:rPr>
          <w:rFonts w:ascii="Arial" w:hAnsi="Arial" w:cs="Arial"/>
          <w:color w:val="000000" w:themeColor="text1"/>
          <w:sz w:val="22"/>
          <w:szCs w:val="22"/>
        </w:rPr>
        <w:t>, AAPS Planning Education</w:t>
      </w:r>
    </w:p>
    <w:p w:rsidR="00C70611" w:rsidRPr="00E36422" w:rsidRDefault="00C70611" w:rsidP="00C70611">
      <w:pPr>
        <w:spacing w:after="0" w:line="360" w:lineRule="auto"/>
        <w:ind w:left="567" w:hanging="567"/>
        <w:jc w:val="both"/>
        <w:rPr>
          <w:rFonts w:ascii="Arial" w:hAnsi="Arial" w:cs="Arial"/>
          <w:color w:val="000000" w:themeColor="text1"/>
          <w:sz w:val="22"/>
          <w:szCs w:val="22"/>
        </w:rPr>
      </w:pPr>
      <w:r w:rsidRPr="00E36422">
        <w:rPr>
          <w:rFonts w:ascii="Arial" w:hAnsi="Arial" w:cs="Arial"/>
          <w:sz w:val="22"/>
          <w:szCs w:val="22"/>
        </w:rPr>
        <w:t>Selvakumar, V.Sathyalakshmi and K.SivaMurugan (2014)</w:t>
      </w:r>
      <w:r w:rsidR="006669DB" w:rsidRPr="00E36422">
        <w:rPr>
          <w:rFonts w:ascii="Arial" w:hAnsi="Arial" w:cs="Arial"/>
          <w:sz w:val="22"/>
          <w:szCs w:val="22"/>
        </w:rPr>
        <w:t xml:space="preserve">. </w:t>
      </w:r>
      <w:r w:rsidRPr="00E36422">
        <w:rPr>
          <w:rFonts w:ascii="Arial" w:hAnsi="Arial" w:cs="Arial"/>
          <w:sz w:val="22"/>
          <w:szCs w:val="22"/>
        </w:rPr>
        <w:t>Problems and Prospects of Street Vendors in Sivakasi</w:t>
      </w:r>
      <w:r w:rsidR="006669DB" w:rsidRPr="00E36422">
        <w:rPr>
          <w:rFonts w:ascii="Arial" w:hAnsi="Arial" w:cs="Arial"/>
          <w:sz w:val="22"/>
          <w:szCs w:val="22"/>
        </w:rPr>
        <w:t xml:space="preserve">, </w:t>
      </w:r>
      <w:r w:rsidRPr="00E36422">
        <w:rPr>
          <w:rFonts w:ascii="Arial" w:hAnsi="Arial" w:cs="Arial"/>
          <w:i/>
          <w:iCs/>
          <w:sz w:val="22"/>
          <w:szCs w:val="22"/>
        </w:rPr>
        <w:t xml:space="preserve">Asian Review on Social Sciences. </w:t>
      </w:r>
      <w:r w:rsidRPr="00E36422">
        <w:rPr>
          <w:rFonts w:ascii="Arial" w:hAnsi="Arial" w:cs="Arial"/>
          <w:sz w:val="22"/>
          <w:szCs w:val="22"/>
        </w:rPr>
        <w:t>3</w:t>
      </w:r>
      <w:r w:rsidR="006669DB" w:rsidRPr="00E36422">
        <w:rPr>
          <w:rFonts w:ascii="Arial" w:hAnsi="Arial" w:cs="Arial"/>
          <w:sz w:val="22"/>
          <w:szCs w:val="22"/>
        </w:rPr>
        <w:t>(</w:t>
      </w:r>
      <w:r w:rsidRPr="00E36422">
        <w:rPr>
          <w:rFonts w:ascii="Arial" w:hAnsi="Arial" w:cs="Arial"/>
          <w:sz w:val="22"/>
          <w:szCs w:val="22"/>
        </w:rPr>
        <w:t>2</w:t>
      </w:r>
      <w:r w:rsidR="006669DB" w:rsidRPr="00E36422">
        <w:rPr>
          <w:rFonts w:ascii="Arial" w:hAnsi="Arial" w:cs="Arial"/>
          <w:sz w:val="22"/>
          <w:szCs w:val="22"/>
        </w:rPr>
        <w:t>)</w:t>
      </w:r>
      <w:r w:rsidRPr="00E36422">
        <w:rPr>
          <w:rFonts w:ascii="Arial" w:hAnsi="Arial" w:cs="Arial"/>
          <w:sz w:val="22"/>
          <w:szCs w:val="22"/>
        </w:rPr>
        <w:t>,34 -41</w:t>
      </w:r>
    </w:p>
    <w:p w:rsidR="00C70611" w:rsidRPr="00E36422" w:rsidRDefault="00C70611" w:rsidP="00C70611">
      <w:pPr>
        <w:spacing w:after="0" w:line="360" w:lineRule="auto"/>
        <w:ind w:left="567" w:hanging="567"/>
        <w:jc w:val="both"/>
        <w:rPr>
          <w:rFonts w:ascii="Arial" w:hAnsi="Arial" w:cs="Arial"/>
          <w:color w:val="000000" w:themeColor="text1"/>
          <w:sz w:val="22"/>
          <w:szCs w:val="22"/>
        </w:rPr>
      </w:pPr>
      <w:r w:rsidRPr="00E36422">
        <w:rPr>
          <w:rFonts w:ascii="Arial" w:hAnsi="Arial" w:cs="Arial"/>
          <w:sz w:val="22"/>
          <w:szCs w:val="22"/>
        </w:rPr>
        <w:t>Suraiya, S., &amp; Noor, F. (2012)</w:t>
      </w:r>
      <w:r w:rsidR="006669DB" w:rsidRPr="00E36422">
        <w:rPr>
          <w:rFonts w:ascii="Arial" w:hAnsi="Arial" w:cs="Arial"/>
          <w:sz w:val="22"/>
          <w:szCs w:val="22"/>
        </w:rPr>
        <w:t xml:space="preserve">. </w:t>
      </w:r>
      <w:r w:rsidRPr="00E36422">
        <w:rPr>
          <w:rFonts w:ascii="Arial" w:hAnsi="Arial" w:cs="Arial"/>
          <w:sz w:val="22"/>
          <w:szCs w:val="22"/>
        </w:rPr>
        <w:t xml:space="preserve">An Analysis of Socioeconomic Conditions of Street Vendors: A Study on Dhaka City. </w:t>
      </w:r>
      <w:r w:rsidRPr="00E36422">
        <w:rPr>
          <w:rFonts w:ascii="Arial" w:hAnsi="Arial" w:cs="Arial"/>
          <w:i/>
          <w:iCs/>
          <w:sz w:val="22"/>
          <w:szCs w:val="22"/>
        </w:rPr>
        <w:t>Daffodil International University Journal of Business and Economics,</w:t>
      </w:r>
      <w:r w:rsidRPr="00E36422">
        <w:rPr>
          <w:rFonts w:ascii="Arial" w:hAnsi="Arial" w:cs="Arial"/>
          <w:sz w:val="22"/>
          <w:szCs w:val="22"/>
        </w:rPr>
        <w:t>6(1 &amp; 2).</w:t>
      </w:r>
    </w:p>
    <w:p w:rsidR="00C70611" w:rsidRPr="00E36422" w:rsidRDefault="00C70611" w:rsidP="00C70611">
      <w:pPr>
        <w:spacing w:after="0" w:line="360" w:lineRule="auto"/>
        <w:ind w:left="567" w:hanging="567"/>
        <w:jc w:val="both"/>
        <w:rPr>
          <w:rFonts w:ascii="Arial" w:hAnsi="Arial" w:cs="Arial"/>
          <w:color w:val="000000" w:themeColor="text1"/>
          <w:sz w:val="22"/>
          <w:szCs w:val="22"/>
        </w:rPr>
      </w:pPr>
      <w:r w:rsidRPr="00E36422">
        <w:rPr>
          <w:rFonts w:ascii="Arial" w:hAnsi="Arial" w:cs="Arial"/>
          <w:color w:val="000000" w:themeColor="text1"/>
          <w:sz w:val="22"/>
          <w:szCs w:val="22"/>
        </w:rPr>
        <w:t>Thangluah, L, Lalchhandama, G, Sailtluang, B.L. (2024): Informal Economy: A Case Study of Street Vendors in Tlabung, Mizoram, Journal of Emerging Technologies and Innovative Research. 11(9), 265-d275  </w:t>
      </w:r>
    </w:p>
    <w:p w:rsidR="00C70611" w:rsidRPr="00E36422" w:rsidRDefault="00C70611" w:rsidP="00C70611">
      <w:pPr>
        <w:spacing w:after="0" w:line="360" w:lineRule="auto"/>
        <w:ind w:left="567" w:hanging="567"/>
        <w:jc w:val="both"/>
        <w:rPr>
          <w:rFonts w:ascii="Arial" w:hAnsi="Arial" w:cs="Arial"/>
          <w:color w:val="000000" w:themeColor="text1"/>
          <w:sz w:val="22"/>
          <w:szCs w:val="22"/>
        </w:rPr>
      </w:pPr>
      <w:r w:rsidRPr="00E36422">
        <w:rPr>
          <w:rFonts w:ascii="Arial" w:hAnsi="Arial" w:cs="Arial"/>
          <w:color w:val="000000" w:themeColor="text1"/>
          <w:sz w:val="22"/>
          <w:szCs w:val="22"/>
        </w:rPr>
        <w:t>Timalsina, K.P. (2011)</w:t>
      </w:r>
      <w:r w:rsidR="006669DB" w:rsidRPr="00E36422">
        <w:rPr>
          <w:rFonts w:ascii="Arial" w:hAnsi="Arial" w:cs="Arial"/>
          <w:color w:val="000000" w:themeColor="text1"/>
          <w:sz w:val="22"/>
          <w:szCs w:val="22"/>
        </w:rPr>
        <w:t>.</w:t>
      </w:r>
      <w:r w:rsidRPr="00E36422">
        <w:rPr>
          <w:rFonts w:ascii="Arial" w:hAnsi="Arial" w:cs="Arial"/>
          <w:color w:val="000000" w:themeColor="text1"/>
          <w:sz w:val="22"/>
          <w:szCs w:val="22"/>
        </w:rPr>
        <w:t xml:space="preserve"> An Urban Informal Economy: Livelihood Opportunity to Poor or Challenges for Urban Governance. </w:t>
      </w:r>
      <w:r w:rsidRPr="00E36422">
        <w:rPr>
          <w:rFonts w:ascii="Arial" w:hAnsi="Arial" w:cs="Arial"/>
          <w:i/>
          <w:iCs/>
          <w:color w:val="000000" w:themeColor="text1"/>
          <w:sz w:val="22"/>
          <w:szCs w:val="22"/>
        </w:rPr>
        <w:t>Global Journal of Human-Social Science Research</w:t>
      </w:r>
      <w:r w:rsidRPr="00E36422">
        <w:rPr>
          <w:rFonts w:ascii="Arial" w:hAnsi="Arial" w:cs="Arial"/>
          <w:color w:val="000000" w:themeColor="text1"/>
          <w:sz w:val="22"/>
          <w:szCs w:val="22"/>
        </w:rPr>
        <w:t>,11(2).</w:t>
      </w:r>
    </w:p>
    <w:sectPr w:rsidR="00C70611" w:rsidRPr="00E36422" w:rsidSect="00C94B1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04B" w:rsidRDefault="0080204B" w:rsidP="004D27A8">
      <w:pPr>
        <w:spacing w:after="0" w:line="240" w:lineRule="auto"/>
      </w:pPr>
      <w:r>
        <w:separator/>
      </w:r>
    </w:p>
  </w:endnote>
  <w:endnote w:type="continuationSeparator" w:id="1">
    <w:p w:rsidR="0080204B" w:rsidRDefault="0080204B" w:rsidP="004D27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7A8" w:rsidRDefault="004D27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7A8" w:rsidRDefault="004D27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7A8" w:rsidRDefault="004D2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04B" w:rsidRDefault="0080204B" w:rsidP="004D27A8">
      <w:pPr>
        <w:spacing w:after="0" w:line="240" w:lineRule="auto"/>
      </w:pPr>
      <w:r>
        <w:separator/>
      </w:r>
    </w:p>
  </w:footnote>
  <w:footnote w:type="continuationSeparator" w:id="1">
    <w:p w:rsidR="0080204B" w:rsidRDefault="0080204B" w:rsidP="004D27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7A8" w:rsidRDefault="00C94B12">
    <w:pPr>
      <w:pStyle w:val="Header"/>
    </w:pPr>
    <w:r w:rsidRPr="00C94B1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53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7A8" w:rsidRDefault="00C94B12">
    <w:pPr>
      <w:pStyle w:val="Header"/>
    </w:pPr>
    <w:r w:rsidRPr="00C94B1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53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7A8" w:rsidRDefault="00C94B12">
    <w:pPr>
      <w:pStyle w:val="Header"/>
    </w:pPr>
    <w:r w:rsidRPr="00C94B1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53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2B32"/>
    <w:multiLevelType w:val="hybridMultilevel"/>
    <w:tmpl w:val="B720DA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777D96"/>
    <w:multiLevelType w:val="hybridMultilevel"/>
    <w:tmpl w:val="57584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653DEA"/>
    <w:multiLevelType w:val="hybridMultilevel"/>
    <w:tmpl w:val="959CE5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B2167E5"/>
    <w:multiLevelType w:val="hybridMultilevel"/>
    <w:tmpl w:val="A0F202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rsids>
    <w:rsidRoot w:val="00BC13DC"/>
    <w:rsid w:val="0001181A"/>
    <w:rsid w:val="000E4254"/>
    <w:rsid w:val="00137B35"/>
    <w:rsid w:val="00214BE7"/>
    <w:rsid w:val="0025258D"/>
    <w:rsid w:val="0025405F"/>
    <w:rsid w:val="0027167F"/>
    <w:rsid w:val="0027696D"/>
    <w:rsid w:val="002E18B6"/>
    <w:rsid w:val="00302E84"/>
    <w:rsid w:val="0033288E"/>
    <w:rsid w:val="004B0619"/>
    <w:rsid w:val="004D27A8"/>
    <w:rsid w:val="005D342E"/>
    <w:rsid w:val="006605F8"/>
    <w:rsid w:val="006669DB"/>
    <w:rsid w:val="006A3903"/>
    <w:rsid w:val="00700904"/>
    <w:rsid w:val="00700DEB"/>
    <w:rsid w:val="00700DFD"/>
    <w:rsid w:val="0080204B"/>
    <w:rsid w:val="009131BC"/>
    <w:rsid w:val="00BA0C10"/>
    <w:rsid w:val="00BC13DC"/>
    <w:rsid w:val="00C0233E"/>
    <w:rsid w:val="00C70611"/>
    <w:rsid w:val="00C94B12"/>
    <w:rsid w:val="00CF7F55"/>
    <w:rsid w:val="00D53FF2"/>
    <w:rsid w:val="00D80A09"/>
    <w:rsid w:val="00DC4551"/>
    <w:rsid w:val="00E36422"/>
    <w:rsid w:val="00E75114"/>
    <w:rsid w:val="00F52E65"/>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4"/>
        <w:szCs w:val="24"/>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B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3DC"/>
    <w:pPr>
      <w:ind w:left="720"/>
      <w:contextualSpacing/>
    </w:pPr>
  </w:style>
  <w:style w:type="paragraph" w:styleId="NormalWeb">
    <w:name w:val="Normal (Web)"/>
    <w:basedOn w:val="Normal"/>
    <w:uiPriority w:val="99"/>
    <w:semiHidden/>
    <w:unhideWhenUsed/>
    <w:rsid w:val="00E36422"/>
  </w:style>
  <w:style w:type="character" w:styleId="Hyperlink">
    <w:name w:val="Hyperlink"/>
    <w:basedOn w:val="DefaultParagraphFont"/>
    <w:uiPriority w:val="99"/>
    <w:unhideWhenUsed/>
    <w:rsid w:val="002E18B6"/>
    <w:rPr>
      <w:color w:val="0563C1" w:themeColor="hyperlink"/>
      <w:u w:val="single"/>
    </w:rPr>
  </w:style>
  <w:style w:type="character" w:customStyle="1" w:styleId="UnresolvedMention">
    <w:name w:val="Unresolved Mention"/>
    <w:basedOn w:val="DefaultParagraphFont"/>
    <w:uiPriority w:val="99"/>
    <w:semiHidden/>
    <w:unhideWhenUsed/>
    <w:rsid w:val="002E18B6"/>
    <w:rPr>
      <w:color w:val="605E5C"/>
      <w:shd w:val="clear" w:color="auto" w:fill="E1DFDD"/>
    </w:rPr>
  </w:style>
  <w:style w:type="paragraph" w:styleId="Header">
    <w:name w:val="header"/>
    <w:basedOn w:val="Normal"/>
    <w:link w:val="HeaderChar"/>
    <w:uiPriority w:val="99"/>
    <w:unhideWhenUsed/>
    <w:rsid w:val="004D2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7A8"/>
  </w:style>
  <w:style w:type="paragraph" w:styleId="Footer">
    <w:name w:val="footer"/>
    <w:basedOn w:val="Normal"/>
    <w:link w:val="FooterChar"/>
    <w:uiPriority w:val="99"/>
    <w:unhideWhenUsed/>
    <w:rsid w:val="004D2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7A8"/>
  </w:style>
</w:styles>
</file>

<file path=word/webSettings.xml><?xml version="1.0" encoding="utf-8"?>
<w:webSettings xmlns:r="http://schemas.openxmlformats.org/officeDocument/2006/relationships" xmlns:w="http://schemas.openxmlformats.org/wordprocessingml/2006/main">
  <w:divs>
    <w:div w:id="382872878">
      <w:bodyDiv w:val="1"/>
      <w:marLeft w:val="0"/>
      <w:marRight w:val="0"/>
      <w:marTop w:val="0"/>
      <w:marBottom w:val="0"/>
      <w:divBdr>
        <w:top w:val="none" w:sz="0" w:space="0" w:color="auto"/>
        <w:left w:val="none" w:sz="0" w:space="0" w:color="auto"/>
        <w:bottom w:val="none" w:sz="0" w:space="0" w:color="auto"/>
        <w:right w:val="none" w:sz="0" w:space="0" w:color="auto"/>
      </w:divBdr>
    </w:div>
    <w:div w:id="906763138">
      <w:bodyDiv w:val="1"/>
      <w:marLeft w:val="0"/>
      <w:marRight w:val="0"/>
      <w:marTop w:val="0"/>
      <w:marBottom w:val="0"/>
      <w:divBdr>
        <w:top w:val="none" w:sz="0" w:space="0" w:color="auto"/>
        <w:left w:val="none" w:sz="0" w:space="0" w:color="auto"/>
        <w:bottom w:val="none" w:sz="0" w:space="0" w:color="auto"/>
        <w:right w:val="none" w:sz="0" w:space="0" w:color="auto"/>
      </w:divBdr>
    </w:div>
    <w:div w:id="1045327433">
      <w:bodyDiv w:val="1"/>
      <w:marLeft w:val="0"/>
      <w:marRight w:val="0"/>
      <w:marTop w:val="0"/>
      <w:marBottom w:val="0"/>
      <w:divBdr>
        <w:top w:val="none" w:sz="0" w:space="0" w:color="auto"/>
        <w:left w:val="none" w:sz="0" w:space="0" w:color="auto"/>
        <w:bottom w:val="none" w:sz="0" w:space="0" w:color="auto"/>
        <w:right w:val="none" w:sz="0" w:space="0" w:color="auto"/>
      </w:divBdr>
    </w:div>
    <w:div w:id="19259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Nghaka Thangluah</dc:creator>
  <cp:lastModifiedBy>Admin</cp:lastModifiedBy>
  <cp:revision>3</cp:revision>
  <cp:lastPrinted>2024-10-03T07:55:00Z</cp:lastPrinted>
  <dcterms:created xsi:type="dcterms:W3CDTF">2025-05-21T14:19:00Z</dcterms:created>
  <dcterms:modified xsi:type="dcterms:W3CDTF">2025-05-21T14:23:00Z</dcterms:modified>
</cp:coreProperties>
</file>