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915D" w14:textId="77777777" w:rsidR="00D744DD" w:rsidRPr="000C5AB4" w:rsidRDefault="00D809CE" w:rsidP="00876655">
      <w:pPr>
        <w:pStyle w:val="ListParagraph"/>
        <w:spacing w:after="100" w:afterAutospacing="1" w:line="360" w:lineRule="auto"/>
        <w:ind w:left="0"/>
        <w:jc w:val="center"/>
        <w:rPr>
          <w:rFonts w:ascii="Times New Roman" w:hAnsi="Times New Roman"/>
        </w:rPr>
      </w:pPr>
      <w:bookmarkStart w:id="0" w:name="_Toc178857048"/>
      <w:r>
        <w:rPr>
          <w:rFonts w:ascii="Times New Roman" w:hAnsi="Times New Roman"/>
          <w:b/>
        </w:rPr>
        <w:t>INFLUENCE OF INTERNAL CONTROLS</w:t>
      </w:r>
      <w:r w:rsidR="00D744DD" w:rsidRPr="000C5AB4">
        <w:rPr>
          <w:rFonts w:ascii="Times New Roman" w:hAnsi="Times New Roman"/>
          <w:b/>
        </w:rPr>
        <w:t xml:space="preserve"> ON GOVERNANCE PRO</w:t>
      </w:r>
      <w:r>
        <w:rPr>
          <w:rFonts w:ascii="Times New Roman" w:hAnsi="Times New Roman"/>
          <w:b/>
        </w:rPr>
        <w:t>CESSES IN PUBLIC SECTOR</w:t>
      </w:r>
      <w:r w:rsidR="00D744DD" w:rsidRPr="000C5AB4">
        <w:rPr>
          <w:rFonts w:ascii="Times New Roman" w:hAnsi="Times New Roman"/>
        </w:rPr>
        <w:t xml:space="preserve">: </w:t>
      </w:r>
      <w:r w:rsidR="00D744DD" w:rsidRPr="000C5AB4">
        <w:rPr>
          <w:rFonts w:ascii="Times New Roman" w:hAnsi="Times New Roman"/>
          <w:b/>
        </w:rPr>
        <w:t>A CASE OF NATIONAL TREASURY IN THE NORTHRIFT, KENYA.</w:t>
      </w:r>
    </w:p>
    <w:p w14:paraId="639D7EEB" w14:textId="77777777" w:rsidR="00D744DD" w:rsidRPr="000C5AB4" w:rsidRDefault="008906FB" w:rsidP="00E35951">
      <w:pPr>
        <w:pStyle w:val="Heading1"/>
        <w:spacing w:before="0" w:after="100" w:afterAutospacing="1" w:line="240" w:lineRule="auto"/>
        <w:rPr>
          <w:sz w:val="24"/>
          <w:szCs w:val="24"/>
        </w:rPr>
      </w:pPr>
      <w:r w:rsidRPr="000C5AB4">
        <w:rPr>
          <w:sz w:val="24"/>
          <w:szCs w:val="24"/>
        </w:rPr>
        <w:t>Abstract</w:t>
      </w:r>
    </w:p>
    <w:p w14:paraId="2C1ADC15" w14:textId="77777777" w:rsidR="00D744DD" w:rsidRPr="000C5AB4" w:rsidRDefault="00D744DD" w:rsidP="00E35951">
      <w:pPr>
        <w:pStyle w:val="NormalWeb"/>
        <w:spacing w:before="0" w:beforeAutospacing="0"/>
        <w:jc w:val="both"/>
      </w:pPr>
      <w:r w:rsidRPr="000C5AB4">
        <w:t xml:space="preserve">This </w:t>
      </w:r>
      <w:r w:rsidR="00591157">
        <w:t>article</w:t>
      </w:r>
      <w:r w:rsidRPr="000C5AB4">
        <w:t xml:space="preserve"> sought to investigate the impact of internal controls on governance processes in Kenya's public </w:t>
      </w:r>
      <w:r w:rsidR="00011955" w:rsidRPr="000C5AB4">
        <w:t xml:space="preserve">sector. The </w:t>
      </w:r>
      <w:commentRangeStart w:id="1"/>
      <w:r w:rsidR="00591157">
        <w:t>paper</w:t>
      </w:r>
      <w:commentRangeEnd w:id="1"/>
      <w:r w:rsidR="007B0D76">
        <w:rPr>
          <w:rStyle w:val="CommentReference"/>
          <w:rFonts w:asciiTheme="minorHAnsi" w:eastAsiaTheme="minorHAnsi" w:hAnsiTheme="minorHAnsi" w:cstheme="minorBidi"/>
        </w:rPr>
        <w:commentReference w:id="1"/>
      </w:r>
      <w:r w:rsidR="00011955" w:rsidRPr="000C5AB4">
        <w:t xml:space="preserve"> was grounded o</w:t>
      </w:r>
      <w:r w:rsidRPr="000C5AB4">
        <w:t xml:space="preserve">n systems and agency theories to explore the relationship between internal controls and governance </w:t>
      </w:r>
      <w:r w:rsidR="001857C2" w:rsidRPr="000C5AB4">
        <w:t>processes</w:t>
      </w:r>
      <w:r w:rsidR="00011955" w:rsidRPr="000C5AB4">
        <w:t xml:space="preserve">. The </w:t>
      </w:r>
      <w:commentRangeStart w:id="2"/>
      <w:r w:rsidR="00011955" w:rsidRPr="000C5AB4">
        <w:t>paper</w:t>
      </w:r>
      <w:r w:rsidR="00497922">
        <w:t>s</w:t>
      </w:r>
      <w:r w:rsidR="00011955" w:rsidRPr="000C5AB4">
        <w:t xml:space="preserve"> </w:t>
      </w:r>
      <w:commentRangeEnd w:id="2"/>
      <w:r w:rsidR="00F95FFD">
        <w:rPr>
          <w:rStyle w:val="CommentReference"/>
          <w:rFonts w:asciiTheme="minorHAnsi" w:eastAsiaTheme="minorHAnsi" w:hAnsiTheme="minorHAnsi" w:cstheme="minorBidi"/>
        </w:rPr>
        <w:commentReference w:id="2"/>
      </w:r>
      <w:r w:rsidRPr="000C5AB4">
        <w:t>key objective was to assess the effect</w:t>
      </w:r>
      <w:r w:rsidR="00011955" w:rsidRPr="000C5AB4">
        <w:t xml:space="preserve"> of internal control on </w:t>
      </w:r>
      <w:r w:rsidRPr="000C5AB4">
        <w:t>governance processes within the public sector of Kenya. A descriptive research design was employed, t</w:t>
      </w:r>
      <w:commentRangeStart w:id="3"/>
      <w:r w:rsidRPr="000C5AB4">
        <w:t>argeting</w:t>
      </w:r>
      <w:commentRangeEnd w:id="3"/>
      <w:r w:rsidR="007A6179">
        <w:rPr>
          <w:rStyle w:val="CommentReference"/>
          <w:rFonts w:asciiTheme="minorHAnsi" w:eastAsiaTheme="minorHAnsi" w:hAnsiTheme="minorHAnsi" w:cstheme="minorBidi"/>
        </w:rPr>
        <w:commentReference w:id="3"/>
      </w:r>
      <w:r w:rsidRPr="000C5AB4">
        <w:t xml:space="preserve"> 25 internal auditors in Kenya's North Rift region. A census approach was used to gather data from 23 participants. Hypothesis testing was performed, and qualitative data was analyzed based on the study’s variables. The results, presented through tables and graphs, indicated that </w:t>
      </w:r>
      <w:commentRangeStart w:id="4"/>
      <w:r w:rsidRPr="000C5AB4">
        <w:t xml:space="preserve">all null hypotheses </w:t>
      </w:r>
      <w:commentRangeEnd w:id="4"/>
      <w:r w:rsidR="00331397">
        <w:rPr>
          <w:rStyle w:val="CommentReference"/>
          <w:rFonts w:asciiTheme="minorHAnsi" w:eastAsiaTheme="minorHAnsi" w:hAnsiTheme="minorHAnsi" w:cstheme="minorBidi"/>
        </w:rPr>
        <w:commentReference w:id="4"/>
      </w:r>
      <w:r w:rsidRPr="000C5AB4">
        <w:t>were rejected as the significance levels of F-statistics and Pearson’s Product Moment Correlation were found to be less than 0.05 (p &lt; 0.05). This suggests a significant</w:t>
      </w:r>
      <w:r w:rsidR="00C64591">
        <w:t xml:space="preserve"> strong</w:t>
      </w:r>
      <w:r w:rsidRPr="000C5AB4">
        <w:t xml:space="preserve"> positive relationship between the variables. The study concluded that internal controls, significantly influence</w:t>
      </w:r>
      <w:r w:rsidR="00011955" w:rsidRPr="000C5AB4">
        <w:t>s</w:t>
      </w:r>
      <w:r w:rsidRPr="000C5AB4">
        <w:t xml:space="preserve"> governance processes in the National Treasury offices i</w:t>
      </w:r>
      <w:r w:rsidR="00011955" w:rsidRPr="000C5AB4">
        <w:t xml:space="preserve">n Kenya's North Rift region. The </w:t>
      </w:r>
      <w:r w:rsidR="00591157">
        <w:t xml:space="preserve">paper </w:t>
      </w:r>
      <w:r w:rsidR="00011955" w:rsidRPr="000C5AB4">
        <w:t>recommends</w:t>
      </w:r>
      <w:r w:rsidRPr="000C5AB4">
        <w:t xml:space="preserve"> that ministries and departments should incorporate internal controls to enhance process</w:t>
      </w:r>
      <w:r w:rsidR="00011955" w:rsidRPr="000C5AB4">
        <w:t>es</w:t>
      </w:r>
      <w:r w:rsidRPr="000C5AB4">
        <w:t xml:space="preserve"> efficiency. This </w:t>
      </w:r>
      <w:r w:rsidR="00591157">
        <w:t xml:space="preserve">article </w:t>
      </w:r>
      <w:r w:rsidRPr="000C5AB4">
        <w:t>was limited to auditors from the National Treasury in the North Rift region. Future research could explore other regions and public sector entities in Kenya to validate these findings and provide broader insights into the role of internal auditing in public governance.</w:t>
      </w:r>
    </w:p>
    <w:p w14:paraId="1D79DBE3" w14:textId="77777777" w:rsidR="00E35951" w:rsidRPr="000C5AB4" w:rsidRDefault="00D744DD" w:rsidP="00E35951">
      <w:pPr>
        <w:spacing w:after="100" w:afterAutospacing="1" w:line="240" w:lineRule="auto"/>
        <w:rPr>
          <w:rFonts w:ascii="Times New Roman" w:hAnsi="Times New Roman" w:cs="Times New Roman"/>
          <w:b/>
          <w:sz w:val="24"/>
          <w:szCs w:val="24"/>
        </w:rPr>
      </w:pPr>
      <w:r w:rsidRPr="000C5AB4">
        <w:rPr>
          <w:rFonts w:ascii="Times New Roman" w:hAnsi="Times New Roman" w:cs="Times New Roman"/>
          <w:b/>
          <w:sz w:val="24"/>
          <w:szCs w:val="24"/>
        </w:rPr>
        <w:t>Keywords:</w:t>
      </w:r>
      <w:r w:rsidR="008906FB" w:rsidRPr="000C5AB4">
        <w:rPr>
          <w:rFonts w:ascii="Times New Roman" w:hAnsi="Times New Roman" w:cs="Times New Roman"/>
          <w:sz w:val="24"/>
          <w:szCs w:val="24"/>
        </w:rPr>
        <w:t xml:space="preserve"> Internal Auditing, Internal Controls, Governance Processes</w:t>
      </w:r>
    </w:p>
    <w:p w14:paraId="66F5472A" w14:textId="77777777" w:rsidR="0070657F" w:rsidRPr="000C5AB4" w:rsidRDefault="0070657F" w:rsidP="00E35951">
      <w:pPr>
        <w:pStyle w:val="Heading1"/>
        <w:spacing w:before="0" w:after="100" w:afterAutospacing="1" w:line="360" w:lineRule="auto"/>
        <w:rPr>
          <w:sz w:val="24"/>
          <w:szCs w:val="24"/>
          <w:lang w:val="en-GB" w:eastAsia="en-GB"/>
        </w:rPr>
      </w:pPr>
      <w:r w:rsidRPr="000C5AB4">
        <w:rPr>
          <w:sz w:val="24"/>
          <w:szCs w:val="24"/>
        </w:rPr>
        <w:t>INTRODUCTION</w:t>
      </w:r>
      <w:bookmarkEnd w:id="0"/>
    </w:p>
    <w:p w14:paraId="6AB7FCD5" w14:textId="7FE66E72" w:rsidR="000F25E3" w:rsidRPr="000C5AB4" w:rsidRDefault="0070657F" w:rsidP="00E35951">
      <w:pPr>
        <w:spacing w:after="100" w:afterAutospacing="1" w:line="360" w:lineRule="auto"/>
        <w:jc w:val="both"/>
        <w:rPr>
          <w:rFonts w:ascii="Times New Roman" w:hAnsi="Times New Roman" w:cs="Times New Roman"/>
          <w:color w:val="222222"/>
          <w:sz w:val="24"/>
          <w:szCs w:val="24"/>
          <w:shd w:val="clear" w:color="auto" w:fill="FFFFFF"/>
        </w:rPr>
      </w:pPr>
      <w:commentRangeStart w:id="5"/>
      <w:r w:rsidRPr="000C5AB4">
        <w:rPr>
          <w:rFonts w:ascii="Times New Roman" w:hAnsi="Times New Roman" w:cs="Times New Roman"/>
          <w:sz w:val="24"/>
          <w:szCs w:val="24"/>
        </w:rPr>
        <w:t>As global economic competition increases, governments are adopting practices that will enhance public service delivery. Their citizens expect them to bear the responsibility of ensuring quality services are provided equitably in an efficient, economic, and effective manner</w:t>
      </w:r>
      <w:commentRangeEnd w:id="5"/>
      <w:r w:rsidR="00331397">
        <w:rPr>
          <w:rStyle w:val="CommentReference"/>
        </w:rPr>
        <w:commentReference w:id="5"/>
      </w:r>
      <w:r w:rsidRPr="000C5AB4">
        <w:rPr>
          <w:rFonts w:ascii="Times New Roman" w:hAnsi="Times New Roman" w:cs="Times New Roman"/>
          <w:sz w:val="24"/>
          <w:szCs w:val="24"/>
        </w:rPr>
        <w:t xml:space="preserve">. Among </w:t>
      </w:r>
      <w:commentRangeStart w:id="6"/>
      <w:r w:rsidRPr="000C5AB4">
        <w:rPr>
          <w:rFonts w:ascii="Times New Roman" w:hAnsi="Times New Roman" w:cs="Times New Roman"/>
          <w:sz w:val="24"/>
          <w:szCs w:val="24"/>
        </w:rPr>
        <w:t>the</w:t>
      </w:r>
      <w:commentRangeEnd w:id="6"/>
      <w:r w:rsidR="00804B25">
        <w:rPr>
          <w:rStyle w:val="CommentReference"/>
        </w:rPr>
        <w:commentReference w:id="6"/>
      </w:r>
      <w:r w:rsidRPr="000C5AB4">
        <w:rPr>
          <w:rFonts w:ascii="Times New Roman" w:hAnsi="Times New Roman" w:cs="Times New Roman"/>
          <w:sz w:val="24"/>
          <w:szCs w:val="24"/>
        </w:rPr>
        <w:t xml:space="preserve"> many practices adopted by governments aimed at enhancing service delivery is internal auditing (Scott, 2018). </w:t>
      </w:r>
      <w:r w:rsidR="003369C7" w:rsidRPr="000C5AB4">
        <w:rPr>
          <w:rFonts w:ascii="Times New Roman" w:hAnsi="Times New Roman" w:cs="Times New Roman"/>
          <w:sz w:val="24"/>
          <w:szCs w:val="24"/>
        </w:rPr>
        <w:t xml:space="preserve">Governance processes are the policies, procedures and guidelines used to steer activities of an organization giving reasonable assurance that quality service delivery is offered and operations are carried out ethically and accountably </w:t>
      </w:r>
      <w:commentRangeStart w:id="7"/>
      <w:r w:rsidR="003369C7" w:rsidRPr="000C5AB4">
        <w:rPr>
          <w:rFonts w:ascii="Times New Roman" w:hAnsi="Times New Roman" w:cs="Times New Roman"/>
          <w:sz w:val="24"/>
          <w:szCs w:val="24"/>
        </w:rPr>
        <w:t xml:space="preserve">(IIA, 2024). They </w:t>
      </w:r>
      <w:commentRangeEnd w:id="7"/>
      <w:r w:rsidR="00C1127B">
        <w:rPr>
          <w:rStyle w:val="CommentReference"/>
        </w:rPr>
        <w:commentReference w:id="7"/>
      </w:r>
      <w:r w:rsidR="003369C7" w:rsidRPr="000C5AB4">
        <w:rPr>
          <w:rFonts w:ascii="Times New Roman" w:hAnsi="Times New Roman" w:cs="Times New Roman"/>
          <w:sz w:val="24"/>
          <w:szCs w:val="24"/>
        </w:rPr>
        <w:t>are considered as a tools used to achieve strategies and mandates of institutions (Belay, 2017). Public institutions Governance processes involve the implementation of fiscal and financial management policies, as well as robust budgeting frameworks, crucial to ensuring efficient utilization of resources and delivery of services</w:t>
      </w:r>
      <w:r w:rsidR="003369C7" w:rsidRPr="000C5AB4">
        <w:rPr>
          <w:rFonts w:ascii="Times New Roman" w:hAnsi="Times New Roman" w:cs="Times New Roman"/>
          <w:color w:val="1F1F1F"/>
          <w:sz w:val="24"/>
          <w:szCs w:val="24"/>
          <w:shd w:val="clear" w:color="auto" w:fill="FFFFFF"/>
        </w:rPr>
        <w:t xml:space="preserve">. </w:t>
      </w:r>
      <w:r w:rsidR="003369C7" w:rsidRPr="000C5AB4">
        <w:rPr>
          <w:rFonts w:ascii="Times New Roman" w:hAnsi="Times New Roman" w:cs="Times New Roman"/>
          <w:sz w:val="24"/>
          <w:szCs w:val="24"/>
        </w:rPr>
        <w:t xml:space="preserve">More so in </w:t>
      </w:r>
      <w:r w:rsidR="003369C7" w:rsidRPr="000C5AB4">
        <w:rPr>
          <w:rFonts w:ascii="Times New Roman" w:hAnsi="Times New Roman" w:cs="Times New Roman"/>
          <w:color w:val="222222"/>
          <w:sz w:val="24"/>
          <w:szCs w:val="24"/>
          <w:shd w:val="clear" w:color="auto" w:fill="FFFFFF"/>
        </w:rPr>
        <w:t xml:space="preserve">the public sector specific governance processes are procedures and policies </w:t>
      </w:r>
      <w:r w:rsidR="003369C7" w:rsidRPr="000C5AB4">
        <w:rPr>
          <w:rFonts w:ascii="Times New Roman" w:hAnsi="Times New Roman" w:cs="Times New Roman"/>
          <w:color w:val="222222"/>
          <w:sz w:val="24"/>
          <w:szCs w:val="24"/>
          <w:shd w:val="clear" w:color="auto" w:fill="FFFFFF"/>
        </w:rPr>
        <w:lastRenderedPageBreak/>
        <w:t>used managing the institution thus ensuring accountability and integrity, they include accounting procedures, procurement processes, communication, and segregation of duties among others</w:t>
      </w:r>
      <w:r w:rsidR="003369C7" w:rsidRPr="000C5AB4">
        <w:rPr>
          <w:rFonts w:ascii="Times New Roman" w:hAnsi="Times New Roman" w:cs="Times New Roman"/>
          <w:sz w:val="24"/>
          <w:szCs w:val="24"/>
        </w:rPr>
        <w:t xml:space="preserve"> (IIA, 2024)</w:t>
      </w:r>
      <w:r w:rsidR="003369C7" w:rsidRPr="000C5AB4">
        <w:rPr>
          <w:rFonts w:ascii="Times New Roman" w:hAnsi="Times New Roman" w:cs="Times New Roman"/>
          <w:color w:val="222222"/>
          <w:sz w:val="24"/>
          <w:szCs w:val="24"/>
          <w:shd w:val="clear" w:color="auto" w:fill="FFFFFF"/>
        </w:rPr>
        <w:t>.</w:t>
      </w:r>
    </w:p>
    <w:p w14:paraId="2F6B6AC5" w14:textId="77777777" w:rsidR="003369C7" w:rsidRPr="000C5AB4" w:rsidRDefault="003369C7"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color w:val="222222"/>
          <w:sz w:val="24"/>
          <w:szCs w:val="24"/>
          <w:shd w:val="clear" w:color="auto" w:fill="FFFFFF"/>
        </w:rPr>
        <w:t> </w:t>
      </w:r>
      <w:r w:rsidRPr="000C5AB4">
        <w:rPr>
          <w:rFonts w:ascii="Times New Roman" w:hAnsi="Times New Roman" w:cs="Times New Roman"/>
          <w:sz w:val="24"/>
          <w:szCs w:val="24"/>
        </w:rPr>
        <w:t xml:space="preserve">Public sector governance issues are receiving heightened attention as a result of the rising recognition that an institutions governance processes affects both its economic performance and its perceive picture in the public (Mordelet, 2019). The Global Corporate Governance Forum (2023) asserts that the </w:t>
      </w:r>
      <w:r w:rsidRPr="000C5AB4">
        <w:rPr>
          <w:rStyle w:val="Emphasis"/>
          <w:rFonts w:ascii="Times New Roman" w:hAnsi="Times New Roman" w:cs="Times New Roman"/>
          <w:i w:val="0"/>
          <w:sz w:val="24"/>
          <w:szCs w:val="24"/>
          <w:shd w:val="clear" w:color="auto" w:fill="FFFFFF"/>
        </w:rPr>
        <w:t>implementation of sound governance’s practices has been adopted by sub-Saharan African countries with the common governance frameworks in these countries being the transparent of economic policies, sound financial management policies and economic rights, with the aim of outlawing of corruption. More so all these are aimed at strengthening macro-financial legal frameworks and improving information dissemination to the public about their performance in providing services</w:t>
      </w:r>
      <w:r w:rsidR="000F25E3" w:rsidRPr="000C5AB4">
        <w:rPr>
          <w:rStyle w:val="Emphasis"/>
          <w:rFonts w:ascii="Times New Roman" w:hAnsi="Times New Roman" w:cs="Times New Roman"/>
          <w:i w:val="0"/>
          <w:sz w:val="24"/>
          <w:szCs w:val="24"/>
          <w:shd w:val="clear" w:color="auto" w:fill="FFFFFF"/>
        </w:rPr>
        <w:t>.</w:t>
      </w:r>
    </w:p>
    <w:p w14:paraId="46EBD6EA" w14:textId="77777777" w:rsidR="0070657F" w:rsidRPr="000C5AB4" w:rsidRDefault="0070657F" w:rsidP="00E35951">
      <w:pPr>
        <w:spacing w:after="100" w:afterAutospacing="1" w:line="360" w:lineRule="auto"/>
        <w:jc w:val="both"/>
        <w:rPr>
          <w:rFonts w:ascii="Times New Roman" w:hAnsi="Times New Roman" w:cs="Times New Roman"/>
          <w:sz w:val="24"/>
          <w:szCs w:val="24"/>
        </w:rPr>
      </w:pPr>
      <w:commentRangeStart w:id="8"/>
      <w:r w:rsidRPr="000C5AB4">
        <w:rPr>
          <w:rFonts w:ascii="Times New Roman" w:hAnsi="Times New Roman" w:cs="Times New Roman"/>
          <w:sz w:val="24"/>
          <w:szCs w:val="24"/>
        </w:rPr>
        <w:t>The internal audit activity should provide assurance that established processes and procedures are adequate to manage risks, ensure effective and efficient service delivery, while organizational goals and objectives are being achieved (IIA, 2024). Public sector auditing is generally receiving more focus due to the growing acknowledgment that an institutions governance processes outcomes affects both its economic performance and its perceive picture in the public (Mordelet, 2019).</w:t>
      </w:r>
      <w:commentRangeEnd w:id="8"/>
      <w:r w:rsidR="00DA273E">
        <w:rPr>
          <w:rStyle w:val="CommentReference"/>
        </w:rPr>
        <w:commentReference w:id="8"/>
      </w:r>
    </w:p>
    <w:p w14:paraId="60A0B68F" w14:textId="77777777" w:rsidR="0070657F" w:rsidRPr="000C5AB4" w:rsidRDefault="0070657F" w:rsidP="00E35951">
      <w:pPr>
        <w:spacing w:after="100" w:afterAutospacing="1" w:line="360" w:lineRule="auto"/>
        <w:jc w:val="both"/>
        <w:rPr>
          <w:rFonts w:ascii="Times New Roman" w:hAnsi="Times New Roman" w:cs="Times New Roman"/>
          <w:sz w:val="24"/>
          <w:szCs w:val="24"/>
          <w:shd w:val="clear" w:color="auto" w:fill="FFFFFF"/>
        </w:rPr>
      </w:pPr>
      <w:r w:rsidRPr="000C5AB4">
        <w:rPr>
          <w:rFonts w:ascii="Times New Roman" w:hAnsi="Times New Roman" w:cs="Times New Roman"/>
          <w:sz w:val="24"/>
          <w:szCs w:val="24"/>
          <w:shd w:val="clear" w:color="auto" w:fill="FFFFFF"/>
        </w:rPr>
        <w:t>In European countries and the United Kingdom vast literature on internal audit focuses on internal audits risk management, controls, internal auditors &amp; other parties within governance procesess</w:t>
      </w:r>
      <w:r w:rsidRPr="000C5AB4">
        <w:rPr>
          <w:rFonts w:ascii="Times New Roman" w:hAnsi="Times New Roman" w:cs="Times New Roman"/>
          <w:sz w:val="24"/>
          <w:szCs w:val="24"/>
        </w:rPr>
        <w:t xml:space="preserve"> , Allegrini , Marc, Robert Sarens, &amp; Gerrit (2017),</w:t>
      </w:r>
      <w:r w:rsidRPr="000C5AB4">
        <w:rPr>
          <w:rFonts w:ascii="Times New Roman" w:hAnsi="Times New Roman" w:cs="Times New Roman"/>
          <w:sz w:val="24"/>
          <w:szCs w:val="24"/>
          <w:shd w:val="clear" w:color="auto" w:fill="FFFFFF"/>
        </w:rPr>
        <w:t xml:space="preserve"> </w:t>
      </w:r>
      <w:r w:rsidRPr="000C5AB4">
        <w:rPr>
          <w:rFonts w:ascii="Times New Roman" w:hAnsi="Times New Roman" w:cs="Times New Roman"/>
          <w:sz w:val="24"/>
          <w:szCs w:val="24"/>
        </w:rPr>
        <w:t>While Leung, Philomena &amp; Cooper,</w:t>
      </w:r>
      <w:r w:rsidRPr="000C5AB4">
        <w:rPr>
          <w:rFonts w:ascii="Times New Roman" w:hAnsi="Times New Roman" w:cs="Times New Roman"/>
          <w:sz w:val="24"/>
          <w:szCs w:val="24"/>
          <w:shd w:val="clear" w:color="auto" w:fill="FFFFFF"/>
        </w:rPr>
        <w:t>(2019) in their research explains that the Asia‐Pacific countries literature profiles internal audit in terms of compliance and use of the global Standards and Professional Practices of Internal Auditing by auditors while carrying out audit activities.  They further agree that Australia is the only country in total compliance of the auditing Standards and procedures.</w:t>
      </w:r>
    </w:p>
    <w:p w14:paraId="108866D7" w14:textId="77777777" w:rsidR="000F25E3" w:rsidRPr="000C5AB4" w:rsidRDefault="0070657F" w:rsidP="000F25E3">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In Africa the African internal auditors federation is the umbrella body of all the Institutes in member states, it helps create a unified voice for internal auditors in the continent. Locally in Kenya, the Institute of Internal Auditors Kenya (IIA) supports and guides internal auditors in </w:t>
      </w:r>
      <w:r w:rsidRPr="000C5AB4">
        <w:rPr>
          <w:rFonts w:ascii="Times New Roman" w:hAnsi="Times New Roman" w:cs="Times New Roman"/>
          <w:sz w:val="24"/>
          <w:szCs w:val="24"/>
        </w:rPr>
        <w:lastRenderedPageBreak/>
        <w:t>enhancing corporate governance both in public and in private sectors (IIA, 2024). In the north rift region of Kenya counties, ministries and parastatals are guided by the PFM Act 2012 and its regulations on the setup of internal audit departments and committees</w:t>
      </w:r>
      <w:r w:rsidRPr="000C5AB4">
        <w:rPr>
          <w:rFonts w:ascii="Times New Roman" w:hAnsi="Times New Roman" w:cs="Times New Roman"/>
          <w:sz w:val="24"/>
          <w:szCs w:val="24"/>
          <w:shd w:val="clear" w:color="auto" w:fill="FFFFFF"/>
        </w:rPr>
        <w:t xml:space="preserve"> .</w:t>
      </w:r>
      <w:r w:rsidRPr="000C5AB4">
        <w:rPr>
          <w:rFonts w:ascii="Times New Roman" w:hAnsi="Times New Roman" w:cs="Times New Roman"/>
          <w:sz w:val="24"/>
          <w:szCs w:val="24"/>
        </w:rPr>
        <w:t xml:space="preserve">Consequently there has been an increasing attention on effective governance processes with a focus on committees of audits and internal auditors by government institutions.  The functions of internal audit has changed over years and recent research shows that internal auditing role has evolved to assurance and consultancy. They are being accepted by management in many institutions as a key driver of corporate governance processes other than risk management and internal controls (Gikonyo, 2020). </w:t>
      </w:r>
    </w:p>
    <w:p w14:paraId="5BDE063E" w14:textId="77777777" w:rsidR="000F25E3" w:rsidRPr="000C5AB4" w:rsidRDefault="000F25E3" w:rsidP="000F25E3">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The internal audit activity should provide assurance that established controls are adequate to manage risks, ensure processes are effective, the organizational goals and objectives are being achieved (IIA, 2024). Internal audit major role is to assure management that organizations controls are effective and adequate. Ackers (2014), indicated that the internal audit is service that adds value to the institution by providing an independent assessment of operations and controls. </w:t>
      </w:r>
    </w:p>
    <w:p w14:paraId="6FA264F1" w14:textId="77777777" w:rsidR="0070657F" w:rsidRPr="000C5AB4" w:rsidRDefault="000F25E3" w:rsidP="000F25E3">
      <w:pPr>
        <w:spacing w:after="100" w:afterAutospacing="1" w:line="360" w:lineRule="auto"/>
        <w:jc w:val="both"/>
        <w:rPr>
          <w:rFonts w:ascii="Times New Roman" w:hAnsi="Times New Roman" w:cs="Times New Roman"/>
          <w:sz w:val="24"/>
          <w:szCs w:val="24"/>
          <w:shd w:val="clear" w:color="auto" w:fill="FFFFFF"/>
        </w:rPr>
      </w:pPr>
      <w:r w:rsidRPr="000C5AB4">
        <w:rPr>
          <w:rFonts w:ascii="Times New Roman" w:hAnsi="Times New Roman" w:cs="Times New Roman"/>
          <w:sz w:val="24"/>
          <w:szCs w:val="24"/>
        </w:rPr>
        <w:t>Gikonyo, (2020), explains that internal audits units rely on the Standards and guidelines for professional practices for auditors to navigate the world of controls and risk management in governance of an institution. Internal audit in public institutions has been acknowledged as gorvarnance approach aimed at achieving efficiency in delivery of its mandates to public due to its known advantages.</w:t>
      </w:r>
    </w:p>
    <w:p w14:paraId="44076B62"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In Kenya internal audit has been entrenched into the governances systems  and processes , with the government introducing a policy and guideline document in year 2015 referred to as Mwongozo demonstrating  its  commitment ensuring that good governance practices are entrenched in management and governance of its state institutions, (Ochieng, 2017). Management should also support the audit unit by financing its operations and ensure that it auditors are adequately trained, Mwongozo (2015). </w:t>
      </w:r>
    </w:p>
    <w:p w14:paraId="6BAF75ED"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The Kenyan public sector departments are created by the Constitution and various laws enacted through parliament and they are publicly funded using public funds on behalf of the people of Kenya. Therefore it is part of government that either directly offers services to all citizens or funds </w:t>
      </w:r>
      <w:r w:rsidRPr="000C5AB4">
        <w:rPr>
          <w:rFonts w:ascii="Times New Roman" w:hAnsi="Times New Roman" w:cs="Times New Roman"/>
          <w:sz w:val="24"/>
          <w:szCs w:val="24"/>
        </w:rPr>
        <w:lastRenderedPageBreak/>
        <w:t>the provision of services by contracting private specialized entities. In light of this, Kenya's public sector offers the services that the private sector cannot manage to provide.  It includes the county governments, National government entities and Parastatals.</w:t>
      </w:r>
    </w:p>
    <w:p w14:paraId="454BF172" w14:textId="77777777" w:rsidR="000F25E3" w:rsidRPr="000C5AB4" w:rsidRDefault="0070657F" w:rsidP="000F25E3">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color w:val="000000"/>
          <w:sz w:val="24"/>
          <w:szCs w:val="24"/>
          <w:shd w:val="clear" w:color="auto" w:fill="FFFFFF"/>
        </w:rPr>
        <w:t xml:space="preserve">The office of the Internal Auditor General Division in the National Treasury supports all Departments, and Agencies accounting officers </w:t>
      </w:r>
      <w:r w:rsidRPr="000C5AB4">
        <w:rPr>
          <w:rFonts w:ascii="Times New Roman" w:hAnsi="Times New Roman" w:cs="Times New Roman"/>
          <w:sz w:val="24"/>
          <w:szCs w:val="24"/>
        </w:rPr>
        <w:t>by evaluating and reporting on the effectiveness of the internal control systems they implement, enabling them to fulfill their mandates effectively</w:t>
      </w:r>
      <w:r w:rsidRPr="000C5AB4">
        <w:rPr>
          <w:rFonts w:ascii="Times New Roman" w:hAnsi="Times New Roman" w:cs="Times New Roman"/>
          <w:color w:val="000000"/>
          <w:sz w:val="24"/>
          <w:szCs w:val="24"/>
          <w:shd w:val="clear" w:color="auto" w:fill="FFFFFF"/>
        </w:rPr>
        <w:t xml:space="preserve">. The department has a regional and subcounty offices to aid its operations. </w:t>
      </w:r>
      <w:r w:rsidRPr="000C5AB4">
        <w:rPr>
          <w:rFonts w:ascii="Times New Roman" w:hAnsi="Times New Roman" w:cs="Times New Roman"/>
          <w:sz w:val="24"/>
          <w:szCs w:val="24"/>
        </w:rPr>
        <w:t xml:space="preserve"> The national treasury subcounty internal audit units in the north rift Region fully funded by the exchequer and exists to serve all the departments at the subcounty level (IAGD 2024).</w:t>
      </w:r>
    </w:p>
    <w:p w14:paraId="0D7A6F12" w14:textId="77777777" w:rsidR="00E35951" w:rsidRPr="000C5AB4" w:rsidRDefault="000F25E3" w:rsidP="000F25E3">
      <w:pPr>
        <w:spacing w:after="100" w:afterAutospacing="1" w:line="360" w:lineRule="auto"/>
        <w:jc w:val="both"/>
        <w:rPr>
          <w:rFonts w:ascii="Times New Roman" w:hAnsi="Times New Roman" w:cs="Times New Roman"/>
          <w:sz w:val="24"/>
          <w:szCs w:val="24"/>
        </w:rPr>
      </w:pPr>
      <w:bookmarkStart w:id="9" w:name="_Toc178857054"/>
      <w:r w:rsidRPr="000C5AB4">
        <w:rPr>
          <w:rFonts w:ascii="Times New Roman" w:hAnsi="Times New Roman" w:cs="Times New Roman"/>
          <w:sz w:val="24"/>
          <w:szCs w:val="24"/>
        </w:rPr>
        <w:t>The systems and agency theories were used by the researcher to explore a wide and deep understanding of the concepts of internal controls and governance processes in organizations. Therefore government institutions must strive to implement an effective internal audit function is crucial for promoting accountability in operations and ensuring that public resources are allocated and managed wisely.</w:t>
      </w:r>
    </w:p>
    <w:p w14:paraId="2D03B20C" w14:textId="77777777" w:rsidR="0070657F" w:rsidRPr="000C5AB4" w:rsidRDefault="0070657F" w:rsidP="00E35951">
      <w:pPr>
        <w:spacing w:after="100" w:afterAutospacing="1" w:line="360" w:lineRule="auto"/>
        <w:rPr>
          <w:rFonts w:ascii="Times New Roman" w:hAnsi="Times New Roman" w:cs="Times New Roman"/>
          <w:b/>
          <w:sz w:val="24"/>
          <w:szCs w:val="24"/>
        </w:rPr>
      </w:pPr>
      <w:r w:rsidRPr="000C5AB4">
        <w:rPr>
          <w:rFonts w:ascii="Times New Roman" w:hAnsi="Times New Roman" w:cs="Times New Roman"/>
          <w:b/>
          <w:sz w:val="24"/>
          <w:szCs w:val="24"/>
        </w:rPr>
        <w:t>Statement of the Problem</w:t>
      </w:r>
      <w:bookmarkEnd w:id="9"/>
    </w:p>
    <w:p w14:paraId="01D24C28" w14:textId="606F8604"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Weak governance processes in Kenya’s public institutions stem from the weakness of internal </w:t>
      </w:r>
      <w:r w:rsidR="001857C2" w:rsidRPr="000C5AB4">
        <w:rPr>
          <w:rFonts w:ascii="Times New Roman" w:hAnsi="Times New Roman" w:cs="Times New Roman"/>
          <w:sz w:val="24"/>
          <w:szCs w:val="24"/>
        </w:rPr>
        <w:t>controls</w:t>
      </w:r>
      <w:r w:rsidRPr="000C5AB4">
        <w:rPr>
          <w:rFonts w:ascii="Times New Roman" w:hAnsi="Times New Roman" w:cs="Times New Roman"/>
          <w:sz w:val="24"/>
          <w:szCs w:val="24"/>
        </w:rPr>
        <w:t xml:space="preserve"> eventually resulting in loss of public financial resources (Wangui, 2018). Weak internal controls similarly aids fraud in these institutions, therefore there’s need to assess, identify and mitigate risks to control and minimize the impacts of its imminent threats. Recently the government of Kenya Sought to implement the zero</w:t>
      </w:r>
      <w:r w:rsidR="00ED2728">
        <w:rPr>
          <w:rFonts w:ascii="Times New Roman" w:hAnsi="Times New Roman" w:cs="Times New Roman"/>
          <w:sz w:val="24"/>
          <w:szCs w:val="24"/>
        </w:rPr>
        <w:t>-</w:t>
      </w:r>
      <w:r w:rsidRPr="000C5AB4">
        <w:rPr>
          <w:rFonts w:ascii="Times New Roman" w:hAnsi="Times New Roman" w:cs="Times New Roman"/>
          <w:sz w:val="24"/>
          <w:szCs w:val="24"/>
        </w:rPr>
        <w:t xml:space="preserve">vault audit regime 2023, with emphasis on the need to enhance internal auditing department to ensure </w:t>
      </w:r>
      <w:commentRangeStart w:id="10"/>
      <w:r w:rsidRPr="000C5AB4">
        <w:rPr>
          <w:rFonts w:ascii="Times New Roman" w:hAnsi="Times New Roman" w:cs="Times New Roman"/>
          <w:sz w:val="24"/>
          <w:szCs w:val="24"/>
        </w:rPr>
        <w:t>strict adherence</w:t>
      </w:r>
      <w:commentRangeEnd w:id="10"/>
      <w:r w:rsidR="00ED2728">
        <w:rPr>
          <w:rStyle w:val="CommentReference"/>
        </w:rPr>
        <w:commentReference w:id="10"/>
      </w:r>
      <w:r w:rsidRPr="000C5AB4">
        <w:rPr>
          <w:rFonts w:ascii="Times New Roman" w:hAnsi="Times New Roman" w:cs="Times New Roman"/>
          <w:sz w:val="24"/>
          <w:szCs w:val="24"/>
        </w:rPr>
        <w:t xml:space="preserve"> to process of governance in all cadres of public sector to ensure financial reporting quality (GOK, 2023).   Government ministries and departments in the north rift region received qualified opinions thus the Auditor-General was unsatisfied with the reliability of some of their expenditures and transactions which could have been flagged by the internal auditors (OAG 2024).  Key issues raised by the Auditor-General reports show that most of these institutions in the Northrift region are grabbling with stalled projects, pending bills, serious cash management issues, procurement and unresolved audit queries raised in preceding years.</w:t>
      </w:r>
    </w:p>
    <w:p w14:paraId="7BC04D2E"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lastRenderedPageBreak/>
        <w:t>Studies have been done on the subject matter</w:t>
      </w:r>
      <w:r w:rsidR="003369C7" w:rsidRPr="000C5AB4">
        <w:rPr>
          <w:rFonts w:ascii="Times New Roman" w:hAnsi="Times New Roman" w:cs="Times New Roman"/>
          <w:sz w:val="24"/>
          <w:szCs w:val="24"/>
        </w:rPr>
        <w:t>; Gikonyo (2020)</w:t>
      </w:r>
      <w:r w:rsidRPr="000C5AB4">
        <w:rPr>
          <w:rFonts w:ascii="Times New Roman" w:hAnsi="Times New Roman" w:cs="Times New Roman"/>
          <w:sz w:val="24"/>
          <w:szCs w:val="24"/>
        </w:rPr>
        <w:t>,</w:t>
      </w:r>
      <w:r w:rsidR="003369C7" w:rsidRPr="000C5AB4">
        <w:rPr>
          <w:rFonts w:ascii="Times New Roman" w:hAnsi="Times New Roman" w:cs="Times New Roman"/>
          <w:sz w:val="24"/>
          <w:szCs w:val="24"/>
        </w:rPr>
        <w:t xml:space="preserve"> Kirima (2016), Kibwage (</w:t>
      </w:r>
      <w:commentRangeStart w:id="11"/>
      <w:r w:rsidR="003369C7" w:rsidRPr="000C5AB4">
        <w:rPr>
          <w:rFonts w:ascii="Times New Roman" w:hAnsi="Times New Roman" w:cs="Times New Roman"/>
          <w:sz w:val="24"/>
          <w:szCs w:val="24"/>
        </w:rPr>
        <w:t>2021</w:t>
      </w:r>
      <w:commentRangeEnd w:id="11"/>
      <w:r w:rsidR="00846E63">
        <w:rPr>
          <w:rStyle w:val="CommentReference"/>
        </w:rPr>
        <w:commentReference w:id="11"/>
      </w:r>
      <w:r w:rsidR="003369C7" w:rsidRPr="000C5AB4">
        <w:rPr>
          <w:rFonts w:ascii="Times New Roman" w:hAnsi="Times New Roman" w:cs="Times New Roman"/>
          <w:sz w:val="24"/>
          <w:szCs w:val="24"/>
        </w:rPr>
        <w:t xml:space="preserve">), </w:t>
      </w:r>
      <w:r w:rsidRPr="000C5AB4">
        <w:rPr>
          <w:rFonts w:ascii="Times New Roman" w:hAnsi="Times New Roman" w:cs="Times New Roman"/>
          <w:sz w:val="24"/>
          <w:szCs w:val="24"/>
        </w:rPr>
        <w:t xml:space="preserve"> however the scope of these studies conducted on internal audit and governance in Kenya focused on effectiveness and efficiency of internal audit function</w:t>
      </w:r>
      <w:r w:rsidR="003369C7" w:rsidRPr="000C5AB4">
        <w:rPr>
          <w:rFonts w:ascii="Times New Roman" w:hAnsi="Times New Roman" w:cs="Times New Roman"/>
          <w:sz w:val="24"/>
          <w:szCs w:val="24"/>
        </w:rPr>
        <w:t xml:space="preserve">. </w:t>
      </w:r>
      <w:r w:rsidRPr="000C5AB4">
        <w:rPr>
          <w:rFonts w:ascii="Times New Roman" w:hAnsi="Times New Roman" w:cs="Times New Roman"/>
          <w:sz w:val="24"/>
          <w:szCs w:val="24"/>
        </w:rPr>
        <w:t>These studies are among the few documented none of them looked at governance</w:t>
      </w:r>
      <w:r w:rsidR="003369C7" w:rsidRPr="000C5AB4">
        <w:rPr>
          <w:rFonts w:ascii="Times New Roman" w:hAnsi="Times New Roman" w:cs="Times New Roman"/>
          <w:sz w:val="24"/>
          <w:szCs w:val="24"/>
        </w:rPr>
        <w:t xml:space="preserve"> processes and internal controls</w:t>
      </w:r>
      <w:r w:rsidRPr="000C5AB4">
        <w:rPr>
          <w:rFonts w:ascii="Times New Roman" w:hAnsi="Times New Roman" w:cs="Times New Roman"/>
          <w:sz w:val="24"/>
          <w:szCs w:val="24"/>
        </w:rPr>
        <w:t xml:space="preserve"> specifically. Therefore, this</w:t>
      </w:r>
      <w:r w:rsidR="001857C2" w:rsidRPr="000C5AB4">
        <w:rPr>
          <w:rFonts w:ascii="Times New Roman" w:hAnsi="Times New Roman" w:cs="Times New Roman"/>
          <w:sz w:val="24"/>
          <w:szCs w:val="24"/>
        </w:rPr>
        <w:t xml:space="preserve"> paper</w:t>
      </w:r>
      <w:r w:rsidRPr="000C5AB4">
        <w:rPr>
          <w:rFonts w:ascii="Times New Roman" w:hAnsi="Times New Roman" w:cs="Times New Roman"/>
          <w:sz w:val="24"/>
          <w:szCs w:val="24"/>
        </w:rPr>
        <w:t xml:space="preserve"> sought to fill the gap by looking into the influence of internal </w:t>
      </w:r>
      <w:r w:rsidR="001857C2" w:rsidRPr="000C5AB4">
        <w:rPr>
          <w:rFonts w:ascii="Times New Roman" w:hAnsi="Times New Roman" w:cs="Times New Roman"/>
          <w:sz w:val="24"/>
          <w:szCs w:val="24"/>
        </w:rPr>
        <w:t xml:space="preserve">controls </w:t>
      </w:r>
      <w:r w:rsidRPr="000C5AB4">
        <w:rPr>
          <w:rFonts w:ascii="Times New Roman" w:hAnsi="Times New Roman" w:cs="Times New Roman"/>
          <w:sz w:val="24"/>
          <w:szCs w:val="24"/>
        </w:rPr>
        <w:t xml:space="preserve">on governance processes in the public sector in Kenya with focus on </w:t>
      </w:r>
      <w:commentRangeStart w:id="12"/>
      <w:r w:rsidRPr="000C5AB4">
        <w:rPr>
          <w:rFonts w:ascii="Times New Roman" w:hAnsi="Times New Roman" w:cs="Times New Roman"/>
          <w:sz w:val="24"/>
          <w:szCs w:val="24"/>
        </w:rPr>
        <w:t>subcounty</w:t>
      </w:r>
      <w:commentRangeEnd w:id="12"/>
      <w:r w:rsidR="00127408">
        <w:rPr>
          <w:rStyle w:val="CommentReference"/>
        </w:rPr>
        <w:commentReference w:id="12"/>
      </w:r>
      <w:r w:rsidRPr="000C5AB4">
        <w:rPr>
          <w:rFonts w:ascii="Times New Roman" w:hAnsi="Times New Roman" w:cs="Times New Roman"/>
          <w:sz w:val="24"/>
          <w:szCs w:val="24"/>
        </w:rPr>
        <w:t xml:space="preserve"> treasuries in the north rift, Kenya.</w:t>
      </w:r>
    </w:p>
    <w:p w14:paraId="1B5DD5D3" w14:textId="77777777" w:rsidR="001857C2" w:rsidRPr="000C5AB4" w:rsidRDefault="0070657F" w:rsidP="00E35951">
      <w:pPr>
        <w:spacing w:after="100" w:afterAutospacing="1" w:line="360" w:lineRule="auto"/>
        <w:rPr>
          <w:rFonts w:ascii="Times New Roman" w:hAnsi="Times New Roman" w:cs="Times New Roman"/>
          <w:b/>
          <w:sz w:val="24"/>
          <w:szCs w:val="24"/>
        </w:rPr>
      </w:pPr>
      <w:bookmarkStart w:id="13" w:name="_Toc178857056"/>
      <w:r w:rsidRPr="000C5AB4">
        <w:rPr>
          <w:rFonts w:ascii="Times New Roman" w:hAnsi="Times New Roman" w:cs="Times New Roman"/>
          <w:b/>
          <w:sz w:val="24"/>
          <w:szCs w:val="24"/>
        </w:rPr>
        <w:t>Objective</w:t>
      </w:r>
      <w:bookmarkEnd w:id="13"/>
      <w:r w:rsidRPr="000C5AB4">
        <w:rPr>
          <w:rFonts w:ascii="Times New Roman" w:hAnsi="Times New Roman" w:cs="Times New Roman"/>
          <w:b/>
          <w:sz w:val="24"/>
          <w:szCs w:val="24"/>
        </w:rPr>
        <w:t xml:space="preserve"> </w:t>
      </w:r>
    </w:p>
    <w:p w14:paraId="79E0D0A6" w14:textId="77777777" w:rsidR="00E35951" w:rsidRPr="000C5AB4" w:rsidRDefault="0070657F" w:rsidP="00E35951">
      <w:pPr>
        <w:spacing w:after="100" w:afterAutospacing="1" w:line="360" w:lineRule="auto"/>
        <w:rPr>
          <w:rFonts w:ascii="Times New Roman" w:hAnsi="Times New Roman" w:cs="Times New Roman"/>
          <w:sz w:val="24"/>
          <w:szCs w:val="24"/>
        </w:rPr>
      </w:pPr>
      <w:r w:rsidRPr="000C5AB4">
        <w:rPr>
          <w:rFonts w:ascii="Times New Roman" w:hAnsi="Times New Roman" w:cs="Times New Roman"/>
          <w:sz w:val="24"/>
          <w:szCs w:val="24"/>
        </w:rPr>
        <w:t>To assess the influence of internal controls on governance processes at the National Treasury in the north rift, Kenya.</w:t>
      </w:r>
    </w:p>
    <w:p w14:paraId="40B157B5" w14:textId="77777777" w:rsidR="00E35951" w:rsidRPr="000C5AB4" w:rsidRDefault="0070657F" w:rsidP="00E35951">
      <w:pPr>
        <w:pStyle w:val="Heading1"/>
        <w:spacing w:before="0" w:after="100" w:afterAutospacing="1" w:line="360" w:lineRule="auto"/>
        <w:rPr>
          <w:sz w:val="24"/>
          <w:szCs w:val="24"/>
        </w:rPr>
      </w:pPr>
      <w:bookmarkStart w:id="14" w:name="_Toc178857063"/>
      <w:r w:rsidRPr="000C5AB4">
        <w:rPr>
          <w:sz w:val="24"/>
          <w:szCs w:val="24"/>
        </w:rPr>
        <w:t>LITERATURE REVIEW</w:t>
      </w:r>
      <w:bookmarkStart w:id="15" w:name="_Toc178857067"/>
      <w:bookmarkEnd w:id="14"/>
    </w:p>
    <w:p w14:paraId="6E7E87B4" w14:textId="77777777" w:rsidR="00E114C0" w:rsidRPr="000C5AB4" w:rsidRDefault="00E114C0" w:rsidP="000C5AB4">
      <w:pPr>
        <w:rPr>
          <w:rFonts w:ascii="Times New Roman" w:hAnsi="Times New Roman" w:cs="Times New Roman"/>
          <w:b/>
          <w:sz w:val="24"/>
          <w:szCs w:val="24"/>
        </w:rPr>
      </w:pPr>
      <w:bookmarkStart w:id="16" w:name="_Toc156387290"/>
      <w:r w:rsidRPr="000C5AB4">
        <w:rPr>
          <w:rFonts w:ascii="Times New Roman" w:hAnsi="Times New Roman" w:cs="Times New Roman"/>
          <w:b/>
          <w:sz w:val="24"/>
          <w:szCs w:val="24"/>
        </w:rPr>
        <w:t>Theoretical Review</w:t>
      </w:r>
      <w:bookmarkEnd w:id="16"/>
      <w:r w:rsidRPr="000C5AB4">
        <w:rPr>
          <w:rFonts w:ascii="Times New Roman" w:hAnsi="Times New Roman" w:cs="Times New Roman"/>
          <w:b/>
          <w:sz w:val="24"/>
          <w:szCs w:val="24"/>
        </w:rPr>
        <w:t xml:space="preserve"> </w:t>
      </w:r>
    </w:p>
    <w:bookmarkEnd w:id="15"/>
    <w:p w14:paraId="0728F323" w14:textId="77777777" w:rsidR="0070657F" w:rsidRPr="000C5AB4" w:rsidRDefault="00E35951" w:rsidP="00E35951">
      <w:pPr>
        <w:tabs>
          <w:tab w:val="left" w:pos="3150"/>
        </w:tabs>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This paper is grounded on the systems theory.  </w:t>
      </w:r>
      <w:r w:rsidR="0070657F" w:rsidRPr="000C5AB4">
        <w:rPr>
          <w:rFonts w:ascii="Times New Roman" w:hAnsi="Times New Roman" w:cs="Times New Roman"/>
          <w:sz w:val="24"/>
          <w:szCs w:val="24"/>
        </w:rPr>
        <w:t xml:space="preserve">Subramony et al (2015) claim that the intra- and inter-organizational institutional ties within the organization are explained by the systems theory. According to Jackson (2013), systems can be classified into two categories: open systems and closed systems. Closed systems are those that are not impacted by the environment, whereas open systems were heavily impacted by the environment they were in. Chikere et al (2015) criticize this idea, arguing that it lacks a start and finish point and assumes that each component must be steered or managed in order for the system as a whole to perform effectively. </w:t>
      </w:r>
    </w:p>
    <w:p w14:paraId="49044B2C" w14:textId="77777777" w:rsidR="0070657F" w:rsidRPr="000C5AB4" w:rsidRDefault="0070657F" w:rsidP="00E35951">
      <w:pPr>
        <w:tabs>
          <w:tab w:val="left" w:pos="3150"/>
        </w:tabs>
        <w:autoSpaceDE w:val="0"/>
        <w:autoSpaceDN w:val="0"/>
        <w:adjustRightInd w:val="0"/>
        <w:spacing w:after="100" w:afterAutospacing="1" w:line="360" w:lineRule="auto"/>
        <w:jc w:val="both"/>
        <w:rPr>
          <w:rFonts w:ascii="Times New Roman" w:eastAsia="Times New Roman" w:hAnsi="Times New Roman" w:cs="Times New Roman"/>
          <w:sz w:val="24"/>
          <w:szCs w:val="24"/>
        </w:rPr>
      </w:pPr>
      <w:r w:rsidRPr="000C5AB4">
        <w:rPr>
          <w:rFonts w:ascii="Times New Roman" w:hAnsi="Times New Roman" w:cs="Times New Roman"/>
          <w:sz w:val="24"/>
          <w:szCs w:val="24"/>
        </w:rPr>
        <w:t xml:space="preserve">According to Nollet and Bealieu (2005), System theory's main objective is to focus on consciously chosen tactical issues and political factors that affect how well an organization performs its audit function. For a complete outlook, an organization's internal auditing function is designed by external influences, which should be explained by system theory. </w:t>
      </w:r>
      <w:commentRangeStart w:id="17"/>
      <w:r w:rsidRPr="000C5AB4">
        <w:rPr>
          <w:rFonts w:ascii="Times New Roman" w:eastAsia="Times New Roman" w:hAnsi="Times New Roman" w:cs="Times New Roman"/>
          <w:sz w:val="24"/>
          <w:szCs w:val="24"/>
        </w:rPr>
        <w:t xml:space="preserve">System theory is important to this study because it addresses the institutional framework, or system, within which </w:t>
      </w:r>
      <w:r w:rsidR="003369C7" w:rsidRPr="000C5AB4">
        <w:rPr>
          <w:rFonts w:ascii="Times New Roman" w:eastAsia="Times New Roman" w:hAnsi="Times New Roman" w:cs="Times New Roman"/>
          <w:sz w:val="24"/>
          <w:szCs w:val="24"/>
        </w:rPr>
        <w:t>internal controls are</w:t>
      </w:r>
      <w:r w:rsidRPr="000C5AB4">
        <w:rPr>
          <w:rFonts w:ascii="Times New Roman" w:eastAsia="Times New Roman" w:hAnsi="Times New Roman" w:cs="Times New Roman"/>
          <w:sz w:val="24"/>
          <w:szCs w:val="24"/>
        </w:rPr>
        <w:t xml:space="preserve"> applied. This application is further enhanced by the existence of numerous divisions, departments, other professional disciplines, units, and institutions that collaborate to achieve success. It promotes the organization's objectivity and independence, which is supposed to help </w:t>
      </w:r>
      <w:r w:rsidRPr="000C5AB4">
        <w:rPr>
          <w:rFonts w:ascii="Times New Roman" w:eastAsia="Times New Roman" w:hAnsi="Times New Roman" w:cs="Times New Roman"/>
          <w:sz w:val="24"/>
          <w:szCs w:val="24"/>
        </w:rPr>
        <w:lastRenderedPageBreak/>
        <w:t xml:space="preserve">the internal audit department operate smoothly in its independent capacity while also assisting the organization as a whole in maintaining the safe use of its resources. </w:t>
      </w:r>
      <w:commentRangeEnd w:id="17"/>
      <w:r w:rsidR="007107A9">
        <w:rPr>
          <w:rStyle w:val="CommentReference"/>
        </w:rPr>
        <w:commentReference w:id="17"/>
      </w:r>
    </w:p>
    <w:p w14:paraId="44C4BF6F" w14:textId="77777777" w:rsidR="001857C2" w:rsidRPr="000C5AB4" w:rsidRDefault="001857C2" w:rsidP="00E35951">
      <w:pPr>
        <w:spacing w:after="100" w:afterAutospacing="1" w:line="360" w:lineRule="auto"/>
        <w:rPr>
          <w:rFonts w:ascii="Times New Roman" w:hAnsi="Times New Roman" w:cs="Times New Roman"/>
          <w:b/>
          <w:sz w:val="24"/>
          <w:szCs w:val="24"/>
        </w:rPr>
      </w:pPr>
      <w:r w:rsidRPr="000C5AB4">
        <w:rPr>
          <w:rFonts w:ascii="Times New Roman" w:hAnsi="Times New Roman" w:cs="Times New Roman"/>
          <w:b/>
          <w:sz w:val="24"/>
          <w:szCs w:val="24"/>
        </w:rPr>
        <w:t>Empirical Review</w:t>
      </w:r>
    </w:p>
    <w:p w14:paraId="4AF0E71B"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commentRangeStart w:id="18"/>
      <w:r w:rsidRPr="000C5AB4">
        <w:rPr>
          <w:rFonts w:ascii="Times New Roman" w:hAnsi="Times New Roman" w:cs="Times New Roman"/>
          <w:sz w:val="24"/>
          <w:szCs w:val="24"/>
        </w:rPr>
        <w:t xml:space="preserve">Similar to the human nervous system, the internal control system is disseminated throughout the company delivering commands and responses to management. Internal auditing functions as a crucial managerial control tool, measuring and assessing the effectiveness of organizational controls. It is intricately connected to the organizational structure and overarching business rules (Cai, 2007). The PFM Act of 2012, provides that public sector controls involve every aspect of operations, including management, financial, and operational rules and procedures. Their goals are to protect government assets, guarantee the integrity and dependability of financial data, and foster operational effectiveness. </w:t>
      </w:r>
      <w:commentRangeEnd w:id="18"/>
      <w:r w:rsidR="005C5B3E">
        <w:rPr>
          <w:rStyle w:val="CommentReference"/>
        </w:rPr>
        <w:commentReference w:id="18"/>
      </w:r>
    </w:p>
    <w:p w14:paraId="16DED239" w14:textId="77777777" w:rsidR="00E35951"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Munene (2019) investigated the relationship between financial performance and internal control systems in Kenyan technical training institutions. The perceptions of the Control Environment, Internal Audit, and Control Activities were used to examine internal controls. Being a case study research questionnaires were used for collecting data from respondents who worked in finance and accounting departments at 37 Institutions since they understood the concepts under review. The results of showed a significant relationship between financial success and internal control systems existed in Kenyan technical training institutions. Additionally it was found out that, the management of Kenyan technical training institutions were committed to maintaining control over the operations and actively participates in their monitoring and supervision. </w:t>
      </w:r>
    </w:p>
    <w:p w14:paraId="7D339F42"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Cyprus (2015) investigated the link between corporate governance and internal control in the commercial banks of Kenya. Within Kenyan commercial banks. Using an informal interview guide and a structured questionnaire, primary data was collected for the study using a descriptive research method. Descriptive statistics and performance comparisons obtained over the course of the years 2009–2011. The study results showed that most banks had conducted the various measures used to assess corporate governance and internal controls. This was supported by the data obtained from the means used to request information about the matter, which revealed that </w:t>
      </w:r>
      <w:r w:rsidRPr="000C5AB4">
        <w:rPr>
          <w:rFonts w:ascii="Times New Roman" w:hAnsi="Times New Roman" w:cs="Times New Roman"/>
          <w:sz w:val="24"/>
          <w:szCs w:val="24"/>
        </w:rPr>
        <w:lastRenderedPageBreak/>
        <w:t>respondents believed their banks had established strong internal control systems and good corporate governance, and that there was a connection between the two.</w:t>
      </w:r>
    </w:p>
    <w:p w14:paraId="40719CEA"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Njenga (2017) aimed at investigating into how internal controls influenced the Taita-Taveta  county National Treasury in Kenya's delivery of service. In this study, a descriptive research design was used. 225 finance staff members of Taita-Taveta county National Treasury were the target population., stratified random sampling was adopted in order to get a sample size of 144. Questionnaires were used in the data collection process. SPSS Version 21 was used for the data analysis process with Multiple Regression analysis used to ascertain relationships among variables. Results showed that there was a significant connection between service delivery and internal control systems where internal controls significantly influenced service delivery in Taita-Taveta county national treasury (r = 0.879)</w:t>
      </w:r>
    </w:p>
    <w:p w14:paraId="619D9340" w14:textId="77777777" w:rsidR="00E35951"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Serem (2016), sought to establish the effectiveness of internal management controls and service delivery in Kenyan commercial banks. The results showed that the effectiveness of provision of services was greatly affected by components such as information, communication, and the control environment; also, monitoring and assessment. Additionally, the study revealed that in order to ensure that Kenyan commercial banks offer their customers high-quality services, internal </w:t>
      </w:r>
      <w:r w:rsidR="00E35951" w:rsidRPr="000C5AB4">
        <w:rPr>
          <w:rFonts w:ascii="Times New Roman" w:hAnsi="Times New Roman" w:cs="Times New Roman"/>
          <w:sz w:val="24"/>
          <w:szCs w:val="24"/>
        </w:rPr>
        <w:t>management control is necessary</w:t>
      </w:r>
      <w:r w:rsidRPr="000C5AB4">
        <w:rPr>
          <w:rFonts w:ascii="Times New Roman" w:hAnsi="Times New Roman" w:cs="Times New Roman"/>
          <w:sz w:val="24"/>
          <w:szCs w:val="24"/>
        </w:rPr>
        <w:t>.</w:t>
      </w:r>
    </w:p>
    <w:p w14:paraId="7526DAB5"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In their study, Mohamed et al. (2021) assessed Iraq's internal control systems and how they relate to risk management and governance. Their paper's design centered on a study of the literature from 2012 to 2019 and an analysis of the results. The study reached a conclusion, that without proper risk, control, and governance management, economic unity cannot achieve its objectives and continue to succeed. </w:t>
      </w:r>
    </w:p>
    <w:p w14:paraId="6EA15780"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Al-Khairu (2012) undertook a study with the objective of evaluating the performance of internal controls by first identifying the components of the system that make internal controls feasible and then enhancing the efficiency of each element by concentrating on areas that needed improvement. The study concluded that the provisions of the company law's articles pertaining to the appointment of executive members to the executive committee, which enables the creation of the </w:t>
      </w:r>
      <w:r w:rsidRPr="000C5AB4">
        <w:rPr>
          <w:rFonts w:ascii="Times New Roman" w:hAnsi="Times New Roman" w:cs="Times New Roman"/>
          <w:sz w:val="24"/>
          <w:szCs w:val="24"/>
        </w:rPr>
        <w:lastRenderedPageBreak/>
        <w:t xml:space="preserve">assessing and appointments of committees, satisfy the requirements for putting certain corporate governance mechanisms into place. </w:t>
      </w:r>
    </w:p>
    <w:p w14:paraId="3EA6AC2E"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In addition to acknowledging the positive effects of using an automatic risk assessment method for control threats in economic units to mitigate possible risks and difficulties, Shahid's (2014) study aimed to increase the effectiveness and effectiveness of internal control systems. One of the vital results of the study was the inadequate contribution of internal auditing to the assessment and creation of internal management systems as well as the provision of suggestions for their activation and enhancement. Instructions, legislation, and regulations provide information about the prerequisites for implementing an internal control system. </w:t>
      </w:r>
    </w:p>
    <w:p w14:paraId="1B284318"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 xml:space="preserve">Lundu and Shale (2015) carried out study on the influence of best practices in financial oversight on Kenyan county governments' performance. The effects of mobilizing income, budgeting and financial planning, internal audit control, and public financial procurement in Garisa County were the main subjects of the study. The study revealed that the effectiveness of Kenyan county governments was significantly impacted by internal controls In addition, findings indicate that county governments may perform better if they made significant investments in efficient internal audit controls. </w:t>
      </w:r>
    </w:p>
    <w:p w14:paraId="72A2B626" w14:textId="77777777" w:rsidR="0070657F" w:rsidRPr="000C5AB4" w:rsidRDefault="0070657F" w:rsidP="00E35951">
      <w:pPr>
        <w:pStyle w:val="Heading1"/>
        <w:spacing w:before="0" w:after="100" w:afterAutospacing="1" w:line="360" w:lineRule="auto"/>
        <w:rPr>
          <w:sz w:val="24"/>
          <w:szCs w:val="24"/>
        </w:rPr>
      </w:pPr>
      <w:bookmarkStart w:id="19" w:name="_Toc178857078"/>
      <w:r w:rsidRPr="000C5AB4">
        <w:rPr>
          <w:sz w:val="24"/>
          <w:szCs w:val="24"/>
        </w:rPr>
        <w:t>METHODOLOGY</w:t>
      </w:r>
      <w:bookmarkEnd w:id="19"/>
    </w:p>
    <w:p w14:paraId="6732C61D" w14:textId="77777777" w:rsidR="0070657F" w:rsidRPr="000C5AB4" w:rsidRDefault="0070657F"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sz w:val="24"/>
          <w:szCs w:val="24"/>
        </w:rPr>
        <w:t>Descriptive research design was used as it involves observation and examination of variables naturally, without intentional manipulation (</w:t>
      </w:r>
      <w:r w:rsidR="00E114C0" w:rsidRPr="000C5AB4">
        <w:rPr>
          <w:rFonts w:ascii="Times New Roman" w:hAnsi="Times New Roman" w:cs="Times New Roman"/>
          <w:sz w:val="24"/>
          <w:szCs w:val="24"/>
        </w:rPr>
        <w:t>Abutabenjeh &amp; Jaradat, 2018).</w:t>
      </w:r>
      <w:commentRangeStart w:id="20"/>
      <w:r w:rsidRPr="000C5AB4">
        <w:rPr>
          <w:rFonts w:ascii="Times New Roman" w:hAnsi="Times New Roman" w:cs="Times New Roman"/>
          <w:sz w:val="24"/>
          <w:szCs w:val="24"/>
        </w:rPr>
        <w:t xml:space="preserve">The techniques </w:t>
      </w:r>
      <w:commentRangeEnd w:id="20"/>
      <w:r w:rsidR="005C65D7">
        <w:rPr>
          <w:rStyle w:val="CommentReference"/>
        </w:rPr>
        <w:commentReference w:id="20"/>
      </w:r>
      <w:r w:rsidRPr="000C5AB4">
        <w:rPr>
          <w:rFonts w:ascii="Times New Roman" w:hAnsi="Times New Roman" w:cs="Times New Roman"/>
          <w:sz w:val="24"/>
          <w:szCs w:val="24"/>
        </w:rPr>
        <w:t>were selected because they are more exact and accurate in describing occurrences in an organized manner</w:t>
      </w:r>
      <w:r w:rsidR="00D744DD" w:rsidRPr="000C5AB4">
        <w:rPr>
          <w:rFonts w:ascii="Times New Roman" w:hAnsi="Times New Roman" w:cs="Times New Roman"/>
          <w:sz w:val="24"/>
          <w:szCs w:val="24"/>
        </w:rPr>
        <w:t xml:space="preserve"> </w:t>
      </w:r>
      <w:commentRangeStart w:id="21"/>
      <w:r w:rsidR="00D744DD" w:rsidRPr="000C5AB4">
        <w:rPr>
          <w:rFonts w:ascii="Times New Roman" w:hAnsi="Times New Roman" w:cs="Times New Roman"/>
          <w:sz w:val="24"/>
          <w:szCs w:val="24"/>
        </w:rPr>
        <w:t xml:space="preserve">(Babbie, 2004). </w:t>
      </w:r>
      <w:commentRangeEnd w:id="21"/>
      <w:r w:rsidR="005C65D7">
        <w:rPr>
          <w:rStyle w:val="CommentReference"/>
        </w:rPr>
        <w:commentReference w:id="21"/>
      </w:r>
      <w:r w:rsidRPr="000C5AB4">
        <w:rPr>
          <w:rFonts w:ascii="Times New Roman" w:hAnsi="Times New Roman" w:cs="Times New Roman"/>
          <w:sz w:val="24"/>
          <w:szCs w:val="24"/>
        </w:rPr>
        <w:t xml:space="preserve">The target population of this study were the 25 internal auditors of the National Treasury in the north rift region domiciled in sub counties, as shown in table </w:t>
      </w:r>
      <w:commentRangeStart w:id="22"/>
      <w:r w:rsidRPr="000C5AB4">
        <w:rPr>
          <w:rFonts w:ascii="Times New Roman" w:hAnsi="Times New Roman" w:cs="Times New Roman"/>
          <w:sz w:val="24"/>
          <w:szCs w:val="24"/>
        </w:rPr>
        <w:t>ii</w:t>
      </w:r>
      <w:commentRangeEnd w:id="22"/>
      <w:r w:rsidR="00B3174D">
        <w:rPr>
          <w:rStyle w:val="CommentReference"/>
        </w:rPr>
        <w:commentReference w:id="22"/>
      </w:r>
      <w:r w:rsidRPr="000C5AB4">
        <w:rPr>
          <w:rFonts w:ascii="Times New Roman" w:hAnsi="Times New Roman" w:cs="Times New Roman"/>
          <w:sz w:val="24"/>
          <w:szCs w:val="24"/>
        </w:rPr>
        <w:t xml:space="preserve"> below. This is so because members of internal auditors have the most in-depth knowledge of the study's subject matter. Table ii provides an overview of the target population.</w:t>
      </w:r>
      <w:r w:rsidR="00E114C0" w:rsidRPr="000C5AB4">
        <w:rPr>
          <w:rFonts w:ascii="Times New Roman" w:hAnsi="Times New Roman" w:cs="Times New Roman"/>
          <w:sz w:val="24"/>
          <w:szCs w:val="24"/>
        </w:rPr>
        <w:t xml:space="preserve"> </w:t>
      </w:r>
      <w:r w:rsidRPr="000C5AB4">
        <w:rPr>
          <w:rFonts w:ascii="Times New Roman" w:hAnsi="Times New Roman" w:cs="Times New Roman"/>
          <w:sz w:val="24"/>
          <w:szCs w:val="24"/>
        </w:rPr>
        <w:t xml:space="preserve">Due to the population size identified, the research used the census method to collect data from all the 25 individuals as highlighted in table one above. A census is a technique where data from the entire population is </w:t>
      </w:r>
      <w:commentRangeStart w:id="23"/>
      <w:r w:rsidRPr="000C5AB4">
        <w:rPr>
          <w:rFonts w:ascii="Times New Roman" w:hAnsi="Times New Roman" w:cs="Times New Roman"/>
          <w:sz w:val="24"/>
          <w:szCs w:val="24"/>
        </w:rPr>
        <w:t>collected</w:t>
      </w:r>
      <w:commentRangeEnd w:id="23"/>
      <w:r w:rsidR="00E21EBF">
        <w:rPr>
          <w:rStyle w:val="CommentReference"/>
        </w:rPr>
        <w:commentReference w:id="23"/>
      </w:r>
      <w:r w:rsidRPr="000C5AB4">
        <w:rPr>
          <w:rFonts w:ascii="Times New Roman" w:hAnsi="Times New Roman" w:cs="Times New Roman"/>
          <w:sz w:val="24"/>
          <w:szCs w:val="24"/>
        </w:rPr>
        <w:t xml:space="preserve"> (Hair, et al, 2011). </w:t>
      </w:r>
    </w:p>
    <w:p w14:paraId="21E73F8C"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lastRenderedPageBreak/>
        <w:t>Questionnaires having structured questions was the p</w:t>
      </w:r>
      <w:r w:rsidR="008B1614" w:rsidRPr="000C5AB4">
        <w:rPr>
          <w:rFonts w:ascii="Times New Roman" w:hAnsi="Times New Roman" w:cs="Times New Roman"/>
          <w:sz w:val="24"/>
          <w:szCs w:val="24"/>
        </w:rPr>
        <w:t>rimary tool for collecting data</w:t>
      </w:r>
      <w:r w:rsidRPr="000C5AB4">
        <w:rPr>
          <w:rFonts w:ascii="Times New Roman" w:hAnsi="Times New Roman" w:cs="Times New Roman"/>
          <w:sz w:val="24"/>
          <w:szCs w:val="24"/>
        </w:rPr>
        <w:t>.</w:t>
      </w:r>
      <w:r w:rsidR="00E114C0" w:rsidRPr="000C5AB4">
        <w:rPr>
          <w:rFonts w:ascii="Times New Roman" w:hAnsi="Times New Roman" w:cs="Times New Roman"/>
          <w:sz w:val="24"/>
          <w:szCs w:val="24"/>
        </w:rPr>
        <w:t xml:space="preserve"> </w:t>
      </w:r>
      <w:r w:rsidRPr="000C5AB4">
        <w:rPr>
          <w:rFonts w:ascii="Times New Roman" w:hAnsi="Times New Roman" w:cs="Times New Roman"/>
          <w:sz w:val="24"/>
          <w:szCs w:val="24"/>
        </w:rPr>
        <w:t xml:space="preserve">They were </w:t>
      </w:r>
      <w:commentRangeStart w:id="24"/>
      <w:r w:rsidRPr="000C5AB4">
        <w:rPr>
          <w:rFonts w:ascii="Times New Roman" w:hAnsi="Times New Roman" w:cs="Times New Roman"/>
          <w:sz w:val="24"/>
          <w:szCs w:val="24"/>
        </w:rPr>
        <w:t>shared</w:t>
      </w:r>
      <w:commentRangeEnd w:id="24"/>
      <w:r w:rsidR="00E70927">
        <w:rPr>
          <w:rStyle w:val="CommentReference"/>
        </w:rPr>
        <w:commentReference w:id="24"/>
      </w:r>
      <w:r w:rsidRPr="000C5AB4">
        <w:rPr>
          <w:rFonts w:ascii="Times New Roman" w:hAnsi="Times New Roman" w:cs="Times New Roman"/>
          <w:sz w:val="24"/>
          <w:szCs w:val="24"/>
        </w:rPr>
        <w:t xml:space="preserve"> physically and using google forms via emails and </w:t>
      </w:r>
      <w:commentRangeStart w:id="25"/>
      <w:r w:rsidRPr="000C5AB4">
        <w:rPr>
          <w:rFonts w:ascii="Times New Roman" w:hAnsi="Times New Roman" w:cs="Times New Roman"/>
          <w:sz w:val="24"/>
          <w:szCs w:val="24"/>
        </w:rPr>
        <w:t xml:space="preserve">what apps </w:t>
      </w:r>
      <w:commentRangeEnd w:id="25"/>
      <w:r w:rsidR="00E70927">
        <w:rPr>
          <w:rStyle w:val="CommentReference"/>
        </w:rPr>
        <w:commentReference w:id="25"/>
      </w:r>
      <w:r w:rsidRPr="000C5AB4">
        <w:rPr>
          <w:rFonts w:ascii="Times New Roman" w:hAnsi="Times New Roman" w:cs="Times New Roman"/>
          <w:sz w:val="24"/>
          <w:szCs w:val="24"/>
        </w:rPr>
        <w:t>where respondents complete them and submit back. Compared to other instruments, the questionnaire is a quick and effective technique to collect</w:t>
      </w:r>
      <w:r w:rsidR="008B1614" w:rsidRPr="000C5AB4">
        <w:rPr>
          <w:rFonts w:ascii="Times New Roman" w:hAnsi="Times New Roman" w:cs="Times New Roman"/>
          <w:sz w:val="24"/>
          <w:szCs w:val="24"/>
        </w:rPr>
        <w:t xml:space="preserve"> data </w:t>
      </w:r>
      <w:commentRangeStart w:id="26"/>
      <w:r w:rsidR="008B1614" w:rsidRPr="000C5AB4">
        <w:rPr>
          <w:rFonts w:ascii="Times New Roman" w:hAnsi="Times New Roman" w:cs="Times New Roman"/>
          <w:sz w:val="24"/>
          <w:szCs w:val="24"/>
        </w:rPr>
        <w:t>(Mugenda &amp; Mugenda, 2003)</w:t>
      </w:r>
      <w:r w:rsidRPr="000C5AB4">
        <w:rPr>
          <w:rFonts w:ascii="Times New Roman" w:hAnsi="Times New Roman" w:cs="Times New Roman"/>
          <w:sz w:val="24"/>
          <w:szCs w:val="24"/>
        </w:rPr>
        <w:t>.</w:t>
      </w:r>
      <w:commentRangeEnd w:id="26"/>
      <w:r w:rsidR="00FD197F">
        <w:rPr>
          <w:rStyle w:val="CommentReference"/>
        </w:rPr>
        <w:commentReference w:id="26"/>
      </w:r>
      <w:r w:rsidRPr="000C5AB4">
        <w:rPr>
          <w:rFonts w:ascii="Times New Roman" w:hAnsi="Times New Roman" w:cs="Times New Roman"/>
          <w:sz w:val="24"/>
          <w:szCs w:val="24"/>
        </w:rPr>
        <w:t xml:space="preserve"> For the structured questions, a five-point Likert scale was employed; the idea behind the Likert is that it is easy to create, read, comprehend, and respond to statements on in an appropriate manner for respondents.</w:t>
      </w:r>
      <w:bookmarkStart w:id="27" w:name="_Toc55741250"/>
      <w:bookmarkStart w:id="28" w:name="_Toc13648125"/>
      <w:bookmarkStart w:id="29" w:name="_Toc13062156"/>
      <w:r w:rsidR="00D744DD" w:rsidRPr="000C5AB4">
        <w:rPr>
          <w:rFonts w:ascii="Times New Roman" w:hAnsi="Times New Roman" w:cs="Times New Roman"/>
          <w:sz w:val="24"/>
          <w:szCs w:val="24"/>
        </w:rPr>
        <w:t xml:space="preserve"> </w:t>
      </w:r>
    </w:p>
    <w:p w14:paraId="3F7D9EBF" w14:textId="77777777" w:rsidR="0070657F" w:rsidRPr="000C5AB4" w:rsidRDefault="001B6039" w:rsidP="00E35951">
      <w:pPr>
        <w:spacing w:after="100" w:afterAutospacing="1" w:line="360" w:lineRule="auto"/>
        <w:rPr>
          <w:rFonts w:ascii="Times New Roman" w:hAnsi="Times New Roman" w:cs="Times New Roman"/>
          <w:b/>
          <w:sz w:val="24"/>
          <w:szCs w:val="24"/>
        </w:rPr>
      </w:pPr>
      <w:bookmarkStart w:id="30" w:name="_3fwokq0" w:colFirst="0" w:colLast="0"/>
      <w:bookmarkStart w:id="31" w:name="_1v1yuxt" w:colFirst="0" w:colLast="0"/>
      <w:bookmarkStart w:id="32" w:name="_Toc156387301"/>
      <w:bookmarkEnd w:id="30"/>
      <w:bookmarkEnd w:id="31"/>
      <w:r w:rsidRPr="000C5AB4">
        <w:rPr>
          <w:rFonts w:ascii="Times New Roman" w:hAnsi="Times New Roman" w:cs="Times New Roman"/>
          <w:b/>
          <w:sz w:val="24"/>
          <w:szCs w:val="24"/>
        </w:rPr>
        <w:t>DATA ANALYSIS AND RESULTS</w:t>
      </w:r>
      <w:bookmarkEnd w:id="32"/>
    </w:p>
    <w:p w14:paraId="513FEAC4" w14:textId="77777777" w:rsidR="0070657F" w:rsidRPr="000C5AB4" w:rsidRDefault="0070657F" w:rsidP="00E35951">
      <w:pPr>
        <w:spacing w:after="100" w:afterAutospacing="1" w:line="360" w:lineRule="auto"/>
        <w:jc w:val="both"/>
        <w:rPr>
          <w:rStyle w:val="Heading3Char"/>
          <w:rFonts w:ascii="Times New Roman" w:eastAsiaTheme="minorHAnsi" w:hAnsi="Times New Roman" w:cs="Times New Roman"/>
          <w:color w:val="auto"/>
        </w:rPr>
      </w:pPr>
      <w:r w:rsidRPr="000C5AB4">
        <w:rPr>
          <w:rFonts w:ascii="Times New Roman" w:hAnsi="Times New Roman" w:cs="Times New Roman"/>
          <w:sz w:val="24"/>
          <w:szCs w:val="24"/>
        </w:rPr>
        <w:t xml:space="preserve">The researcher sent a total 25 questionnaires to internal auditors of the National Treasury in the North rift, Kenya using Google forms. 23 questionnaires were filled and returned giving a response rate of 92%. </w:t>
      </w:r>
      <w:bookmarkStart w:id="33" w:name="_Toc55487576"/>
      <w:bookmarkStart w:id="34" w:name="_Toc55741254"/>
      <w:bookmarkStart w:id="35" w:name="_Toc174384381"/>
      <w:r w:rsidRPr="000C5AB4">
        <w:rPr>
          <w:rFonts w:ascii="Times New Roman" w:hAnsi="Times New Roman" w:cs="Times New Roman"/>
          <w:sz w:val="24"/>
          <w:szCs w:val="24"/>
        </w:rPr>
        <w:t xml:space="preserve">This response rate is considered strong and representative of the target population. </w:t>
      </w:r>
      <w:bookmarkEnd w:id="33"/>
      <w:bookmarkEnd w:id="34"/>
      <w:bookmarkEnd w:id="35"/>
    </w:p>
    <w:p w14:paraId="1C1E31D4" w14:textId="77777777" w:rsidR="008B1614" w:rsidRPr="000C5AB4" w:rsidRDefault="00CB7DEA" w:rsidP="00E35951">
      <w:pPr>
        <w:spacing w:after="100" w:afterAutospacing="1" w:line="360" w:lineRule="auto"/>
        <w:jc w:val="both"/>
        <w:rPr>
          <w:rFonts w:ascii="Times New Roman" w:hAnsi="Times New Roman" w:cs="Times New Roman"/>
          <w:sz w:val="24"/>
          <w:szCs w:val="24"/>
        </w:rPr>
      </w:pPr>
      <w:bookmarkStart w:id="36" w:name="_28h4qwu" w:colFirst="0" w:colLast="0"/>
      <w:bookmarkEnd w:id="36"/>
      <w:r>
        <w:rPr>
          <w:rFonts w:ascii="Times New Roman" w:hAnsi="Times New Roman" w:cs="Times New Roman"/>
          <w:color w:val="000000"/>
          <w:sz w:val="24"/>
          <w:szCs w:val="24"/>
        </w:rPr>
        <w:t>The paper</w:t>
      </w:r>
      <w:r w:rsidR="0070657F" w:rsidRPr="000C5AB4">
        <w:rPr>
          <w:rFonts w:ascii="Times New Roman" w:hAnsi="Times New Roman" w:cs="Times New Roman"/>
          <w:color w:val="000000"/>
          <w:sz w:val="24"/>
          <w:szCs w:val="24"/>
        </w:rPr>
        <w:t xml:space="preserve"> established that majority </w:t>
      </w:r>
      <w:r w:rsidR="006655A7" w:rsidRPr="000C5AB4">
        <w:rPr>
          <w:rFonts w:ascii="Times New Roman" w:hAnsi="Times New Roman" w:cs="Times New Roman"/>
          <w:color w:val="000000"/>
          <w:sz w:val="24"/>
          <w:szCs w:val="24"/>
        </w:rPr>
        <w:t>(12)</w:t>
      </w:r>
      <w:r w:rsidR="0070657F" w:rsidRPr="000C5AB4">
        <w:rPr>
          <w:rFonts w:ascii="Times New Roman" w:hAnsi="Times New Roman" w:cs="Times New Roman"/>
          <w:color w:val="000000"/>
          <w:sz w:val="24"/>
          <w:szCs w:val="24"/>
        </w:rPr>
        <w:t>(52.1%) of the participants were of the level of senior internal auditor followed by those who were associate internal auditor levels</w:t>
      </w:r>
      <w:r w:rsidR="006655A7" w:rsidRPr="000C5AB4">
        <w:rPr>
          <w:rFonts w:ascii="Times New Roman" w:hAnsi="Times New Roman" w:cs="Times New Roman"/>
          <w:color w:val="000000"/>
          <w:sz w:val="24"/>
          <w:szCs w:val="24"/>
        </w:rPr>
        <w:t>(7)</w:t>
      </w:r>
      <w:r w:rsidR="0070657F" w:rsidRPr="000C5AB4">
        <w:rPr>
          <w:rFonts w:ascii="Times New Roman" w:hAnsi="Times New Roman" w:cs="Times New Roman"/>
          <w:color w:val="000000"/>
          <w:sz w:val="24"/>
          <w:szCs w:val="24"/>
        </w:rPr>
        <w:t xml:space="preserve"> (26.9%). Those who were of the level of principal internal auditors were the least </w:t>
      </w:r>
      <w:r w:rsidR="006655A7" w:rsidRPr="000C5AB4">
        <w:rPr>
          <w:rFonts w:ascii="Times New Roman" w:hAnsi="Times New Roman" w:cs="Times New Roman"/>
          <w:color w:val="000000"/>
          <w:sz w:val="24"/>
          <w:szCs w:val="24"/>
        </w:rPr>
        <w:t>(4)</w:t>
      </w:r>
      <w:r w:rsidR="0070657F" w:rsidRPr="000C5AB4">
        <w:rPr>
          <w:rFonts w:ascii="Times New Roman" w:hAnsi="Times New Roman" w:cs="Times New Roman"/>
          <w:color w:val="000000"/>
          <w:sz w:val="24"/>
          <w:szCs w:val="24"/>
        </w:rPr>
        <w:t>(</w:t>
      </w:r>
      <w:r w:rsidR="006655A7" w:rsidRPr="000C5AB4">
        <w:rPr>
          <w:rFonts w:ascii="Times New Roman" w:hAnsi="Times New Roman" w:cs="Times New Roman"/>
          <w:color w:val="000000"/>
          <w:sz w:val="24"/>
          <w:szCs w:val="24"/>
        </w:rPr>
        <w:t>17.4</w:t>
      </w:r>
      <w:r w:rsidR="0070657F" w:rsidRPr="000C5AB4">
        <w:rPr>
          <w:rFonts w:ascii="Times New Roman" w:hAnsi="Times New Roman" w:cs="Times New Roman"/>
          <w:color w:val="000000"/>
          <w:sz w:val="24"/>
          <w:szCs w:val="24"/>
        </w:rPr>
        <w:t>%)</w:t>
      </w:r>
      <w:r w:rsidR="0070657F" w:rsidRPr="000C5AB4">
        <w:rPr>
          <w:rFonts w:ascii="Times New Roman" w:hAnsi="Times New Roman" w:cs="Times New Roman"/>
          <w:sz w:val="24"/>
          <w:szCs w:val="24"/>
        </w:rPr>
        <w:t xml:space="preserve">. </w:t>
      </w:r>
      <w:r w:rsidR="0070657F" w:rsidRPr="000C5AB4">
        <w:rPr>
          <w:rFonts w:ascii="Times New Roman" w:hAnsi="Times New Roman" w:cs="Times New Roman"/>
          <w:color w:val="000000"/>
          <w:sz w:val="24"/>
          <w:szCs w:val="24"/>
        </w:rPr>
        <w:t xml:space="preserve"> </w:t>
      </w:r>
      <w:bookmarkStart w:id="37" w:name="_Toc174384388"/>
      <w:r w:rsidR="0070657F" w:rsidRPr="000C5AB4">
        <w:rPr>
          <w:rFonts w:ascii="Times New Roman" w:hAnsi="Times New Roman" w:cs="Times New Roman"/>
          <w:sz w:val="24"/>
          <w:szCs w:val="24"/>
        </w:rPr>
        <w:t>This indicates that most participants possessed ample knowledge and experience in internal auditing, allowing them to effectively and accurately provide the information needed for the study.</w:t>
      </w:r>
      <w:bookmarkEnd w:id="37"/>
    </w:p>
    <w:p w14:paraId="4D6A5693" w14:textId="77777777" w:rsidR="0070657F" w:rsidRPr="000C5AB4" w:rsidRDefault="006655A7"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w:t>
      </w:r>
      <w:r w:rsidR="0070657F" w:rsidRPr="000C5AB4">
        <w:rPr>
          <w:rFonts w:ascii="Times New Roman" w:hAnsi="Times New Roman" w:cs="Times New Roman"/>
          <w:sz w:val="24"/>
          <w:szCs w:val="24"/>
        </w:rPr>
        <w:t>Participants were asked to specify their years of experience working in the internal audit department of the Nationa</w:t>
      </w:r>
      <w:r w:rsidRPr="000C5AB4">
        <w:rPr>
          <w:rFonts w:ascii="Times New Roman" w:hAnsi="Times New Roman" w:cs="Times New Roman"/>
          <w:sz w:val="24"/>
          <w:szCs w:val="24"/>
        </w:rPr>
        <w:t>l Treasury in North Rift, Kenya</w:t>
      </w:r>
      <w:r w:rsidR="0070657F" w:rsidRPr="000C5AB4">
        <w:rPr>
          <w:rFonts w:ascii="Times New Roman" w:hAnsi="Times New Roman" w:cs="Times New Roman"/>
          <w:sz w:val="24"/>
          <w:szCs w:val="24"/>
        </w:rPr>
        <w:t>. The findings revealed that the majority of respondents</w:t>
      </w:r>
      <w:r w:rsidR="00E114C0" w:rsidRPr="000C5AB4">
        <w:rPr>
          <w:rFonts w:ascii="Times New Roman" w:hAnsi="Times New Roman" w:cs="Times New Roman"/>
          <w:sz w:val="24"/>
          <w:szCs w:val="24"/>
        </w:rPr>
        <w:t xml:space="preserve"> </w:t>
      </w:r>
      <w:r w:rsidRPr="000C5AB4">
        <w:rPr>
          <w:rFonts w:ascii="Times New Roman" w:hAnsi="Times New Roman" w:cs="Times New Roman"/>
          <w:sz w:val="24"/>
          <w:szCs w:val="24"/>
        </w:rPr>
        <w:t>(10)</w:t>
      </w:r>
      <w:r w:rsidR="0070657F" w:rsidRPr="000C5AB4">
        <w:rPr>
          <w:rFonts w:ascii="Times New Roman" w:hAnsi="Times New Roman" w:cs="Times New Roman"/>
          <w:sz w:val="24"/>
          <w:szCs w:val="24"/>
        </w:rPr>
        <w:t xml:space="preserve"> (43.5%) had between 7 to 13 years of experience, while </w:t>
      </w:r>
      <w:r w:rsidRPr="000C5AB4">
        <w:rPr>
          <w:rFonts w:ascii="Times New Roman" w:hAnsi="Times New Roman" w:cs="Times New Roman"/>
          <w:sz w:val="24"/>
          <w:szCs w:val="24"/>
        </w:rPr>
        <w:t xml:space="preserve">(9) </w:t>
      </w:r>
      <w:r w:rsidR="008B1614" w:rsidRPr="000C5AB4">
        <w:rPr>
          <w:rFonts w:ascii="Times New Roman" w:hAnsi="Times New Roman" w:cs="Times New Roman"/>
          <w:sz w:val="24"/>
          <w:szCs w:val="24"/>
        </w:rPr>
        <w:t>39.1% had worked for 1</w:t>
      </w:r>
      <w:r w:rsidR="0070657F" w:rsidRPr="000C5AB4">
        <w:rPr>
          <w:rFonts w:ascii="Times New Roman" w:hAnsi="Times New Roman" w:cs="Times New Roman"/>
          <w:sz w:val="24"/>
          <w:szCs w:val="24"/>
        </w:rPr>
        <w:t xml:space="preserve"> to 6 years. The smallest group consisted of those with 14 to 20 years of experience, accounting for</w:t>
      </w:r>
      <w:r w:rsidRPr="000C5AB4">
        <w:rPr>
          <w:rFonts w:ascii="Times New Roman" w:hAnsi="Times New Roman" w:cs="Times New Roman"/>
          <w:sz w:val="24"/>
          <w:szCs w:val="24"/>
        </w:rPr>
        <w:t xml:space="preserve"> (4)</w:t>
      </w:r>
      <w:r w:rsidR="0070657F" w:rsidRPr="000C5AB4">
        <w:rPr>
          <w:rFonts w:ascii="Times New Roman" w:hAnsi="Times New Roman" w:cs="Times New Roman"/>
          <w:sz w:val="24"/>
          <w:szCs w:val="24"/>
        </w:rPr>
        <w:t xml:space="preserve"> 17.4%. This distribution indicates that most participants possessed ample experience within the internal auditing department, enabling them to effectively and accurately provide the information required for this study</w:t>
      </w:r>
      <w:r w:rsidRPr="000C5AB4">
        <w:rPr>
          <w:rFonts w:ascii="Times New Roman" w:hAnsi="Times New Roman" w:cs="Times New Roman"/>
          <w:sz w:val="24"/>
          <w:szCs w:val="24"/>
        </w:rPr>
        <w:t>.</w:t>
      </w:r>
    </w:p>
    <w:p w14:paraId="038826F7" w14:textId="77777777" w:rsidR="001B4B39" w:rsidRPr="000C5AB4" w:rsidRDefault="001B4B39"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Descriptive statistics</w:t>
      </w:r>
    </w:p>
    <w:p w14:paraId="194B71E1" w14:textId="38CBBC31" w:rsidR="0070657F" w:rsidRPr="000C5AB4" w:rsidRDefault="006655A7"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The</w:t>
      </w:r>
      <w:r w:rsidR="0070657F" w:rsidRPr="000C5AB4">
        <w:rPr>
          <w:rFonts w:ascii="Times New Roman" w:hAnsi="Times New Roman" w:cs="Times New Roman"/>
          <w:sz w:val="24"/>
          <w:szCs w:val="24"/>
        </w:rPr>
        <w:t xml:space="preserve"> objective was to establish the influence of internal controls on governance processes</w:t>
      </w:r>
      <w:r w:rsidR="0070657F" w:rsidRPr="000C5AB4">
        <w:rPr>
          <w:rFonts w:ascii="Times New Roman" w:eastAsia="Times New Roman" w:hAnsi="Times New Roman" w:cs="Times New Roman"/>
          <w:color w:val="000000"/>
          <w:sz w:val="24"/>
          <w:szCs w:val="24"/>
        </w:rPr>
        <w:t xml:space="preserve"> in National Treasuries in North rift, Kenya</w:t>
      </w:r>
      <w:r w:rsidRPr="000C5AB4">
        <w:rPr>
          <w:rFonts w:ascii="Times New Roman" w:hAnsi="Times New Roman" w:cs="Times New Roman"/>
          <w:sz w:val="24"/>
          <w:szCs w:val="24"/>
        </w:rPr>
        <w:t xml:space="preserve">. </w:t>
      </w:r>
      <w:r w:rsidR="0070657F" w:rsidRPr="000C5AB4">
        <w:rPr>
          <w:rFonts w:ascii="Times New Roman" w:hAnsi="Times New Roman" w:cs="Times New Roman"/>
          <w:color w:val="000000"/>
          <w:sz w:val="24"/>
          <w:szCs w:val="24"/>
        </w:rPr>
        <w:t>To better understand the need for internal controls, the researcher sought find out some of the risks facing the departments as assessed by internal auditors and r</w:t>
      </w:r>
      <w:r w:rsidR="00A47531">
        <w:rPr>
          <w:rFonts w:ascii="Times New Roman" w:hAnsi="Times New Roman" w:cs="Times New Roman"/>
          <w:color w:val="000000"/>
          <w:sz w:val="24"/>
          <w:szCs w:val="24"/>
        </w:rPr>
        <w:t xml:space="preserve">anked them as shown in table </w:t>
      </w:r>
      <w:r w:rsidR="00A519D8">
        <w:rPr>
          <w:rFonts w:ascii="Times New Roman" w:hAnsi="Times New Roman" w:cs="Times New Roman"/>
          <w:color w:val="000000"/>
          <w:sz w:val="24"/>
          <w:szCs w:val="24"/>
        </w:rPr>
        <w:t>1</w:t>
      </w:r>
      <w:r w:rsidR="0070657F" w:rsidRPr="000C5AB4">
        <w:rPr>
          <w:rFonts w:ascii="Times New Roman" w:hAnsi="Times New Roman" w:cs="Times New Roman"/>
          <w:color w:val="000000"/>
          <w:sz w:val="24"/>
          <w:szCs w:val="24"/>
        </w:rPr>
        <w:t xml:space="preserve"> below, It was evident that compliance risk and operational </w:t>
      </w:r>
      <w:r w:rsidR="0070657F" w:rsidRPr="000C5AB4">
        <w:rPr>
          <w:rFonts w:ascii="Times New Roman" w:hAnsi="Times New Roman" w:cs="Times New Roman"/>
          <w:color w:val="000000"/>
          <w:sz w:val="24"/>
          <w:szCs w:val="24"/>
        </w:rPr>
        <w:lastRenderedPageBreak/>
        <w:t>risk are ranked as very high risks, while litigation risk are ranked high, technology risk were ranked medium risks thus the need to institute strong internal controls to mitigate the possibility of a loss.</w:t>
      </w:r>
      <w:r w:rsidR="0070657F" w:rsidRPr="000C5AB4">
        <w:rPr>
          <w:rFonts w:ascii="Times New Roman" w:hAnsi="Times New Roman" w:cs="Times New Roman"/>
          <w:sz w:val="24"/>
          <w:szCs w:val="24"/>
        </w:rPr>
        <w:t xml:space="preserve">    </w:t>
      </w:r>
    </w:p>
    <w:p w14:paraId="7E5C754A" w14:textId="5803E2EB" w:rsidR="0070657F" w:rsidRPr="000C5AB4" w:rsidRDefault="0070657F" w:rsidP="00E35951">
      <w:pPr>
        <w:spacing w:after="100" w:afterAutospacing="1" w:line="360" w:lineRule="auto"/>
        <w:jc w:val="both"/>
        <w:rPr>
          <w:rFonts w:ascii="Times New Roman" w:hAnsi="Times New Roman" w:cs="Times New Roman"/>
          <w:b/>
          <w:color w:val="000000"/>
          <w:sz w:val="24"/>
          <w:szCs w:val="24"/>
        </w:rPr>
      </w:pPr>
      <w:r w:rsidRPr="000C5AB4">
        <w:rPr>
          <w:rFonts w:ascii="Times New Roman" w:hAnsi="Times New Roman" w:cs="Times New Roman"/>
          <w:b/>
          <w:sz w:val="24"/>
          <w:szCs w:val="24"/>
        </w:rPr>
        <w:t>T</w:t>
      </w:r>
      <w:r w:rsidR="006655A7" w:rsidRPr="000C5AB4">
        <w:rPr>
          <w:rFonts w:ascii="Times New Roman" w:hAnsi="Times New Roman" w:cs="Times New Roman"/>
          <w:b/>
          <w:sz w:val="24"/>
          <w:szCs w:val="24"/>
        </w:rPr>
        <w:t xml:space="preserve">able </w:t>
      </w:r>
      <w:r w:rsidR="00A519D8">
        <w:rPr>
          <w:rFonts w:ascii="Times New Roman" w:hAnsi="Times New Roman" w:cs="Times New Roman"/>
          <w:b/>
          <w:sz w:val="24"/>
          <w:szCs w:val="24"/>
        </w:rPr>
        <w:t>1</w:t>
      </w:r>
      <w:r w:rsidRPr="000C5AB4">
        <w:rPr>
          <w:rFonts w:ascii="Times New Roman" w:hAnsi="Times New Roman" w:cs="Times New Roman"/>
          <w:b/>
          <w:sz w:val="24"/>
          <w:szCs w:val="24"/>
        </w:rPr>
        <w:t xml:space="preserve">   </w:t>
      </w:r>
      <w:r w:rsidRPr="000C5AB4">
        <w:rPr>
          <w:rFonts w:ascii="Times New Roman" w:hAnsi="Times New Roman" w:cs="Times New Roman"/>
          <w:b/>
          <w:color w:val="000000"/>
          <w:sz w:val="24"/>
          <w:szCs w:val="24"/>
        </w:rPr>
        <w:t>Risks Faced by the Department</w:t>
      </w:r>
      <w:r w:rsidRPr="000C5AB4">
        <w:rPr>
          <w:rFonts w:ascii="Times New Roman" w:hAnsi="Times New Roman" w:cs="Times New Roman"/>
          <w:b/>
          <w:sz w:val="24"/>
          <w:szCs w:val="24"/>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1825"/>
        <w:gridCol w:w="2518"/>
        <w:gridCol w:w="2518"/>
      </w:tblGrid>
      <w:tr w:rsidR="0070657F" w:rsidRPr="000C5AB4" w14:paraId="6959C2C6" w14:textId="77777777" w:rsidTr="0070657F">
        <w:tc>
          <w:tcPr>
            <w:tcW w:w="1335" w:type="pct"/>
            <w:tcBorders>
              <w:top w:val="single" w:sz="4" w:space="0" w:color="auto"/>
              <w:bottom w:val="single" w:sz="4" w:space="0" w:color="auto"/>
            </w:tcBorders>
          </w:tcPr>
          <w:p w14:paraId="3C0C8CB2" w14:textId="77777777" w:rsidR="0070657F" w:rsidRPr="000C5AB4" w:rsidRDefault="0070657F"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Risk faced</w:t>
            </w:r>
          </w:p>
        </w:tc>
        <w:tc>
          <w:tcPr>
            <w:tcW w:w="975" w:type="pct"/>
            <w:tcBorders>
              <w:top w:val="single" w:sz="4" w:space="0" w:color="auto"/>
              <w:bottom w:val="single" w:sz="4" w:space="0" w:color="auto"/>
            </w:tcBorders>
          </w:tcPr>
          <w:p w14:paraId="487E6965" w14:textId="77777777" w:rsidR="0070657F" w:rsidRPr="000C5AB4" w:rsidRDefault="0070657F" w:rsidP="00E35951">
            <w:pPr>
              <w:pStyle w:val="Default"/>
              <w:spacing w:after="100" w:afterAutospacing="1" w:line="360" w:lineRule="auto"/>
              <w:jc w:val="both"/>
            </w:pPr>
            <w:r w:rsidRPr="000C5AB4">
              <w:rPr>
                <w:b/>
                <w:bCs/>
              </w:rPr>
              <w:t xml:space="preserve">Frequency (f) </w:t>
            </w:r>
          </w:p>
        </w:tc>
        <w:tc>
          <w:tcPr>
            <w:tcW w:w="1345" w:type="pct"/>
            <w:tcBorders>
              <w:top w:val="single" w:sz="4" w:space="0" w:color="auto"/>
              <w:bottom w:val="single" w:sz="4" w:space="0" w:color="auto"/>
            </w:tcBorders>
          </w:tcPr>
          <w:p w14:paraId="349E34A3" w14:textId="77777777" w:rsidR="0070657F" w:rsidRPr="000C5AB4" w:rsidRDefault="0070657F" w:rsidP="00E35951">
            <w:pPr>
              <w:pStyle w:val="Default"/>
              <w:spacing w:after="100" w:afterAutospacing="1" w:line="360" w:lineRule="auto"/>
              <w:jc w:val="both"/>
            </w:pPr>
            <w:r w:rsidRPr="000C5AB4">
              <w:rPr>
                <w:b/>
                <w:bCs/>
              </w:rPr>
              <w:t xml:space="preserve">Percentage (%) </w:t>
            </w:r>
          </w:p>
        </w:tc>
        <w:tc>
          <w:tcPr>
            <w:tcW w:w="1345" w:type="pct"/>
            <w:tcBorders>
              <w:top w:val="single" w:sz="4" w:space="0" w:color="auto"/>
              <w:bottom w:val="single" w:sz="4" w:space="0" w:color="auto"/>
            </w:tcBorders>
          </w:tcPr>
          <w:p w14:paraId="34562F1A" w14:textId="77777777" w:rsidR="0070657F" w:rsidRPr="000C5AB4" w:rsidRDefault="0070657F" w:rsidP="00E35951">
            <w:pPr>
              <w:pStyle w:val="Default"/>
              <w:spacing w:after="100" w:afterAutospacing="1" w:line="360" w:lineRule="auto"/>
              <w:jc w:val="both"/>
            </w:pPr>
            <w:r w:rsidRPr="000C5AB4">
              <w:t>Rank of risks</w:t>
            </w:r>
          </w:p>
        </w:tc>
      </w:tr>
      <w:tr w:rsidR="0070657F" w:rsidRPr="000C5AB4" w14:paraId="47DF24F4" w14:textId="77777777" w:rsidTr="0070657F">
        <w:tc>
          <w:tcPr>
            <w:tcW w:w="1335" w:type="pct"/>
            <w:tcBorders>
              <w:top w:val="single" w:sz="4" w:space="0" w:color="auto"/>
            </w:tcBorders>
          </w:tcPr>
          <w:p w14:paraId="339206F7"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eastAsia="Times New Roman" w:hAnsi="Times New Roman" w:cs="Times New Roman"/>
                <w:color w:val="000000"/>
                <w:sz w:val="24"/>
                <w:szCs w:val="24"/>
              </w:rPr>
              <w:t xml:space="preserve">Operational risk                          </w:t>
            </w:r>
          </w:p>
        </w:tc>
        <w:tc>
          <w:tcPr>
            <w:tcW w:w="975" w:type="pct"/>
            <w:tcBorders>
              <w:top w:val="single" w:sz="4" w:space="0" w:color="auto"/>
            </w:tcBorders>
          </w:tcPr>
          <w:p w14:paraId="0421EDD4"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23</w:t>
            </w:r>
          </w:p>
        </w:tc>
        <w:tc>
          <w:tcPr>
            <w:tcW w:w="1345" w:type="pct"/>
            <w:tcBorders>
              <w:top w:val="single" w:sz="4" w:space="0" w:color="auto"/>
            </w:tcBorders>
          </w:tcPr>
          <w:p w14:paraId="24AD850E"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100</w:t>
            </w:r>
          </w:p>
        </w:tc>
        <w:tc>
          <w:tcPr>
            <w:tcW w:w="1345" w:type="pct"/>
            <w:tcBorders>
              <w:top w:val="single" w:sz="4" w:space="0" w:color="auto"/>
            </w:tcBorders>
          </w:tcPr>
          <w:p w14:paraId="2FD635EA"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Very high</w:t>
            </w:r>
          </w:p>
        </w:tc>
      </w:tr>
      <w:tr w:rsidR="0070657F" w:rsidRPr="000C5AB4" w14:paraId="2CE8DD82" w14:textId="77777777" w:rsidTr="0070657F">
        <w:tc>
          <w:tcPr>
            <w:tcW w:w="1335" w:type="pct"/>
          </w:tcPr>
          <w:p w14:paraId="56998167"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eastAsia="Times New Roman" w:hAnsi="Times New Roman" w:cs="Times New Roman"/>
                <w:color w:val="000000"/>
                <w:sz w:val="24"/>
                <w:szCs w:val="24"/>
              </w:rPr>
              <w:t xml:space="preserve">Litigation risk                              </w:t>
            </w:r>
          </w:p>
        </w:tc>
        <w:tc>
          <w:tcPr>
            <w:tcW w:w="975" w:type="pct"/>
          </w:tcPr>
          <w:p w14:paraId="5A06214F"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17</w:t>
            </w:r>
          </w:p>
        </w:tc>
        <w:tc>
          <w:tcPr>
            <w:tcW w:w="1345" w:type="pct"/>
          </w:tcPr>
          <w:p w14:paraId="3838CC2F"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73.9</w:t>
            </w:r>
          </w:p>
        </w:tc>
        <w:tc>
          <w:tcPr>
            <w:tcW w:w="1345" w:type="pct"/>
          </w:tcPr>
          <w:p w14:paraId="75FE03E8"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High</w:t>
            </w:r>
          </w:p>
        </w:tc>
      </w:tr>
      <w:tr w:rsidR="0070657F" w:rsidRPr="000C5AB4" w14:paraId="28FDC7CC" w14:textId="77777777" w:rsidTr="0070657F">
        <w:tc>
          <w:tcPr>
            <w:tcW w:w="1335" w:type="pct"/>
          </w:tcPr>
          <w:p w14:paraId="7C869260"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eastAsia="Times New Roman" w:hAnsi="Times New Roman" w:cs="Times New Roman"/>
                <w:color w:val="000000"/>
                <w:sz w:val="24"/>
                <w:szCs w:val="24"/>
              </w:rPr>
              <w:t xml:space="preserve">Compliance risk                          </w:t>
            </w:r>
          </w:p>
        </w:tc>
        <w:tc>
          <w:tcPr>
            <w:tcW w:w="975" w:type="pct"/>
          </w:tcPr>
          <w:p w14:paraId="51AA5806"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23</w:t>
            </w:r>
          </w:p>
        </w:tc>
        <w:tc>
          <w:tcPr>
            <w:tcW w:w="1345" w:type="pct"/>
          </w:tcPr>
          <w:p w14:paraId="0EFFAE6E"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100</w:t>
            </w:r>
          </w:p>
        </w:tc>
        <w:tc>
          <w:tcPr>
            <w:tcW w:w="1345" w:type="pct"/>
          </w:tcPr>
          <w:p w14:paraId="01D37A0C"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Very high</w:t>
            </w:r>
          </w:p>
        </w:tc>
      </w:tr>
      <w:tr w:rsidR="0070657F" w:rsidRPr="000C5AB4" w14:paraId="3AE468C8" w14:textId="77777777" w:rsidTr="0070657F">
        <w:tc>
          <w:tcPr>
            <w:tcW w:w="1335" w:type="pct"/>
          </w:tcPr>
          <w:p w14:paraId="2AE6A1BF"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eastAsia="Times New Roman" w:hAnsi="Times New Roman" w:cs="Times New Roman"/>
                <w:color w:val="000000"/>
                <w:sz w:val="24"/>
                <w:szCs w:val="24"/>
              </w:rPr>
              <w:t>Technology risk</w:t>
            </w:r>
          </w:p>
        </w:tc>
        <w:tc>
          <w:tcPr>
            <w:tcW w:w="975" w:type="pct"/>
          </w:tcPr>
          <w:p w14:paraId="6CD7F58D"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12</w:t>
            </w:r>
          </w:p>
        </w:tc>
        <w:tc>
          <w:tcPr>
            <w:tcW w:w="1345" w:type="pct"/>
          </w:tcPr>
          <w:p w14:paraId="33F401E8"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52.1</w:t>
            </w:r>
          </w:p>
        </w:tc>
        <w:tc>
          <w:tcPr>
            <w:tcW w:w="1345" w:type="pct"/>
          </w:tcPr>
          <w:p w14:paraId="32F9F979"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Medium</w:t>
            </w:r>
          </w:p>
        </w:tc>
      </w:tr>
      <w:tr w:rsidR="0070657F" w:rsidRPr="000C5AB4" w14:paraId="59983AE0" w14:textId="77777777" w:rsidTr="0070657F">
        <w:trPr>
          <w:trHeight w:val="80"/>
        </w:trPr>
        <w:tc>
          <w:tcPr>
            <w:tcW w:w="1335" w:type="pct"/>
          </w:tcPr>
          <w:p w14:paraId="6794819E" w14:textId="77777777" w:rsidR="0070657F" w:rsidRPr="000C5AB4" w:rsidRDefault="0070657F" w:rsidP="00E35951">
            <w:pPr>
              <w:spacing w:after="100" w:afterAutospacing="1" w:line="360" w:lineRule="auto"/>
              <w:jc w:val="both"/>
              <w:rPr>
                <w:rFonts w:ascii="Times New Roman" w:eastAsia="Times New Roman" w:hAnsi="Times New Roman" w:cs="Times New Roman"/>
                <w:color w:val="000000"/>
                <w:sz w:val="24"/>
                <w:szCs w:val="24"/>
              </w:rPr>
            </w:pPr>
          </w:p>
        </w:tc>
        <w:tc>
          <w:tcPr>
            <w:tcW w:w="975" w:type="pct"/>
          </w:tcPr>
          <w:p w14:paraId="473D76BF" w14:textId="77777777" w:rsidR="0070657F" w:rsidRPr="000C5AB4" w:rsidRDefault="0070657F" w:rsidP="00E35951">
            <w:pPr>
              <w:spacing w:after="100" w:afterAutospacing="1" w:line="360" w:lineRule="auto"/>
              <w:jc w:val="both"/>
              <w:rPr>
                <w:rFonts w:ascii="Times New Roman" w:hAnsi="Times New Roman" w:cs="Times New Roman"/>
                <w:sz w:val="24"/>
                <w:szCs w:val="24"/>
              </w:rPr>
            </w:pPr>
          </w:p>
        </w:tc>
        <w:tc>
          <w:tcPr>
            <w:tcW w:w="1345" w:type="pct"/>
          </w:tcPr>
          <w:p w14:paraId="1C0149E4" w14:textId="77777777" w:rsidR="0070657F" w:rsidRPr="000C5AB4" w:rsidRDefault="0070657F" w:rsidP="00E35951">
            <w:pPr>
              <w:spacing w:after="100" w:afterAutospacing="1" w:line="360" w:lineRule="auto"/>
              <w:jc w:val="both"/>
              <w:rPr>
                <w:rFonts w:ascii="Times New Roman" w:hAnsi="Times New Roman" w:cs="Times New Roman"/>
                <w:sz w:val="24"/>
                <w:szCs w:val="24"/>
              </w:rPr>
            </w:pPr>
          </w:p>
        </w:tc>
        <w:tc>
          <w:tcPr>
            <w:tcW w:w="1345" w:type="pct"/>
          </w:tcPr>
          <w:p w14:paraId="787C74C2" w14:textId="77777777" w:rsidR="0070657F" w:rsidRPr="000C5AB4" w:rsidRDefault="0070657F" w:rsidP="00E35951">
            <w:pPr>
              <w:spacing w:after="100" w:afterAutospacing="1" w:line="360" w:lineRule="auto"/>
              <w:jc w:val="both"/>
              <w:rPr>
                <w:rFonts w:ascii="Times New Roman" w:hAnsi="Times New Roman" w:cs="Times New Roman"/>
                <w:sz w:val="24"/>
                <w:szCs w:val="24"/>
              </w:rPr>
            </w:pPr>
          </w:p>
        </w:tc>
      </w:tr>
    </w:tbl>
    <w:p w14:paraId="40177BB7" w14:textId="77777777" w:rsidR="0070657F" w:rsidRPr="000C5AB4" w:rsidRDefault="0070657F" w:rsidP="00E35951">
      <w:pPr>
        <w:spacing w:after="100" w:afterAutospacing="1" w:line="360" w:lineRule="auto"/>
        <w:jc w:val="both"/>
        <w:rPr>
          <w:rFonts w:ascii="Times New Roman" w:hAnsi="Times New Roman" w:cs="Times New Roman"/>
          <w:b/>
          <w:color w:val="000000"/>
          <w:sz w:val="24"/>
          <w:szCs w:val="24"/>
        </w:rPr>
      </w:pPr>
      <w:r w:rsidRPr="000C5AB4">
        <w:rPr>
          <w:rFonts w:ascii="Times New Roman" w:hAnsi="Times New Roman" w:cs="Times New Roman"/>
          <w:b/>
          <w:color w:val="000000"/>
          <w:sz w:val="24"/>
          <w:szCs w:val="24"/>
        </w:rPr>
        <w:t>Source: Author (2024).</w:t>
      </w:r>
    </w:p>
    <w:p w14:paraId="5FF1FB3D" w14:textId="32D218CD" w:rsidR="0070657F" w:rsidRPr="000C5AB4" w:rsidRDefault="006655A7" w:rsidP="00E35951">
      <w:pPr>
        <w:spacing w:after="100" w:afterAutospacing="1" w:line="360" w:lineRule="auto"/>
        <w:jc w:val="both"/>
        <w:rPr>
          <w:rFonts w:ascii="Times New Roman" w:hAnsi="Times New Roman" w:cs="Times New Roman"/>
        </w:rPr>
      </w:pPr>
      <w:bookmarkStart w:id="38" w:name="_Toc53764697"/>
      <w:bookmarkStart w:id="39" w:name="_Toc55487589"/>
      <w:bookmarkStart w:id="40" w:name="_Toc55741267"/>
      <w:bookmarkStart w:id="41" w:name="_Toc174384394"/>
      <w:r w:rsidRPr="000C5AB4">
        <w:rPr>
          <w:rFonts w:ascii="Times New Roman" w:hAnsi="Times New Roman" w:cs="Times New Roman"/>
          <w:sz w:val="24"/>
          <w:szCs w:val="24"/>
        </w:rPr>
        <w:t xml:space="preserve">As </w:t>
      </w:r>
      <w:r w:rsidR="00A47531">
        <w:rPr>
          <w:rFonts w:ascii="Times New Roman" w:hAnsi="Times New Roman" w:cs="Times New Roman"/>
          <w:sz w:val="24"/>
          <w:szCs w:val="24"/>
        </w:rPr>
        <w:t>illustrated in Table 2</w:t>
      </w:r>
      <w:r w:rsidR="00D47EB5" w:rsidRPr="000C5AB4">
        <w:rPr>
          <w:rFonts w:ascii="Times New Roman" w:hAnsi="Times New Roman" w:cs="Times New Roman"/>
          <w:sz w:val="24"/>
          <w:szCs w:val="24"/>
        </w:rPr>
        <w:t xml:space="preserve"> below</w:t>
      </w:r>
      <w:r w:rsidR="008B1614" w:rsidRPr="000C5AB4">
        <w:rPr>
          <w:rFonts w:ascii="Times New Roman" w:hAnsi="Times New Roman" w:cs="Times New Roman"/>
          <w:sz w:val="24"/>
          <w:szCs w:val="24"/>
        </w:rPr>
        <w:t xml:space="preserve">, </w:t>
      </w:r>
      <w:r w:rsidR="008B1614" w:rsidRPr="000C5AB4">
        <w:rPr>
          <w:rFonts w:ascii="Times New Roman" w:hAnsi="Times New Roman" w:cs="Times New Roman"/>
        </w:rPr>
        <w:t>t</w:t>
      </w:r>
      <w:r w:rsidR="0070657F" w:rsidRPr="000C5AB4">
        <w:rPr>
          <w:rFonts w:ascii="Times New Roman" w:hAnsi="Times New Roman" w:cs="Times New Roman"/>
        </w:rPr>
        <w:t xml:space="preserve">he overall composite rating of the statements regarding the influence of internal controls on governance processes within the national treasuries in North Rift, Kenya, resulted in a mean score of </w:t>
      </w:r>
      <w:r w:rsidR="0070657F" w:rsidRPr="000C5AB4">
        <w:rPr>
          <w:rStyle w:val="Strong"/>
          <w:rFonts w:ascii="Times New Roman" w:eastAsiaTheme="majorEastAsia" w:hAnsi="Times New Roman" w:cs="Times New Roman"/>
        </w:rPr>
        <w:t>3.8913</w:t>
      </w:r>
      <w:r w:rsidR="0070657F" w:rsidRPr="000C5AB4">
        <w:rPr>
          <w:rFonts w:ascii="Times New Roman" w:hAnsi="Times New Roman" w:cs="Times New Roman"/>
        </w:rPr>
        <w:t xml:space="preserve"> and a standard deviation of </w:t>
      </w:r>
      <w:r w:rsidR="0070657F" w:rsidRPr="000C5AB4">
        <w:rPr>
          <w:rStyle w:val="Strong"/>
          <w:rFonts w:ascii="Times New Roman" w:eastAsiaTheme="majorEastAsia" w:hAnsi="Times New Roman" w:cs="Times New Roman"/>
        </w:rPr>
        <w:t>0.8820</w:t>
      </w:r>
      <w:r w:rsidR="0070657F" w:rsidRPr="000C5AB4">
        <w:rPr>
          <w:rFonts w:ascii="Times New Roman" w:hAnsi="Times New Roman" w:cs="Times New Roman"/>
        </w:rPr>
        <w:t>. Consequently, the majority of respondents agreed that internal controls significantly influence governance processes in the national treasuries of North Rift, Kenya.</w:t>
      </w:r>
      <w:r w:rsidR="001B4B39" w:rsidRPr="000C5AB4">
        <w:rPr>
          <w:rFonts w:ascii="Times New Roman" w:hAnsi="Times New Roman" w:cs="Times New Roman"/>
          <w:color w:val="000000"/>
        </w:rPr>
        <w:t xml:space="preserve"> This implies that internal controls had a reasonable influence on governance processes.</w:t>
      </w:r>
      <w:r w:rsidR="001B4B39" w:rsidRPr="000C5AB4">
        <w:rPr>
          <w:rFonts w:ascii="Times New Roman" w:hAnsi="Times New Roman" w:cs="Times New Roman"/>
        </w:rPr>
        <w:t xml:space="preserve"> Internal audit department helps other department in developing and implementing </w:t>
      </w:r>
      <w:r w:rsidR="001B4B39" w:rsidRPr="000C5AB4">
        <w:rPr>
          <w:rFonts w:ascii="Times New Roman" w:hAnsi="Times New Roman" w:cs="Times New Roman"/>
          <w:color w:val="000000"/>
        </w:rPr>
        <w:t>financial controls, physical controls on assets, reviews of systems and processes. This is done by performing independent reconciliations a regular basis and performing independent verification of transactions ensuring the integrity of the decision-making processes.</w:t>
      </w:r>
    </w:p>
    <w:p w14:paraId="6140323E" w14:textId="586E9CF6" w:rsidR="0070657F" w:rsidRPr="000C5AB4" w:rsidRDefault="00A47531" w:rsidP="00E35951">
      <w:pPr>
        <w:spacing w:after="100" w:afterAutospacing="1"/>
        <w:rPr>
          <w:rFonts w:ascii="Times New Roman" w:hAnsi="Times New Roman" w:cs="Times New Roman"/>
          <w:b/>
          <w:sz w:val="24"/>
          <w:szCs w:val="24"/>
        </w:rPr>
      </w:pPr>
      <w:bookmarkStart w:id="42" w:name="_Toc178857108"/>
      <w:r>
        <w:rPr>
          <w:rFonts w:ascii="Times New Roman" w:hAnsi="Times New Roman" w:cs="Times New Roman"/>
          <w:b/>
          <w:sz w:val="24"/>
          <w:szCs w:val="24"/>
        </w:rPr>
        <w:t>Table 2</w:t>
      </w:r>
      <w:r w:rsidR="0070657F" w:rsidRPr="000C5AB4">
        <w:rPr>
          <w:rFonts w:ascii="Times New Roman" w:hAnsi="Times New Roman" w:cs="Times New Roman"/>
          <w:b/>
          <w:sz w:val="24"/>
          <w:szCs w:val="24"/>
        </w:rPr>
        <w:t xml:space="preserve"> Influence of </w:t>
      </w:r>
      <w:bookmarkEnd w:id="38"/>
      <w:bookmarkEnd w:id="39"/>
      <w:bookmarkEnd w:id="40"/>
      <w:r w:rsidR="0070657F" w:rsidRPr="000C5AB4">
        <w:rPr>
          <w:rFonts w:ascii="Times New Roman" w:hAnsi="Times New Roman" w:cs="Times New Roman"/>
          <w:b/>
          <w:sz w:val="24"/>
          <w:szCs w:val="24"/>
        </w:rPr>
        <w:t>Internal Controls on Governance Processes</w:t>
      </w:r>
      <w:bookmarkEnd w:id="41"/>
      <w:bookmarkEnd w:id="42"/>
    </w:p>
    <w:tbl>
      <w:tblPr>
        <w:tblStyle w:val="TableGrid1"/>
        <w:tblW w:w="9557" w:type="dxa"/>
        <w:tblInd w:w="5" w:type="dxa"/>
        <w:tblBorders>
          <w:left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7199"/>
        <w:gridCol w:w="942"/>
        <w:gridCol w:w="1416"/>
      </w:tblGrid>
      <w:tr w:rsidR="0070657F" w:rsidRPr="000C5AB4" w14:paraId="47D1CF66" w14:textId="77777777" w:rsidTr="0070657F">
        <w:trPr>
          <w:trHeight w:val="478"/>
        </w:trPr>
        <w:tc>
          <w:tcPr>
            <w:tcW w:w="0" w:type="auto"/>
            <w:tcBorders>
              <w:top w:val="single" w:sz="4" w:space="0" w:color="auto"/>
              <w:bottom w:val="single" w:sz="4" w:space="0" w:color="auto"/>
            </w:tcBorders>
          </w:tcPr>
          <w:p w14:paraId="76D4619E" w14:textId="77777777" w:rsidR="0070657F" w:rsidRPr="000C5AB4" w:rsidRDefault="0070657F" w:rsidP="00E35951">
            <w:pPr>
              <w:spacing w:after="100" w:afterAutospacing="1" w:line="360" w:lineRule="auto"/>
              <w:rPr>
                <w:b/>
                <w:color w:val="000000"/>
              </w:rPr>
            </w:pPr>
            <w:r w:rsidRPr="000C5AB4">
              <w:rPr>
                <w:b/>
                <w:color w:val="000000"/>
              </w:rPr>
              <w:t>Internal Controls and Governance Processes</w:t>
            </w:r>
          </w:p>
        </w:tc>
        <w:tc>
          <w:tcPr>
            <w:tcW w:w="942" w:type="dxa"/>
            <w:tcBorders>
              <w:top w:val="single" w:sz="4" w:space="0" w:color="auto"/>
              <w:bottom w:val="single" w:sz="4" w:space="0" w:color="auto"/>
            </w:tcBorders>
          </w:tcPr>
          <w:p w14:paraId="4CB1D638" w14:textId="77777777" w:rsidR="0070657F" w:rsidRPr="000C5AB4" w:rsidRDefault="0070657F" w:rsidP="00E35951">
            <w:pPr>
              <w:spacing w:after="100" w:afterAutospacing="1" w:line="360" w:lineRule="auto"/>
            </w:pPr>
            <w:r w:rsidRPr="000C5AB4">
              <w:t>Mean</w:t>
            </w:r>
          </w:p>
        </w:tc>
        <w:tc>
          <w:tcPr>
            <w:tcW w:w="0" w:type="auto"/>
            <w:tcBorders>
              <w:top w:val="single" w:sz="4" w:space="0" w:color="auto"/>
              <w:bottom w:val="single" w:sz="4" w:space="0" w:color="auto"/>
            </w:tcBorders>
          </w:tcPr>
          <w:p w14:paraId="5D740ADE" w14:textId="77777777" w:rsidR="0070657F" w:rsidRPr="000C5AB4" w:rsidRDefault="0070657F" w:rsidP="00E35951">
            <w:pPr>
              <w:spacing w:after="100" w:afterAutospacing="1" w:line="360" w:lineRule="auto"/>
            </w:pPr>
            <w:r w:rsidRPr="000C5AB4">
              <w:t>Std. Deviation</w:t>
            </w:r>
          </w:p>
        </w:tc>
      </w:tr>
      <w:tr w:rsidR="0070657F" w:rsidRPr="000C5AB4" w14:paraId="542C2A2E" w14:textId="77777777" w:rsidTr="0070657F">
        <w:trPr>
          <w:trHeight w:val="378"/>
        </w:trPr>
        <w:tc>
          <w:tcPr>
            <w:tcW w:w="0" w:type="auto"/>
            <w:tcBorders>
              <w:top w:val="single" w:sz="4" w:space="0" w:color="auto"/>
            </w:tcBorders>
          </w:tcPr>
          <w:p w14:paraId="570E5358" w14:textId="77777777" w:rsidR="0070657F" w:rsidRPr="000C5AB4" w:rsidRDefault="0070657F" w:rsidP="00E35951">
            <w:pPr>
              <w:spacing w:after="100" w:afterAutospacing="1" w:line="360" w:lineRule="auto"/>
              <w:rPr>
                <w:color w:val="000000"/>
              </w:rPr>
            </w:pPr>
            <w:r w:rsidRPr="000C5AB4">
              <w:t>Internal audit department helps in developing and implementing risk management framework for other departments.</w:t>
            </w:r>
          </w:p>
        </w:tc>
        <w:tc>
          <w:tcPr>
            <w:tcW w:w="942" w:type="dxa"/>
            <w:tcBorders>
              <w:top w:val="single" w:sz="4" w:space="0" w:color="auto"/>
            </w:tcBorders>
            <w:vAlign w:val="bottom"/>
          </w:tcPr>
          <w:p w14:paraId="5BA04842" w14:textId="77777777" w:rsidR="0070657F" w:rsidRPr="000C5AB4" w:rsidRDefault="0070657F" w:rsidP="00E35951">
            <w:pPr>
              <w:spacing w:after="100" w:afterAutospacing="1" w:line="360" w:lineRule="auto"/>
              <w:rPr>
                <w:color w:val="000000"/>
              </w:rPr>
            </w:pPr>
            <w:r w:rsidRPr="000C5AB4">
              <w:rPr>
                <w:color w:val="000000"/>
              </w:rPr>
              <w:t>3.6521</w:t>
            </w:r>
          </w:p>
        </w:tc>
        <w:tc>
          <w:tcPr>
            <w:tcW w:w="0" w:type="auto"/>
            <w:tcBorders>
              <w:top w:val="single" w:sz="4" w:space="0" w:color="auto"/>
            </w:tcBorders>
            <w:vAlign w:val="bottom"/>
          </w:tcPr>
          <w:p w14:paraId="2F00FE65" w14:textId="77777777" w:rsidR="0070657F" w:rsidRPr="000C5AB4" w:rsidRDefault="0070657F" w:rsidP="00E35951">
            <w:pPr>
              <w:spacing w:after="100" w:afterAutospacing="1" w:line="360" w:lineRule="auto"/>
              <w:rPr>
                <w:color w:val="000000"/>
              </w:rPr>
            </w:pPr>
            <w:r w:rsidRPr="000C5AB4">
              <w:rPr>
                <w:color w:val="000000"/>
              </w:rPr>
              <w:t>0.7375</w:t>
            </w:r>
          </w:p>
        </w:tc>
      </w:tr>
      <w:tr w:rsidR="0070657F" w:rsidRPr="000C5AB4" w14:paraId="1209ECCF" w14:textId="77777777" w:rsidTr="0070657F">
        <w:trPr>
          <w:trHeight w:val="478"/>
        </w:trPr>
        <w:tc>
          <w:tcPr>
            <w:tcW w:w="0" w:type="auto"/>
          </w:tcPr>
          <w:p w14:paraId="3D5AF71C" w14:textId="77777777" w:rsidR="0070657F" w:rsidRPr="000C5AB4" w:rsidRDefault="0070657F" w:rsidP="00E35951">
            <w:pPr>
              <w:spacing w:after="100" w:afterAutospacing="1" w:line="360" w:lineRule="auto"/>
              <w:rPr>
                <w:color w:val="000000"/>
              </w:rPr>
            </w:pPr>
            <w:r w:rsidRPr="000C5AB4">
              <w:rPr>
                <w:color w:val="000000"/>
              </w:rPr>
              <w:t>The department does reviews of individuals, systems and processes in the departments regularly.</w:t>
            </w:r>
          </w:p>
        </w:tc>
        <w:tc>
          <w:tcPr>
            <w:tcW w:w="942" w:type="dxa"/>
            <w:vAlign w:val="bottom"/>
          </w:tcPr>
          <w:p w14:paraId="65C6C330" w14:textId="77777777" w:rsidR="0070657F" w:rsidRPr="000C5AB4" w:rsidRDefault="0070657F" w:rsidP="00E35951">
            <w:pPr>
              <w:spacing w:after="100" w:afterAutospacing="1" w:line="360" w:lineRule="auto"/>
              <w:rPr>
                <w:color w:val="000000"/>
              </w:rPr>
            </w:pPr>
            <w:r w:rsidRPr="000C5AB4">
              <w:rPr>
                <w:color w:val="000000"/>
              </w:rPr>
              <w:t>4.1304</w:t>
            </w:r>
          </w:p>
        </w:tc>
        <w:tc>
          <w:tcPr>
            <w:tcW w:w="0" w:type="auto"/>
            <w:vAlign w:val="bottom"/>
          </w:tcPr>
          <w:p w14:paraId="153AF65C" w14:textId="77777777" w:rsidR="0070657F" w:rsidRPr="000C5AB4" w:rsidRDefault="0070657F" w:rsidP="00E35951">
            <w:pPr>
              <w:spacing w:after="100" w:afterAutospacing="1" w:line="360" w:lineRule="auto"/>
              <w:rPr>
                <w:color w:val="000000"/>
              </w:rPr>
            </w:pPr>
            <w:r w:rsidRPr="000C5AB4">
              <w:rPr>
                <w:color w:val="000000"/>
              </w:rPr>
              <w:t>0.9292</w:t>
            </w:r>
          </w:p>
        </w:tc>
      </w:tr>
      <w:tr w:rsidR="0070657F" w:rsidRPr="000C5AB4" w14:paraId="615B9FA9" w14:textId="77777777" w:rsidTr="0070657F">
        <w:trPr>
          <w:trHeight w:val="298"/>
        </w:trPr>
        <w:tc>
          <w:tcPr>
            <w:tcW w:w="0" w:type="auto"/>
          </w:tcPr>
          <w:p w14:paraId="21CE7C52" w14:textId="77777777" w:rsidR="0070657F" w:rsidRPr="000C5AB4" w:rsidRDefault="0070657F" w:rsidP="00E35951">
            <w:pPr>
              <w:spacing w:after="100" w:afterAutospacing="1" w:line="360" w:lineRule="auto"/>
              <w:rPr>
                <w:color w:val="000000"/>
              </w:rPr>
            </w:pPr>
            <w:r w:rsidRPr="000C5AB4">
              <w:rPr>
                <w:color w:val="000000"/>
              </w:rPr>
              <w:t>Internal audit advises on financial controls to be instituted by departments.</w:t>
            </w:r>
          </w:p>
        </w:tc>
        <w:tc>
          <w:tcPr>
            <w:tcW w:w="942" w:type="dxa"/>
            <w:vAlign w:val="bottom"/>
          </w:tcPr>
          <w:p w14:paraId="09841555" w14:textId="77777777" w:rsidR="0070657F" w:rsidRPr="000C5AB4" w:rsidRDefault="0070657F" w:rsidP="00E35951">
            <w:pPr>
              <w:spacing w:after="100" w:afterAutospacing="1" w:line="360" w:lineRule="auto"/>
              <w:rPr>
                <w:color w:val="000000"/>
              </w:rPr>
            </w:pPr>
            <w:r w:rsidRPr="000C5AB4">
              <w:rPr>
                <w:color w:val="000000"/>
              </w:rPr>
              <w:t>3.5652</w:t>
            </w:r>
          </w:p>
        </w:tc>
        <w:tc>
          <w:tcPr>
            <w:tcW w:w="0" w:type="auto"/>
            <w:vAlign w:val="bottom"/>
          </w:tcPr>
          <w:p w14:paraId="2B33128E" w14:textId="77777777" w:rsidR="0070657F" w:rsidRPr="000C5AB4" w:rsidRDefault="0070657F" w:rsidP="00E35951">
            <w:pPr>
              <w:spacing w:after="100" w:afterAutospacing="1" w:line="360" w:lineRule="auto"/>
              <w:rPr>
                <w:color w:val="000000"/>
              </w:rPr>
            </w:pPr>
            <w:r w:rsidRPr="000C5AB4">
              <w:rPr>
                <w:color w:val="000000"/>
              </w:rPr>
              <w:t>0.6133</w:t>
            </w:r>
          </w:p>
        </w:tc>
      </w:tr>
      <w:tr w:rsidR="0070657F" w:rsidRPr="000C5AB4" w14:paraId="49A008C1" w14:textId="77777777" w:rsidTr="0070657F">
        <w:trPr>
          <w:trHeight w:val="518"/>
        </w:trPr>
        <w:tc>
          <w:tcPr>
            <w:tcW w:w="0" w:type="auto"/>
          </w:tcPr>
          <w:p w14:paraId="1308FA94" w14:textId="77777777" w:rsidR="0070657F" w:rsidRPr="000C5AB4" w:rsidRDefault="0070657F" w:rsidP="00E35951">
            <w:pPr>
              <w:spacing w:after="100" w:afterAutospacing="1" w:line="360" w:lineRule="auto"/>
              <w:rPr>
                <w:color w:val="000000"/>
              </w:rPr>
            </w:pPr>
            <w:r w:rsidRPr="000C5AB4">
              <w:rPr>
                <w:color w:val="000000"/>
              </w:rPr>
              <w:lastRenderedPageBreak/>
              <w:t>Internal audit advice and reviews managerial, and operational policy controls in the departments.</w:t>
            </w:r>
          </w:p>
        </w:tc>
        <w:tc>
          <w:tcPr>
            <w:tcW w:w="942" w:type="dxa"/>
            <w:vAlign w:val="bottom"/>
          </w:tcPr>
          <w:p w14:paraId="5A81AD9F" w14:textId="77777777" w:rsidR="0070657F" w:rsidRPr="000C5AB4" w:rsidRDefault="0070657F" w:rsidP="00E35951">
            <w:pPr>
              <w:spacing w:after="100" w:afterAutospacing="1" w:line="360" w:lineRule="auto"/>
              <w:rPr>
                <w:color w:val="000000"/>
              </w:rPr>
            </w:pPr>
            <w:r w:rsidRPr="000C5AB4">
              <w:rPr>
                <w:color w:val="000000"/>
              </w:rPr>
              <w:t>3.5217</w:t>
            </w:r>
          </w:p>
        </w:tc>
        <w:tc>
          <w:tcPr>
            <w:tcW w:w="0" w:type="auto"/>
            <w:vAlign w:val="bottom"/>
          </w:tcPr>
          <w:p w14:paraId="3BEE8CE5" w14:textId="77777777" w:rsidR="0070657F" w:rsidRPr="000C5AB4" w:rsidRDefault="0070657F" w:rsidP="00E35951">
            <w:pPr>
              <w:spacing w:after="100" w:afterAutospacing="1" w:line="360" w:lineRule="auto"/>
              <w:rPr>
                <w:color w:val="000000"/>
              </w:rPr>
            </w:pPr>
            <w:r w:rsidRPr="000C5AB4">
              <w:rPr>
                <w:color w:val="000000"/>
              </w:rPr>
              <w:t>0.6101</w:t>
            </w:r>
          </w:p>
        </w:tc>
      </w:tr>
      <w:tr w:rsidR="0070657F" w:rsidRPr="000C5AB4" w14:paraId="5C419DB7" w14:textId="77777777" w:rsidTr="0070657F">
        <w:trPr>
          <w:trHeight w:val="697"/>
        </w:trPr>
        <w:tc>
          <w:tcPr>
            <w:tcW w:w="0" w:type="auto"/>
          </w:tcPr>
          <w:p w14:paraId="1B7CAC9B" w14:textId="77777777" w:rsidR="0070657F" w:rsidRPr="000C5AB4" w:rsidRDefault="0070657F" w:rsidP="00E35951">
            <w:pPr>
              <w:spacing w:after="100" w:afterAutospacing="1" w:line="360" w:lineRule="auto"/>
              <w:rPr>
                <w:color w:val="000000"/>
              </w:rPr>
            </w:pPr>
            <w:r w:rsidRPr="000C5AB4">
              <w:rPr>
                <w:color w:val="000000"/>
              </w:rPr>
              <w:t xml:space="preserve">Internal audit does a regular independent verification of </w:t>
            </w:r>
            <w:r w:rsidRPr="000C5AB4">
              <w:t>transactions to preserve decision-making integrity</w:t>
            </w:r>
          </w:p>
        </w:tc>
        <w:tc>
          <w:tcPr>
            <w:tcW w:w="942" w:type="dxa"/>
            <w:vAlign w:val="bottom"/>
          </w:tcPr>
          <w:p w14:paraId="18F67DA5" w14:textId="77777777" w:rsidR="0070657F" w:rsidRPr="000C5AB4" w:rsidRDefault="0070657F" w:rsidP="00E35951">
            <w:pPr>
              <w:spacing w:after="100" w:afterAutospacing="1" w:line="360" w:lineRule="auto"/>
              <w:rPr>
                <w:color w:val="000000"/>
              </w:rPr>
            </w:pPr>
            <w:r w:rsidRPr="000C5AB4">
              <w:rPr>
                <w:color w:val="000000"/>
              </w:rPr>
              <w:t>4.1304</w:t>
            </w:r>
          </w:p>
        </w:tc>
        <w:tc>
          <w:tcPr>
            <w:tcW w:w="0" w:type="auto"/>
            <w:vAlign w:val="bottom"/>
          </w:tcPr>
          <w:p w14:paraId="433ED36C" w14:textId="77777777" w:rsidR="0070657F" w:rsidRPr="000C5AB4" w:rsidRDefault="0070657F" w:rsidP="00E35951">
            <w:pPr>
              <w:spacing w:after="100" w:afterAutospacing="1" w:line="360" w:lineRule="auto"/>
              <w:rPr>
                <w:color w:val="000000"/>
              </w:rPr>
            </w:pPr>
            <w:r w:rsidRPr="000C5AB4">
              <w:rPr>
                <w:color w:val="000000"/>
              </w:rPr>
              <w:t>1.0674</w:t>
            </w:r>
          </w:p>
        </w:tc>
      </w:tr>
      <w:tr w:rsidR="0070657F" w:rsidRPr="000C5AB4" w14:paraId="5BBE95E1" w14:textId="77777777" w:rsidTr="0070657F">
        <w:trPr>
          <w:trHeight w:val="458"/>
        </w:trPr>
        <w:tc>
          <w:tcPr>
            <w:tcW w:w="0" w:type="auto"/>
          </w:tcPr>
          <w:p w14:paraId="5C4C5A42" w14:textId="77777777" w:rsidR="0070657F" w:rsidRPr="000C5AB4" w:rsidRDefault="0070657F" w:rsidP="00E35951">
            <w:pPr>
              <w:spacing w:after="100" w:afterAutospacing="1" w:line="360" w:lineRule="auto"/>
              <w:rPr>
                <w:color w:val="000000"/>
              </w:rPr>
            </w:pPr>
            <w:r w:rsidRPr="000C5AB4">
              <w:rPr>
                <w:color w:val="000000"/>
              </w:rPr>
              <w:t>Internal audit performs independent reconciliation of all balances in all departments regularly.</w:t>
            </w:r>
          </w:p>
        </w:tc>
        <w:tc>
          <w:tcPr>
            <w:tcW w:w="942" w:type="dxa"/>
            <w:vAlign w:val="bottom"/>
          </w:tcPr>
          <w:p w14:paraId="782F7B94" w14:textId="77777777" w:rsidR="0070657F" w:rsidRPr="000C5AB4" w:rsidRDefault="0070657F" w:rsidP="00E35951">
            <w:pPr>
              <w:spacing w:after="100" w:afterAutospacing="1" w:line="360" w:lineRule="auto"/>
              <w:rPr>
                <w:color w:val="000000"/>
              </w:rPr>
            </w:pPr>
            <w:r w:rsidRPr="000C5AB4">
              <w:rPr>
                <w:color w:val="000000"/>
              </w:rPr>
              <w:t>3.7826</w:t>
            </w:r>
          </w:p>
        </w:tc>
        <w:tc>
          <w:tcPr>
            <w:tcW w:w="0" w:type="auto"/>
            <w:vAlign w:val="bottom"/>
          </w:tcPr>
          <w:p w14:paraId="50A4C24B" w14:textId="77777777" w:rsidR="0070657F" w:rsidRPr="000C5AB4" w:rsidRDefault="0070657F" w:rsidP="00E35951">
            <w:pPr>
              <w:spacing w:after="100" w:afterAutospacing="1" w:line="360" w:lineRule="auto"/>
              <w:rPr>
                <w:color w:val="000000"/>
              </w:rPr>
            </w:pPr>
            <w:r w:rsidRPr="000C5AB4">
              <w:rPr>
                <w:color w:val="000000"/>
              </w:rPr>
              <w:t>0.7355</w:t>
            </w:r>
          </w:p>
        </w:tc>
      </w:tr>
      <w:tr w:rsidR="0070657F" w:rsidRPr="000C5AB4" w14:paraId="193E7347" w14:textId="77777777" w:rsidTr="0070657F">
        <w:trPr>
          <w:trHeight w:val="458"/>
        </w:trPr>
        <w:tc>
          <w:tcPr>
            <w:tcW w:w="0" w:type="auto"/>
          </w:tcPr>
          <w:p w14:paraId="3988C263" w14:textId="77777777" w:rsidR="0070657F" w:rsidRPr="000C5AB4" w:rsidRDefault="0070657F" w:rsidP="00E35951">
            <w:pPr>
              <w:spacing w:after="100" w:afterAutospacing="1" w:line="360" w:lineRule="auto"/>
              <w:rPr>
                <w:color w:val="000000"/>
              </w:rPr>
            </w:pPr>
            <w:r w:rsidRPr="000C5AB4">
              <w:rPr>
                <w:color w:val="000000"/>
              </w:rPr>
              <w:t xml:space="preserve">The department advises management on </w:t>
            </w:r>
            <w:r w:rsidRPr="000C5AB4">
              <w:t>managing physical and financial assets</w:t>
            </w:r>
            <w:r w:rsidRPr="000C5AB4">
              <w:rPr>
                <w:color w:val="000000"/>
              </w:rPr>
              <w:t>.</w:t>
            </w:r>
          </w:p>
        </w:tc>
        <w:tc>
          <w:tcPr>
            <w:tcW w:w="942" w:type="dxa"/>
            <w:vAlign w:val="bottom"/>
          </w:tcPr>
          <w:p w14:paraId="4E962E26" w14:textId="77777777" w:rsidR="0070657F" w:rsidRPr="000C5AB4" w:rsidRDefault="0070657F" w:rsidP="00E35951">
            <w:pPr>
              <w:spacing w:after="100" w:afterAutospacing="1" w:line="360" w:lineRule="auto"/>
              <w:rPr>
                <w:color w:val="000000"/>
              </w:rPr>
            </w:pPr>
            <w:r w:rsidRPr="000C5AB4">
              <w:rPr>
                <w:color w:val="000000"/>
              </w:rPr>
              <w:t>4.000</w:t>
            </w:r>
          </w:p>
        </w:tc>
        <w:tc>
          <w:tcPr>
            <w:tcW w:w="0" w:type="auto"/>
            <w:vAlign w:val="bottom"/>
          </w:tcPr>
          <w:p w14:paraId="72754E01" w14:textId="77777777" w:rsidR="0070657F" w:rsidRPr="000C5AB4" w:rsidRDefault="0070657F" w:rsidP="00E35951">
            <w:pPr>
              <w:spacing w:after="100" w:afterAutospacing="1" w:line="360" w:lineRule="auto"/>
              <w:rPr>
                <w:color w:val="000000"/>
              </w:rPr>
            </w:pPr>
            <w:r w:rsidRPr="000C5AB4">
              <w:rPr>
                <w:color w:val="000000"/>
              </w:rPr>
              <w:t>0.9464</w:t>
            </w:r>
          </w:p>
        </w:tc>
      </w:tr>
      <w:tr w:rsidR="0070657F" w:rsidRPr="000C5AB4" w14:paraId="207A5687" w14:textId="77777777" w:rsidTr="0070657F">
        <w:trPr>
          <w:trHeight w:val="458"/>
        </w:trPr>
        <w:tc>
          <w:tcPr>
            <w:tcW w:w="0" w:type="auto"/>
            <w:tcBorders>
              <w:bottom w:val="nil"/>
            </w:tcBorders>
          </w:tcPr>
          <w:p w14:paraId="0BD92876" w14:textId="77777777" w:rsidR="0070657F" w:rsidRPr="000C5AB4" w:rsidRDefault="0070657F" w:rsidP="00E35951">
            <w:pPr>
              <w:spacing w:after="100" w:afterAutospacing="1" w:line="360" w:lineRule="auto"/>
              <w:rPr>
                <w:color w:val="000000"/>
              </w:rPr>
            </w:pPr>
            <w:r w:rsidRPr="000C5AB4">
              <w:rPr>
                <w:color w:val="000000"/>
              </w:rPr>
              <w:t>Auditors comply with the standards and guidelines on reporting to departmental management.</w:t>
            </w:r>
          </w:p>
        </w:tc>
        <w:tc>
          <w:tcPr>
            <w:tcW w:w="942" w:type="dxa"/>
            <w:tcBorders>
              <w:bottom w:val="nil"/>
            </w:tcBorders>
            <w:vAlign w:val="bottom"/>
          </w:tcPr>
          <w:p w14:paraId="24F1FD27" w14:textId="77777777" w:rsidR="0070657F" w:rsidRPr="000C5AB4" w:rsidRDefault="0070657F" w:rsidP="00E35951">
            <w:pPr>
              <w:spacing w:after="100" w:afterAutospacing="1" w:line="360" w:lineRule="auto"/>
              <w:rPr>
                <w:color w:val="000000"/>
              </w:rPr>
            </w:pPr>
            <w:r w:rsidRPr="000C5AB4">
              <w:rPr>
                <w:color w:val="000000"/>
              </w:rPr>
              <w:t>4.3478</w:t>
            </w:r>
          </w:p>
        </w:tc>
        <w:tc>
          <w:tcPr>
            <w:tcW w:w="0" w:type="auto"/>
            <w:tcBorders>
              <w:bottom w:val="nil"/>
            </w:tcBorders>
            <w:vAlign w:val="bottom"/>
          </w:tcPr>
          <w:p w14:paraId="7289832D" w14:textId="77777777" w:rsidR="0070657F" w:rsidRPr="000C5AB4" w:rsidRDefault="0070657F" w:rsidP="00E35951">
            <w:pPr>
              <w:spacing w:after="100" w:afterAutospacing="1" w:line="360" w:lineRule="auto"/>
              <w:rPr>
                <w:color w:val="000000"/>
              </w:rPr>
            </w:pPr>
            <w:r w:rsidRPr="000C5AB4">
              <w:rPr>
                <w:color w:val="000000"/>
              </w:rPr>
              <w:t>1.4163</w:t>
            </w:r>
          </w:p>
        </w:tc>
      </w:tr>
      <w:tr w:rsidR="0070657F" w:rsidRPr="000C5AB4" w14:paraId="62EAD19B" w14:textId="77777777" w:rsidTr="0070657F">
        <w:trPr>
          <w:trHeight w:val="467"/>
        </w:trPr>
        <w:tc>
          <w:tcPr>
            <w:tcW w:w="0" w:type="auto"/>
            <w:tcBorders>
              <w:top w:val="nil"/>
              <w:left w:val="nil"/>
              <w:bottom w:val="single" w:sz="4" w:space="0" w:color="auto"/>
              <w:right w:val="nil"/>
            </w:tcBorders>
          </w:tcPr>
          <w:p w14:paraId="10563237" w14:textId="77777777" w:rsidR="0070657F" w:rsidRPr="000C5AB4" w:rsidRDefault="0070657F" w:rsidP="00E35951">
            <w:pPr>
              <w:spacing w:after="100" w:afterAutospacing="1" w:line="360" w:lineRule="auto"/>
              <w:rPr>
                <w:b/>
              </w:rPr>
            </w:pPr>
            <w:r w:rsidRPr="000C5AB4">
              <w:rPr>
                <w:b/>
              </w:rPr>
              <w:t xml:space="preserve">Composite Mean and Standard Deviation </w:t>
            </w:r>
          </w:p>
        </w:tc>
        <w:tc>
          <w:tcPr>
            <w:tcW w:w="942" w:type="dxa"/>
            <w:tcBorders>
              <w:top w:val="nil"/>
              <w:left w:val="nil"/>
              <w:bottom w:val="single" w:sz="4" w:space="0" w:color="auto"/>
              <w:right w:val="nil"/>
            </w:tcBorders>
          </w:tcPr>
          <w:p w14:paraId="55D13229" w14:textId="77777777" w:rsidR="0070657F" w:rsidRPr="000C5AB4" w:rsidRDefault="0070657F" w:rsidP="00E35951">
            <w:pPr>
              <w:spacing w:after="100" w:afterAutospacing="1" w:line="360" w:lineRule="auto"/>
              <w:rPr>
                <w:b/>
                <w:color w:val="000000"/>
              </w:rPr>
            </w:pPr>
            <w:r w:rsidRPr="000C5AB4">
              <w:rPr>
                <w:b/>
                <w:color w:val="000000"/>
              </w:rPr>
              <w:t>3.8913</w:t>
            </w:r>
          </w:p>
        </w:tc>
        <w:tc>
          <w:tcPr>
            <w:tcW w:w="0" w:type="auto"/>
            <w:tcBorders>
              <w:top w:val="nil"/>
              <w:left w:val="nil"/>
              <w:bottom w:val="single" w:sz="4" w:space="0" w:color="auto"/>
              <w:right w:val="nil"/>
            </w:tcBorders>
          </w:tcPr>
          <w:p w14:paraId="557E21FD" w14:textId="77777777" w:rsidR="0070657F" w:rsidRPr="000C5AB4" w:rsidRDefault="0070657F" w:rsidP="00E35951">
            <w:pPr>
              <w:spacing w:after="100" w:afterAutospacing="1" w:line="360" w:lineRule="auto"/>
              <w:rPr>
                <w:b/>
                <w:color w:val="000000"/>
              </w:rPr>
            </w:pPr>
            <w:r w:rsidRPr="000C5AB4">
              <w:rPr>
                <w:b/>
                <w:color w:val="000000"/>
              </w:rPr>
              <w:t>0.8820</w:t>
            </w:r>
          </w:p>
        </w:tc>
      </w:tr>
    </w:tbl>
    <w:p w14:paraId="65781A52" w14:textId="77777777" w:rsidR="0070657F" w:rsidRPr="000C5AB4" w:rsidRDefault="0070657F" w:rsidP="00E35951">
      <w:pPr>
        <w:spacing w:after="100" w:afterAutospacing="1" w:line="360" w:lineRule="auto"/>
        <w:jc w:val="both"/>
        <w:rPr>
          <w:rFonts w:ascii="Times New Roman" w:eastAsia="Times New Roman" w:hAnsi="Times New Roman" w:cs="Times New Roman"/>
          <w:b/>
          <w:sz w:val="24"/>
          <w:szCs w:val="24"/>
        </w:rPr>
      </w:pPr>
      <w:commentRangeStart w:id="43"/>
      <w:r w:rsidRPr="000C5AB4">
        <w:rPr>
          <w:rFonts w:ascii="Times New Roman" w:eastAsia="Times New Roman" w:hAnsi="Times New Roman" w:cs="Times New Roman"/>
          <w:b/>
          <w:sz w:val="24"/>
          <w:szCs w:val="24"/>
        </w:rPr>
        <w:t>Source: Researcher, 2024.</w:t>
      </w:r>
      <w:commentRangeEnd w:id="43"/>
      <w:r w:rsidR="00775D7F">
        <w:rPr>
          <w:rStyle w:val="CommentReference"/>
        </w:rPr>
        <w:commentReference w:id="43"/>
      </w:r>
    </w:p>
    <w:p w14:paraId="4B96B506" w14:textId="77777777" w:rsidR="0070657F" w:rsidRPr="000C5AB4" w:rsidRDefault="0070657F" w:rsidP="00E35951">
      <w:pPr>
        <w:spacing w:after="100" w:afterAutospacing="1"/>
        <w:rPr>
          <w:rFonts w:ascii="Times New Roman" w:hAnsi="Times New Roman" w:cs="Times New Roman"/>
          <w:b/>
          <w:sz w:val="24"/>
          <w:szCs w:val="24"/>
        </w:rPr>
      </w:pPr>
      <w:bookmarkStart w:id="44" w:name="_1egqt2p" w:colFirst="0" w:colLast="0"/>
      <w:bookmarkStart w:id="45" w:name="_Toc174384404"/>
      <w:bookmarkStart w:id="46" w:name="_Toc178857119"/>
      <w:bookmarkEnd w:id="44"/>
      <w:r w:rsidRPr="000C5AB4">
        <w:rPr>
          <w:rFonts w:ascii="Times New Roman" w:hAnsi="Times New Roman" w:cs="Times New Roman"/>
          <w:b/>
          <w:sz w:val="24"/>
          <w:szCs w:val="24"/>
        </w:rPr>
        <w:t>Governance Processes Outcomes</w:t>
      </w:r>
      <w:bookmarkEnd w:id="45"/>
      <w:bookmarkEnd w:id="46"/>
    </w:p>
    <w:p w14:paraId="6FAB7CF8"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bCs/>
          <w:sz w:val="24"/>
          <w:szCs w:val="24"/>
        </w:rPr>
        <w:t xml:space="preserve">This section provides the results on rating of </w:t>
      </w:r>
      <w:r w:rsidRPr="000C5AB4">
        <w:rPr>
          <w:rFonts w:ascii="Times New Roman" w:hAnsi="Times New Roman" w:cs="Times New Roman"/>
          <w:sz w:val="24"/>
          <w:szCs w:val="24"/>
        </w:rPr>
        <w:t xml:space="preserve">governance processes outcomes </w:t>
      </w:r>
      <w:r w:rsidR="00D47EB5" w:rsidRPr="000C5AB4">
        <w:rPr>
          <w:rFonts w:ascii="Times New Roman" w:hAnsi="Times New Roman" w:cs="Times New Roman"/>
          <w:sz w:val="24"/>
          <w:szCs w:val="24"/>
        </w:rPr>
        <w:t xml:space="preserve">at </w:t>
      </w:r>
      <w:r w:rsidRPr="000C5AB4">
        <w:rPr>
          <w:rFonts w:ascii="Times New Roman" w:eastAsia="Times New Roman" w:hAnsi="Times New Roman" w:cs="Times New Roman"/>
          <w:color w:val="000000"/>
          <w:sz w:val="24"/>
          <w:szCs w:val="24"/>
        </w:rPr>
        <w:t>national treasuries in North rift, Kenya</w:t>
      </w:r>
      <w:r w:rsidRPr="000C5AB4">
        <w:rPr>
          <w:rFonts w:ascii="Times New Roman" w:hAnsi="Times New Roman" w:cs="Times New Roman"/>
          <w:sz w:val="24"/>
          <w:szCs w:val="24"/>
        </w:rPr>
        <w:t xml:space="preserve"> on the likert scale.</w:t>
      </w:r>
    </w:p>
    <w:p w14:paraId="20E63579" w14:textId="5D8009D1" w:rsidR="0070657F" w:rsidRPr="000C5AB4" w:rsidRDefault="006D75E2" w:rsidP="00E35951">
      <w:pPr>
        <w:spacing w:after="100" w:afterAutospacing="1"/>
        <w:rPr>
          <w:rFonts w:ascii="Times New Roman" w:hAnsi="Times New Roman" w:cs="Times New Roman"/>
          <w:b/>
          <w:sz w:val="24"/>
          <w:szCs w:val="24"/>
        </w:rPr>
      </w:pPr>
      <w:bookmarkStart w:id="47" w:name="_Toc174384405"/>
      <w:bookmarkStart w:id="48" w:name="_Toc178857120"/>
      <w:r>
        <w:rPr>
          <w:rFonts w:ascii="Times New Roman" w:hAnsi="Times New Roman" w:cs="Times New Roman"/>
          <w:b/>
          <w:sz w:val="24"/>
          <w:szCs w:val="24"/>
        </w:rPr>
        <w:t>Table 3</w:t>
      </w:r>
      <w:r w:rsidR="0070657F" w:rsidRPr="000C5AB4">
        <w:rPr>
          <w:rFonts w:ascii="Times New Roman" w:hAnsi="Times New Roman" w:cs="Times New Roman"/>
          <w:b/>
          <w:sz w:val="24"/>
          <w:szCs w:val="24"/>
        </w:rPr>
        <w:t>: Governance Processes Outcomes</w:t>
      </w:r>
      <w:bookmarkEnd w:id="47"/>
      <w:bookmarkEnd w:id="48"/>
    </w:p>
    <w:tbl>
      <w:tblPr>
        <w:tblStyle w:val="TableGrid"/>
        <w:tblW w:w="511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1"/>
        <w:gridCol w:w="203"/>
        <w:gridCol w:w="876"/>
        <w:gridCol w:w="1250"/>
      </w:tblGrid>
      <w:tr w:rsidR="0070657F" w:rsidRPr="000C5AB4" w14:paraId="62B5F5AF" w14:textId="77777777" w:rsidTr="0070657F">
        <w:tc>
          <w:tcPr>
            <w:tcW w:w="3790" w:type="pct"/>
            <w:tcBorders>
              <w:top w:val="single" w:sz="4" w:space="0" w:color="auto"/>
              <w:bottom w:val="single" w:sz="4" w:space="0" w:color="auto"/>
            </w:tcBorders>
          </w:tcPr>
          <w:p w14:paraId="3A9E34B4" w14:textId="77777777" w:rsidR="0070657F" w:rsidRPr="000C5AB4" w:rsidRDefault="0070657F"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Governance Processes Outcomes</w:t>
            </w:r>
          </w:p>
        </w:tc>
        <w:tc>
          <w:tcPr>
            <w:tcW w:w="550" w:type="pct"/>
            <w:gridSpan w:val="2"/>
            <w:tcBorders>
              <w:top w:val="single" w:sz="4" w:space="0" w:color="auto"/>
              <w:bottom w:val="single" w:sz="4" w:space="0" w:color="auto"/>
            </w:tcBorders>
          </w:tcPr>
          <w:p w14:paraId="6258BDBF" w14:textId="77777777" w:rsidR="0070657F" w:rsidRPr="000C5AB4" w:rsidRDefault="0070657F"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Mean</w:t>
            </w:r>
          </w:p>
        </w:tc>
        <w:tc>
          <w:tcPr>
            <w:tcW w:w="660" w:type="pct"/>
            <w:tcBorders>
              <w:top w:val="single" w:sz="4" w:space="0" w:color="auto"/>
              <w:bottom w:val="single" w:sz="4" w:space="0" w:color="auto"/>
            </w:tcBorders>
          </w:tcPr>
          <w:p w14:paraId="017438DC" w14:textId="77777777" w:rsidR="0070657F" w:rsidRPr="000C5AB4" w:rsidRDefault="0070657F"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Std. Dev.</w:t>
            </w:r>
          </w:p>
        </w:tc>
      </w:tr>
      <w:tr w:rsidR="0070657F" w:rsidRPr="000C5AB4" w14:paraId="4D295396" w14:textId="77777777" w:rsidTr="0070657F">
        <w:tc>
          <w:tcPr>
            <w:tcW w:w="3790" w:type="pct"/>
            <w:tcBorders>
              <w:top w:val="single" w:sz="4" w:space="0" w:color="auto"/>
            </w:tcBorders>
          </w:tcPr>
          <w:p w14:paraId="799F2964"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Procurement and treasury processes are better managed by departments</w:t>
            </w:r>
          </w:p>
        </w:tc>
        <w:tc>
          <w:tcPr>
            <w:tcW w:w="550" w:type="pct"/>
            <w:gridSpan w:val="2"/>
            <w:tcBorders>
              <w:top w:val="single" w:sz="4" w:space="0" w:color="auto"/>
            </w:tcBorders>
            <w:vAlign w:val="bottom"/>
          </w:tcPr>
          <w:p w14:paraId="6A03DF6E" w14:textId="77777777" w:rsidR="0070657F" w:rsidRPr="000C5AB4" w:rsidRDefault="0070657F" w:rsidP="00E35951">
            <w:pPr>
              <w:spacing w:after="100" w:afterAutospacing="1" w:line="360" w:lineRule="auto"/>
              <w:jc w:val="both"/>
              <w:rPr>
                <w:rFonts w:ascii="Times New Roman" w:eastAsia="Times New Roman" w:hAnsi="Times New Roman" w:cs="Times New Roman"/>
                <w:color w:val="000000"/>
                <w:sz w:val="24"/>
                <w:szCs w:val="24"/>
              </w:rPr>
            </w:pPr>
            <w:r w:rsidRPr="000C5AB4">
              <w:rPr>
                <w:rFonts w:ascii="Times New Roman" w:hAnsi="Times New Roman" w:cs="Times New Roman"/>
                <w:color w:val="000000"/>
                <w:sz w:val="24"/>
                <w:szCs w:val="24"/>
              </w:rPr>
              <w:t>3.1739</w:t>
            </w:r>
          </w:p>
        </w:tc>
        <w:tc>
          <w:tcPr>
            <w:tcW w:w="660" w:type="pct"/>
            <w:tcBorders>
              <w:top w:val="single" w:sz="4" w:space="0" w:color="auto"/>
            </w:tcBorders>
            <w:vAlign w:val="bottom"/>
          </w:tcPr>
          <w:p w14:paraId="319F73C6" w14:textId="77777777" w:rsidR="0070657F" w:rsidRPr="000C5AB4" w:rsidRDefault="0070657F" w:rsidP="00E35951">
            <w:pPr>
              <w:spacing w:after="100" w:afterAutospacing="1" w:line="360" w:lineRule="auto"/>
              <w:jc w:val="both"/>
              <w:rPr>
                <w:rFonts w:ascii="Times New Roman" w:eastAsia="Times New Roman" w:hAnsi="Times New Roman" w:cs="Times New Roman"/>
                <w:color w:val="000000"/>
                <w:sz w:val="24"/>
                <w:szCs w:val="24"/>
              </w:rPr>
            </w:pPr>
            <w:r w:rsidRPr="000C5AB4">
              <w:rPr>
                <w:rFonts w:ascii="Times New Roman" w:hAnsi="Times New Roman" w:cs="Times New Roman"/>
                <w:color w:val="000000"/>
                <w:sz w:val="24"/>
                <w:szCs w:val="24"/>
              </w:rPr>
              <w:t>0.3806</w:t>
            </w:r>
          </w:p>
        </w:tc>
      </w:tr>
      <w:tr w:rsidR="0070657F" w:rsidRPr="000C5AB4" w14:paraId="0B3BCD1D" w14:textId="77777777" w:rsidTr="0070657F">
        <w:tc>
          <w:tcPr>
            <w:tcW w:w="3790" w:type="pct"/>
          </w:tcPr>
          <w:p w14:paraId="45788778"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has improved service delivery in  various departments</w:t>
            </w:r>
          </w:p>
        </w:tc>
        <w:tc>
          <w:tcPr>
            <w:tcW w:w="550" w:type="pct"/>
            <w:gridSpan w:val="2"/>
            <w:vAlign w:val="bottom"/>
          </w:tcPr>
          <w:p w14:paraId="3BF1E89A"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4.3478</w:t>
            </w:r>
          </w:p>
        </w:tc>
        <w:tc>
          <w:tcPr>
            <w:tcW w:w="660" w:type="pct"/>
            <w:vAlign w:val="bottom"/>
          </w:tcPr>
          <w:p w14:paraId="4A7525E6"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1.0380</w:t>
            </w:r>
          </w:p>
        </w:tc>
      </w:tr>
      <w:tr w:rsidR="0070657F" w:rsidRPr="000C5AB4" w14:paraId="024CF3ED" w14:textId="77777777" w:rsidTr="0070657F">
        <w:tc>
          <w:tcPr>
            <w:tcW w:w="3790" w:type="pct"/>
          </w:tcPr>
          <w:p w14:paraId="10387BDF"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has enhanced compliance levels on various laws and regulations in departments.</w:t>
            </w:r>
          </w:p>
        </w:tc>
        <w:tc>
          <w:tcPr>
            <w:tcW w:w="550" w:type="pct"/>
            <w:gridSpan w:val="2"/>
            <w:vAlign w:val="bottom"/>
          </w:tcPr>
          <w:p w14:paraId="61F4E58A"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4.6521</w:t>
            </w:r>
          </w:p>
        </w:tc>
        <w:tc>
          <w:tcPr>
            <w:tcW w:w="660" w:type="pct"/>
            <w:vAlign w:val="bottom"/>
          </w:tcPr>
          <w:p w14:paraId="0B16BC92"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1.2837</w:t>
            </w:r>
          </w:p>
        </w:tc>
      </w:tr>
      <w:tr w:rsidR="0070657F" w:rsidRPr="000C5AB4" w14:paraId="5A191354" w14:textId="77777777" w:rsidTr="0070657F">
        <w:tc>
          <w:tcPr>
            <w:tcW w:w="3790" w:type="pct"/>
          </w:tcPr>
          <w:p w14:paraId="5D367821"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Financial discipline has improved as a result of intern audit reports and recommendations</w:t>
            </w:r>
          </w:p>
        </w:tc>
        <w:tc>
          <w:tcPr>
            <w:tcW w:w="550" w:type="pct"/>
            <w:gridSpan w:val="2"/>
            <w:vAlign w:val="bottom"/>
          </w:tcPr>
          <w:p w14:paraId="0DAB6A34"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4.4347</w:t>
            </w:r>
          </w:p>
        </w:tc>
        <w:tc>
          <w:tcPr>
            <w:tcW w:w="660" w:type="pct"/>
            <w:vAlign w:val="bottom"/>
          </w:tcPr>
          <w:p w14:paraId="0415F9B4"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1.0666</w:t>
            </w:r>
          </w:p>
        </w:tc>
      </w:tr>
      <w:tr w:rsidR="0070657F" w:rsidRPr="000C5AB4" w14:paraId="4056115B" w14:textId="77777777" w:rsidTr="0070657F">
        <w:tc>
          <w:tcPr>
            <w:tcW w:w="3790" w:type="pct"/>
          </w:tcPr>
          <w:p w14:paraId="0F076C6A"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operational Independence has been enhanced</w:t>
            </w:r>
          </w:p>
        </w:tc>
        <w:tc>
          <w:tcPr>
            <w:tcW w:w="550" w:type="pct"/>
            <w:gridSpan w:val="2"/>
            <w:vAlign w:val="bottom"/>
          </w:tcPr>
          <w:p w14:paraId="2AD6CB64"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4.1739</w:t>
            </w:r>
          </w:p>
        </w:tc>
        <w:tc>
          <w:tcPr>
            <w:tcW w:w="660" w:type="pct"/>
            <w:vAlign w:val="bottom"/>
          </w:tcPr>
          <w:p w14:paraId="0D458D9A"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0.8023</w:t>
            </w:r>
          </w:p>
        </w:tc>
      </w:tr>
      <w:tr w:rsidR="0070657F" w:rsidRPr="000C5AB4" w14:paraId="7E343C42" w14:textId="77777777" w:rsidTr="0070657F">
        <w:tc>
          <w:tcPr>
            <w:tcW w:w="3790" w:type="pct"/>
          </w:tcPr>
          <w:p w14:paraId="40E4A3AE"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audit has ensured that there’s accountability of public resources.</w:t>
            </w:r>
          </w:p>
        </w:tc>
        <w:tc>
          <w:tcPr>
            <w:tcW w:w="550" w:type="pct"/>
            <w:gridSpan w:val="2"/>
            <w:vAlign w:val="bottom"/>
          </w:tcPr>
          <w:p w14:paraId="1E6818F7"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3.3043</w:t>
            </w:r>
          </w:p>
        </w:tc>
        <w:tc>
          <w:tcPr>
            <w:tcW w:w="660" w:type="pct"/>
            <w:vAlign w:val="bottom"/>
          </w:tcPr>
          <w:p w14:paraId="1A926B8A"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0.4661</w:t>
            </w:r>
          </w:p>
        </w:tc>
      </w:tr>
      <w:tr w:rsidR="0070657F" w:rsidRPr="000C5AB4" w14:paraId="300B06A8" w14:textId="77777777" w:rsidTr="0070657F">
        <w:tc>
          <w:tcPr>
            <w:tcW w:w="3790" w:type="pct"/>
          </w:tcPr>
          <w:p w14:paraId="34F8B9D8"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Decision in departments are more transparent and within the law.</w:t>
            </w:r>
          </w:p>
        </w:tc>
        <w:tc>
          <w:tcPr>
            <w:tcW w:w="550" w:type="pct"/>
            <w:gridSpan w:val="2"/>
            <w:vAlign w:val="bottom"/>
          </w:tcPr>
          <w:p w14:paraId="44FE75B3"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4.1739</w:t>
            </w:r>
          </w:p>
        </w:tc>
        <w:tc>
          <w:tcPr>
            <w:tcW w:w="660" w:type="pct"/>
            <w:vAlign w:val="bottom"/>
          </w:tcPr>
          <w:p w14:paraId="70F632E2"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0.8168</w:t>
            </w:r>
          </w:p>
        </w:tc>
      </w:tr>
      <w:tr w:rsidR="0070657F" w:rsidRPr="000C5AB4" w14:paraId="3BE7468A" w14:textId="77777777" w:rsidTr="0070657F">
        <w:tc>
          <w:tcPr>
            <w:tcW w:w="3790" w:type="pct"/>
          </w:tcPr>
          <w:p w14:paraId="320B2CEE"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There’s improved reliability of financial reports by various departments.</w:t>
            </w:r>
          </w:p>
        </w:tc>
        <w:tc>
          <w:tcPr>
            <w:tcW w:w="550" w:type="pct"/>
            <w:gridSpan w:val="2"/>
            <w:vAlign w:val="bottom"/>
          </w:tcPr>
          <w:p w14:paraId="71C76E64"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4.2608</w:t>
            </w:r>
          </w:p>
        </w:tc>
        <w:tc>
          <w:tcPr>
            <w:tcW w:w="660" w:type="pct"/>
            <w:vAlign w:val="bottom"/>
          </w:tcPr>
          <w:p w14:paraId="0AE2DA8F"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0.8737</w:t>
            </w:r>
          </w:p>
        </w:tc>
      </w:tr>
      <w:tr w:rsidR="0070657F" w:rsidRPr="000C5AB4" w14:paraId="02CF9239" w14:textId="77777777" w:rsidTr="0070657F">
        <w:tc>
          <w:tcPr>
            <w:tcW w:w="3790" w:type="pct"/>
          </w:tcPr>
          <w:p w14:paraId="3289E484"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lastRenderedPageBreak/>
              <w:t xml:space="preserve">There’s improved utility of Public resources in an economic, transparent and efficient manner thus value for money. </w:t>
            </w:r>
          </w:p>
        </w:tc>
        <w:tc>
          <w:tcPr>
            <w:tcW w:w="550" w:type="pct"/>
            <w:gridSpan w:val="2"/>
            <w:vAlign w:val="bottom"/>
          </w:tcPr>
          <w:p w14:paraId="6F106142"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4.1739</w:t>
            </w:r>
          </w:p>
        </w:tc>
        <w:tc>
          <w:tcPr>
            <w:tcW w:w="660" w:type="pct"/>
            <w:vAlign w:val="bottom"/>
          </w:tcPr>
          <w:p w14:paraId="627021DA"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0.8023</w:t>
            </w:r>
          </w:p>
        </w:tc>
      </w:tr>
      <w:tr w:rsidR="0070657F" w:rsidRPr="000C5AB4" w14:paraId="21D7471F" w14:textId="77777777" w:rsidTr="0070657F">
        <w:tc>
          <w:tcPr>
            <w:tcW w:w="3790" w:type="pct"/>
          </w:tcPr>
          <w:p w14:paraId="70294901"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Frauds and errors are detected early enough in all department</w:t>
            </w:r>
          </w:p>
        </w:tc>
        <w:tc>
          <w:tcPr>
            <w:tcW w:w="550" w:type="pct"/>
            <w:gridSpan w:val="2"/>
            <w:vAlign w:val="bottom"/>
          </w:tcPr>
          <w:p w14:paraId="7AE2A353"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3.7826</w:t>
            </w:r>
          </w:p>
        </w:tc>
        <w:tc>
          <w:tcPr>
            <w:tcW w:w="660" w:type="pct"/>
            <w:vAlign w:val="bottom"/>
          </w:tcPr>
          <w:p w14:paraId="63A09093" w14:textId="77777777" w:rsidR="0070657F" w:rsidRPr="000C5AB4" w:rsidRDefault="0070657F" w:rsidP="00E35951">
            <w:pPr>
              <w:spacing w:after="100" w:afterAutospacing="1" w:line="36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0.6340</w:t>
            </w:r>
          </w:p>
        </w:tc>
      </w:tr>
      <w:tr w:rsidR="0070657F" w:rsidRPr="000C5AB4" w14:paraId="7C091C10" w14:textId="77777777" w:rsidTr="0070657F">
        <w:tc>
          <w:tcPr>
            <w:tcW w:w="3903" w:type="pct"/>
            <w:gridSpan w:val="2"/>
          </w:tcPr>
          <w:p w14:paraId="5AD0436E" w14:textId="77777777" w:rsidR="0070657F" w:rsidRPr="000C5AB4" w:rsidRDefault="0070657F" w:rsidP="00E35951">
            <w:pPr>
              <w:pStyle w:val="Default"/>
              <w:spacing w:after="100" w:afterAutospacing="1" w:line="360" w:lineRule="auto"/>
              <w:jc w:val="both"/>
            </w:pPr>
            <w:r w:rsidRPr="000C5AB4">
              <w:rPr>
                <w:b/>
                <w:bCs/>
              </w:rPr>
              <w:t xml:space="preserve">Composite Mean and Standard Deviation </w:t>
            </w:r>
          </w:p>
        </w:tc>
        <w:tc>
          <w:tcPr>
            <w:tcW w:w="437" w:type="pct"/>
          </w:tcPr>
          <w:p w14:paraId="02B7C4A2" w14:textId="77777777" w:rsidR="0070657F" w:rsidRPr="000C5AB4" w:rsidRDefault="0070657F" w:rsidP="00E35951">
            <w:pPr>
              <w:spacing w:after="100" w:afterAutospacing="1" w:line="360" w:lineRule="auto"/>
              <w:jc w:val="both"/>
              <w:rPr>
                <w:rFonts w:ascii="Times New Roman" w:eastAsia="Times New Roman" w:hAnsi="Times New Roman" w:cs="Times New Roman"/>
                <w:b/>
                <w:sz w:val="24"/>
                <w:szCs w:val="24"/>
              </w:rPr>
            </w:pPr>
            <w:r w:rsidRPr="000C5AB4">
              <w:rPr>
                <w:rFonts w:ascii="Times New Roman" w:hAnsi="Times New Roman" w:cs="Times New Roman"/>
                <w:b/>
                <w:sz w:val="24"/>
                <w:szCs w:val="24"/>
              </w:rPr>
              <w:t>4.4975</w:t>
            </w:r>
          </w:p>
        </w:tc>
        <w:tc>
          <w:tcPr>
            <w:tcW w:w="660" w:type="pct"/>
          </w:tcPr>
          <w:p w14:paraId="5EFF1D04" w14:textId="77777777" w:rsidR="0070657F" w:rsidRPr="000C5AB4" w:rsidRDefault="0070657F" w:rsidP="00E35951">
            <w:pPr>
              <w:spacing w:after="100" w:afterAutospacing="1" w:line="360" w:lineRule="auto"/>
              <w:jc w:val="both"/>
              <w:rPr>
                <w:rFonts w:ascii="Times New Roman" w:eastAsia="Times New Roman" w:hAnsi="Times New Roman" w:cs="Times New Roman"/>
                <w:b/>
                <w:sz w:val="24"/>
                <w:szCs w:val="24"/>
              </w:rPr>
            </w:pPr>
            <w:r w:rsidRPr="000C5AB4">
              <w:rPr>
                <w:rFonts w:ascii="Times New Roman" w:hAnsi="Times New Roman" w:cs="Times New Roman"/>
                <w:b/>
                <w:sz w:val="24"/>
                <w:szCs w:val="24"/>
              </w:rPr>
              <w:t>0.90717</w:t>
            </w:r>
          </w:p>
        </w:tc>
      </w:tr>
    </w:tbl>
    <w:p w14:paraId="04867B17"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commentRangeStart w:id="49"/>
      <w:r w:rsidRPr="000C5AB4">
        <w:rPr>
          <w:rFonts w:ascii="Times New Roman" w:eastAsia="Times New Roman" w:hAnsi="Times New Roman" w:cs="Times New Roman"/>
          <w:sz w:val="24"/>
          <w:szCs w:val="24"/>
        </w:rPr>
        <w:t>Source: Researcher, 2024.</w:t>
      </w:r>
      <w:commentRangeEnd w:id="49"/>
      <w:r w:rsidR="00775D7F">
        <w:rPr>
          <w:rStyle w:val="CommentReference"/>
        </w:rPr>
        <w:commentReference w:id="49"/>
      </w:r>
    </w:p>
    <w:p w14:paraId="362CDCC6" w14:textId="2FEC1F11" w:rsidR="0070657F" w:rsidRPr="000C5AB4" w:rsidRDefault="0070657F" w:rsidP="00E35951">
      <w:pPr>
        <w:pStyle w:val="NormalWeb"/>
        <w:spacing w:before="0" w:beforeAutospacing="0" w:line="360" w:lineRule="auto"/>
        <w:jc w:val="both"/>
      </w:pPr>
      <w:r w:rsidRPr="000C5AB4">
        <w:t xml:space="preserve">The findings in </w:t>
      </w:r>
      <w:r w:rsidR="006D75E2">
        <w:rPr>
          <w:rStyle w:val="Strong"/>
          <w:rFonts w:eastAsiaTheme="majorEastAsia"/>
        </w:rPr>
        <w:t>Table 3</w:t>
      </w:r>
      <w:r w:rsidRPr="000C5AB4">
        <w:t xml:space="preserve"> </w:t>
      </w:r>
      <w:r w:rsidR="008B1614" w:rsidRPr="000C5AB4">
        <w:t>indicate that the overall,</w:t>
      </w:r>
      <w:r w:rsidR="00D65C0F">
        <w:t xml:space="preserve"> </w:t>
      </w:r>
      <w:r w:rsidRPr="000C5AB4">
        <w:t xml:space="preserve">composite rating for statements regarding governance process outcomes as a result of internal audit at the national treasuries in North Rift, Kenya, showed a mean score of </w:t>
      </w:r>
      <w:r w:rsidRPr="000C5AB4">
        <w:rPr>
          <w:rStyle w:val="Strong"/>
          <w:rFonts w:eastAsiaTheme="majorEastAsia"/>
        </w:rPr>
        <w:t>3.8130</w:t>
      </w:r>
      <w:r w:rsidRPr="000C5AB4">
        <w:t xml:space="preserve"> and a standard deviation of </w:t>
      </w:r>
      <w:r w:rsidRPr="000C5AB4">
        <w:rPr>
          <w:rStyle w:val="Strong"/>
          <w:rFonts w:eastAsiaTheme="majorEastAsia"/>
        </w:rPr>
        <w:t>0.8003</w:t>
      </w:r>
      <w:r w:rsidRPr="000C5AB4">
        <w:t>. Respondents strongly agreed that internal audit activities have enhanced governance process outcomes in this region.</w:t>
      </w:r>
    </w:p>
    <w:p w14:paraId="721E7357" w14:textId="77777777" w:rsidR="001B4B39" w:rsidRPr="000C5AB4" w:rsidRDefault="001B4B39" w:rsidP="00E35951">
      <w:pPr>
        <w:pStyle w:val="NormalWeb"/>
        <w:spacing w:before="0" w:beforeAutospacing="0" w:line="360" w:lineRule="auto"/>
        <w:jc w:val="both"/>
        <w:rPr>
          <w:b/>
        </w:rPr>
      </w:pPr>
      <w:r w:rsidRPr="000C5AB4">
        <w:rPr>
          <w:b/>
        </w:rPr>
        <w:t>Inferential statistics</w:t>
      </w:r>
    </w:p>
    <w:p w14:paraId="153BC186" w14:textId="4A19F244" w:rsidR="0070657F" w:rsidRPr="000C5AB4" w:rsidRDefault="0070657F" w:rsidP="00E35951">
      <w:pPr>
        <w:spacing w:after="100" w:afterAutospacing="1" w:line="360" w:lineRule="auto"/>
        <w:jc w:val="both"/>
        <w:rPr>
          <w:rFonts w:ascii="Times New Roman" w:hAnsi="Times New Roman" w:cs="Times New Roman"/>
          <w:sz w:val="24"/>
          <w:szCs w:val="24"/>
        </w:rPr>
      </w:pPr>
      <w:bookmarkStart w:id="50" w:name="_Toc178857127"/>
      <w:bookmarkStart w:id="51" w:name="_Toc174384408"/>
      <w:r w:rsidRPr="000C5AB4">
        <w:rPr>
          <w:rFonts w:ascii="Times New Roman" w:hAnsi="Times New Roman" w:cs="Times New Roman"/>
          <w:sz w:val="24"/>
          <w:szCs w:val="24"/>
        </w:rPr>
        <w:t>To evaluate the co</w:t>
      </w:r>
      <w:r w:rsidR="00D65C0F">
        <w:rPr>
          <w:rFonts w:ascii="Times New Roman" w:hAnsi="Times New Roman" w:cs="Times New Roman"/>
          <w:sz w:val="24"/>
          <w:szCs w:val="24"/>
        </w:rPr>
        <w:t xml:space="preserve">rrelation strength between </w:t>
      </w:r>
      <w:r w:rsidRPr="000C5AB4">
        <w:rPr>
          <w:rFonts w:ascii="Times New Roman" w:hAnsi="Times New Roman" w:cs="Times New Roman"/>
          <w:sz w:val="24"/>
          <w:szCs w:val="24"/>
        </w:rPr>
        <w:t>variables, the researcher employed Karl Pearson’s coefficient of correlation (r). The</w:t>
      </w:r>
      <w:r w:rsidR="00D47EB5" w:rsidRPr="000C5AB4">
        <w:rPr>
          <w:rFonts w:ascii="Times New Roman" w:hAnsi="Times New Roman" w:cs="Times New Roman"/>
          <w:sz w:val="24"/>
          <w:szCs w:val="24"/>
        </w:rPr>
        <w:t xml:space="preserve"> results displayed in Tabl</w:t>
      </w:r>
      <w:r w:rsidR="006D75E2">
        <w:rPr>
          <w:rFonts w:ascii="Times New Roman" w:hAnsi="Times New Roman" w:cs="Times New Roman"/>
          <w:sz w:val="24"/>
          <w:szCs w:val="24"/>
        </w:rPr>
        <w:t>e 4</w:t>
      </w:r>
      <w:r w:rsidRPr="000C5AB4">
        <w:rPr>
          <w:rFonts w:ascii="Times New Roman" w:hAnsi="Times New Roman" w:cs="Times New Roman"/>
          <w:sz w:val="24"/>
          <w:szCs w:val="24"/>
        </w:rPr>
        <w:t xml:space="preserve"> reveal a </w:t>
      </w:r>
      <w:r w:rsidR="00D65C0F">
        <w:rPr>
          <w:rFonts w:ascii="Times New Roman" w:hAnsi="Times New Roman" w:cs="Times New Roman"/>
          <w:sz w:val="24"/>
          <w:szCs w:val="24"/>
        </w:rPr>
        <w:t>strong positive correlation of 0.7</w:t>
      </w:r>
      <w:r w:rsidRPr="000C5AB4">
        <w:rPr>
          <w:rFonts w:ascii="Times New Roman" w:hAnsi="Times New Roman" w:cs="Times New Roman"/>
          <w:sz w:val="24"/>
          <w:szCs w:val="24"/>
        </w:rPr>
        <w:t xml:space="preserve">83 between governance processes and internal controls within the national treasuries of North Rift, Kenya. </w:t>
      </w:r>
      <w:bookmarkEnd w:id="50"/>
    </w:p>
    <w:p w14:paraId="307C0154" w14:textId="4404F326" w:rsidR="0070657F" w:rsidRPr="000C5AB4" w:rsidRDefault="0070657F" w:rsidP="00E35951">
      <w:pPr>
        <w:spacing w:after="100" w:afterAutospacing="1"/>
        <w:rPr>
          <w:rFonts w:ascii="Times New Roman" w:hAnsi="Times New Roman" w:cs="Times New Roman"/>
          <w:b/>
          <w:sz w:val="24"/>
          <w:szCs w:val="24"/>
        </w:rPr>
      </w:pPr>
      <w:bookmarkStart w:id="52" w:name="_Toc178857128"/>
      <w:r w:rsidRPr="000C5AB4">
        <w:rPr>
          <w:rFonts w:ascii="Times New Roman" w:hAnsi="Times New Roman" w:cs="Times New Roman"/>
          <w:b/>
          <w:sz w:val="24"/>
          <w:szCs w:val="24"/>
        </w:rPr>
        <w:t>Ta</w:t>
      </w:r>
      <w:r w:rsidR="006D75E2">
        <w:rPr>
          <w:rFonts w:ascii="Times New Roman" w:hAnsi="Times New Roman" w:cs="Times New Roman"/>
          <w:b/>
          <w:sz w:val="24"/>
          <w:szCs w:val="24"/>
        </w:rPr>
        <w:t>ble.4</w:t>
      </w:r>
      <w:r w:rsidRPr="000C5AB4">
        <w:rPr>
          <w:rFonts w:ascii="Times New Roman" w:hAnsi="Times New Roman" w:cs="Times New Roman"/>
          <w:b/>
          <w:sz w:val="24"/>
          <w:szCs w:val="24"/>
        </w:rPr>
        <w:t>: Coefficient of Correlation.</w:t>
      </w:r>
      <w:bookmarkEnd w:id="51"/>
      <w:bookmarkEnd w:id="52"/>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2"/>
        <w:gridCol w:w="1883"/>
        <w:gridCol w:w="1279"/>
        <w:gridCol w:w="1414"/>
      </w:tblGrid>
      <w:tr w:rsidR="006655A7" w:rsidRPr="000C5AB4" w14:paraId="465F233A" w14:textId="77777777" w:rsidTr="0070657F">
        <w:tc>
          <w:tcPr>
            <w:tcW w:w="1712" w:type="dxa"/>
            <w:tcBorders>
              <w:top w:val="single" w:sz="4" w:space="0" w:color="auto"/>
              <w:bottom w:val="single" w:sz="4" w:space="0" w:color="auto"/>
            </w:tcBorders>
          </w:tcPr>
          <w:p w14:paraId="204BD094"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Borders>
              <w:top w:val="single" w:sz="4" w:space="0" w:color="auto"/>
              <w:bottom w:val="single" w:sz="4" w:space="0" w:color="auto"/>
            </w:tcBorders>
          </w:tcPr>
          <w:p w14:paraId="178D882C"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c>
          <w:tcPr>
            <w:tcW w:w="1279" w:type="dxa"/>
            <w:tcBorders>
              <w:top w:val="single" w:sz="4" w:space="0" w:color="auto"/>
              <w:bottom w:val="single" w:sz="4" w:space="0" w:color="auto"/>
            </w:tcBorders>
          </w:tcPr>
          <w:p w14:paraId="2BADC1A0"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Governance Processes</w:t>
            </w:r>
          </w:p>
        </w:tc>
        <w:tc>
          <w:tcPr>
            <w:tcW w:w="1414" w:type="dxa"/>
            <w:tcBorders>
              <w:top w:val="single" w:sz="4" w:space="0" w:color="auto"/>
              <w:bottom w:val="single" w:sz="4" w:space="0" w:color="auto"/>
            </w:tcBorders>
          </w:tcPr>
          <w:p w14:paraId="43E9CF19"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p w14:paraId="7BBABFDB"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Controls</w:t>
            </w:r>
          </w:p>
        </w:tc>
      </w:tr>
      <w:tr w:rsidR="006655A7" w:rsidRPr="000C5AB4" w14:paraId="26F0B0CC" w14:textId="77777777" w:rsidTr="0070657F">
        <w:tc>
          <w:tcPr>
            <w:tcW w:w="1712" w:type="dxa"/>
            <w:tcBorders>
              <w:top w:val="single" w:sz="4" w:space="0" w:color="auto"/>
            </w:tcBorders>
          </w:tcPr>
          <w:p w14:paraId="4AD74CD9"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Governance processes</w:t>
            </w:r>
          </w:p>
        </w:tc>
        <w:tc>
          <w:tcPr>
            <w:tcW w:w="1883" w:type="dxa"/>
            <w:tcBorders>
              <w:top w:val="single" w:sz="4" w:space="0" w:color="auto"/>
            </w:tcBorders>
          </w:tcPr>
          <w:p w14:paraId="40AC066F"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Pearson’s Correlation</w:t>
            </w:r>
          </w:p>
        </w:tc>
        <w:tc>
          <w:tcPr>
            <w:tcW w:w="1279" w:type="dxa"/>
            <w:tcBorders>
              <w:top w:val="single" w:sz="4" w:space="0" w:color="auto"/>
            </w:tcBorders>
          </w:tcPr>
          <w:p w14:paraId="227FB5DB"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1</w:t>
            </w:r>
          </w:p>
        </w:tc>
        <w:tc>
          <w:tcPr>
            <w:tcW w:w="1414" w:type="dxa"/>
            <w:tcBorders>
              <w:top w:val="single" w:sz="4" w:space="0" w:color="auto"/>
            </w:tcBorders>
          </w:tcPr>
          <w:p w14:paraId="18704AC2"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r>
      <w:tr w:rsidR="006655A7" w:rsidRPr="000C5AB4" w14:paraId="0EC2C2B2" w14:textId="77777777" w:rsidTr="0070657F">
        <w:tc>
          <w:tcPr>
            <w:tcW w:w="1712" w:type="dxa"/>
          </w:tcPr>
          <w:p w14:paraId="7ABB3E0C"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Pr>
          <w:p w14:paraId="7C485E8C"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Sig. (2-tailed)</w:t>
            </w:r>
          </w:p>
        </w:tc>
        <w:tc>
          <w:tcPr>
            <w:tcW w:w="1279" w:type="dxa"/>
          </w:tcPr>
          <w:p w14:paraId="7F601B5D"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c>
          <w:tcPr>
            <w:tcW w:w="1414" w:type="dxa"/>
          </w:tcPr>
          <w:p w14:paraId="2506BE64"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r>
      <w:tr w:rsidR="006655A7" w:rsidRPr="000C5AB4" w14:paraId="1E8823CD" w14:textId="77777777" w:rsidTr="0070657F">
        <w:tc>
          <w:tcPr>
            <w:tcW w:w="1712" w:type="dxa"/>
          </w:tcPr>
          <w:p w14:paraId="60B3DB43"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Controls</w:t>
            </w:r>
          </w:p>
        </w:tc>
        <w:tc>
          <w:tcPr>
            <w:tcW w:w="1883" w:type="dxa"/>
          </w:tcPr>
          <w:p w14:paraId="6EEF86CF"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Pearson’s Correlation</w:t>
            </w:r>
          </w:p>
        </w:tc>
        <w:tc>
          <w:tcPr>
            <w:tcW w:w="1279" w:type="dxa"/>
          </w:tcPr>
          <w:p w14:paraId="76139B7F"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p w14:paraId="69415158" w14:textId="77777777" w:rsidR="006655A7" w:rsidRPr="000C5AB4" w:rsidRDefault="00D65C0F" w:rsidP="00E35951">
            <w:pPr>
              <w:autoSpaceDE w:val="0"/>
              <w:autoSpaceDN w:val="0"/>
              <w:adjustRightInd w:val="0"/>
              <w:spacing w:after="100" w:afterAutospacing="1"/>
              <w:jc w:val="both"/>
              <w:rPr>
                <w:rFonts w:ascii="Times New Roman" w:hAnsi="Times New Roman" w:cs="Times New Roman"/>
                <w:color w:val="000000"/>
                <w:sz w:val="24"/>
                <w:szCs w:val="24"/>
              </w:rPr>
            </w:pPr>
            <w:r>
              <w:rPr>
                <w:rFonts w:ascii="Times New Roman" w:hAnsi="Times New Roman" w:cs="Times New Roman"/>
                <w:sz w:val="24"/>
                <w:szCs w:val="24"/>
              </w:rPr>
              <w:t>.7</w:t>
            </w:r>
            <w:r w:rsidR="006655A7" w:rsidRPr="000C5AB4">
              <w:rPr>
                <w:rFonts w:ascii="Times New Roman" w:hAnsi="Times New Roman" w:cs="Times New Roman"/>
                <w:sz w:val="24"/>
                <w:szCs w:val="24"/>
              </w:rPr>
              <w:t>83</w:t>
            </w:r>
          </w:p>
        </w:tc>
        <w:tc>
          <w:tcPr>
            <w:tcW w:w="1414" w:type="dxa"/>
          </w:tcPr>
          <w:p w14:paraId="09DA80B4"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1</w:t>
            </w:r>
          </w:p>
        </w:tc>
      </w:tr>
      <w:tr w:rsidR="006655A7" w:rsidRPr="000C5AB4" w14:paraId="46EEE6D9" w14:textId="77777777" w:rsidTr="0070657F">
        <w:tc>
          <w:tcPr>
            <w:tcW w:w="1712" w:type="dxa"/>
          </w:tcPr>
          <w:p w14:paraId="67D241F7"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Pr>
          <w:p w14:paraId="0839A069"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Sig. (2-tailed)</w:t>
            </w:r>
          </w:p>
        </w:tc>
        <w:tc>
          <w:tcPr>
            <w:tcW w:w="1279" w:type="dxa"/>
          </w:tcPr>
          <w:p w14:paraId="25CBA367"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.002</w:t>
            </w:r>
          </w:p>
        </w:tc>
        <w:tc>
          <w:tcPr>
            <w:tcW w:w="1414" w:type="dxa"/>
          </w:tcPr>
          <w:p w14:paraId="1048764B" w14:textId="77777777" w:rsidR="006655A7" w:rsidRPr="000C5AB4" w:rsidRDefault="006655A7" w:rsidP="00E35951">
            <w:pPr>
              <w:autoSpaceDE w:val="0"/>
              <w:autoSpaceDN w:val="0"/>
              <w:adjustRightInd w:val="0"/>
              <w:spacing w:after="100" w:afterAutospacing="1"/>
              <w:jc w:val="both"/>
              <w:rPr>
                <w:rFonts w:ascii="Times New Roman" w:hAnsi="Times New Roman" w:cs="Times New Roman"/>
                <w:color w:val="000000"/>
                <w:sz w:val="24"/>
                <w:szCs w:val="24"/>
              </w:rPr>
            </w:pPr>
          </w:p>
        </w:tc>
      </w:tr>
    </w:tbl>
    <w:p w14:paraId="561AF73C" w14:textId="77777777" w:rsidR="0070657F" w:rsidRPr="000C5AB4" w:rsidRDefault="009F3AD5" w:rsidP="00E35951">
      <w:pPr>
        <w:spacing w:after="100" w:afterAutospacing="1" w:line="360" w:lineRule="auto"/>
        <w:jc w:val="both"/>
        <w:rPr>
          <w:rFonts w:ascii="Times New Roman" w:eastAsia="Times New Roman" w:hAnsi="Times New Roman" w:cs="Times New Roman"/>
          <w:b/>
          <w:sz w:val="24"/>
          <w:szCs w:val="24"/>
        </w:rPr>
      </w:pPr>
      <w:commentRangeStart w:id="53"/>
      <w:r w:rsidRPr="000C5AB4">
        <w:rPr>
          <w:rFonts w:ascii="Times New Roman" w:eastAsia="Times New Roman" w:hAnsi="Times New Roman" w:cs="Times New Roman"/>
          <w:b/>
          <w:sz w:val="24"/>
          <w:szCs w:val="24"/>
        </w:rPr>
        <w:t>Source: Researcher, 2024.</w:t>
      </w:r>
      <w:bookmarkStart w:id="54" w:name="_Toc53764706"/>
      <w:bookmarkStart w:id="55" w:name="_Toc55487598"/>
      <w:bookmarkStart w:id="56" w:name="_Toc55741276"/>
      <w:bookmarkStart w:id="57" w:name="_Toc174384410"/>
      <w:commentRangeEnd w:id="53"/>
      <w:r w:rsidR="006913DD">
        <w:rPr>
          <w:rStyle w:val="CommentReference"/>
        </w:rPr>
        <w:commentReference w:id="53"/>
      </w:r>
    </w:p>
    <w:p w14:paraId="638BA1EB"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The coefficient of determination (R²) indicates the extent to which changes in the dependent variable can be attributed to changes in the independent variables. Specifically, it represents the percentage of varia</w:t>
      </w:r>
      <w:r w:rsidR="00D65C0F">
        <w:rPr>
          <w:rFonts w:ascii="Times New Roman" w:hAnsi="Times New Roman" w:cs="Times New Roman"/>
          <w:sz w:val="24"/>
          <w:szCs w:val="24"/>
        </w:rPr>
        <w:t xml:space="preserve">tion in the </w:t>
      </w:r>
      <w:r w:rsidRPr="000C5AB4">
        <w:rPr>
          <w:rFonts w:ascii="Times New Roman" w:hAnsi="Times New Roman" w:cs="Times New Roman"/>
          <w:sz w:val="24"/>
          <w:szCs w:val="24"/>
        </w:rPr>
        <w:t>Governance P</w:t>
      </w:r>
      <w:r w:rsidR="00D65C0F">
        <w:rPr>
          <w:rFonts w:ascii="Times New Roman" w:hAnsi="Times New Roman" w:cs="Times New Roman"/>
          <w:sz w:val="24"/>
          <w:szCs w:val="24"/>
        </w:rPr>
        <w:t xml:space="preserve">rocesses </w:t>
      </w:r>
      <w:r w:rsidRPr="000C5AB4">
        <w:rPr>
          <w:rFonts w:ascii="Times New Roman" w:hAnsi="Times New Roman" w:cs="Times New Roman"/>
          <w:sz w:val="24"/>
          <w:szCs w:val="24"/>
        </w:rPr>
        <w:t xml:space="preserve">that is explained by </w:t>
      </w:r>
      <w:r w:rsidR="00D65C0F">
        <w:rPr>
          <w:rFonts w:ascii="Times New Roman" w:hAnsi="Times New Roman" w:cs="Times New Roman"/>
          <w:sz w:val="24"/>
          <w:szCs w:val="24"/>
        </w:rPr>
        <w:t>internal Controls.</w:t>
      </w:r>
      <w:r w:rsidRPr="000C5AB4">
        <w:rPr>
          <w:rFonts w:ascii="Times New Roman" w:hAnsi="Times New Roman" w:cs="Times New Roman"/>
          <w:sz w:val="24"/>
          <w:szCs w:val="24"/>
        </w:rPr>
        <w:t xml:space="preserve"> </w:t>
      </w:r>
    </w:p>
    <w:p w14:paraId="7ECFAE80" w14:textId="352BF309" w:rsidR="0070657F" w:rsidRPr="000C5AB4" w:rsidRDefault="006D75E2" w:rsidP="00E35951">
      <w:pPr>
        <w:spacing w:after="100" w:afterAutospacing="1"/>
        <w:rPr>
          <w:rFonts w:ascii="Times New Roman" w:hAnsi="Times New Roman" w:cs="Times New Roman"/>
          <w:b/>
          <w:sz w:val="24"/>
          <w:szCs w:val="24"/>
        </w:rPr>
      </w:pPr>
      <w:bookmarkStart w:id="58" w:name="_Toc178857130"/>
      <w:r>
        <w:rPr>
          <w:rFonts w:ascii="Times New Roman" w:hAnsi="Times New Roman" w:cs="Times New Roman"/>
          <w:b/>
          <w:sz w:val="24"/>
          <w:szCs w:val="24"/>
        </w:rPr>
        <w:lastRenderedPageBreak/>
        <w:t xml:space="preserve">Table </w:t>
      </w:r>
      <w:r w:rsidR="00A519D8">
        <w:rPr>
          <w:rFonts w:ascii="Times New Roman" w:hAnsi="Times New Roman" w:cs="Times New Roman"/>
          <w:b/>
          <w:sz w:val="24"/>
          <w:szCs w:val="24"/>
        </w:rPr>
        <w:t>5</w:t>
      </w:r>
      <w:r>
        <w:rPr>
          <w:rFonts w:ascii="Times New Roman" w:hAnsi="Times New Roman" w:cs="Times New Roman"/>
          <w:b/>
          <w:sz w:val="24"/>
          <w:szCs w:val="24"/>
        </w:rPr>
        <w:t xml:space="preserve"> </w:t>
      </w:r>
      <w:r w:rsidR="0070657F" w:rsidRPr="000C5AB4">
        <w:rPr>
          <w:rFonts w:ascii="Times New Roman" w:hAnsi="Times New Roman" w:cs="Times New Roman"/>
          <w:b/>
          <w:sz w:val="24"/>
          <w:szCs w:val="24"/>
        </w:rPr>
        <w:t>Overall Model Summary</w:t>
      </w:r>
      <w:bookmarkEnd w:id="54"/>
      <w:bookmarkEnd w:id="55"/>
      <w:bookmarkEnd w:id="56"/>
      <w:bookmarkEnd w:id="57"/>
      <w:bookmarkEnd w:id="58"/>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1858"/>
        <w:gridCol w:w="1870"/>
        <w:gridCol w:w="1882"/>
        <w:gridCol w:w="1882"/>
      </w:tblGrid>
      <w:tr w:rsidR="0070657F" w:rsidRPr="000C5AB4" w14:paraId="0F119078" w14:textId="77777777" w:rsidTr="0070657F">
        <w:tc>
          <w:tcPr>
            <w:tcW w:w="1935" w:type="dxa"/>
            <w:tcBorders>
              <w:top w:val="single" w:sz="4" w:space="0" w:color="auto"/>
              <w:bottom w:val="single" w:sz="4" w:space="0" w:color="auto"/>
            </w:tcBorders>
          </w:tcPr>
          <w:p w14:paraId="0066678E"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Model</w:t>
            </w:r>
          </w:p>
        </w:tc>
        <w:tc>
          <w:tcPr>
            <w:tcW w:w="1935" w:type="dxa"/>
            <w:tcBorders>
              <w:top w:val="single" w:sz="4" w:space="0" w:color="auto"/>
              <w:bottom w:val="single" w:sz="4" w:space="0" w:color="auto"/>
            </w:tcBorders>
          </w:tcPr>
          <w:p w14:paraId="739F5A38"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R</w:t>
            </w:r>
          </w:p>
        </w:tc>
        <w:tc>
          <w:tcPr>
            <w:tcW w:w="1935" w:type="dxa"/>
            <w:tcBorders>
              <w:top w:val="single" w:sz="4" w:space="0" w:color="auto"/>
              <w:bottom w:val="single" w:sz="4" w:space="0" w:color="auto"/>
            </w:tcBorders>
          </w:tcPr>
          <w:p w14:paraId="435519EB"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R Square</w:t>
            </w:r>
          </w:p>
        </w:tc>
        <w:tc>
          <w:tcPr>
            <w:tcW w:w="1935" w:type="dxa"/>
            <w:tcBorders>
              <w:top w:val="single" w:sz="4" w:space="0" w:color="auto"/>
              <w:bottom w:val="single" w:sz="4" w:space="0" w:color="auto"/>
            </w:tcBorders>
          </w:tcPr>
          <w:p w14:paraId="32D03319"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Adjusted R Square</w:t>
            </w:r>
          </w:p>
        </w:tc>
        <w:tc>
          <w:tcPr>
            <w:tcW w:w="1936" w:type="dxa"/>
            <w:tcBorders>
              <w:top w:val="single" w:sz="4" w:space="0" w:color="auto"/>
              <w:bottom w:val="single" w:sz="4" w:space="0" w:color="auto"/>
            </w:tcBorders>
          </w:tcPr>
          <w:p w14:paraId="7845210B"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Std. Error of the Estimate</w:t>
            </w:r>
          </w:p>
        </w:tc>
      </w:tr>
      <w:tr w:rsidR="0070657F" w:rsidRPr="000C5AB4" w14:paraId="7CC70484" w14:textId="77777777" w:rsidTr="0070657F">
        <w:tc>
          <w:tcPr>
            <w:tcW w:w="1935" w:type="dxa"/>
            <w:tcBorders>
              <w:top w:val="single" w:sz="4" w:space="0" w:color="auto"/>
            </w:tcBorders>
          </w:tcPr>
          <w:p w14:paraId="2FE00D9B"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1</w:t>
            </w:r>
          </w:p>
        </w:tc>
        <w:tc>
          <w:tcPr>
            <w:tcW w:w="1935" w:type="dxa"/>
            <w:tcBorders>
              <w:top w:val="single" w:sz="4" w:space="0" w:color="auto"/>
            </w:tcBorders>
          </w:tcPr>
          <w:p w14:paraId="4176CE1F" w14:textId="77777777" w:rsidR="0070657F" w:rsidRPr="000C5AB4" w:rsidRDefault="00D65C0F" w:rsidP="00E35951">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9</w:t>
            </w:r>
            <w:r w:rsidR="0070657F" w:rsidRPr="000C5AB4">
              <w:rPr>
                <w:rFonts w:ascii="Times New Roman" w:eastAsia="Times New Roman" w:hAnsi="Times New Roman" w:cs="Times New Roman"/>
                <w:sz w:val="24"/>
                <w:szCs w:val="24"/>
              </w:rPr>
              <w:t>12a</w:t>
            </w:r>
          </w:p>
        </w:tc>
        <w:tc>
          <w:tcPr>
            <w:tcW w:w="1935" w:type="dxa"/>
            <w:tcBorders>
              <w:top w:val="single" w:sz="4" w:space="0" w:color="auto"/>
            </w:tcBorders>
          </w:tcPr>
          <w:p w14:paraId="05CE5ACD" w14:textId="77777777" w:rsidR="0070657F" w:rsidRPr="000C5AB4" w:rsidRDefault="00D65C0F" w:rsidP="00E35951">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.831</w:t>
            </w:r>
          </w:p>
        </w:tc>
        <w:tc>
          <w:tcPr>
            <w:tcW w:w="1935" w:type="dxa"/>
            <w:tcBorders>
              <w:top w:val="single" w:sz="4" w:space="0" w:color="auto"/>
            </w:tcBorders>
          </w:tcPr>
          <w:p w14:paraId="587E0E4A" w14:textId="77777777" w:rsidR="0070657F" w:rsidRPr="000C5AB4" w:rsidRDefault="00D65C0F" w:rsidP="00E35951">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0657F" w:rsidRPr="000C5AB4">
              <w:rPr>
                <w:rFonts w:ascii="Times New Roman" w:eastAsia="Times New Roman" w:hAnsi="Times New Roman" w:cs="Times New Roman"/>
                <w:sz w:val="24"/>
                <w:szCs w:val="24"/>
              </w:rPr>
              <w:t>97</w:t>
            </w:r>
          </w:p>
        </w:tc>
        <w:tc>
          <w:tcPr>
            <w:tcW w:w="1936" w:type="dxa"/>
            <w:tcBorders>
              <w:top w:val="single" w:sz="4" w:space="0" w:color="auto"/>
            </w:tcBorders>
          </w:tcPr>
          <w:p w14:paraId="76F6FFFA" w14:textId="77777777" w:rsidR="0070657F" w:rsidRPr="000C5AB4" w:rsidRDefault="00D65C0F" w:rsidP="00E35951">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w:t>
            </w:r>
          </w:p>
        </w:tc>
      </w:tr>
    </w:tbl>
    <w:p w14:paraId="7A052EF7" w14:textId="77777777" w:rsidR="009F3AD5" w:rsidRPr="000C5AB4" w:rsidRDefault="0070657F" w:rsidP="00E35951">
      <w:pPr>
        <w:pStyle w:val="ListParagraph"/>
        <w:numPr>
          <w:ilvl w:val="0"/>
          <w:numId w:val="34"/>
        </w:numPr>
        <w:spacing w:after="100" w:afterAutospacing="1" w:line="360" w:lineRule="auto"/>
        <w:jc w:val="both"/>
        <w:rPr>
          <w:rFonts w:ascii="Times New Roman" w:hAnsi="Times New Roman"/>
          <w:b/>
        </w:rPr>
      </w:pPr>
      <w:r w:rsidRPr="000C5AB4">
        <w:rPr>
          <w:rFonts w:ascii="Times New Roman" w:hAnsi="Times New Roman"/>
        </w:rPr>
        <w:t xml:space="preserve">Predictors: (Constant), Internal Controls, </w:t>
      </w:r>
    </w:p>
    <w:p w14:paraId="33E7B30A" w14:textId="77777777" w:rsidR="0070657F" w:rsidRPr="000C5AB4" w:rsidRDefault="0070657F" w:rsidP="00E35951">
      <w:pPr>
        <w:pStyle w:val="ListParagraph"/>
        <w:numPr>
          <w:ilvl w:val="0"/>
          <w:numId w:val="34"/>
        </w:numPr>
        <w:spacing w:after="100" w:afterAutospacing="1" w:line="360" w:lineRule="auto"/>
        <w:jc w:val="both"/>
        <w:rPr>
          <w:rFonts w:ascii="Times New Roman" w:hAnsi="Times New Roman"/>
          <w:b/>
        </w:rPr>
      </w:pPr>
      <w:commentRangeStart w:id="59"/>
      <w:r w:rsidRPr="000C5AB4">
        <w:rPr>
          <w:rFonts w:ascii="Times New Roman" w:hAnsi="Times New Roman"/>
          <w:b/>
        </w:rPr>
        <w:t>Source: Researcher, 2024</w:t>
      </w:r>
      <w:commentRangeEnd w:id="59"/>
      <w:r w:rsidR="00450641">
        <w:rPr>
          <w:rStyle w:val="CommentReference"/>
          <w:rFonts w:asciiTheme="minorHAnsi" w:eastAsiaTheme="minorHAnsi" w:hAnsiTheme="minorHAnsi" w:cstheme="minorBidi"/>
          <w:lang w:val="en-US" w:eastAsia="en-US"/>
        </w:rPr>
        <w:commentReference w:id="59"/>
      </w:r>
    </w:p>
    <w:p w14:paraId="5ACC6378"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The study found that the </w:t>
      </w:r>
      <w:r w:rsidR="00D65C0F">
        <w:rPr>
          <w:rFonts w:ascii="Times New Roman" w:hAnsi="Times New Roman" w:cs="Times New Roman"/>
          <w:sz w:val="24"/>
          <w:szCs w:val="24"/>
        </w:rPr>
        <w:t>internal Controls</w:t>
      </w:r>
      <w:r w:rsidR="00D65C0F" w:rsidRPr="000C5AB4">
        <w:rPr>
          <w:rFonts w:ascii="Times New Roman" w:hAnsi="Times New Roman" w:cs="Times New Roman"/>
          <w:sz w:val="24"/>
          <w:szCs w:val="24"/>
        </w:rPr>
        <w:t xml:space="preserve"> </w:t>
      </w:r>
      <w:r w:rsidRPr="000C5AB4">
        <w:rPr>
          <w:rFonts w:ascii="Times New Roman" w:hAnsi="Times New Roman" w:cs="Times New Roman"/>
          <w:sz w:val="24"/>
          <w:szCs w:val="24"/>
        </w:rPr>
        <w:t xml:space="preserve">explained </w:t>
      </w:r>
      <w:r w:rsidR="00D65C0F">
        <w:rPr>
          <w:rStyle w:val="Strong"/>
          <w:rFonts w:ascii="Times New Roman" w:hAnsi="Times New Roman" w:cs="Times New Roman"/>
          <w:sz w:val="24"/>
          <w:szCs w:val="24"/>
        </w:rPr>
        <w:t>83.1</w:t>
      </w:r>
      <w:r w:rsidRPr="000C5AB4">
        <w:rPr>
          <w:rStyle w:val="Strong"/>
          <w:rFonts w:ascii="Times New Roman" w:hAnsi="Times New Roman" w:cs="Times New Roman"/>
          <w:sz w:val="24"/>
          <w:szCs w:val="24"/>
        </w:rPr>
        <w:t>%</w:t>
      </w:r>
      <w:r w:rsidRPr="000C5AB4">
        <w:rPr>
          <w:rFonts w:ascii="Times New Roman" w:hAnsi="Times New Roman" w:cs="Times New Roman"/>
          <w:sz w:val="24"/>
          <w:szCs w:val="24"/>
        </w:rPr>
        <w:t xml:space="preserve"> of the variance in governance processes at the national treasuries in North Rift, Kenya, as indicated by the R² value. This suggests that </w:t>
      </w:r>
      <w:r w:rsidR="00D65C0F">
        <w:rPr>
          <w:rStyle w:val="Strong"/>
          <w:rFonts w:ascii="Times New Roman" w:hAnsi="Times New Roman" w:cs="Times New Roman"/>
          <w:sz w:val="24"/>
          <w:szCs w:val="24"/>
        </w:rPr>
        <w:t>16.9</w:t>
      </w:r>
      <w:r w:rsidRPr="000C5AB4">
        <w:rPr>
          <w:rStyle w:val="Strong"/>
          <w:rFonts w:ascii="Times New Roman" w:hAnsi="Times New Roman" w:cs="Times New Roman"/>
          <w:sz w:val="24"/>
          <w:szCs w:val="24"/>
        </w:rPr>
        <w:t>%</w:t>
      </w:r>
      <w:r w:rsidRPr="000C5AB4">
        <w:rPr>
          <w:rFonts w:ascii="Times New Roman" w:hAnsi="Times New Roman" w:cs="Times New Roman"/>
          <w:sz w:val="24"/>
          <w:szCs w:val="24"/>
        </w:rPr>
        <w:t xml:space="preserve"> of the variation in governance processes is influenced by other factors not covered in this </w:t>
      </w:r>
      <w:r w:rsidR="00D65C0F">
        <w:rPr>
          <w:rFonts w:ascii="Times New Roman" w:hAnsi="Times New Roman" w:cs="Times New Roman"/>
          <w:sz w:val="24"/>
          <w:szCs w:val="24"/>
        </w:rPr>
        <w:t>paper.</w:t>
      </w:r>
      <w:r w:rsidRPr="000C5AB4">
        <w:rPr>
          <w:rFonts w:ascii="Times New Roman" w:hAnsi="Times New Roman" w:cs="Times New Roman"/>
          <w:sz w:val="24"/>
          <w:szCs w:val="24"/>
        </w:rPr>
        <w:t xml:space="preserve"> Therefore, further studies are needed to explore the additional factors that affect governance processe</w:t>
      </w:r>
      <w:r w:rsidR="009F3AD5" w:rsidRPr="000C5AB4">
        <w:rPr>
          <w:rFonts w:ascii="Times New Roman" w:hAnsi="Times New Roman" w:cs="Times New Roman"/>
          <w:sz w:val="24"/>
          <w:szCs w:val="24"/>
        </w:rPr>
        <w:t>s in these national treasuries.</w:t>
      </w:r>
    </w:p>
    <w:p w14:paraId="6E10CE74" w14:textId="08FC5E20" w:rsidR="0070657F" w:rsidRPr="000C5AB4" w:rsidRDefault="0070657F" w:rsidP="00E35951">
      <w:pPr>
        <w:spacing w:after="100" w:afterAutospacing="1" w:line="360" w:lineRule="auto"/>
        <w:jc w:val="both"/>
        <w:rPr>
          <w:rStyle w:val="Heading2Char"/>
          <w:rFonts w:eastAsia="Times New Roman" w:cs="Times New Roman"/>
          <w:szCs w:val="24"/>
        </w:rPr>
      </w:pPr>
      <w:r w:rsidRPr="000C5AB4">
        <w:rPr>
          <w:rFonts w:ascii="Times New Roman" w:hAnsi="Times New Roman" w:cs="Times New Roman"/>
          <w:sz w:val="24"/>
          <w:szCs w:val="24"/>
        </w:rPr>
        <w:t xml:space="preserve">To assess the impact independent variable on governance processes, </w:t>
      </w:r>
      <w:r w:rsidR="00AD15D4">
        <w:rPr>
          <w:rFonts w:ascii="Times New Roman" w:hAnsi="Times New Roman" w:cs="Times New Roman"/>
          <w:sz w:val="24"/>
          <w:szCs w:val="24"/>
        </w:rPr>
        <w:t>simple li</w:t>
      </w:r>
      <w:r w:rsidR="00D65C0F">
        <w:rPr>
          <w:rFonts w:ascii="Times New Roman" w:hAnsi="Times New Roman" w:cs="Times New Roman"/>
          <w:sz w:val="24"/>
          <w:szCs w:val="24"/>
        </w:rPr>
        <w:t>nier</w:t>
      </w:r>
      <w:r w:rsidRPr="000C5AB4">
        <w:rPr>
          <w:rFonts w:ascii="Times New Roman" w:hAnsi="Times New Roman" w:cs="Times New Roman"/>
          <w:sz w:val="24"/>
          <w:szCs w:val="24"/>
        </w:rPr>
        <w:t xml:space="preserve"> regression analysis was performed. The results, as shown in </w:t>
      </w:r>
      <w:r w:rsidR="006D75E2">
        <w:rPr>
          <w:rStyle w:val="Strong"/>
          <w:rFonts w:ascii="Times New Roman" w:hAnsi="Times New Roman" w:cs="Times New Roman"/>
          <w:sz w:val="24"/>
          <w:szCs w:val="24"/>
        </w:rPr>
        <w:t>Table 6</w:t>
      </w:r>
      <w:r w:rsidRPr="000C5AB4">
        <w:rPr>
          <w:rFonts w:ascii="Times New Roman" w:hAnsi="Times New Roman" w:cs="Times New Roman"/>
          <w:b/>
          <w:sz w:val="24"/>
          <w:szCs w:val="24"/>
        </w:rPr>
        <w:t>,</w:t>
      </w:r>
      <w:r w:rsidRPr="000C5AB4">
        <w:rPr>
          <w:rFonts w:ascii="Times New Roman" w:hAnsi="Times New Roman" w:cs="Times New Roman"/>
          <w:sz w:val="24"/>
          <w:szCs w:val="24"/>
        </w:rPr>
        <w:t xml:space="preserve"> demonstrate that all independent variables were significant predictors of governance processes, with a significance level of </w:t>
      </w:r>
      <w:r w:rsidRPr="000C5AB4">
        <w:rPr>
          <w:rStyle w:val="Strong"/>
          <w:rFonts w:ascii="Times New Roman" w:hAnsi="Times New Roman" w:cs="Times New Roman"/>
          <w:sz w:val="24"/>
          <w:szCs w:val="24"/>
        </w:rPr>
        <w:t>p &lt; 0.05</w:t>
      </w:r>
      <w:r w:rsidRPr="000C5AB4">
        <w:rPr>
          <w:rFonts w:ascii="Times New Roman" w:hAnsi="Times New Roman" w:cs="Times New Roman"/>
          <w:sz w:val="24"/>
          <w:szCs w:val="24"/>
        </w:rPr>
        <w:t>. This reinforces the idea that internal controls, play</w:t>
      </w:r>
      <w:r w:rsidR="009F3AD5" w:rsidRPr="000C5AB4">
        <w:rPr>
          <w:rFonts w:ascii="Times New Roman" w:hAnsi="Times New Roman" w:cs="Times New Roman"/>
          <w:sz w:val="24"/>
          <w:szCs w:val="24"/>
        </w:rPr>
        <w:t>s</w:t>
      </w:r>
      <w:r w:rsidRPr="000C5AB4">
        <w:rPr>
          <w:rFonts w:ascii="Times New Roman" w:hAnsi="Times New Roman" w:cs="Times New Roman"/>
          <w:sz w:val="24"/>
          <w:szCs w:val="24"/>
        </w:rPr>
        <w:t xml:space="preserve"> a critical role in shaping governance processes in the region</w:t>
      </w:r>
      <w:bookmarkStart w:id="60" w:name="_Toc53764704"/>
      <w:bookmarkStart w:id="61" w:name="_Toc55487596"/>
      <w:bookmarkStart w:id="62" w:name="_Toc55741274"/>
      <w:bookmarkStart w:id="63" w:name="_Toc174384412"/>
      <w:r w:rsidR="00D45E39" w:rsidRPr="000C5AB4">
        <w:rPr>
          <w:rFonts w:ascii="Times New Roman" w:eastAsia="Times New Roman" w:hAnsi="Times New Roman" w:cs="Times New Roman"/>
          <w:sz w:val="24"/>
          <w:szCs w:val="24"/>
        </w:rPr>
        <w:t xml:space="preserve">. </w:t>
      </w:r>
    </w:p>
    <w:p w14:paraId="15CD2C82" w14:textId="0A0E30EA" w:rsidR="0070657F" w:rsidRPr="000C5AB4" w:rsidRDefault="0070657F" w:rsidP="00E35951">
      <w:pPr>
        <w:spacing w:after="100" w:afterAutospacing="1"/>
        <w:rPr>
          <w:rFonts w:ascii="Times New Roman" w:hAnsi="Times New Roman" w:cs="Times New Roman"/>
          <w:b/>
          <w:bCs/>
          <w:sz w:val="24"/>
          <w:szCs w:val="24"/>
        </w:rPr>
      </w:pPr>
      <w:bookmarkStart w:id="64" w:name="_Toc178857132"/>
      <w:r w:rsidRPr="000C5AB4">
        <w:rPr>
          <w:rStyle w:val="Heading2Char"/>
          <w:rFonts w:eastAsiaTheme="minorHAnsi" w:cs="Times New Roman"/>
          <w:szCs w:val="24"/>
        </w:rPr>
        <w:t>T</w:t>
      </w:r>
      <w:r w:rsidR="006D75E2">
        <w:rPr>
          <w:rStyle w:val="Heading2Char"/>
          <w:rFonts w:eastAsiaTheme="minorHAnsi" w:cs="Times New Roman"/>
          <w:szCs w:val="24"/>
        </w:rPr>
        <w:t>able 6</w:t>
      </w:r>
      <w:r w:rsidRPr="000C5AB4">
        <w:rPr>
          <w:rStyle w:val="Heading2Char"/>
          <w:rFonts w:eastAsiaTheme="minorHAnsi" w:cs="Times New Roman"/>
          <w:szCs w:val="24"/>
        </w:rPr>
        <w:t>: Coefficients</w:t>
      </w:r>
      <w:bookmarkEnd w:id="60"/>
      <w:bookmarkEnd w:id="61"/>
      <w:bookmarkEnd w:id="62"/>
      <w:r w:rsidRPr="000C5AB4">
        <w:rPr>
          <w:rStyle w:val="Heading2Char"/>
          <w:rFonts w:eastAsiaTheme="minorHAnsi" w:cs="Times New Roman"/>
          <w:szCs w:val="24"/>
        </w:rPr>
        <w:t xml:space="preserve"> of Regression Analysis</w:t>
      </w:r>
      <w:bookmarkEnd w:id="63"/>
      <w:bookmarkEnd w:id="64"/>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1895"/>
        <w:gridCol w:w="1941"/>
        <w:gridCol w:w="1304"/>
        <w:gridCol w:w="1545"/>
        <w:gridCol w:w="834"/>
        <w:gridCol w:w="893"/>
      </w:tblGrid>
      <w:tr w:rsidR="0070657F" w:rsidRPr="000C5AB4" w14:paraId="4BF74CA2" w14:textId="77777777" w:rsidTr="00D45E39">
        <w:tc>
          <w:tcPr>
            <w:tcW w:w="938" w:type="dxa"/>
          </w:tcPr>
          <w:p w14:paraId="7B312E25"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Model</w:t>
            </w:r>
          </w:p>
        </w:tc>
        <w:tc>
          <w:tcPr>
            <w:tcW w:w="1895" w:type="dxa"/>
          </w:tcPr>
          <w:p w14:paraId="28C4471D" w14:textId="77777777" w:rsidR="0070657F" w:rsidRPr="000C5AB4" w:rsidRDefault="0070657F" w:rsidP="00E35951">
            <w:pPr>
              <w:spacing w:after="100" w:afterAutospacing="1"/>
              <w:rPr>
                <w:rFonts w:ascii="Times New Roman" w:hAnsi="Times New Roman" w:cs="Times New Roman"/>
                <w:sz w:val="24"/>
                <w:szCs w:val="24"/>
              </w:rPr>
            </w:pPr>
          </w:p>
        </w:tc>
        <w:tc>
          <w:tcPr>
            <w:tcW w:w="1941" w:type="dxa"/>
          </w:tcPr>
          <w:p w14:paraId="0CE8FF2D"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Unstandardized Coefficients</w:t>
            </w:r>
          </w:p>
        </w:tc>
        <w:tc>
          <w:tcPr>
            <w:tcW w:w="1304" w:type="dxa"/>
          </w:tcPr>
          <w:p w14:paraId="61921A71" w14:textId="77777777" w:rsidR="0070657F" w:rsidRPr="000C5AB4" w:rsidRDefault="0070657F" w:rsidP="00E35951">
            <w:pPr>
              <w:spacing w:after="100" w:afterAutospacing="1"/>
              <w:rPr>
                <w:rFonts w:ascii="Times New Roman" w:hAnsi="Times New Roman" w:cs="Times New Roman"/>
                <w:sz w:val="24"/>
                <w:szCs w:val="24"/>
              </w:rPr>
            </w:pPr>
          </w:p>
        </w:tc>
        <w:tc>
          <w:tcPr>
            <w:tcW w:w="1545" w:type="dxa"/>
          </w:tcPr>
          <w:p w14:paraId="3D0D4AA0"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Standardized Coefficients</w:t>
            </w:r>
          </w:p>
        </w:tc>
        <w:tc>
          <w:tcPr>
            <w:tcW w:w="834" w:type="dxa"/>
          </w:tcPr>
          <w:p w14:paraId="41F4B357" w14:textId="77777777" w:rsidR="0070657F" w:rsidRPr="000C5AB4" w:rsidRDefault="0070657F" w:rsidP="00E35951">
            <w:pPr>
              <w:spacing w:after="100" w:afterAutospacing="1"/>
              <w:rPr>
                <w:rFonts w:ascii="Times New Roman" w:hAnsi="Times New Roman" w:cs="Times New Roman"/>
                <w:sz w:val="24"/>
                <w:szCs w:val="24"/>
              </w:rPr>
            </w:pPr>
          </w:p>
        </w:tc>
        <w:tc>
          <w:tcPr>
            <w:tcW w:w="893" w:type="dxa"/>
          </w:tcPr>
          <w:p w14:paraId="6390FAED" w14:textId="77777777" w:rsidR="0070657F" w:rsidRPr="000C5AB4" w:rsidRDefault="0070657F" w:rsidP="00E35951">
            <w:pPr>
              <w:spacing w:after="100" w:afterAutospacing="1"/>
              <w:rPr>
                <w:rFonts w:ascii="Times New Roman" w:hAnsi="Times New Roman" w:cs="Times New Roman"/>
                <w:sz w:val="24"/>
                <w:szCs w:val="24"/>
              </w:rPr>
            </w:pPr>
          </w:p>
        </w:tc>
      </w:tr>
      <w:tr w:rsidR="0070657F" w:rsidRPr="000C5AB4" w14:paraId="60A4A0D2" w14:textId="77777777" w:rsidTr="00D45E39">
        <w:trPr>
          <w:trHeight w:val="594"/>
        </w:trPr>
        <w:tc>
          <w:tcPr>
            <w:tcW w:w="938" w:type="dxa"/>
          </w:tcPr>
          <w:p w14:paraId="6943CA53" w14:textId="77777777" w:rsidR="0070657F" w:rsidRPr="000C5AB4" w:rsidRDefault="0070657F" w:rsidP="00E35951">
            <w:pPr>
              <w:spacing w:after="100" w:afterAutospacing="1"/>
              <w:rPr>
                <w:rFonts w:ascii="Times New Roman" w:hAnsi="Times New Roman" w:cs="Times New Roman"/>
                <w:sz w:val="24"/>
                <w:szCs w:val="24"/>
              </w:rPr>
            </w:pPr>
          </w:p>
        </w:tc>
        <w:tc>
          <w:tcPr>
            <w:tcW w:w="1895" w:type="dxa"/>
          </w:tcPr>
          <w:p w14:paraId="68B5CC6F" w14:textId="77777777" w:rsidR="0070657F" w:rsidRPr="000C5AB4" w:rsidRDefault="0070657F" w:rsidP="00E35951">
            <w:pPr>
              <w:spacing w:after="100" w:afterAutospacing="1"/>
              <w:rPr>
                <w:rFonts w:ascii="Times New Roman" w:hAnsi="Times New Roman" w:cs="Times New Roman"/>
                <w:sz w:val="24"/>
                <w:szCs w:val="24"/>
              </w:rPr>
            </w:pPr>
          </w:p>
        </w:tc>
        <w:tc>
          <w:tcPr>
            <w:tcW w:w="1941" w:type="dxa"/>
          </w:tcPr>
          <w:p w14:paraId="2170A8F3" w14:textId="77777777" w:rsidR="0070657F" w:rsidRPr="000C5AB4" w:rsidRDefault="0070657F" w:rsidP="00E35951">
            <w:pPr>
              <w:spacing w:after="100" w:afterAutospacing="1"/>
              <w:rPr>
                <w:rFonts w:ascii="Times New Roman" w:hAnsi="Times New Roman" w:cs="Times New Roman"/>
                <w:sz w:val="24"/>
                <w:szCs w:val="24"/>
                <w:vertAlign w:val="subscript"/>
              </w:rPr>
            </w:pPr>
            <w:r w:rsidRPr="000C5AB4">
              <w:rPr>
                <w:rFonts w:ascii="Times New Roman" w:hAnsi="Times New Roman" w:cs="Times New Roman"/>
                <w:b/>
                <w:sz w:val="24"/>
                <w:szCs w:val="24"/>
              </w:rPr>
              <w:t>Β</w:t>
            </w:r>
          </w:p>
        </w:tc>
        <w:tc>
          <w:tcPr>
            <w:tcW w:w="1304" w:type="dxa"/>
          </w:tcPr>
          <w:p w14:paraId="7A0E37F5"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Std. Error</w:t>
            </w:r>
          </w:p>
        </w:tc>
        <w:tc>
          <w:tcPr>
            <w:tcW w:w="1545" w:type="dxa"/>
          </w:tcPr>
          <w:p w14:paraId="0E85AF5D"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Beta</w:t>
            </w:r>
          </w:p>
        </w:tc>
        <w:tc>
          <w:tcPr>
            <w:tcW w:w="834" w:type="dxa"/>
          </w:tcPr>
          <w:p w14:paraId="39A531EA" w14:textId="77777777" w:rsidR="0070657F" w:rsidRPr="000C5AB4" w:rsidRDefault="0070657F" w:rsidP="00E35951">
            <w:pPr>
              <w:spacing w:after="100" w:afterAutospacing="1"/>
              <w:rPr>
                <w:rFonts w:ascii="Times New Roman" w:hAnsi="Times New Roman" w:cs="Times New Roman"/>
                <w:b/>
                <w:sz w:val="24"/>
                <w:szCs w:val="24"/>
              </w:rPr>
            </w:pPr>
            <w:r w:rsidRPr="000C5AB4">
              <w:rPr>
                <w:rFonts w:ascii="Times New Roman" w:hAnsi="Times New Roman" w:cs="Times New Roman"/>
                <w:b/>
                <w:sz w:val="24"/>
                <w:szCs w:val="24"/>
              </w:rPr>
              <w:t>T</w:t>
            </w:r>
          </w:p>
        </w:tc>
        <w:tc>
          <w:tcPr>
            <w:tcW w:w="893" w:type="dxa"/>
          </w:tcPr>
          <w:p w14:paraId="1178C184"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Sig.</w:t>
            </w:r>
          </w:p>
        </w:tc>
      </w:tr>
      <w:tr w:rsidR="0070657F" w:rsidRPr="000C5AB4" w14:paraId="0F10DAD6" w14:textId="77777777" w:rsidTr="00D45E39">
        <w:tc>
          <w:tcPr>
            <w:tcW w:w="938" w:type="dxa"/>
          </w:tcPr>
          <w:p w14:paraId="26BA7726"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1</w:t>
            </w:r>
          </w:p>
        </w:tc>
        <w:tc>
          <w:tcPr>
            <w:tcW w:w="1895" w:type="dxa"/>
          </w:tcPr>
          <w:p w14:paraId="5A79C4FE"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(Constant)</w:t>
            </w:r>
          </w:p>
        </w:tc>
        <w:tc>
          <w:tcPr>
            <w:tcW w:w="1941" w:type="dxa"/>
          </w:tcPr>
          <w:p w14:paraId="0C873C76"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1.399</w:t>
            </w:r>
          </w:p>
        </w:tc>
        <w:tc>
          <w:tcPr>
            <w:tcW w:w="1304" w:type="dxa"/>
          </w:tcPr>
          <w:p w14:paraId="3B273BD5" w14:textId="77777777" w:rsidR="0070657F" w:rsidRPr="000C5AB4" w:rsidRDefault="00D65C0F" w:rsidP="00E35951">
            <w:pPr>
              <w:spacing w:after="100" w:afterAutospacing="1"/>
              <w:rPr>
                <w:rFonts w:ascii="Times New Roman" w:hAnsi="Times New Roman" w:cs="Times New Roman"/>
                <w:sz w:val="24"/>
                <w:szCs w:val="24"/>
              </w:rPr>
            </w:pPr>
            <w:r>
              <w:rPr>
                <w:rFonts w:ascii="Times New Roman" w:hAnsi="Times New Roman" w:cs="Times New Roman"/>
                <w:sz w:val="24"/>
                <w:szCs w:val="24"/>
              </w:rPr>
              <w:t>0.00</w:t>
            </w:r>
          </w:p>
        </w:tc>
        <w:tc>
          <w:tcPr>
            <w:tcW w:w="1545" w:type="dxa"/>
          </w:tcPr>
          <w:p w14:paraId="6B2F205C" w14:textId="77777777" w:rsidR="0070657F" w:rsidRPr="000C5AB4" w:rsidRDefault="0070657F" w:rsidP="00E35951">
            <w:pPr>
              <w:spacing w:after="100" w:afterAutospacing="1"/>
              <w:rPr>
                <w:rFonts w:ascii="Times New Roman" w:hAnsi="Times New Roman" w:cs="Times New Roman"/>
                <w:sz w:val="24"/>
                <w:szCs w:val="24"/>
              </w:rPr>
            </w:pPr>
          </w:p>
        </w:tc>
        <w:tc>
          <w:tcPr>
            <w:tcW w:w="834" w:type="dxa"/>
          </w:tcPr>
          <w:p w14:paraId="09F95C4A"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4.549</w:t>
            </w:r>
          </w:p>
        </w:tc>
        <w:tc>
          <w:tcPr>
            <w:tcW w:w="893" w:type="dxa"/>
          </w:tcPr>
          <w:p w14:paraId="3E5647E4"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0.000</w:t>
            </w:r>
          </w:p>
        </w:tc>
      </w:tr>
      <w:tr w:rsidR="0070657F" w:rsidRPr="000C5AB4" w14:paraId="2C5A66D8" w14:textId="77777777" w:rsidTr="00D45E39">
        <w:tc>
          <w:tcPr>
            <w:tcW w:w="938" w:type="dxa"/>
          </w:tcPr>
          <w:p w14:paraId="14A7F187" w14:textId="77777777" w:rsidR="0070657F" w:rsidRPr="000C5AB4" w:rsidRDefault="0070657F" w:rsidP="00E35951">
            <w:pPr>
              <w:spacing w:after="100" w:afterAutospacing="1"/>
              <w:rPr>
                <w:rFonts w:ascii="Times New Roman" w:hAnsi="Times New Roman" w:cs="Times New Roman"/>
                <w:sz w:val="24"/>
                <w:szCs w:val="24"/>
              </w:rPr>
            </w:pPr>
          </w:p>
        </w:tc>
        <w:tc>
          <w:tcPr>
            <w:tcW w:w="1895" w:type="dxa"/>
          </w:tcPr>
          <w:p w14:paraId="09E97AD9"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Internal Controls</w:t>
            </w:r>
          </w:p>
        </w:tc>
        <w:tc>
          <w:tcPr>
            <w:tcW w:w="1941" w:type="dxa"/>
          </w:tcPr>
          <w:p w14:paraId="5D1A9027" w14:textId="77777777" w:rsidR="0070657F" w:rsidRPr="000C5AB4" w:rsidRDefault="00D65C0F" w:rsidP="00E35951">
            <w:pPr>
              <w:spacing w:after="100" w:afterAutospacing="1"/>
              <w:rPr>
                <w:rFonts w:ascii="Times New Roman" w:hAnsi="Times New Roman" w:cs="Times New Roman"/>
                <w:sz w:val="24"/>
                <w:szCs w:val="24"/>
              </w:rPr>
            </w:pPr>
            <w:r>
              <w:rPr>
                <w:rFonts w:ascii="Times New Roman" w:hAnsi="Times New Roman" w:cs="Times New Roman"/>
                <w:sz w:val="24"/>
                <w:szCs w:val="24"/>
              </w:rPr>
              <w:t>0.4</w:t>
            </w:r>
            <w:r w:rsidR="0070657F" w:rsidRPr="000C5AB4">
              <w:rPr>
                <w:rFonts w:ascii="Times New Roman" w:hAnsi="Times New Roman" w:cs="Times New Roman"/>
                <w:sz w:val="24"/>
                <w:szCs w:val="24"/>
              </w:rPr>
              <w:t>48</w:t>
            </w:r>
          </w:p>
        </w:tc>
        <w:tc>
          <w:tcPr>
            <w:tcW w:w="1304" w:type="dxa"/>
          </w:tcPr>
          <w:p w14:paraId="5F190048" w14:textId="77777777" w:rsidR="0070657F" w:rsidRPr="000C5AB4" w:rsidRDefault="00D65C0F" w:rsidP="00E35951">
            <w:pPr>
              <w:spacing w:after="100" w:afterAutospacing="1"/>
              <w:rPr>
                <w:rFonts w:ascii="Times New Roman" w:hAnsi="Times New Roman" w:cs="Times New Roman"/>
                <w:sz w:val="24"/>
                <w:szCs w:val="24"/>
              </w:rPr>
            </w:pPr>
            <w:r>
              <w:rPr>
                <w:rFonts w:ascii="Times New Roman" w:hAnsi="Times New Roman" w:cs="Times New Roman"/>
                <w:sz w:val="24"/>
                <w:szCs w:val="24"/>
              </w:rPr>
              <w:t>0.00</w:t>
            </w:r>
          </w:p>
        </w:tc>
        <w:tc>
          <w:tcPr>
            <w:tcW w:w="1545" w:type="dxa"/>
          </w:tcPr>
          <w:p w14:paraId="5D2CBB5F"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0.209</w:t>
            </w:r>
          </w:p>
        </w:tc>
        <w:tc>
          <w:tcPr>
            <w:tcW w:w="834" w:type="dxa"/>
          </w:tcPr>
          <w:p w14:paraId="181D16F6"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3.223</w:t>
            </w:r>
          </w:p>
        </w:tc>
        <w:tc>
          <w:tcPr>
            <w:tcW w:w="893" w:type="dxa"/>
          </w:tcPr>
          <w:p w14:paraId="2F06A0FA" w14:textId="77777777" w:rsidR="0070657F" w:rsidRPr="000C5AB4" w:rsidRDefault="0070657F" w:rsidP="00E35951">
            <w:pPr>
              <w:spacing w:after="100" w:afterAutospacing="1"/>
              <w:rPr>
                <w:rFonts w:ascii="Times New Roman" w:hAnsi="Times New Roman" w:cs="Times New Roman"/>
                <w:sz w:val="24"/>
                <w:szCs w:val="24"/>
              </w:rPr>
            </w:pPr>
            <w:r w:rsidRPr="000C5AB4">
              <w:rPr>
                <w:rFonts w:ascii="Times New Roman" w:hAnsi="Times New Roman" w:cs="Times New Roman"/>
                <w:sz w:val="24"/>
                <w:szCs w:val="24"/>
              </w:rPr>
              <w:t>0.000</w:t>
            </w:r>
          </w:p>
        </w:tc>
      </w:tr>
    </w:tbl>
    <w:p w14:paraId="23284603" w14:textId="77777777" w:rsidR="0070657F" w:rsidRPr="000C5AB4" w:rsidRDefault="00D65C0F" w:rsidP="00E35951">
      <w:pPr>
        <w:spacing w:after="100" w:afterAutospacing="1" w:line="360" w:lineRule="auto"/>
        <w:jc w:val="both"/>
        <w:rPr>
          <w:rFonts w:ascii="Times New Roman" w:eastAsia="Times New Roman" w:hAnsi="Times New Roman" w:cs="Times New Roman"/>
          <w:sz w:val="24"/>
          <w:szCs w:val="24"/>
        </w:rPr>
      </w:pPr>
      <w:commentRangeStart w:id="65"/>
      <w:r>
        <w:rPr>
          <w:rFonts w:ascii="Times New Roman" w:eastAsia="Times New Roman" w:hAnsi="Times New Roman" w:cs="Times New Roman"/>
          <w:sz w:val="24"/>
          <w:szCs w:val="24"/>
        </w:rPr>
        <w:t>Source: Researcher, (2025</w:t>
      </w:r>
      <w:r w:rsidR="0070657F" w:rsidRPr="000C5AB4">
        <w:rPr>
          <w:rFonts w:ascii="Times New Roman" w:eastAsia="Times New Roman" w:hAnsi="Times New Roman" w:cs="Times New Roman"/>
          <w:sz w:val="24"/>
          <w:szCs w:val="24"/>
        </w:rPr>
        <w:t>)</w:t>
      </w:r>
      <w:commentRangeEnd w:id="65"/>
      <w:r w:rsidR="00205D5F">
        <w:rPr>
          <w:rStyle w:val="CommentReference"/>
        </w:rPr>
        <w:commentReference w:id="65"/>
      </w:r>
    </w:p>
    <w:p w14:paraId="5B1296E3" w14:textId="42D47752" w:rsidR="0070657F" w:rsidRPr="000C5AB4" w:rsidRDefault="00D65C0F" w:rsidP="00E35951">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From table 6</w:t>
      </w:r>
      <w:r w:rsidR="0070657F" w:rsidRPr="000C5AB4">
        <w:rPr>
          <w:rFonts w:ascii="Times New Roman" w:hAnsi="Times New Roman" w:cs="Times New Roman"/>
          <w:sz w:val="24"/>
          <w:szCs w:val="24"/>
        </w:rPr>
        <w:t xml:space="preserve"> above, the study established the following regression equation.</w:t>
      </w:r>
    </w:p>
    <w:p w14:paraId="73336C56"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 xml:space="preserve"> (Y = β0 + β1X1 + + ε) becomes:</w:t>
      </w:r>
    </w:p>
    <w:p w14:paraId="16D01256"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eastAsia="Times New Roman" w:hAnsi="Times New Roman" w:cs="Times New Roman"/>
          <w:b/>
          <w:sz w:val="24"/>
          <w:szCs w:val="24"/>
        </w:rPr>
        <w:t xml:space="preserve"> </w:t>
      </w:r>
      <w:r w:rsidR="00D65C0F">
        <w:rPr>
          <w:rFonts w:ascii="Times New Roman" w:eastAsia="Times New Roman" w:hAnsi="Times New Roman" w:cs="Times New Roman"/>
          <w:sz w:val="24"/>
          <w:szCs w:val="24"/>
        </w:rPr>
        <w:t>(Y= 1.399+ 0.4</w:t>
      </w:r>
      <w:r w:rsidRPr="000C5AB4">
        <w:rPr>
          <w:rFonts w:ascii="Times New Roman" w:eastAsia="Times New Roman" w:hAnsi="Times New Roman" w:cs="Times New Roman"/>
          <w:sz w:val="24"/>
          <w:szCs w:val="24"/>
        </w:rPr>
        <w:t>48 X1+ε).</w:t>
      </w:r>
    </w:p>
    <w:p w14:paraId="475C20B8" w14:textId="77777777" w:rsidR="00D45E39" w:rsidRPr="000C5AB4" w:rsidRDefault="0070657F" w:rsidP="00E35951">
      <w:pPr>
        <w:pStyle w:val="NormalWeb"/>
        <w:spacing w:before="0" w:beforeAutospacing="0" w:line="360" w:lineRule="auto"/>
        <w:jc w:val="both"/>
      </w:pPr>
      <w:bookmarkStart w:id="66" w:name="_Toc468988291"/>
      <w:bookmarkStart w:id="67" w:name="_Toc473802790"/>
      <w:bookmarkStart w:id="68" w:name="_Toc478064327"/>
      <w:bookmarkStart w:id="69" w:name="_Toc518071809"/>
      <w:bookmarkStart w:id="70" w:name="_Toc24016435"/>
      <w:bookmarkStart w:id="71" w:name="_Toc48684493"/>
      <w:bookmarkStart w:id="72" w:name="_Toc55741277"/>
      <w:bookmarkStart w:id="73" w:name="_Toc174384413"/>
      <w:commentRangeStart w:id="74"/>
      <w:r w:rsidRPr="000C5AB4">
        <w:lastRenderedPageBreak/>
        <w:t xml:space="preserve">Holding other factors constant, governance processes at the national treasuries in North Rift, Kenya, are estimated to be </w:t>
      </w:r>
      <w:r w:rsidRPr="000C5AB4">
        <w:rPr>
          <w:rStyle w:val="Strong"/>
          <w:rFonts w:eastAsiaTheme="majorEastAsia"/>
        </w:rPr>
        <w:t>1.399</w:t>
      </w:r>
      <w:r w:rsidRPr="000C5AB4">
        <w:t xml:space="preserve">. The analysis indicates that a unit change in </w:t>
      </w:r>
      <w:r w:rsidRPr="000C5AB4">
        <w:rPr>
          <w:rStyle w:val="Strong"/>
          <w:rFonts w:eastAsiaTheme="majorEastAsia"/>
        </w:rPr>
        <w:t>internal controls</w:t>
      </w:r>
      <w:r w:rsidRPr="000C5AB4">
        <w:t xml:space="preserve"> enhances governance processes by </w:t>
      </w:r>
      <w:r w:rsidR="00D65C0F">
        <w:rPr>
          <w:rStyle w:val="Strong"/>
          <w:rFonts w:eastAsiaTheme="majorEastAsia"/>
        </w:rPr>
        <w:t>0.4</w:t>
      </w:r>
      <w:r w:rsidRPr="000C5AB4">
        <w:rPr>
          <w:rStyle w:val="Strong"/>
          <w:rFonts w:eastAsiaTheme="majorEastAsia"/>
        </w:rPr>
        <w:t>48</w:t>
      </w:r>
      <w:r w:rsidRPr="000C5AB4">
        <w:t xml:space="preserve">. At a </w:t>
      </w:r>
      <w:r w:rsidRPr="000C5AB4">
        <w:rPr>
          <w:rStyle w:val="Strong"/>
          <w:rFonts w:eastAsiaTheme="majorEastAsia"/>
        </w:rPr>
        <w:t>5% significance level</w:t>
      </w:r>
      <w:r w:rsidRPr="000C5AB4">
        <w:t xml:space="preserve"> and a </w:t>
      </w:r>
      <w:r w:rsidRPr="000C5AB4">
        <w:rPr>
          <w:rStyle w:val="Strong"/>
          <w:rFonts w:eastAsiaTheme="majorEastAsia"/>
        </w:rPr>
        <w:t>95% confidence level</w:t>
      </w:r>
      <w:r w:rsidRPr="000C5AB4">
        <w:t xml:space="preserve">, the significance values for these three factors were found to be </w:t>
      </w:r>
      <w:r w:rsidRPr="000C5AB4">
        <w:rPr>
          <w:rStyle w:val="Strong"/>
          <w:rFonts w:eastAsiaTheme="majorEastAsia"/>
        </w:rPr>
        <w:t>0.000</w:t>
      </w:r>
      <w:r w:rsidRPr="000C5AB4">
        <w:t xml:space="preserve"> for internal controls. The study further tested the hypothesis that </w:t>
      </w:r>
      <w:r w:rsidRPr="000C5AB4">
        <w:rPr>
          <w:rStyle w:val="Strong"/>
          <w:rFonts w:eastAsiaTheme="majorEastAsia"/>
        </w:rPr>
        <w:t>internal controls do not significantly influence governance processes</w:t>
      </w:r>
      <w:r w:rsidRPr="000C5AB4">
        <w:t xml:space="preserve"> in the sub-county national treasuries. The findings revealed a </w:t>
      </w:r>
      <w:r w:rsidR="00D65C0F">
        <w:rPr>
          <w:rStyle w:val="Strong"/>
          <w:rFonts w:eastAsiaTheme="majorEastAsia"/>
        </w:rPr>
        <w:t>β = 0.4</w:t>
      </w:r>
      <w:r w:rsidRPr="000C5AB4">
        <w:rPr>
          <w:rStyle w:val="Strong"/>
          <w:rFonts w:eastAsiaTheme="majorEastAsia"/>
        </w:rPr>
        <w:t>48</w:t>
      </w:r>
      <w:r w:rsidRPr="000C5AB4">
        <w:rPr>
          <w:b/>
        </w:rPr>
        <w:t xml:space="preserve">, </w:t>
      </w:r>
      <w:r w:rsidRPr="000C5AB4">
        <w:rPr>
          <w:rStyle w:val="Strong"/>
          <w:rFonts w:eastAsiaTheme="majorEastAsia"/>
        </w:rPr>
        <w:t>t = 3.223</w:t>
      </w:r>
      <w:r w:rsidRPr="000C5AB4">
        <w:rPr>
          <w:b/>
        </w:rPr>
        <w:t xml:space="preserve">, </w:t>
      </w:r>
      <w:r w:rsidRPr="000C5AB4">
        <w:t>and a</w:t>
      </w:r>
      <w:r w:rsidRPr="000C5AB4">
        <w:rPr>
          <w:b/>
        </w:rPr>
        <w:t xml:space="preserve"> </w:t>
      </w:r>
      <w:r w:rsidRPr="000C5AB4">
        <w:rPr>
          <w:rStyle w:val="Strong"/>
          <w:rFonts w:eastAsiaTheme="majorEastAsia"/>
        </w:rPr>
        <w:t>p-value of 0.000</w:t>
      </w:r>
      <w:r w:rsidRPr="000C5AB4">
        <w:rPr>
          <w:b/>
        </w:rPr>
        <w:t>.</w:t>
      </w:r>
      <w:r w:rsidRPr="000C5AB4">
        <w:t xml:space="preserve"> These results indicate that internal controls significantly and positively influence governance processes, leading to the rejection of the null hypothesis and confirming a significant relationship.</w:t>
      </w:r>
      <w:bookmarkEnd w:id="66"/>
      <w:bookmarkEnd w:id="67"/>
      <w:bookmarkEnd w:id="68"/>
      <w:bookmarkEnd w:id="69"/>
      <w:bookmarkEnd w:id="70"/>
      <w:bookmarkEnd w:id="71"/>
      <w:bookmarkEnd w:id="72"/>
      <w:bookmarkEnd w:id="73"/>
    </w:p>
    <w:p w14:paraId="34600484" w14:textId="4B6D2070" w:rsidR="0070657F" w:rsidRPr="000C5AB4" w:rsidRDefault="0070657F" w:rsidP="00E35951">
      <w:pPr>
        <w:pStyle w:val="NormalWeb"/>
        <w:spacing w:before="0" w:beforeAutospacing="0" w:line="360" w:lineRule="auto"/>
        <w:jc w:val="both"/>
      </w:pPr>
      <w:r w:rsidRPr="000C5AB4">
        <w:t xml:space="preserve">The study also evaluated the significance of the model using the </w:t>
      </w:r>
      <w:r w:rsidRPr="000C5AB4">
        <w:rPr>
          <w:rStyle w:val="Strong"/>
        </w:rPr>
        <w:t>Analysis of Variance (ANOVA)</w:t>
      </w:r>
      <w:r w:rsidRPr="000C5AB4">
        <w:t xml:space="preserve"> technique, with the results presented in </w:t>
      </w:r>
      <w:r w:rsidR="006D75E2">
        <w:rPr>
          <w:rStyle w:val="Strong"/>
        </w:rPr>
        <w:t>Table 7</w:t>
      </w:r>
      <w:r w:rsidRPr="000C5AB4">
        <w:t xml:space="preserve">. The analysis revealed a significance level of </w:t>
      </w:r>
      <w:r w:rsidRPr="000C5AB4">
        <w:rPr>
          <w:rStyle w:val="Strong"/>
        </w:rPr>
        <w:t>0.01%</w:t>
      </w:r>
      <w:r w:rsidRPr="000C5AB4">
        <w:t xml:space="preserve"> (p = 0.001), indicating that the data was appropriate for making inferences about the population parameters. Since the p-value was below the </w:t>
      </w:r>
      <w:r w:rsidRPr="000C5AB4">
        <w:rPr>
          <w:rStyle w:val="Strong"/>
        </w:rPr>
        <w:t>5% threshold</w:t>
      </w:r>
      <w:r w:rsidRPr="000C5AB4">
        <w:t>, the model was deemed statistica</w:t>
      </w:r>
      <w:bookmarkStart w:id="75" w:name="_Toc53764708"/>
      <w:bookmarkStart w:id="76" w:name="_Toc55487600"/>
      <w:bookmarkStart w:id="77" w:name="_Toc55741278"/>
      <w:bookmarkStart w:id="78" w:name="_Toc174384414"/>
      <w:r w:rsidR="00D47EB5" w:rsidRPr="000C5AB4">
        <w:t>lly significant for the analysis</w:t>
      </w:r>
      <w:r w:rsidR="00D65C0F">
        <w:t>.</w:t>
      </w:r>
      <w:commentRangeEnd w:id="74"/>
      <w:r w:rsidR="000B5484">
        <w:rPr>
          <w:rStyle w:val="CommentReference"/>
          <w:rFonts w:asciiTheme="minorHAnsi" w:eastAsiaTheme="minorHAnsi" w:hAnsiTheme="minorHAnsi" w:cstheme="minorBidi"/>
        </w:rPr>
        <w:commentReference w:id="74"/>
      </w:r>
    </w:p>
    <w:p w14:paraId="629A1557" w14:textId="037B8F83" w:rsidR="0070657F" w:rsidRPr="000C5AB4" w:rsidRDefault="0070657F" w:rsidP="00E35951">
      <w:pPr>
        <w:spacing w:after="100" w:afterAutospacing="1"/>
        <w:rPr>
          <w:rFonts w:ascii="Times New Roman" w:hAnsi="Times New Roman" w:cs="Times New Roman"/>
          <w:b/>
          <w:sz w:val="24"/>
          <w:szCs w:val="24"/>
        </w:rPr>
      </w:pPr>
      <w:bookmarkStart w:id="79" w:name="_Toc178857134"/>
      <w:r w:rsidRPr="000C5AB4">
        <w:rPr>
          <w:rFonts w:ascii="Times New Roman" w:hAnsi="Times New Roman" w:cs="Times New Roman"/>
          <w:b/>
          <w:sz w:val="24"/>
          <w:szCs w:val="24"/>
        </w:rPr>
        <w:t>T</w:t>
      </w:r>
      <w:r w:rsidR="009D48CB">
        <w:rPr>
          <w:rFonts w:ascii="Times New Roman" w:hAnsi="Times New Roman" w:cs="Times New Roman"/>
          <w:b/>
          <w:sz w:val="24"/>
          <w:szCs w:val="24"/>
        </w:rPr>
        <w:t>able 7</w:t>
      </w:r>
      <w:r w:rsidRPr="000C5AB4">
        <w:rPr>
          <w:rFonts w:ascii="Times New Roman" w:hAnsi="Times New Roman" w:cs="Times New Roman"/>
          <w:b/>
          <w:sz w:val="24"/>
          <w:szCs w:val="24"/>
        </w:rPr>
        <w:t>: ANOVA of Regression</w:t>
      </w:r>
      <w:bookmarkEnd w:id="75"/>
      <w:bookmarkEnd w:id="76"/>
      <w:bookmarkEnd w:id="77"/>
      <w:bookmarkEnd w:id="78"/>
      <w:bookmarkEnd w:id="79"/>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1526"/>
        <w:gridCol w:w="1458"/>
        <w:gridCol w:w="1514"/>
        <w:gridCol w:w="1513"/>
        <w:gridCol w:w="1497"/>
      </w:tblGrid>
      <w:tr w:rsidR="0070657F" w:rsidRPr="000C5AB4" w14:paraId="236F8E99" w14:textId="77777777" w:rsidTr="0070657F">
        <w:tc>
          <w:tcPr>
            <w:tcW w:w="1612" w:type="dxa"/>
            <w:tcBorders>
              <w:top w:val="single" w:sz="4" w:space="0" w:color="auto"/>
              <w:bottom w:val="single" w:sz="4" w:space="0" w:color="auto"/>
            </w:tcBorders>
          </w:tcPr>
          <w:p w14:paraId="4C319F32"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Model</w:t>
            </w:r>
          </w:p>
        </w:tc>
        <w:tc>
          <w:tcPr>
            <w:tcW w:w="1612" w:type="dxa"/>
            <w:tcBorders>
              <w:top w:val="single" w:sz="4" w:space="0" w:color="auto"/>
              <w:bottom w:val="single" w:sz="4" w:space="0" w:color="auto"/>
            </w:tcBorders>
          </w:tcPr>
          <w:p w14:paraId="26B50CEB" w14:textId="77777777" w:rsidR="0070657F" w:rsidRPr="000C5AB4" w:rsidRDefault="0070657F" w:rsidP="00E35951">
            <w:pPr>
              <w:spacing w:after="100" w:afterAutospacing="1" w:line="360" w:lineRule="auto"/>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Sum of Squares</w:t>
            </w:r>
          </w:p>
        </w:tc>
        <w:tc>
          <w:tcPr>
            <w:tcW w:w="1613" w:type="dxa"/>
            <w:tcBorders>
              <w:top w:val="single" w:sz="4" w:space="0" w:color="auto"/>
              <w:bottom w:val="single" w:sz="4" w:space="0" w:color="auto"/>
            </w:tcBorders>
          </w:tcPr>
          <w:p w14:paraId="0ABD5F5A"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Df</w:t>
            </w:r>
          </w:p>
        </w:tc>
        <w:tc>
          <w:tcPr>
            <w:tcW w:w="1613" w:type="dxa"/>
            <w:tcBorders>
              <w:top w:val="single" w:sz="4" w:space="0" w:color="auto"/>
              <w:bottom w:val="single" w:sz="4" w:space="0" w:color="auto"/>
            </w:tcBorders>
          </w:tcPr>
          <w:p w14:paraId="1DFFBA37"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Mean Square</w:t>
            </w:r>
          </w:p>
        </w:tc>
        <w:tc>
          <w:tcPr>
            <w:tcW w:w="1613" w:type="dxa"/>
            <w:tcBorders>
              <w:top w:val="single" w:sz="4" w:space="0" w:color="auto"/>
              <w:bottom w:val="single" w:sz="4" w:space="0" w:color="auto"/>
            </w:tcBorders>
          </w:tcPr>
          <w:p w14:paraId="7697A47F"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 xml:space="preserve">F </w:t>
            </w:r>
          </w:p>
        </w:tc>
        <w:tc>
          <w:tcPr>
            <w:tcW w:w="1613" w:type="dxa"/>
            <w:tcBorders>
              <w:top w:val="single" w:sz="4" w:space="0" w:color="auto"/>
              <w:bottom w:val="single" w:sz="4" w:space="0" w:color="auto"/>
            </w:tcBorders>
          </w:tcPr>
          <w:p w14:paraId="328E9825"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Sig.</w:t>
            </w:r>
          </w:p>
        </w:tc>
      </w:tr>
      <w:tr w:rsidR="0070657F" w:rsidRPr="000C5AB4" w14:paraId="67A6A720" w14:textId="77777777" w:rsidTr="0070657F">
        <w:tc>
          <w:tcPr>
            <w:tcW w:w="1612" w:type="dxa"/>
            <w:tcBorders>
              <w:top w:val="single" w:sz="4" w:space="0" w:color="auto"/>
            </w:tcBorders>
          </w:tcPr>
          <w:p w14:paraId="09BE3E2E"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Regression</w:t>
            </w:r>
          </w:p>
        </w:tc>
        <w:tc>
          <w:tcPr>
            <w:tcW w:w="1612" w:type="dxa"/>
            <w:tcBorders>
              <w:top w:val="single" w:sz="4" w:space="0" w:color="auto"/>
            </w:tcBorders>
          </w:tcPr>
          <w:p w14:paraId="62641FD5"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0.909</w:t>
            </w:r>
          </w:p>
        </w:tc>
        <w:tc>
          <w:tcPr>
            <w:tcW w:w="1613" w:type="dxa"/>
            <w:tcBorders>
              <w:top w:val="single" w:sz="4" w:space="0" w:color="auto"/>
            </w:tcBorders>
          </w:tcPr>
          <w:p w14:paraId="36262644" w14:textId="77777777" w:rsidR="0070657F" w:rsidRPr="000C5AB4" w:rsidRDefault="00D45E39"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1</w:t>
            </w:r>
          </w:p>
        </w:tc>
        <w:tc>
          <w:tcPr>
            <w:tcW w:w="1613" w:type="dxa"/>
            <w:tcBorders>
              <w:top w:val="single" w:sz="4" w:space="0" w:color="auto"/>
            </w:tcBorders>
          </w:tcPr>
          <w:p w14:paraId="7096CA27"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 xml:space="preserve">.303  </w:t>
            </w:r>
          </w:p>
        </w:tc>
        <w:tc>
          <w:tcPr>
            <w:tcW w:w="1613" w:type="dxa"/>
            <w:tcBorders>
              <w:top w:val="single" w:sz="4" w:space="0" w:color="auto"/>
            </w:tcBorders>
          </w:tcPr>
          <w:p w14:paraId="63D636FF"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 xml:space="preserve"> 2.5129</w:t>
            </w:r>
          </w:p>
        </w:tc>
        <w:tc>
          <w:tcPr>
            <w:tcW w:w="1613" w:type="dxa"/>
            <w:tcBorders>
              <w:top w:val="single" w:sz="4" w:space="0" w:color="auto"/>
            </w:tcBorders>
          </w:tcPr>
          <w:p w14:paraId="2C08C628"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.001b</w:t>
            </w:r>
          </w:p>
        </w:tc>
      </w:tr>
      <w:tr w:rsidR="0070657F" w:rsidRPr="000C5AB4" w14:paraId="73CFF722" w14:textId="77777777" w:rsidTr="0070657F">
        <w:tc>
          <w:tcPr>
            <w:tcW w:w="1612" w:type="dxa"/>
          </w:tcPr>
          <w:p w14:paraId="7F66521C"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Residual</w:t>
            </w:r>
          </w:p>
        </w:tc>
        <w:tc>
          <w:tcPr>
            <w:tcW w:w="1612" w:type="dxa"/>
          </w:tcPr>
          <w:p w14:paraId="1368F40F"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17.514</w:t>
            </w:r>
          </w:p>
        </w:tc>
        <w:tc>
          <w:tcPr>
            <w:tcW w:w="1613" w:type="dxa"/>
          </w:tcPr>
          <w:p w14:paraId="3C67AEE7"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23</w:t>
            </w:r>
          </w:p>
        </w:tc>
        <w:tc>
          <w:tcPr>
            <w:tcW w:w="1613" w:type="dxa"/>
          </w:tcPr>
          <w:p w14:paraId="70ADAA62"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.7614</w:t>
            </w:r>
          </w:p>
        </w:tc>
        <w:tc>
          <w:tcPr>
            <w:tcW w:w="1613" w:type="dxa"/>
          </w:tcPr>
          <w:p w14:paraId="516E62F8"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p>
        </w:tc>
        <w:tc>
          <w:tcPr>
            <w:tcW w:w="1613" w:type="dxa"/>
          </w:tcPr>
          <w:p w14:paraId="12D79731"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p>
        </w:tc>
      </w:tr>
      <w:tr w:rsidR="0070657F" w:rsidRPr="000C5AB4" w14:paraId="45BB38E9" w14:textId="77777777" w:rsidTr="0070657F">
        <w:tc>
          <w:tcPr>
            <w:tcW w:w="1612" w:type="dxa"/>
          </w:tcPr>
          <w:p w14:paraId="0C48C65F"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Total</w:t>
            </w:r>
          </w:p>
        </w:tc>
        <w:tc>
          <w:tcPr>
            <w:tcW w:w="1612" w:type="dxa"/>
          </w:tcPr>
          <w:p w14:paraId="5EEED718"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18.423</w:t>
            </w:r>
          </w:p>
        </w:tc>
        <w:tc>
          <w:tcPr>
            <w:tcW w:w="1613" w:type="dxa"/>
          </w:tcPr>
          <w:p w14:paraId="0BBE907C" w14:textId="77777777" w:rsidR="0070657F" w:rsidRPr="000C5AB4" w:rsidRDefault="00D45E39"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24</w:t>
            </w:r>
          </w:p>
        </w:tc>
        <w:tc>
          <w:tcPr>
            <w:tcW w:w="1613" w:type="dxa"/>
          </w:tcPr>
          <w:p w14:paraId="28B99394"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p>
        </w:tc>
        <w:tc>
          <w:tcPr>
            <w:tcW w:w="1613" w:type="dxa"/>
          </w:tcPr>
          <w:p w14:paraId="725F66E2"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p>
        </w:tc>
        <w:tc>
          <w:tcPr>
            <w:tcW w:w="1613" w:type="dxa"/>
          </w:tcPr>
          <w:p w14:paraId="50FAEF4D"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p>
        </w:tc>
      </w:tr>
    </w:tbl>
    <w:p w14:paraId="3A83179D"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 xml:space="preserve">a. </w:t>
      </w:r>
      <w:r w:rsidRPr="000C5AB4">
        <w:rPr>
          <w:rFonts w:ascii="Times New Roman" w:eastAsia="Times New Roman" w:hAnsi="Times New Roman" w:cs="Times New Roman"/>
          <w:b/>
          <w:sz w:val="24"/>
          <w:szCs w:val="24"/>
        </w:rPr>
        <w:t xml:space="preserve">Dependent Variable: </w:t>
      </w:r>
      <w:r w:rsidRPr="000C5AB4">
        <w:rPr>
          <w:rFonts w:ascii="Times New Roman" w:hAnsi="Times New Roman" w:cs="Times New Roman"/>
          <w:b/>
          <w:sz w:val="24"/>
          <w:szCs w:val="24"/>
        </w:rPr>
        <w:t>Governance Processes</w:t>
      </w:r>
    </w:p>
    <w:p w14:paraId="522DBB20"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b. Predictors: (Constant), Internal controls.</w:t>
      </w:r>
    </w:p>
    <w:p w14:paraId="3F709357" w14:textId="77777777" w:rsidR="0070657F" w:rsidRPr="000C5AB4" w:rsidRDefault="0070657F" w:rsidP="00E35951">
      <w:pPr>
        <w:spacing w:after="100" w:afterAutospacing="1" w:line="360" w:lineRule="auto"/>
        <w:jc w:val="both"/>
        <w:rPr>
          <w:rFonts w:ascii="Times New Roman" w:eastAsia="Times New Roman" w:hAnsi="Times New Roman" w:cs="Times New Roman"/>
          <w:sz w:val="24"/>
          <w:szCs w:val="24"/>
        </w:rPr>
      </w:pPr>
      <w:r w:rsidRPr="000C5AB4">
        <w:rPr>
          <w:rFonts w:ascii="Times New Roman" w:eastAsia="Times New Roman" w:hAnsi="Times New Roman" w:cs="Times New Roman"/>
          <w:sz w:val="24"/>
          <w:szCs w:val="24"/>
        </w:rPr>
        <w:t>Source: Researcher, 2024.</w:t>
      </w:r>
    </w:p>
    <w:p w14:paraId="5CD14CD7" w14:textId="77777777" w:rsidR="0070657F" w:rsidRPr="000C5AB4" w:rsidRDefault="0070657F" w:rsidP="00E35951">
      <w:pPr>
        <w:spacing w:after="100" w:afterAutospacing="1" w:line="360" w:lineRule="auto"/>
        <w:jc w:val="both"/>
        <w:rPr>
          <w:rFonts w:ascii="Times New Roman" w:hAnsi="Times New Roman" w:cs="Times New Roman"/>
          <w:sz w:val="24"/>
          <w:szCs w:val="24"/>
        </w:rPr>
      </w:pPr>
      <w:r w:rsidRPr="000C5AB4">
        <w:rPr>
          <w:rFonts w:ascii="Times New Roman" w:eastAsia="Times New Roman" w:hAnsi="Times New Roman" w:cs="Times New Roman"/>
          <w:sz w:val="24"/>
          <w:szCs w:val="24"/>
        </w:rPr>
        <w:t>The significance value is 0.001 which is less than 0.05 thus the model is statistically significant in pr</w:t>
      </w:r>
      <w:r w:rsidR="00E114C0" w:rsidRPr="000C5AB4">
        <w:rPr>
          <w:rFonts w:ascii="Times New Roman" w:eastAsia="Times New Roman" w:hAnsi="Times New Roman" w:cs="Times New Roman"/>
          <w:sz w:val="24"/>
          <w:szCs w:val="24"/>
        </w:rPr>
        <w:t xml:space="preserve">edicting how internal controls </w:t>
      </w:r>
      <w:r w:rsidRPr="000C5AB4">
        <w:rPr>
          <w:rFonts w:ascii="Times New Roman" w:eastAsia="Times New Roman" w:hAnsi="Times New Roman" w:cs="Times New Roman"/>
          <w:sz w:val="24"/>
          <w:szCs w:val="24"/>
        </w:rPr>
        <w:t xml:space="preserve">influences </w:t>
      </w:r>
      <w:r w:rsidRPr="000C5AB4">
        <w:rPr>
          <w:rFonts w:ascii="Times New Roman" w:hAnsi="Times New Roman" w:cs="Times New Roman"/>
          <w:sz w:val="24"/>
          <w:szCs w:val="24"/>
        </w:rPr>
        <w:t>governance processes of national treasuries in North rift, Kenya</w:t>
      </w:r>
      <w:r w:rsidRPr="000C5AB4">
        <w:rPr>
          <w:rFonts w:ascii="Times New Roman" w:eastAsia="Times New Roman" w:hAnsi="Times New Roman" w:cs="Times New Roman"/>
          <w:sz w:val="24"/>
          <w:szCs w:val="24"/>
        </w:rPr>
        <w:t xml:space="preserve">. </w:t>
      </w:r>
      <w:r w:rsidRPr="000C5AB4">
        <w:rPr>
          <w:rFonts w:ascii="Times New Roman" w:hAnsi="Times New Roman" w:cs="Times New Roman"/>
          <w:sz w:val="24"/>
          <w:szCs w:val="24"/>
        </w:rPr>
        <w:t>The F critical value at a 5% significance level was 2.5129. Because the calculated F value is greater than this threshold, it demonstrates that the overall model is significant.</w:t>
      </w:r>
    </w:p>
    <w:p w14:paraId="647DC4F2" w14:textId="77777777" w:rsidR="008C1968" w:rsidRPr="000C5AB4" w:rsidRDefault="008C1968" w:rsidP="00E35951">
      <w:pPr>
        <w:spacing w:after="100" w:afterAutospacing="1" w:line="360" w:lineRule="auto"/>
        <w:jc w:val="both"/>
        <w:rPr>
          <w:rFonts w:ascii="Times New Roman" w:hAnsi="Times New Roman" w:cs="Times New Roman"/>
          <w:sz w:val="24"/>
          <w:szCs w:val="24"/>
        </w:rPr>
      </w:pPr>
    </w:p>
    <w:p w14:paraId="47F966E2" w14:textId="77777777" w:rsidR="001B6039" w:rsidRPr="000C5AB4" w:rsidRDefault="001B6039"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CONCLUSION AND RECOMMENDATIONS</w:t>
      </w:r>
    </w:p>
    <w:p w14:paraId="45ECC651" w14:textId="77777777" w:rsidR="001B6039" w:rsidRPr="000C5AB4" w:rsidRDefault="00CB7DEA" w:rsidP="00E35951">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Based on the paper</w:t>
      </w:r>
      <w:r w:rsidR="001B6039" w:rsidRPr="000C5AB4">
        <w:rPr>
          <w:rFonts w:ascii="Times New Roman" w:hAnsi="Times New Roman" w:cs="Times New Roman"/>
          <w:sz w:val="24"/>
          <w:szCs w:val="24"/>
        </w:rPr>
        <w:t xml:space="preserve"> results presented it is evident that internal controls moderately influence governance </w:t>
      </w:r>
      <w:r w:rsidR="00614FEA">
        <w:rPr>
          <w:rFonts w:ascii="Times New Roman" w:hAnsi="Times New Roman" w:cs="Times New Roman"/>
          <w:sz w:val="24"/>
          <w:szCs w:val="24"/>
        </w:rPr>
        <w:t>processes (β = 0.4</w:t>
      </w:r>
      <w:r w:rsidR="001B6039" w:rsidRPr="000C5AB4">
        <w:rPr>
          <w:rFonts w:ascii="Times New Roman" w:hAnsi="Times New Roman" w:cs="Times New Roman"/>
          <w:sz w:val="24"/>
          <w:szCs w:val="24"/>
        </w:rPr>
        <w:t xml:space="preserve">48, t </w:t>
      </w:r>
      <w:r w:rsidR="006F0FD4" w:rsidRPr="000C5AB4">
        <w:rPr>
          <w:rFonts w:ascii="Times New Roman" w:hAnsi="Times New Roman" w:cs="Times New Roman"/>
          <w:sz w:val="24"/>
          <w:szCs w:val="24"/>
        </w:rPr>
        <w:t>= 3.223, p-value = 0.00). T</w:t>
      </w:r>
      <w:r w:rsidR="001B6039" w:rsidRPr="000C5AB4">
        <w:rPr>
          <w:rFonts w:ascii="Times New Roman" w:hAnsi="Times New Roman" w:cs="Times New Roman"/>
          <w:sz w:val="24"/>
          <w:szCs w:val="24"/>
        </w:rPr>
        <w:t xml:space="preserve">he </w:t>
      </w:r>
      <w:r w:rsidR="006F0FD4" w:rsidRPr="000C5AB4">
        <w:rPr>
          <w:rFonts w:ascii="Times New Roman" w:hAnsi="Times New Roman" w:cs="Times New Roman"/>
          <w:sz w:val="24"/>
          <w:szCs w:val="24"/>
        </w:rPr>
        <w:t xml:space="preserve">null </w:t>
      </w:r>
      <w:r w:rsidR="001B6039" w:rsidRPr="000C5AB4">
        <w:rPr>
          <w:rFonts w:ascii="Times New Roman" w:hAnsi="Times New Roman" w:cs="Times New Roman"/>
          <w:sz w:val="24"/>
          <w:szCs w:val="24"/>
        </w:rPr>
        <w:t>hypothesis asserting that internal controls do not significantly impact governance processes in North Rift, Kenya, was rejected</w:t>
      </w:r>
      <w:r w:rsidR="001B056F">
        <w:rPr>
          <w:rFonts w:ascii="Times New Roman" w:hAnsi="Times New Roman" w:cs="Times New Roman"/>
          <w:sz w:val="24"/>
          <w:szCs w:val="24"/>
        </w:rPr>
        <w:t>.</w:t>
      </w:r>
    </w:p>
    <w:p w14:paraId="2780DF94" w14:textId="77777777" w:rsidR="0070657F" w:rsidRPr="000C5AB4" w:rsidRDefault="0070657F" w:rsidP="00E35951">
      <w:pPr>
        <w:autoSpaceDE w:val="0"/>
        <w:autoSpaceDN w:val="0"/>
        <w:adjustRightInd w:val="0"/>
        <w:spacing w:after="100" w:afterAutospacing="1" w:line="360" w:lineRule="auto"/>
        <w:jc w:val="both"/>
        <w:rPr>
          <w:rFonts w:ascii="Times New Roman" w:hAnsi="Times New Roman" w:cs="Times New Roman"/>
          <w:sz w:val="24"/>
          <w:szCs w:val="24"/>
        </w:rPr>
      </w:pPr>
      <w:bookmarkStart w:id="80" w:name="_Hlk22372996"/>
      <w:r w:rsidRPr="000C5AB4">
        <w:rPr>
          <w:rFonts w:ascii="Times New Roman" w:hAnsi="Times New Roman" w:cs="Times New Roman"/>
          <w:sz w:val="24"/>
          <w:szCs w:val="24"/>
        </w:rPr>
        <w:t>Several studies done among them Lind</w:t>
      </w:r>
      <w:r w:rsidR="008906FB" w:rsidRPr="000C5AB4">
        <w:rPr>
          <w:rFonts w:ascii="Times New Roman" w:hAnsi="Times New Roman" w:cs="Times New Roman"/>
          <w:sz w:val="24"/>
          <w:szCs w:val="24"/>
        </w:rPr>
        <w:t>a</w:t>
      </w:r>
      <w:r w:rsidR="001B056F">
        <w:rPr>
          <w:rFonts w:ascii="Times New Roman" w:hAnsi="Times New Roman" w:cs="Times New Roman"/>
          <w:sz w:val="24"/>
          <w:szCs w:val="24"/>
        </w:rPr>
        <w:t xml:space="preserve"> </w:t>
      </w:r>
      <w:r w:rsidR="008906FB" w:rsidRPr="000C5AB4">
        <w:rPr>
          <w:rFonts w:ascii="Times New Roman" w:hAnsi="Times New Roman" w:cs="Times New Roman"/>
          <w:sz w:val="24"/>
          <w:szCs w:val="24"/>
        </w:rPr>
        <w:t>&amp;Shale, 2015; Otieno, 2019 and</w:t>
      </w:r>
      <w:r w:rsidRPr="000C5AB4">
        <w:rPr>
          <w:rFonts w:ascii="Times New Roman" w:hAnsi="Times New Roman" w:cs="Times New Roman"/>
          <w:sz w:val="24"/>
          <w:szCs w:val="24"/>
        </w:rPr>
        <w:t xml:space="preserve"> Serem, 2016</w:t>
      </w:r>
      <w:r w:rsidR="006F0FD4" w:rsidRPr="000C5AB4">
        <w:rPr>
          <w:rFonts w:ascii="Times New Roman" w:hAnsi="Times New Roman" w:cs="Times New Roman"/>
          <w:sz w:val="24"/>
          <w:szCs w:val="24"/>
        </w:rPr>
        <w:t xml:space="preserve"> concurred with this findings paper</w:t>
      </w:r>
      <w:r w:rsidRPr="000C5AB4">
        <w:rPr>
          <w:rFonts w:ascii="Times New Roman" w:hAnsi="Times New Roman" w:cs="Times New Roman"/>
          <w:sz w:val="24"/>
          <w:szCs w:val="24"/>
        </w:rPr>
        <w:t xml:space="preserve"> when they affirmed that internal controls were crucial functions of governance processes that significantly and positively influence the management of public and private entities, through the establishment of physical and safety controls, segregation of duties, strict authorization channel of activities, verifying and reviewing actions of staff in the organization. </w:t>
      </w:r>
      <w:r w:rsidR="006F0FD4" w:rsidRPr="000C5AB4">
        <w:rPr>
          <w:rFonts w:ascii="Times New Roman" w:hAnsi="Times New Roman" w:cs="Times New Roman"/>
          <w:sz w:val="24"/>
          <w:szCs w:val="24"/>
        </w:rPr>
        <w:t xml:space="preserve">In addition </w:t>
      </w:r>
      <w:r w:rsidRPr="000C5AB4">
        <w:rPr>
          <w:rFonts w:ascii="Times New Roman" w:hAnsi="Times New Roman" w:cs="Times New Roman"/>
          <w:sz w:val="24"/>
          <w:szCs w:val="24"/>
        </w:rPr>
        <w:t xml:space="preserve">Juma (2017) found out that internal audit controls positively influences operations at the organizations under investigation. </w:t>
      </w:r>
      <w:r w:rsidR="006F0FD4" w:rsidRPr="000C5AB4">
        <w:rPr>
          <w:rFonts w:ascii="Times New Roman" w:hAnsi="Times New Roman" w:cs="Times New Roman"/>
          <w:sz w:val="24"/>
          <w:szCs w:val="24"/>
        </w:rPr>
        <w:t xml:space="preserve">In his </w:t>
      </w:r>
      <w:r w:rsidRPr="000C5AB4">
        <w:rPr>
          <w:rFonts w:ascii="Times New Roman" w:hAnsi="Times New Roman" w:cs="Times New Roman"/>
          <w:sz w:val="24"/>
          <w:szCs w:val="24"/>
        </w:rPr>
        <w:t xml:space="preserve">study further specified that segregation of duties reduced conflicts in the organization. They recommended the establishment and implementation of effective </w:t>
      </w:r>
      <w:r w:rsidR="006F0FD4" w:rsidRPr="000C5AB4">
        <w:rPr>
          <w:rFonts w:ascii="Times New Roman" w:hAnsi="Times New Roman" w:cs="Times New Roman"/>
          <w:sz w:val="24"/>
          <w:szCs w:val="24"/>
        </w:rPr>
        <w:t xml:space="preserve">internal audit controls units. </w:t>
      </w:r>
      <w:r w:rsidRPr="000C5AB4">
        <w:rPr>
          <w:rFonts w:ascii="Times New Roman" w:hAnsi="Times New Roman" w:cs="Times New Roman"/>
          <w:sz w:val="24"/>
          <w:szCs w:val="24"/>
        </w:rPr>
        <w:t>The PFM Act of 2012, provides that public sector controls should involve every aspect of operations, including management, financial, and operational rules and procedures. Their goals are to protect government assets, guarantee the integrity and dependability of financial data, and foster operational effectiveness. The cost of poor risk management practices both internally and externally in the organization, including the time required for management to take corrective action of the situ</w:t>
      </w:r>
      <w:r w:rsidR="00E114C0" w:rsidRPr="000C5AB4">
        <w:rPr>
          <w:rFonts w:ascii="Times New Roman" w:hAnsi="Times New Roman" w:cs="Times New Roman"/>
          <w:sz w:val="24"/>
          <w:szCs w:val="24"/>
        </w:rPr>
        <w:t xml:space="preserve">ation should not be understated </w:t>
      </w:r>
      <w:r w:rsidRPr="000C5AB4">
        <w:rPr>
          <w:rFonts w:ascii="Times New Roman" w:hAnsi="Times New Roman" w:cs="Times New Roman"/>
          <w:sz w:val="24"/>
          <w:szCs w:val="24"/>
        </w:rPr>
        <w:t xml:space="preserve">Therefore in the </w:t>
      </w:r>
      <w:r w:rsidRPr="000C5AB4">
        <w:rPr>
          <w:rFonts w:ascii="Times New Roman" w:eastAsia="Times New Roman" w:hAnsi="Times New Roman" w:cs="Times New Roman"/>
          <w:color w:val="000000"/>
          <w:sz w:val="24"/>
          <w:szCs w:val="24"/>
        </w:rPr>
        <w:t>national treasuries in North rift, Kenya</w:t>
      </w:r>
      <w:r w:rsidRPr="000C5AB4">
        <w:rPr>
          <w:rFonts w:ascii="Times New Roman" w:hAnsi="Times New Roman" w:cs="Times New Roman"/>
          <w:sz w:val="24"/>
          <w:szCs w:val="24"/>
        </w:rPr>
        <w:t xml:space="preserve"> internal audit department helps department in developing and implementing </w:t>
      </w:r>
      <w:r w:rsidRPr="000C5AB4">
        <w:rPr>
          <w:rFonts w:ascii="Times New Roman" w:hAnsi="Times New Roman" w:cs="Times New Roman"/>
          <w:color w:val="000000"/>
          <w:sz w:val="24"/>
          <w:szCs w:val="24"/>
        </w:rPr>
        <w:t>financial controls, physical controls on assets and reviews of systems and processes. This is done by performing independent reconciliations a regular basis and performing independent verification of transactions ensuring the integrity of the decision-making processes.</w:t>
      </w:r>
      <w:r w:rsidRPr="000C5AB4">
        <w:rPr>
          <w:rFonts w:ascii="Times New Roman" w:hAnsi="Times New Roman" w:cs="Times New Roman"/>
          <w:sz w:val="24"/>
          <w:szCs w:val="24"/>
        </w:rPr>
        <w:t xml:space="preserve"> </w:t>
      </w:r>
      <w:bookmarkEnd w:id="80"/>
    </w:p>
    <w:p w14:paraId="160DF58D" w14:textId="77777777" w:rsidR="0070657F" w:rsidRPr="000C5AB4" w:rsidRDefault="006F0FD4" w:rsidP="00E35951">
      <w:pPr>
        <w:pStyle w:val="NormalWeb"/>
        <w:spacing w:before="0" w:beforeAutospacing="0" w:line="360" w:lineRule="auto"/>
        <w:jc w:val="both"/>
      </w:pPr>
      <w:bookmarkStart w:id="81" w:name="_1x0gk37" w:colFirst="0" w:colLast="0"/>
      <w:bookmarkStart w:id="82" w:name="_2tq9fhf" w:colFirst="0" w:colLast="0"/>
      <w:bookmarkEnd w:id="81"/>
      <w:bookmarkEnd w:id="82"/>
      <w:r w:rsidRPr="000C5AB4">
        <w:t>The paper</w:t>
      </w:r>
      <w:r w:rsidR="0070657F" w:rsidRPr="000C5AB4">
        <w:t xml:space="preserve"> underscores the cr</w:t>
      </w:r>
      <w:r w:rsidR="00D47EB5" w:rsidRPr="000C5AB4">
        <w:t>itical role of internal controls</w:t>
      </w:r>
      <w:r w:rsidR="0070657F" w:rsidRPr="000C5AB4">
        <w:t xml:space="preserve"> in enhancing public sector governance processes, which encompass the implementation of fiscal and financial management policies as well as robust budgeting frameworks essential for efficient resource utilization and service </w:t>
      </w:r>
      <w:r w:rsidR="0070657F" w:rsidRPr="000C5AB4">
        <w:lastRenderedPageBreak/>
        <w:t>delivery. Public sector governance processes consist of the procedures and policies that govern the institution, ensuring accountability and integrity through practices such as accounting procedures, procurement processes, communication, and segregation of duties. With the rollout of the zero vault audit regime in 2023, there is an increased emphasis on strengthening internal audit departments to ensure adherence to governance processes across all levels of the public sector, thereby enhancing the quality of financial reporting.</w:t>
      </w:r>
    </w:p>
    <w:p w14:paraId="3091F253" w14:textId="77777777" w:rsidR="0070657F" w:rsidRPr="000C5AB4" w:rsidRDefault="006F0FD4" w:rsidP="00E35951">
      <w:pPr>
        <w:pStyle w:val="NormalWeb"/>
        <w:spacing w:before="0" w:beforeAutospacing="0" w:line="360" w:lineRule="auto"/>
        <w:jc w:val="both"/>
      </w:pPr>
      <w:r w:rsidRPr="000C5AB4">
        <w:t xml:space="preserve">Based, on the results of this paper, </w:t>
      </w:r>
      <w:r w:rsidR="0070657F" w:rsidRPr="000C5AB4">
        <w:t xml:space="preserve">it is advised that all ministries </w:t>
      </w:r>
      <w:r w:rsidRPr="000C5AB4">
        <w:t xml:space="preserve">and departments ought to </w:t>
      </w:r>
      <w:r w:rsidR="0070657F" w:rsidRPr="000C5AB4">
        <w:t>integrate internal controls into their operations to ensure effective processes. For instance, authorization activities should involve proper segregation of duties and adequate physical controls. Additionally, the establishment of integrated internal audit control systems is crucial for enhanci</w:t>
      </w:r>
      <w:r w:rsidR="00A32B1C" w:rsidRPr="000C5AB4">
        <w:t>ng service delivery efficiency.</w:t>
      </w:r>
      <w:r w:rsidR="0070657F" w:rsidRPr="000C5AB4">
        <w:tab/>
      </w:r>
    </w:p>
    <w:p w14:paraId="6A0A144B" w14:textId="77777777" w:rsidR="0070657F" w:rsidRPr="000C5AB4" w:rsidRDefault="006F0FD4" w:rsidP="00E35951">
      <w:pPr>
        <w:pStyle w:val="NormalWeb"/>
        <w:spacing w:before="0" w:beforeAutospacing="0" w:line="360" w:lineRule="auto"/>
        <w:jc w:val="both"/>
      </w:pPr>
      <w:r w:rsidRPr="000C5AB4">
        <w:t>Since t</w:t>
      </w:r>
      <w:r w:rsidR="0070657F" w:rsidRPr="000C5AB4">
        <w:t xml:space="preserve">his </w:t>
      </w:r>
      <w:r w:rsidRPr="000C5AB4">
        <w:t xml:space="preserve">paper </w:t>
      </w:r>
      <w:r w:rsidR="0070657F" w:rsidRPr="000C5AB4">
        <w:t xml:space="preserve">focused on internal auditors at the National Treasury in the North Rift region. </w:t>
      </w:r>
      <w:r w:rsidRPr="000C5AB4">
        <w:t>It recommends further</w:t>
      </w:r>
      <w:r w:rsidR="0070657F" w:rsidRPr="000C5AB4">
        <w:t xml:space="preserve"> studies </w:t>
      </w:r>
      <w:r w:rsidRPr="000C5AB4">
        <w:t>to</w:t>
      </w:r>
      <w:r w:rsidR="0070657F" w:rsidRPr="000C5AB4">
        <w:t xml:space="preserve"> explore similar research in other regions of Kenya and across various public sector entities to validate these findings. Additionally, research on the influence of internal audits on governance processes within private institutions could provide a comparative analysis of governance in both public an</w:t>
      </w:r>
      <w:r w:rsidR="00D47EB5" w:rsidRPr="000C5AB4">
        <w:t>d private sector organizations</w:t>
      </w:r>
      <w:r w:rsidR="008C1968" w:rsidRPr="000C5AB4">
        <w:t>.</w:t>
      </w:r>
    </w:p>
    <w:p w14:paraId="1FB97FA7" w14:textId="77777777" w:rsidR="008C1968" w:rsidRPr="000C5AB4" w:rsidRDefault="008C1968" w:rsidP="00E35951">
      <w:pPr>
        <w:pStyle w:val="NormalWeb"/>
        <w:spacing w:before="0" w:beforeAutospacing="0" w:line="360" w:lineRule="auto"/>
        <w:jc w:val="both"/>
      </w:pPr>
    </w:p>
    <w:p w14:paraId="2A62ED8E" w14:textId="77777777" w:rsidR="008C1968" w:rsidRPr="000C5AB4" w:rsidRDefault="008C1968" w:rsidP="00E35951">
      <w:pPr>
        <w:pStyle w:val="NormalWeb"/>
        <w:spacing w:before="0" w:beforeAutospacing="0" w:line="360" w:lineRule="auto"/>
        <w:jc w:val="both"/>
      </w:pPr>
    </w:p>
    <w:p w14:paraId="304029CB" w14:textId="77777777" w:rsidR="008C1968" w:rsidRPr="000C5AB4" w:rsidRDefault="008C1968" w:rsidP="00E35951">
      <w:pPr>
        <w:pStyle w:val="NormalWeb"/>
        <w:spacing w:before="0" w:beforeAutospacing="0" w:line="360" w:lineRule="auto"/>
        <w:jc w:val="both"/>
      </w:pPr>
    </w:p>
    <w:p w14:paraId="289015FB" w14:textId="77777777" w:rsidR="008C1968" w:rsidRPr="000C5AB4" w:rsidRDefault="008C1968" w:rsidP="00E35951">
      <w:pPr>
        <w:pStyle w:val="NormalWeb"/>
        <w:spacing w:before="0" w:beforeAutospacing="0" w:line="360" w:lineRule="auto"/>
        <w:jc w:val="both"/>
      </w:pPr>
    </w:p>
    <w:p w14:paraId="3AA811BB" w14:textId="77777777" w:rsidR="008C1968" w:rsidRPr="000C5AB4" w:rsidRDefault="008C1968" w:rsidP="00E35951">
      <w:pPr>
        <w:pStyle w:val="NormalWeb"/>
        <w:spacing w:before="0" w:beforeAutospacing="0" w:line="360" w:lineRule="auto"/>
        <w:jc w:val="both"/>
      </w:pPr>
    </w:p>
    <w:p w14:paraId="5CBCFAB7" w14:textId="77777777" w:rsidR="008C1968" w:rsidRPr="000C5AB4" w:rsidRDefault="008C1968" w:rsidP="00E35951">
      <w:pPr>
        <w:pStyle w:val="NormalWeb"/>
        <w:spacing w:before="0" w:beforeAutospacing="0" w:line="360" w:lineRule="auto"/>
        <w:jc w:val="both"/>
      </w:pPr>
    </w:p>
    <w:p w14:paraId="58EB18C5" w14:textId="77777777" w:rsidR="008C1968" w:rsidRPr="000C5AB4" w:rsidRDefault="008C1968" w:rsidP="00E35951">
      <w:pPr>
        <w:pStyle w:val="NormalWeb"/>
        <w:spacing w:before="0" w:beforeAutospacing="0" w:line="360" w:lineRule="auto"/>
        <w:jc w:val="both"/>
      </w:pPr>
    </w:p>
    <w:p w14:paraId="4E2212AF" w14:textId="77777777" w:rsidR="008C1968" w:rsidRPr="000C5AB4" w:rsidRDefault="008C1968" w:rsidP="00E35951">
      <w:pPr>
        <w:pStyle w:val="NormalWeb"/>
        <w:spacing w:before="0" w:beforeAutospacing="0" w:line="360" w:lineRule="auto"/>
        <w:jc w:val="both"/>
      </w:pPr>
    </w:p>
    <w:p w14:paraId="0C33AA9B" w14:textId="77777777" w:rsidR="008C1968" w:rsidRPr="000C5AB4" w:rsidRDefault="008C1968" w:rsidP="00E35951">
      <w:pPr>
        <w:pStyle w:val="NormalWeb"/>
        <w:spacing w:before="0" w:beforeAutospacing="0" w:line="360" w:lineRule="auto"/>
        <w:jc w:val="both"/>
      </w:pPr>
    </w:p>
    <w:p w14:paraId="3524A66B" w14:textId="77777777" w:rsidR="0070657F" w:rsidRPr="000C5AB4" w:rsidRDefault="0070657F" w:rsidP="00E35951">
      <w:pPr>
        <w:pStyle w:val="Heading1"/>
        <w:spacing w:before="0" w:after="100" w:afterAutospacing="1" w:line="360" w:lineRule="auto"/>
        <w:rPr>
          <w:sz w:val="24"/>
          <w:szCs w:val="24"/>
        </w:rPr>
      </w:pPr>
      <w:bookmarkStart w:id="83" w:name="_Toc178857146"/>
      <w:bookmarkEnd w:id="27"/>
      <w:bookmarkEnd w:id="28"/>
      <w:bookmarkEnd w:id="29"/>
      <w:r w:rsidRPr="000C5AB4">
        <w:rPr>
          <w:sz w:val="24"/>
          <w:szCs w:val="24"/>
        </w:rPr>
        <w:t>REFERENCES</w:t>
      </w:r>
      <w:bookmarkEnd w:id="83"/>
    </w:p>
    <w:p w14:paraId="5A1133DB"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Ackers. B. (2014). </w:t>
      </w:r>
      <w:r w:rsidRPr="000C5AB4">
        <w:rPr>
          <w:rFonts w:ascii="Times New Roman" w:hAnsi="Times New Roman" w:cs="Times New Roman"/>
          <w:iCs/>
          <w:sz w:val="24"/>
          <w:szCs w:val="24"/>
        </w:rPr>
        <w:t>The Auditor's Corporate Social Responsibility Assurance Role: A South African Perspective</w:t>
      </w:r>
      <w:r w:rsidRPr="000C5AB4">
        <w:rPr>
          <w:rFonts w:ascii="Times New Roman" w:hAnsi="Times New Roman" w:cs="Times New Roman"/>
          <w:i/>
          <w:iCs/>
          <w:sz w:val="24"/>
          <w:szCs w:val="24"/>
        </w:rPr>
        <w:t xml:space="preserve">. </w:t>
      </w:r>
      <w:r w:rsidRPr="000C5AB4">
        <w:rPr>
          <w:rFonts w:ascii="Times New Roman" w:hAnsi="Times New Roman" w:cs="Times New Roman"/>
          <w:i/>
          <w:sz w:val="24"/>
          <w:szCs w:val="24"/>
        </w:rPr>
        <w:t xml:space="preserve">The 2013 IBEA, International Conference on Business, Economics, and Accounting </w:t>
      </w:r>
      <w:r w:rsidRPr="000C5AB4">
        <w:rPr>
          <w:rFonts w:ascii="Times New Roman" w:hAnsi="Times New Roman" w:cs="Times New Roman"/>
          <w:sz w:val="24"/>
          <w:szCs w:val="24"/>
        </w:rPr>
        <w:t>20 – 23 March 2014.</w:t>
      </w:r>
    </w:p>
    <w:p w14:paraId="60FF425B" w14:textId="77777777" w:rsidR="0070657F" w:rsidRPr="000C5AB4" w:rsidRDefault="0070657F" w:rsidP="00E35951">
      <w:pPr>
        <w:spacing w:after="100" w:afterAutospacing="1" w:line="240" w:lineRule="auto"/>
        <w:ind w:left="1440" w:hanging="1440"/>
        <w:jc w:val="both"/>
        <w:rPr>
          <w:rFonts w:ascii="Times New Roman" w:hAnsi="Times New Roman" w:cs="Times New Roman"/>
          <w:i/>
          <w:sz w:val="24"/>
          <w:szCs w:val="24"/>
        </w:rPr>
      </w:pPr>
      <w:commentRangeStart w:id="84"/>
      <w:r w:rsidRPr="000C5AB4">
        <w:rPr>
          <w:rFonts w:ascii="Times New Roman" w:hAnsi="Times New Roman" w:cs="Times New Roman"/>
          <w:sz w:val="24"/>
          <w:szCs w:val="24"/>
        </w:rPr>
        <w:t xml:space="preserve">Allegrini S, Marc D'Onza, Giuseppe &amp; Paape, Leen &amp; Melville, Robert &amp; Sarens, Gerrit.T. (2017). </w:t>
      </w:r>
      <w:commentRangeEnd w:id="84"/>
      <w:r w:rsidR="00E24893">
        <w:rPr>
          <w:rStyle w:val="CommentReference"/>
        </w:rPr>
        <w:commentReference w:id="84"/>
      </w:r>
      <w:r w:rsidRPr="000C5AB4">
        <w:rPr>
          <w:rFonts w:ascii="Times New Roman" w:hAnsi="Times New Roman" w:cs="Times New Roman"/>
          <w:sz w:val="24"/>
          <w:szCs w:val="24"/>
        </w:rPr>
        <w:t xml:space="preserve">the European Literature Review on Internal Auditing. </w:t>
      </w:r>
      <w:commentRangeStart w:id="85"/>
      <w:r w:rsidRPr="000C5AB4">
        <w:rPr>
          <w:rFonts w:ascii="Times New Roman" w:hAnsi="Times New Roman" w:cs="Times New Roman"/>
          <w:i/>
          <w:sz w:val="24"/>
          <w:szCs w:val="24"/>
        </w:rPr>
        <w:t>Managerial Auditing Journal.</w:t>
      </w:r>
      <w:commentRangeEnd w:id="85"/>
      <w:r w:rsidR="009E1B16">
        <w:rPr>
          <w:rStyle w:val="CommentReference"/>
        </w:rPr>
        <w:commentReference w:id="85"/>
      </w:r>
    </w:p>
    <w:p w14:paraId="3BA1892E" w14:textId="77777777" w:rsidR="0070657F" w:rsidRPr="000C5AB4" w:rsidRDefault="000C5AB4" w:rsidP="00E35951">
      <w:pPr>
        <w:spacing w:after="100" w:afterAutospacing="1" w:line="240" w:lineRule="auto"/>
        <w:ind w:left="1440" w:hanging="1440"/>
        <w:jc w:val="both"/>
        <w:rPr>
          <w:rFonts w:ascii="Times New Roman" w:hAnsi="Times New Roman" w:cs="Times New Roman"/>
          <w:i/>
          <w:sz w:val="24"/>
          <w:szCs w:val="24"/>
        </w:rPr>
      </w:pPr>
      <w:r>
        <w:rPr>
          <w:rFonts w:ascii="Times New Roman" w:hAnsi="Times New Roman" w:cs="Times New Roman"/>
          <w:sz w:val="24"/>
          <w:szCs w:val="24"/>
        </w:rPr>
        <w:t xml:space="preserve">Al-Khairu, E. (2012), </w:t>
      </w:r>
      <w:r w:rsidR="0070657F" w:rsidRPr="000C5AB4">
        <w:rPr>
          <w:rFonts w:ascii="Times New Roman" w:hAnsi="Times New Roman" w:cs="Times New Roman"/>
          <w:sz w:val="24"/>
          <w:szCs w:val="24"/>
        </w:rPr>
        <w:t>Improving the Effectiveness of Internal Cont</w:t>
      </w:r>
      <w:r>
        <w:rPr>
          <w:rFonts w:ascii="Times New Roman" w:hAnsi="Times New Roman" w:cs="Times New Roman"/>
          <w:sz w:val="24"/>
          <w:szCs w:val="24"/>
        </w:rPr>
        <w:t>rol According to the COSO Model</w:t>
      </w:r>
      <w:r w:rsidR="0070657F" w:rsidRPr="000C5AB4">
        <w:rPr>
          <w:rFonts w:ascii="Times New Roman" w:hAnsi="Times New Roman" w:cs="Times New Roman"/>
          <w:sz w:val="24"/>
          <w:szCs w:val="24"/>
        </w:rPr>
        <w:t>, Unpublished Master Thesis, College of Business and Economics, University of Baghdad.</w:t>
      </w:r>
    </w:p>
    <w:p w14:paraId="3F1887AC"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shd w:val="clear" w:color="auto" w:fill="FFFFFF"/>
        </w:rPr>
        <w:t xml:space="preserve">Babbie, E. (2004). The Practice of Social Research. </w:t>
      </w:r>
      <w:r w:rsidRPr="000C5AB4">
        <w:rPr>
          <w:rFonts w:ascii="Times New Roman" w:hAnsi="Times New Roman" w:cs="Times New Roman"/>
          <w:i/>
          <w:sz w:val="24"/>
          <w:szCs w:val="24"/>
          <w:shd w:val="clear" w:color="auto" w:fill="FFFFFF"/>
        </w:rPr>
        <w:t>Wadsworth Publishing Company.</w:t>
      </w:r>
    </w:p>
    <w:p w14:paraId="2B19A2C8" w14:textId="77777777" w:rsidR="0070657F" w:rsidRPr="000C5AB4" w:rsidRDefault="0070657F" w:rsidP="00E35951">
      <w:pPr>
        <w:spacing w:after="100" w:afterAutospacing="1" w:line="240" w:lineRule="auto"/>
        <w:ind w:left="1440" w:hanging="1440"/>
        <w:jc w:val="both"/>
        <w:rPr>
          <w:rFonts w:ascii="Times New Roman" w:hAnsi="Times New Roman" w:cs="Times New Roman"/>
          <w:i/>
          <w:sz w:val="24"/>
          <w:szCs w:val="24"/>
        </w:rPr>
      </w:pPr>
      <w:commentRangeStart w:id="86"/>
      <w:r w:rsidRPr="000C5AB4">
        <w:rPr>
          <w:rFonts w:ascii="Times New Roman" w:hAnsi="Times New Roman" w:cs="Times New Roman"/>
          <w:sz w:val="24"/>
          <w:szCs w:val="24"/>
        </w:rPr>
        <w:t xml:space="preserve">Belay, Z. (2017). </w:t>
      </w:r>
      <w:r w:rsidRPr="000C5AB4">
        <w:rPr>
          <w:rFonts w:ascii="Times New Roman" w:hAnsi="Times New Roman" w:cs="Times New Roman"/>
          <w:iCs/>
          <w:sz w:val="24"/>
          <w:szCs w:val="24"/>
        </w:rPr>
        <w:t>A Study on Effective Implementation of Internal Audit Function to Promote Good Governance in the Public Sector</w:t>
      </w:r>
      <w:r w:rsidRPr="000C5AB4">
        <w:rPr>
          <w:rFonts w:ascii="Times New Roman" w:hAnsi="Times New Roman" w:cs="Times New Roman"/>
          <w:i/>
          <w:iCs/>
          <w:sz w:val="24"/>
          <w:szCs w:val="24"/>
        </w:rPr>
        <w:t xml:space="preserve">, </w:t>
      </w:r>
      <w:r w:rsidRPr="000C5AB4">
        <w:rPr>
          <w:rFonts w:ascii="Times New Roman" w:hAnsi="Times New Roman" w:cs="Times New Roman"/>
          <w:sz w:val="24"/>
          <w:szCs w:val="24"/>
        </w:rPr>
        <w:t>http://www.scribd.com/doc/2194671/</w:t>
      </w:r>
      <w:r w:rsidRPr="000C5AB4">
        <w:rPr>
          <w:rFonts w:ascii="Times New Roman" w:hAnsi="Times New Roman" w:cs="Times New Roman"/>
          <w:i/>
          <w:sz w:val="24"/>
          <w:szCs w:val="24"/>
        </w:rPr>
        <w:t xml:space="preserve">Internal-Audit-Corporate-Governance. </w:t>
      </w:r>
      <w:commentRangeEnd w:id="86"/>
      <w:r w:rsidR="00E24893">
        <w:rPr>
          <w:rStyle w:val="CommentReference"/>
        </w:rPr>
        <w:commentReference w:id="86"/>
      </w:r>
    </w:p>
    <w:p w14:paraId="1186AF92"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Cai, Chun (2017). The Functions and Objectives of Internal Audit and their Underlying conditions, </w:t>
      </w:r>
      <w:r w:rsidRPr="000C5AB4">
        <w:rPr>
          <w:rFonts w:ascii="Times New Roman" w:hAnsi="Times New Roman" w:cs="Times New Roman"/>
          <w:i/>
          <w:iCs/>
          <w:sz w:val="24"/>
          <w:szCs w:val="24"/>
        </w:rPr>
        <w:t>Managerial Auditing Journal</w:t>
      </w:r>
      <w:r w:rsidRPr="000C5AB4">
        <w:rPr>
          <w:rFonts w:ascii="Times New Roman" w:hAnsi="Times New Roman" w:cs="Times New Roman"/>
          <w:sz w:val="24"/>
          <w:szCs w:val="24"/>
        </w:rPr>
        <w:t xml:space="preserve">, </w:t>
      </w:r>
      <w:commentRangeStart w:id="87"/>
      <w:r w:rsidRPr="000C5AB4">
        <w:rPr>
          <w:rFonts w:ascii="Times New Roman" w:hAnsi="Times New Roman" w:cs="Times New Roman"/>
          <w:sz w:val="24"/>
          <w:szCs w:val="24"/>
        </w:rPr>
        <w:t>12</w:t>
      </w:r>
      <w:commentRangeEnd w:id="87"/>
      <w:r w:rsidR="001B1FC5">
        <w:rPr>
          <w:rStyle w:val="CommentReference"/>
        </w:rPr>
        <w:commentReference w:id="87"/>
      </w:r>
      <w:r w:rsidRPr="000C5AB4">
        <w:rPr>
          <w:rFonts w:ascii="Times New Roman" w:hAnsi="Times New Roman" w:cs="Times New Roman"/>
          <w:sz w:val="24"/>
          <w:szCs w:val="24"/>
        </w:rPr>
        <w:t xml:space="preserve">(4), </w:t>
      </w:r>
      <w:commentRangeStart w:id="88"/>
      <w:r w:rsidRPr="000C5AB4">
        <w:rPr>
          <w:rFonts w:ascii="Times New Roman" w:hAnsi="Times New Roman" w:cs="Times New Roman"/>
          <w:sz w:val="24"/>
          <w:szCs w:val="24"/>
        </w:rPr>
        <w:t xml:space="preserve">pp. </w:t>
      </w:r>
      <w:commentRangeEnd w:id="88"/>
      <w:r w:rsidR="00002FFD">
        <w:rPr>
          <w:rStyle w:val="CommentReference"/>
        </w:rPr>
        <w:commentReference w:id="88"/>
      </w:r>
      <w:r w:rsidRPr="000C5AB4">
        <w:rPr>
          <w:rFonts w:ascii="Times New Roman" w:hAnsi="Times New Roman" w:cs="Times New Roman"/>
          <w:sz w:val="24"/>
          <w:szCs w:val="24"/>
        </w:rPr>
        <w:t xml:space="preserve">247-250. </w:t>
      </w:r>
    </w:p>
    <w:p w14:paraId="770A3081"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Cohen, A, &amp; Sayag, G. (2010). The Effectiveness of internal auditing: An empirical examination of its determinants in Israeli organizations. </w:t>
      </w:r>
      <w:commentRangeStart w:id="89"/>
      <w:r w:rsidRPr="000C5AB4">
        <w:rPr>
          <w:rFonts w:ascii="Times New Roman" w:hAnsi="Times New Roman" w:cs="Times New Roman"/>
          <w:i/>
          <w:iCs/>
          <w:sz w:val="24"/>
          <w:szCs w:val="24"/>
        </w:rPr>
        <w:t>Australian Accounting Review.</w:t>
      </w:r>
      <w:commentRangeEnd w:id="89"/>
      <w:r w:rsidR="001B1FC5">
        <w:rPr>
          <w:rStyle w:val="CommentReference"/>
        </w:rPr>
        <w:commentReference w:id="89"/>
      </w:r>
    </w:p>
    <w:p w14:paraId="5CF3B51B" w14:textId="0ABF0352"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shd w:val="clear" w:color="auto" w:fill="FFFFFF"/>
        </w:rPr>
        <w:t>Chikere, Cornell C., and Jude Nwoka. (2015).</w:t>
      </w:r>
      <w:r w:rsidR="001B1FC5">
        <w:rPr>
          <w:rFonts w:ascii="Times New Roman" w:hAnsi="Times New Roman" w:cs="Times New Roman"/>
          <w:sz w:val="24"/>
          <w:szCs w:val="24"/>
          <w:shd w:val="clear" w:color="auto" w:fill="FFFFFF"/>
        </w:rPr>
        <w:t xml:space="preserve"> </w:t>
      </w:r>
      <w:r w:rsidRPr="000C5AB4">
        <w:rPr>
          <w:rFonts w:ascii="Times New Roman" w:hAnsi="Times New Roman" w:cs="Times New Roman"/>
          <w:sz w:val="24"/>
          <w:szCs w:val="24"/>
          <w:shd w:val="clear" w:color="auto" w:fill="FFFFFF"/>
        </w:rPr>
        <w:t>The Systems Theory of Management in Modern Day Organizations-A study of Aldgate congress resort. </w:t>
      </w:r>
      <w:commentRangeStart w:id="90"/>
      <w:r w:rsidRPr="000C5AB4">
        <w:rPr>
          <w:rFonts w:ascii="Times New Roman" w:hAnsi="Times New Roman" w:cs="Times New Roman"/>
          <w:i/>
          <w:iCs/>
          <w:sz w:val="24"/>
          <w:szCs w:val="24"/>
          <w:shd w:val="clear" w:color="auto" w:fill="FFFFFF"/>
        </w:rPr>
        <w:t>International Journal of Scientific and Research Publications</w:t>
      </w:r>
      <w:r w:rsidRPr="000C5AB4">
        <w:rPr>
          <w:rFonts w:ascii="Times New Roman" w:hAnsi="Times New Roman" w:cs="Times New Roman"/>
          <w:sz w:val="24"/>
          <w:szCs w:val="24"/>
          <w:shd w:val="clear" w:color="auto" w:fill="FFFFFF"/>
        </w:rPr>
        <w:t>.</w:t>
      </w:r>
      <w:commentRangeEnd w:id="90"/>
      <w:r w:rsidR="00773FBE">
        <w:rPr>
          <w:rStyle w:val="CommentReference"/>
        </w:rPr>
        <w:commentReference w:id="90"/>
      </w:r>
    </w:p>
    <w:p w14:paraId="0C77AA8C"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Cyprus.O. (2015).The Relationship Between Internal Control and Corporate Governance. In Commercial Banks in Kenya. </w:t>
      </w:r>
      <w:r w:rsidRPr="000C5AB4">
        <w:rPr>
          <w:rFonts w:ascii="Times New Roman" w:hAnsi="Times New Roman" w:cs="Times New Roman"/>
          <w:i/>
          <w:sz w:val="24"/>
          <w:szCs w:val="24"/>
        </w:rPr>
        <w:t>Unpublished MBA Research Project, University of Nairobi.</w:t>
      </w:r>
      <w:r w:rsidRPr="000C5AB4">
        <w:rPr>
          <w:rFonts w:ascii="Times New Roman" w:hAnsi="Times New Roman" w:cs="Times New Roman"/>
          <w:sz w:val="24"/>
          <w:szCs w:val="24"/>
        </w:rPr>
        <w:t xml:space="preserve"> </w:t>
      </w:r>
    </w:p>
    <w:p w14:paraId="65D67940"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Gikonyo .M (2020). The determinants of internal audit effectiveness in the public sector in Kenya, a case of the National Treasury. </w:t>
      </w:r>
      <w:r w:rsidRPr="000C5AB4">
        <w:rPr>
          <w:rFonts w:ascii="Times New Roman" w:hAnsi="Times New Roman" w:cs="Times New Roman"/>
          <w:i/>
          <w:sz w:val="24"/>
          <w:szCs w:val="24"/>
        </w:rPr>
        <w:t>Doctoral Dissertation</w:t>
      </w:r>
      <w:r w:rsidRPr="000C5AB4">
        <w:rPr>
          <w:rFonts w:ascii="Times New Roman" w:hAnsi="Times New Roman" w:cs="Times New Roman"/>
          <w:sz w:val="24"/>
          <w:szCs w:val="24"/>
        </w:rPr>
        <w:t>, African Nazareen University.</w:t>
      </w:r>
    </w:p>
    <w:p w14:paraId="6FF67586"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EACC (2024): Corruption Prevention Guidelines and the Quarterly Reporting</w:t>
      </w:r>
      <w:r w:rsidRPr="000C5AB4">
        <w:rPr>
          <w:rStyle w:val="Emphasis"/>
          <w:rFonts w:ascii="Times New Roman" w:hAnsi="Times New Roman" w:cs="Times New Roman"/>
          <w:b/>
          <w:bCs/>
          <w:i w:val="0"/>
          <w:iCs w:val="0"/>
          <w:sz w:val="24"/>
          <w:szCs w:val="24"/>
          <w:shd w:val="clear" w:color="auto" w:fill="FFFFFF"/>
        </w:rPr>
        <w:t xml:space="preserve"> </w:t>
      </w:r>
      <w:r w:rsidRPr="000C5AB4">
        <w:rPr>
          <w:rFonts w:ascii="Times New Roman" w:hAnsi="Times New Roman" w:cs="Times New Roman"/>
          <w:sz w:val="24"/>
          <w:szCs w:val="24"/>
        </w:rPr>
        <w:t>2023</w:t>
      </w:r>
      <w:r w:rsidRPr="000C5AB4">
        <w:rPr>
          <w:rStyle w:val="Emphasis"/>
          <w:rFonts w:ascii="Times New Roman" w:hAnsi="Times New Roman" w:cs="Times New Roman"/>
          <w:b/>
          <w:bCs/>
          <w:i w:val="0"/>
          <w:iCs w:val="0"/>
          <w:sz w:val="24"/>
          <w:szCs w:val="24"/>
          <w:shd w:val="clear" w:color="auto" w:fill="FFFFFF"/>
        </w:rPr>
        <w:t xml:space="preserve"> </w:t>
      </w:r>
      <w:r w:rsidRPr="000C5AB4">
        <w:rPr>
          <w:rFonts w:ascii="Times New Roman" w:hAnsi="Times New Roman" w:cs="Times New Roman"/>
          <w:sz w:val="24"/>
          <w:szCs w:val="24"/>
        </w:rPr>
        <w:t>https/eacc.go.ke/ uploads, retrieved May 2024.</w:t>
      </w:r>
    </w:p>
    <w:p w14:paraId="5D077762"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GOK. (2012). The Public Finance Management Act. Nairobi: Government Printer. </w:t>
      </w:r>
    </w:p>
    <w:p w14:paraId="027BE56A"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lastRenderedPageBreak/>
        <w:t xml:space="preserve">GOK. (2018). </w:t>
      </w:r>
      <w:r w:rsidRPr="000C5AB4">
        <w:rPr>
          <w:rFonts w:ascii="Times New Roman" w:hAnsi="Times New Roman" w:cs="Times New Roman"/>
          <w:iCs/>
          <w:sz w:val="24"/>
          <w:szCs w:val="24"/>
        </w:rPr>
        <w:t>Internal Audit Guidelines for National Government Entitie</w:t>
      </w:r>
      <w:r w:rsidRPr="000C5AB4">
        <w:rPr>
          <w:rFonts w:ascii="Times New Roman" w:hAnsi="Times New Roman" w:cs="Times New Roman"/>
          <w:i/>
          <w:iCs/>
          <w:sz w:val="24"/>
          <w:szCs w:val="24"/>
        </w:rPr>
        <w:t xml:space="preserve">s. </w:t>
      </w:r>
      <w:r w:rsidRPr="000C5AB4">
        <w:rPr>
          <w:rFonts w:ascii="Times New Roman" w:hAnsi="Times New Roman" w:cs="Times New Roman"/>
          <w:sz w:val="24"/>
          <w:szCs w:val="24"/>
        </w:rPr>
        <w:t>Nairobi, Government Printer.</w:t>
      </w:r>
    </w:p>
    <w:p w14:paraId="661CBBD1"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GOK, (2023). Zero Vault Audit Regime 2023, National Treasury and Economic Planning, </w:t>
      </w:r>
      <w:commentRangeStart w:id="91"/>
      <w:r w:rsidRPr="000C5AB4">
        <w:rPr>
          <w:rFonts w:ascii="Times New Roman" w:hAnsi="Times New Roman" w:cs="Times New Roman"/>
          <w:i/>
          <w:sz w:val="24"/>
          <w:szCs w:val="24"/>
        </w:rPr>
        <w:t>State Department For Economic Planning</w:t>
      </w:r>
      <w:r w:rsidRPr="000C5AB4">
        <w:rPr>
          <w:rFonts w:ascii="Times New Roman" w:hAnsi="Times New Roman" w:cs="Times New Roman"/>
          <w:sz w:val="24"/>
          <w:szCs w:val="24"/>
        </w:rPr>
        <w:t>.</w:t>
      </w:r>
      <w:commentRangeEnd w:id="91"/>
      <w:r w:rsidR="001A764A">
        <w:rPr>
          <w:rStyle w:val="CommentReference"/>
        </w:rPr>
        <w:commentReference w:id="91"/>
      </w:r>
    </w:p>
    <w:p w14:paraId="775E367D" w14:textId="77777777" w:rsidR="0070657F" w:rsidRPr="000C5AB4" w:rsidRDefault="0070657F" w:rsidP="00E35951">
      <w:pPr>
        <w:spacing w:after="100" w:afterAutospacing="1" w:line="240" w:lineRule="auto"/>
        <w:ind w:left="1440" w:hanging="1440"/>
        <w:jc w:val="both"/>
        <w:rPr>
          <w:rFonts w:ascii="Times New Roman" w:hAnsi="Times New Roman" w:cs="Times New Roman"/>
          <w:i/>
          <w:sz w:val="24"/>
          <w:szCs w:val="24"/>
        </w:rPr>
      </w:pPr>
      <w:r w:rsidRPr="000C5AB4">
        <w:rPr>
          <w:rFonts w:ascii="Times New Roman" w:hAnsi="Times New Roman" w:cs="Times New Roman"/>
          <w:sz w:val="24"/>
          <w:szCs w:val="24"/>
        </w:rPr>
        <w:t xml:space="preserve">Global Corporate Governance Forum (2023). Better Companies, Better Societies, </w:t>
      </w:r>
      <w:r w:rsidRPr="000C5AB4">
        <w:rPr>
          <w:rFonts w:ascii="Times New Roman" w:hAnsi="Times New Roman" w:cs="Times New Roman"/>
          <w:i/>
          <w:sz w:val="24"/>
          <w:szCs w:val="24"/>
        </w:rPr>
        <w:t xml:space="preserve">a Progress Report. </w:t>
      </w:r>
    </w:p>
    <w:p w14:paraId="745D4A06" w14:textId="77777777" w:rsidR="00D54920" w:rsidRPr="000C5AB4" w:rsidRDefault="0070657F" w:rsidP="00E35951">
      <w:pPr>
        <w:spacing w:after="100" w:afterAutospacing="1" w:line="240" w:lineRule="auto"/>
        <w:ind w:left="1440" w:hanging="1440"/>
        <w:jc w:val="both"/>
        <w:rPr>
          <w:rFonts w:ascii="Times New Roman" w:hAnsi="Times New Roman" w:cs="Times New Roman"/>
          <w:i/>
          <w:iCs/>
          <w:sz w:val="24"/>
          <w:szCs w:val="24"/>
        </w:rPr>
      </w:pPr>
      <w:r w:rsidRPr="000C5AB4">
        <w:rPr>
          <w:rFonts w:ascii="Times New Roman" w:hAnsi="Times New Roman" w:cs="Times New Roman"/>
          <w:sz w:val="24"/>
          <w:szCs w:val="24"/>
        </w:rPr>
        <w:t xml:space="preserve">Institute of Internal Auditors (2023). </w:t>
      </w:r>
      <w:r w:rsidRPr="000C5AB4">
        <w:rPr>
          <w:rFonts w:ascii="Times New Roman" w:hAnsi="Times New Roman" w:cs="Times New Roman"/>
          <w:iCs/>
          <w:sz w:val="24"/>
          <w:szCs w:val="24"/>
        </w:rPr>
        <w:t>Public Sector Internal Audit Standards Applying the IIA</w:t>
      </w:r>
      <w:r w:rsidRPr="000C5AB4">
        <w:rPr>
          <w:rFonts w:ascii="Times New Roman" w:hAnsi="Times New Roman" w:cs="Times New Roman"/>
          <w:i/>
          <w:iCs/>
          <w:sz w:val="24"/>
          <w:szCs w:val="24"/>
        </w:rPr>
        <w:t xml:space="preserve">. </w:t>
      </w:r>
      <w:r w:rsidRPr="000C5AB4">
        <w:rPr>
          <w:rFonts w:ascii="Times New Roman" w:hAnsi="Times New Roman" w:cs="Times New Roman"/>
          <w:sz w:val="24"/>
          <w:szCs w:val="24"/>
        </w:rPr>
        <w:t xml:space="preserve">Public Sector Internal Audit Standards, </w:t>
      </w:r>
      <w:r w:rsidR="00D54920" w:rsidRPr="000C5AB4">
        <w:rPr>
          <w:rFonts w:ascii="Times New Roman" w:hAnsi="Times New Roman" w:cs="Times New Roman"/>
          <w:i/>
          <w:iCs/>
          <w:sz w:val="24"/>
          <w:szCs w:val="24"/>
        </w:rPr>
        <w:t xml:space="preserve">MicrosoftEdgeDownloads </w:t>
      </w:r>
    </w:p>
    <w:p w14:paraId="39EDC8AF" w14:textId="77777777" w:rsidR="000C5AB4" w:rsidRDefault="0070657F" w:rsidP="000C5AB4">
      <w:pPr>
        <w:spacing w:after="100" w:afterAutospacing="1" w:line="240" w:lineRule="auto"/>
        <w:ind w:left="1440" w:hanging="1440"/>
        <w:jc w:val="both"/>
        <w:rPr>
          <w:rFonts w:ascii="Times New Roman" w:hAnsi="Times New Roman" w:cs="Times New Roman"/>
          <w:i/>
          <w:iCs/>
          <w:sz w:val="24"/>
          <w:szCs w:val="24"/>
        </w:rPr>
      </w:pPr>
      <w:r w:rsidRPr="000C5AB4">
        <w:rPr>
          <w:rFonts w:ascii="Times New Roman" w:hAnsi="Times New Roman" w:cs="Times New Roman"/>
          <w:sz w:val="24"/>
          <w:szCs w:val="24"/>
        </w:rPr>
        <w:t xml:space="preserve">Institute of Internal Auditors Kenya (2024). Definition of Internal Auditing. The Institute of Internal Auditing. </w:t>
      </w:r>
      <w:commentRangeStart w:id="92"/>
      <w:r w:rsidRPr="000C5AB4">
        <w:rPr>
          <w:rFonts w:ascii="Times New Roman" w:hAnsi="Times New Roman" w:cs="Times New Roman"/>
          <w:i/>
          <w:sz w:val="24"/>
          <w:szCs w:val="24"/>
        </w:rPr>
        <w:t>Institute of Internal Auditors Research Foundation.</w:t>
      </w:r>
      <w:r w:rsidRPr="000C5AB4">
        <w:rPr>
          <w:rFonts w:ascii="Times New Roman" w:hAnsi="Times New Roman" w:cs="Times New Roman"/>
          <w:sz w:val="24"/>
          <w:szCs w:val="24"/>
        </w:rPr>
        <w:t xml:space="preserve"> (2012).</w:t>
      </w:r>
      <w:commentRangeEnd w:id="92"/>
      <w:r w:rsidR="00E27F4F">
        <w:rPr>
          <w:rStyle w:val="CommentReference"/>
        </w:rPr>
        <w:commentReference w:id="92"/>
      </w:r>
    </w:p>
    <w:p w14:paraId="7238A8D4" w14:textId="77777777" w:rsidR="0070657F" w:rsidRPr="000C5AB4" w:rsidRDefault="0070657F" w:rsidP="000C5AB4">
      <w:pPr>
        <w:spacing w:after="100" w:afterAutospacing="1" w:line="240" w:lineRule="auto"/>
        <w:ind w:left="1440" w:hanging="1440"/>
        <w:jc w:val="both"/>
        <w:rPr>
          <w:rFonts w:ascii="Times New Roman" w:hAnsi="Times New Roman" w:cs="Times New Roman"/>
          <w:i/>
          <w:iCs/>
          <w:sz w:val="24"/>
          <w:szCs w:val="24"/>
        </w:rPr>
      </w:pPr>
      <w:r w:rsidRPr="000C5AB4">
        <w:rPr>
          <w:rFonts w:ascii="Times New Roman" w:hAnsi="Times New Roman" w:cs="Times New Roman"/>
          <w:sz w:val="24"/>
          <w:szCs w:val="24"/>
        </w:rPr>
        <w:t xml:space="preserve">International Professional Practices Framework. Internal Control Weaknesses. </w:t>
      </w:r>
      <w:commentRangeStart w:id="93"/>
      <w:r w:rsidRPr="000C5AB4">
        <w:rPr>
          <w:rFonts w:ascii="Times New Roman" w:hAnsi="Times New Roman" w:cs="Times New Roman"/>
          <w:i/>
          <w:iCs/>
          <w:sz w:val="24"/>
          <w:szCs w:val="24"/>
        </w:rPr>
        <w:t>Managerial Auditing Journal, 6</w:t>
      </w:r>
      <w:r w:rsidRPr="000C5AB4">
        <w:rPr>
          <w:rFonts w:ascii="Times New Roman" w:hAnsi="Times New Roman" w:cs="Times New Roman"/>
          <w:sz w:val="24"/>
          <w:szCs w:val="24"/>
        </w:rPr>
        <w:t xml:space="preserve">(19), 56-76. </w:t>
      </w:r>
      <w:commentRangeEnd w:id="93"/>
      <w:r w:rsidR="00147389">
        <w:rPr>
          <w:rStyle w:val="CommentReference"/>
        </w:rPr>
        <w:commentReference w:id="93"/>
      </w:r>
    </w:p>
    <w:p w14:paraId="02B1C342" w14:textId="77777777" w:rsidR="0070657F" w:rsidRPr="000C5AB4" w:rsidRDefault="0070657F" w:rsidP="00AA3FA4">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shd w:val="clear" w:color="auto" w:fill="FFFFFF"/>
        </w:rPr>
        <w:t xml:space="preserve"> Jackson, Scott, </w:t>
      </w:r>
      <w:commentRangeStart w:id="94"/>
      <w:r w:rsidRPr="000C5AB4">
        <w:rPr>
          <w:rFonts w:ascii="Times New Roman" w:hAnsi="Times New Roman" w:cs="Times New Roman"/>
          <w:sz w:val="24"/>
          <w:szCs w:val="24"/>
          <w:shd w:val="clear" w:color="auto" w:fill="FFFFFF"/>
        </w:rPr>
        <w:t>2013</w:t>
      </w:r>
      <w:commentRangeEnd w:id="94"/>
      <w:r w:rsidR="008C175B">
        <w:rPr>
          <w:rStyle w:val="CommentReference"/>
        </w:rPr>
        <w:commentReference w:id="94"/>
      </w:r>
      <w:r w:rsidRPr="000C5AB4">
        <w:rPr>
          <w:rFonts w:ascii="Times New Roman" w:hAnsi="Times New Roman" w:cs="Times New Roman"/>
          <w:sz w:val="24"/>
          <w:szCs w:val="24"/>
          <w:shd w:val="clear" w:color="auto" w:fill="FFFFFF"/>
        </w:rPr>
        <w:t>. "Resilience principles for Organization systems." </w:t>
      </w:r>
      <w:r w:rsidR="00E36F98">
        <w:rPr>
          <w:rFonts w:ascii="Times New Roman" w:hAnsi="Times New Roman" w:cs="Times New Roman"/>
          <w:i/>
          <w:iCs/>
          <w:sz w:val="24"/>
          <w:szCs w:val="24"/>
          <w:shd w:val="clear" w:color="auto" w:fill="FFFFFF"/>
        </w:rPr>
        <w:t>Systems r</w:t>
      </w:r>
      <w:r w:rsidR="00E36F98" w:rsidRPr="00E36F98">
        <w:rPr>
          <w:rFonts w:ascii="Times New Roman" w:hAnsi="Times New Roman" w:cs="Times New Roman"/>
          <w:iCs/>
          <w:sz w:val="24"/>
          <w:szCs w:val="24"/>
          <w:shd w:val="clear" w:color="auto" w:fill="FFFFFF"/>
        </w:rPr>
        <w:t>e</w:t>
      </w:r>
      <w:r w:rsidR="00E36F98" w:rsidRPr="00E36F98">
        <w:rPr>
          <w:rFonts w:ascii="Times New Roman" w:hAnsi="Times New Roman" w:cs="Times New Roman"/>
          <w:sz w:val="24"/>
          <w:szCs w:val="24"/>
          <w:shd w:val="clear" w:color="auto" w:fill="FFFFFF"/>
        </w:rPr>
        <w:t>silience</w:t>
      </w:r>
    </w:p>
    <w:p w14:paraId="789C605D"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Kirima .J. (2016). Issues Affecting The Performance of The Internal Audit Function in Government Ministries In Kenya A Case Of The Ministry Of Defense.</w:t>
      </w:r>
      <w:r w:rsidRPr="000C5AB4">
        <w:rPr>
          <w:rFonts w:ascii="Times New Roman" w:hAnsi="Times New Roman" w:cs="Times New Roman"/>
          <w:i/>
          <w:sz w:val="24"/>
          <w:szCs w:val="24"/>
        </w:rPr>
        <w:t xml:space="preserve"> Unpublished MBA Research Project, University of Nairobi.</w:t>
      </w:r>
      <w:r w:rsidRPr="000C5AB4">
        <w:rPr>
          <w:rFonts w:ascii="Times New Roman" w:hAnsi="Times New Roman" w:cs="Times New Roman"/>
          <w:sz w:val="24"/>
          <w:szCs w:val="24"/>
        </w:rPr>
        <w:t xml:space="preserve"> </w:t>
      </w:r>
    </w:p>
    <w:p w14:paraId="2229C221"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Kibwage (2021). The </w:t>
      </w:r>
      <w:r w:rsidRPr="000C5AB4">
        <w:rPr>
          <w:rFonts w:ascii="Times New Roman" w:hAnsi="Times New Roman" w:cs="Times New Roman"/>
          <w:iCs/>
          <w:sz w:val="24"/>
          <w:szCs w:val="24"/>
        </w:rPr>
        <w:t>Influence of Audit Committee Roles on the Quality of Public Service Delivery at the Nairobi County Government in Kenya.</w:t>
      </w:r>
      <w:r w:rsidRPr="000C5AB4">
        <w:rPr>
          <w:rFonts w:ascii="Times New Roman" w:hAnsi="Times New Roman" w:cs="Times New Roman"/>
          <w:i/>
          <w:sz w:val="24"/>
          <w:szCs w:val="24"/>
        </w:rPr>
        <w:t xml:space="preserve"> Unpublished MBA Research Project, University of Nairobi.</w:t>
      </w:r>
      <w:r w:rsidRPr="000C5AB4">
        <w:rPr>
          <w:rFonts w:ascii="Times New Roman" w:hAnsi="Times New Roman" w:cs="Times New Roman"/>
          <w:sz w:val="24"/>
          <w:szCs w:val="24"/>
        </w:rPr>
        <w:t xml:space="preserve"> </w:t>
      </w:r>
    </w:p>
    <w:p w14:paraId="37093D96" w14:textId="77777777" w:rsidR="0070657F" w:rsidRPr="000C5AB4" w:rsidRDefault="0070657F" w:rsidP="00E35951">
      <w:pPr>
        <w:spacing w:after="100" w:afterAutospacing="1" w:line="240" w:lineRule="auto"/>
        <w:ind w:left="1440" w:hanging="1440"/>
        <w:jc w:val="both"/>
        <w:rPr>
          <w:rFonts w:ascii="Times New Roman" w:hAnsi="Times New Roman" w:cs="Times New Roman"/>
          <w:iCs/>
          <w:sz w:val="24"/>
          <w:szCs w:val="24"/>
        </w:rPr>
      </w:pPr>
      <w:r w:rsidRPr="000C5AB4">
        <w:rPr>
          <w:rFonts w:ascii="Times New Roman" w:hAnsi="Times New Roman" w:cs="Times New Roman"/>
          <w:sz w:val="24"/>
          <w:szCs w:val="24"/>
        </w:rPr>
        <w:t xml:space="preserve">Kinyua, J. K. A. (2016). </w:t>
      </w:r>
      <w:r w:rsidRPr="000C5AB4">
        <w:rPr>
          <w:rFonts w:ascii="Times New Roman" w:hAnsi="Times New Roman" w:cs="Times New Roman"/>
          <w:i/>
          <w:iCs/>
          <w:sz w:val="24"/>
          <w:szCs w:val="24"/>
        </w:rPr>
        <w:t>Effect of internal control systems on the financial performance of companies quoted in the Nairobi Securities Exchange</w:t>
      </w:r>
      <w:r w:rsidRPr="000C5AB4">
        <w:rPr>
          <w:rFonts w:ascii="Times New Roman" w:hAnsi="Times New Roman" w:cs="Times New Roman"/>
          <w:sz w:val="24"/>
          <w:szCs w:val="24"/>
        </w:rPr>
        <w:t xml:space="preserve">. [Doctoral dissertation, Jomo Kenyatta University of Agriculture and Technology]. </w:t>
      </w:r>
    </w:p>
    <w:p w14:paraId="788C75E9" w14:textId="77777777" w:rsidR="0070657F" w:rsidRPr="000C5AB4" w:rsidRDefault="0070657F" w:rsidP="00E35951">
      <w:pPr>
        <w:spacing w:after="100" w:afterAutospacing="1" w:line="240" w:lineRule="auto"/>
        <w:ind w:left="1440" w:hanging="1440"/>
        <w:jc w:val="both"/>
        <w:rPr>
          <w:rFonts w:ascii="Times New Roman" w:hAnsi="Times New Roman" w:cs="Times New Roman"/>
          <w:iCs/>
          <w:sz w:val="24"/>
          <w:szCs w:val="24"/>
        </w:rPr>
      </w:pPr>
      <w:r w:rsidRPr="000C5AB4">
        <w:rPr>
          <w:rFonts w:ascii="Times New Roman" w:hAnsi="Times New Roman" w:cs="Times New Roman"/>
          <w:sz w:val="24"/>
          <w:szCs w:val="24"/>
        </w:rPr>
        <w:t xml:space="preserve">Kothari, C., &amp; Garg, G. (2014). </w:t>
      </w:r>
      <w:r w:rsidRPr="000C5AB4">
        <w:rPr>
          <w:rFonts w:ascii="Times New Roman" w:hAnsi="Times New Roman" w:cs="Times New Roman"/>
          <w:i/>
          <w:iCs/>
          <w:sz w:val="24"/>
          <w:szCs w:val="24"/>
        </w:rPr>
        <w:t xml:space="preserve">Research Methodology: Methods and Techniques </w:t>
      </w:r>
      <w:r w:rsidRPr="000C5AB4">
        <w:rPr>
          <w:rFonts w:ascii="Times New Roman" w:hAnsi="Times New Roman" w:cs="Times New Roman"/>
          <w:sz w:val="24"/>
          <w:szCs w:val="24"/>
        </w:rPr>
        <w:t xml:space="preserve">(3rd ed.). New Delhi: New Age International (P) Limited. </w:t>
      </w:r>
    </w:p>
    <w:p w14:paraId="3F94645B" w14:textId="77777777" w:rsidR="0070657F" w:rsidRPr="000C5AB4" w:rsidRDefault="0070657F" w:rsidP="00AA3FA4">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Leung.L, Philomena.S &amp; Cooper.S, Barry.M. (2019). Internal audit – an Asia-Pacific profile and the level of compliance with Internal Auditing Standards. </w:t>
      </w:r>
      <w:commentRangeStart w:id="95"/>
      <w:r w:rsidRPr="000C5AB4">
        <w:rPr>
          <w:rFonts w:ascii="Times New Roman" w:hAnsi="Times New Roman" w:cs="Times New Roman"/>
          <w:i/>
          <w:sz w:val="24"/>
          <w:szCs w:val="24"/>
        </w:rPr>
        <w:t>Managerial Auditing Journal</w:t>
      </w:r>
      <w:r w:rsidR="00AA3FA4" w:rsidRPr="000C5AB4">
        <w:rPr>
          <w:rFonts w:ascii="Times New Roman" w:hAnsi="Times New Roman" w:cs="Times New Roman"/>
          <w:sz w:val="24"/>
          <w:szCs w:val="24"/>
        </w:rPr>
        <w:t>.</w:t>
      </w:r>
      <w:commentRangeEnd w:id="95"/>
      <w:r w:rsidR="00BB6A74">
        <w:rPr>
          <w:rStyle w:val="CommentReference"/>
        </w:rPr>
        <w:commentReference w:id="95"/>
      </w:r>
    </w:p>
    <w:p w14:paraId="3ADAC283"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commentRangeStart w:id="96"/>
      <w:r w:rsidRPr="000C5AB4">
        <w:rPr>
          <w:rFonts w:ascii="Times New Roman" w:hAnsi="Times New Roman" w:cs="Times New Roman"/>
          <w:sz w:val="24"/>
          <w:szCs w:val="24"/>
        </w:rPr>
        <w:t xml:space="preserve">Mohamed A.M Thamer.K, Hakeemh, Hussein A (2021).Internal Control Frameworks and Its Relation with Governance and Risk Management: </w:t>
      </w:r>
      <w:r w:rsidRPr="000C5AB4">
        <w:rPr>
          <w:rFonts w:ascii="Times New Roman" w:hAnsi="Times New Roman" w:cs="Times New Roman"/>
          <w:i/>
          <w:sz w:val="24"/>
          <w:szCs w:val="24"/>
        </w:rPr>
        <w:t>An Analytical Study</w:t>
      </w:r>
      <w:r w:rsidRPr="000C5AB4">
        <w:rPr>
          <w:rFonts w:ascii="Times New Roman" w:hAnsi="Times New Roman" w:cs="Times New Roman"/>
          <w:sz w:val="24"/>
          <w:szCs w:val="24"/>
        </w:rPr>
        <w:t xml:space="preserve"> .Department of Accounting, College of Administration and Economics.</w:t>
      </w:r>
      <w:commentRangeEnd w:id="96"/>
      <w:r w:rsidR="000B5484">
        <w:rPr>
          <w:rStyle w:val="CommentReference"/>
        </w:rPr>
        <w:commentReference w:id="96"/>
      </w:r>
    </w:p>
    <w:p w14:paraId="7564F20E" w14:textId="77777777" w:rsidR="0070657F" w:rsidRPr="000C5AB4" w:rsidRDefault="0070657F" w:rsidP="00E35951">
      <w:pPr>
        <w:spacing w:after="100" w:afterAutospacing="1" w:line="240" w:lineRule="auto"/>
        <w:ind w:left="1440" w:hanging="1440"/>
        <w:jc w:val="both"/>
        <w:rPr>
          <w:rFonts w:ascii="Times New Roman" w:hAnsi="Times New Roman" w:cs="Times New Roman"/>
          <w:i/>
          <w:iCs/>
          <w:sz w:val="24"/>
          <w:szCs w:val="24"/>
        </w:rPr>
      </w:pPr>
      <w:r w:rsidRPr="000C5AB4">
        <w:rPr>
          <w:rFonts w:ascii="Times New Roman" w:hAnsi="Times New Roman" w:cs="Times New Roman"/>
          <w:sz w:val="24"/>
          <w:szCs w:val="24"/>
          <w:lang w:val="de-DE"/>
        </w:rPr>
        <w:t xml:space="preserve">Meckling, W. H., &amp; Jensen, M. C. (1976). </w:t>
      </w:r>
      <w:r w:rsidRPr="000C5AB4">
        <w:rPr>
          <w:rFonts w:ascii="Times New Roman" w:hAnsi="Times New Roman" w:cs="Times New Roman"/>
          <w:iCs/>
          <w:sz w:val="24"/>
          <w:szCs w:val="24"/>
        </w:rPr>
        <w:t>Theory of the Firm:</w:t>
      </w:r>
      <w:r w:rsidRPr="000C5AB4">
        <w:rPr>
          <w:rFonts w:ascii="Times New Roman" w:hAnsi="Times New Roman" w:cs="Times New Roman"/>
          <w:i/>
          <w:iCs/>
          <w:sz w:val="24"/>
          <w:szCs w:val="24"/>
        </w:rPr>
        <w:t xml:space="preserve"> Managerial Behavior, Agency Costs and Ownership Structure. </w:t>
      </w:r>
    </w:p>
    <w:p w14:paraId="3CA6F474"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lastRenderedPageBreak/>
        <w:t xml:space="preserve">Mordelet, P. (2019). Corporate Governance Rules in Both Public and Private Nonprofit Institution. </w:t>
      </w:r>
      <w:r w:rsidRPr="000C5AB4">
        <w:rPr>
          <w:rFonts w:ascii="Times New Roman" w:hAnsi="Times New Roman" w:cs="Times New Roman"/>
          <w:i/>
          <w:iCs/>
          <w:sz w:val="24"/>
          <w:szCs w:val="24"/>
        </w:rPr>
        <w:t>Journal of Management &amp; Marketing in Healthcare</w:t>
      </w:r>
      <w:r w:rsidRPr="000C5AB4">
        <w:rPr>
          <w:rFonts w:ascii="Times New Roman" w:hAnsi="Times New Roman" w:cs="Times New Roman"/>
          <w:sz w:val="24"/>
          <w:szCs w:val="24"/>
        </w:rPr>
        <w:t>. Henry Stewart Publications, Paris.</w:t>
      </w:r>
    </w:p>
    <w:p w14:paraId="6BFCD93C"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lang w:val="de-DE"/>
        </w:rPr>
        <w:t xml:space="preserve">Mugenda, O. M., &amp; Mugenda, A. G. (2003). </w:t>
      </w:r>
      <w:r w:rsidRPr="000C5AB4">
        <w:rPr>
          <w:rFonts w:ascii="Times New Roman" w:hAnsi="Times New Roman" w:cs="Times New Roman"/>
          <w:iCs/>
          <w:sz w:val="24"/>
          <w:szCs w:val="24"/>
        </w:rPr>
        <w:t>Research Methods</w:t>
      </w:r>
      <w:r w:rsidRPr="000C5AB4">
        <w:rPr>
          <w:rFonts w:ascii="Times New Roman" w:hAnsi="Times New Roman" w:cs="Times New Roman"/>
          <w:i/>
          <w:iCs/>
          <w:sz w:val="24"/>
          <w:szCs w:val="24"/>
        </w:rPr>
        <w:t xml:space="preserve">: Quantitative and Qualitative Approaches. </w:t>
      </w:r>
      <w:r w:rsidRPr="000C5AB4">
        <w:rPr>
          <w:rFonts w:ascii="Times New Roman" w:hAnsi="Times New Roman" w:cs="Times New Roman"/>
          <w:sz w:val="24"/>
          <w:szCs w:val="24"/>
        </w:rPr>
        <w:t xml:space="preserve">Nairobi: Acts Press. </w:t>
      </w:r>
    </w:p>
    <w:p w14:paraId="5E26BD7E"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Njenga. A. (2017). The Role of Internal Controls on the Service Delivery of the Taita-Taveta National Treasury in Kenya. </w:t>
      </w:r>
      <w:r w:rsidRPr="000C5AB4">
        <w:rPr>
          <w:rFonts w:ascii="Times New Roman" w:hAnsi="Times New Roman" w:cs="Times New Roman"/>
          <w:i/>
          <w:sz w:val="24"/>
          <w:szCs w:val="24"/>
        </w:rPr>
        <w:t>PHD Dissertation</w:t>
      </w:r>
      <w:r w:rsidRPr="000C5AB4">
        <w:rPr>
          <w:rFonts w:ascii="Times New Roman" w:hAnsi="Times New Roman" w:cs="Times New Roman"/>
          <w:sz w:val="24"/>
          <w:szCs w:val="24"/>
        </w:rPr>
        <w:t>, Department of Finance and Accounting, School of Business and University of Nairobi, Kenya.</w:t>
      </w:r>
    </w:p>
    <w:p w14:paraId="0F407DCB"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Nsiah, R. (2013). The Impact of Internal Control Effectiveness and Internal Audit Role on the Performance of Local Governments In Malysia. </w:t>
      </w:r>
      <w:r w:rsidRPr="000C5AB4">
        <w:rPr>
          <w:rFonts w:ascii="Times New Roman" w:hAnsi="Times New Roman" w:cs="Times New Roman"/>
          <w:i/>
          <w:sz w:val="24"/>
          <w:szCs w:val="24"/>
        </w:rPr>
        <w:t xml:space="preserve">Research Journal of Finance and Accounting, </w:t>
      </w:r>
      <w:r w:rsidRPr="000C5AB4">
        <w:rPr>
          <w:rFonts w:ascii="Times New Roman" w:hAnsi="Times New Roman" w:cs="Times New Roman"/>
          <w:sz w:val="24"/>
          <w:szCs w:val="24"/>
        </w:rPr>
        <w:t>5(7), 50-58.</w:t>
      </w:r>
    </w:p>
    <w:p w14:paraId="38268141" w14:textId="77777777" w:rsidR="0070657F" w:rsidRPr="000C5AB4" w:rsidRDefault="0070657F" w:rsidP="00E35951">
      <w:pPr>
        <w:spacing w:after="100" w:afterAutospacing="1" w:line="240" w:lineRule="auto"/>
        <w:ind w:left="1440" w:hanging="1440"/>
        <w:jc w:val="both"/>
        <w:rPr>
          <w:rFonts w:ascii="Times New Roman" w:hAnsi="Times New Roman" w:cs="Times New Roman"/>
          <w:i/>
          <w:sz w:val="24"/>
          <w:szCs w:val="24"/>
          <w:shd w:val="clear" w:color="auto" w:fill="FFFFFF"/>
        </w:rPr>
      </w:pPr>
      <w:r w:rsidRPr="000C5AB4">
        <w:rPr>
          <w:rFonts w:ascii="Times New Roman" w:hAnsi="Times New Roman" w:cs="Times New Roman"/>
          <w:sz w:val="24"/>
          <w:szCs w:val="24"/>
        </w:rPr>
        <w:t xml:space="preserve">OAG. (2018). </w:t>
      </w:r>
      <w:r w:rsidRPr="000C5AB4">
        <w:rPr>
          <w:rFonts w:ascii="Times New Roman" w:hAnsi="Times New Roman" w:cs="Times New Roman"/>
          <w:iCs/>
          <w:sz w:val="24"/>
          <w:szCs w:val="24"/>
        </w:rPr>
        <w:t>Summary of the Report of the Auditor-General on the Financial Statements for National Government for the 2016/2017</w:t>
      </w:r>
      <w:r w:rsidRPr="000C5AB4">
        <w:rPr>
          <w:rFonts w:ascii="Times New Roman" w:hAnsi="Times New Roman" w:cs="Times New Roman"/>
          <w:i/>
          <w:iCs/>
          <w:sz w:val="24"/>
          <w:szCs w:val="24"/>
        </w:rPr>
        <w:t xml:space="preserve">. </w:t>
      </w:r>
      <w:r w:rsidRPr="000C5AB4">
        <w:rPr>
          <w:rFonts w:ascii="Times New Roman" w:hAnsi="Times New Roman" w:cs="Times New Roman"/>
          <w:i/>
          <w:sz w:val="24"/>
          <w:szCs w:val="24"/>
        </w:rPr>
        <w:t>Nairobi: Office of the Auditor General Kenya</w:t>
      </w:r>
      <w:r w:rsidR="00591157">
        <w:rPr>
          <w:rFonts w:ascii="Times New Roman" w:hAnsi="Times New Roman" w:cs="Times New Roman"/>
          <w:i/>
          <w:sz w:val="24"/>
          <w:szCs w:val="24"/>
        </w:rPr>
        <w:t>.</w:t>
      </w:r>
    </w:p>
    <w:p w14:paraId="38397068"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iCs/>
          <w:sz w:val="24"/>
          <w:szCs w:val="24"/>
        </w:rPr>
        <w:t>PSC Mwongozo Code of Governance for State Corporations - January 2015</w:t>
      </w:r>
      <w:r w:rsidRPr="000C5AB4">
        <w:rPr>
          <w:rFonts w:ascii="Times New Roman" w:hAnsi="Times New Roman" w:cs="Times New Roman"/>
          <w:sz w:val="24"/>
          <w:szCs w:val="24"/>
        </w:rPr>
        <w:t xml:space="preserve">. </w:t>
      </w:r>
      <w:r w:rsidRPr="000C5AB4">
        <w:rPr>
          <w:rFonts w:ascii="Times New Roman" w:hAnsi="Times New Roman" w:cs="Times New Roman"/>
          <w:i/>
          <w:sz w:val="24"/>
          <w:szCs w:val="24"/>
        </w:rPr>
        <w:t>Kenya e-Repository.  (2015)</w:t>
      </w:r>
      <w:r w:rsidRPr="000C5AB4">
        <w:rPr>
          <w:rFonts w:ascii="Times New Roman" w:hAnsi="Times New Roman" w:cs="Times New Roman"/>
          <w:sz w:val="24"/>
          <w:szCs w:val="24"/>
        </w:rPr>
        <w:t>.Retrieved from https://academia-ke.org/library/download/psc-mwongozo-code-of-governance-for-state-corporation-january-2024.</w:t>
      </w:r>
    </w:p>
    <w:p w14:paraId="0E9A1ECD"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Public Finance Management Act. (2012). Public Finance Management Act 2012,</w:t>
      </w:r>
      <w:r w:rsidRPr="000C5AB4">
        <w:rPr>
          <w:rFonts w:ascii="Times New Roman" w:hAnsi="Times New Roman" w:cs="Times New Roman"/>
          <w:i/>
          <w:iCs/>
          <w:sz w:val="24"/>
          <w:szCs w:val="24"/>
        </w:rPr>
        <w:t xml:space="preserve"> Section 73 of the Public Finance Act</w:t>
      </w:r>
      <w:r w:rsidRPr="000C5AB4">
        <w:rPr>
          <w:rFonts w:ascii="Times New Roman" w:hAnsi="Times New Roman" w:cs="Times New Roman"/>
          <w:sz w:val="24"/>
          <w:szCs w:val="24"/>
        </w:rPr>
        <w:t xml:space="preserve">. </w:t>
      </w:r>
      <w:hyperlink r:id="rId11" w:history="1">
        <w:r w:rsidRPr="000C5AB4">
          <w:rPr>
            <w:rStyle w:val="Hyperlink"/>
            <w:rFonts w:ascii="Times New Roman" w:hAnsi="Times New Roman" w:cs="Times New Roman"/>
            <w:sz w:val="24"/>
            <w:szCs w:val="24"/>
          </w:rPr>
          <w:t>https://www.klr.or.ke/</w:t>
        </w:r>
      </w:hyperlink>
      <w:r w:rsidRPr="000C5AB4">
        <w:rPr>
          <w:rFonts w:ascii="Times New Roman" w:hAnsi="Times New Roman" w:cs="Times New Roman"/>
          <w:sz w:val="24"/>
          <w:szCs w:val="24"/>
        </w:rPr>
        <w:t xml:space="preserve">.pdf. Public Finance Management Act. (2012). </w:t>
      </w:r>
    </w:p>
    <w:p w14:paraId="499C49DB"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Serem, E. (2016). </w:t>
      </w:r>
      <w:r w:rsidRPr="000C5AB4">
        <w:rPr>
          <w:rFonts w:ascii="Times New Roman" w:hAnsi="Times New Roman" w:cs="Times New Roman"/>
          <w:iCs/>
          <w:sz w:val="24"/>
          <w:szCs w:val="24"/>
        </w:rPr>
        <w:t>The Relationship between Internal Management Controls and Efficiency of Service Delivery of Commercial Banks in Kenya</w:t>
      </w:r>
      <w:r w:rsidRPr="000C5AB4">
        <w:rPr>
          <w:rFonts w:ascii="Times New Roman" w:hAnsi="Times New Roman" w:cs="Times New Roman"/>
          <w:i/>
          <w:sz w:val="24"/>
          <w:szCs w:val="24"/>
        </w:rPr>
        <w:t>. Doctoral dissertation</w:t>
      </w:r>
      <w:r w:rsidRPr="000C5AB4">
        <w:rPr>
          <w:rFonts w:ascii="Times New Roman" w:hAnsi="Times New Roman" w:cs="Times New Roman"/>
          <w:sz w:val="24"/>
          <w:szCs w:val="24"/>
        </w:rPr>
        <w:t>, University of Nairobi]. http://erepository.uonbi.ac.ke/handle.</w:t>
      </w:r>
    </w:p>
    <w:p w14:paraId="0BCA36EB" w14:textId="77777777" w:rsidR="0070657F" w:rsidRPr="000C5AB4" w:rsidRDefault="0070657F" w:rsidP="00AA3FA4">
      <w:pPr>
        <w:spacing w:after="100" w:afterAutospacing="1" w:line="240" w:lineRule="auto"/>
        <w:ind w:left="1440" w:hanging="1440"/>
        <w:jc w:val="both"/>
        <w:rPr>
          <w:rFonts w:ascii="Times New Roman" w:hAnsi="Times New Roman" w:cs="Times New Roman"/>
          <w:sz w:val="24"/>
          <w:szCs w:val="24"/>
          <w:shd w:val="clear" w:color="auto" w:fill="FFFFFF"/>
        </w:rPr>
      </w:pPr>
      <w:r w:rsidRPr="000C5AB4">
        <w:rPr>
          <w:rFonts w:ascii="Times New Roman" w:hAnsi="Times New Roman" w:cs="Times New Roman"/>
          <w:sz w:val="24"/>
          <w:szCs w:val="24"/>
          <w:shd w:val="clear" w:color="auto" w:fill="FFFFFF"/>
        </w:rPr>
        <w:t xml:space="preserve">Subramony, M, </w:t>
      </w:r>
      <w:commentRangeStart w:id="97"/>
      <w:r w:rsidRPr="000C5AB4">
        <w:rPr>
          <w:rFonts w:ascii="Times New Roman" w:hAnsi="Times New Roman" w:cs="Times New Roman"/>
          <w:sz w:val="24"/>
          <w:szCs w:val="24"/>
          <w:shd w:val="clear" w:color="auto" w:fill="FFFFFF"/>
        </w:rPr>
        <w:t>and</w:t>
      </w:r>
      <w:commentRangeEnd w:id="97"/>
      <w:r w:rsidR="009E1B16">
        <w:rPr>
          <w:rStyle w:val="CommentReference"/>
        </w:rPr>
        <w:commentReference w:id="97"/>
      </w:r>
      <w:r w:rsidRPr="000C5AB4">
        <w:rPr>
          <w:rFonts w:ascii="Times New Roman" w:hAnsi="Times New Roman" w:cs="Times New Roman"/>
          <w:sz w:val="24"/>
          <w:szCs w:val="24"/>
          <w:shd w:val="clear" w:color="auto" w:fill="FFFFFF"/>
        </w:rPr>
        <w:t xml:space="preserve"> Douglas. P, (2015). Services Management Research: Review, Integration, and Future Directions. </w:t>
      </w:r>
      <w:r w:rsidRPr="000C5AB4">
        <w:rPr>
          <w:rFonts w:ascii="Times New Roman" w:hAnsi="Times New Roman" w:cs="Times New Roman"/>
          <w:i/>
          <w:iCs/>
          <w:sz w:val="24"/>
          <w:szCs w:val="24"/>
          <w:shd w:val="clear" w:color="auto" w:fill="FFFFFF"/>
        </w:rPr>
        <w:t>Journal of Management</w:t>
      </w:r>
      <w:r w:rsidR="00AA3FA4" w:rsidRPr="000C5AB4">
        <w:rPr>
          <w:rFonts w:ascii="Times New Roman" w:hAnsi="Times New Roman" w:cs="Times New Roman"/>
          <w:sz w:val="24"/>
          <w:szCs w:val="24"/>
          <w:shd w:val="clear" w:color="auto" w:fill="FFFFFF"/>
        </w:rPr>
        <w:t>.</w:t>
      </w:r>
      <w:r w:rsidR="00AA3FA4" w:rsidRPr="000C5AB4">
        <w:rPr>
          <w:rFonts w:ascii="Times New Roman" w:hAnsi="Times New Roman" w:cs="Times New Roman"/>
          <w:sz w:val="24"/>
          <w:szCs w:val="24"/>
        </w:rPr>
        <w:t xml:space="preserve"> </w:t>
      </w:r>
    </w:p>
    <w:p w14:paraId="67A99F79" w14:textId="77777777" w:rsidR="0070657F" w:rsidRPr="000C5AB4" w:rsidRDefault="0070657F" w:rsidP="00E35951">
      <w:pPr>
        <w:spacing w:after="100" w:afterAutospacing="1" w:line="240" w:lineRule="auto"/>
        <w:ind w:left="1440" w:hanging="1440"/>
        <w:jc w:val="both"/>
        <w:rPr>
          <w:rFonts w:ascii="Times New Roman" w:hAnsi="Times New Roman" w:cs="Times New Roman"/>
          <w:sz w:val="24"/>
          <w:szCs w:val="24"/>
        </w:rPr>
      </w:pPr>
      <w:r w:rsidRPr="000C5AB4">
        <w:rPr>
          <w:rFonts w:ascii="Times New Roman" w:hAnsi="Times New Roman" w:cs="Times New Roman"/>
          <w:sz w:val="24"/>
          <w:szCs w:val="24"/>
        </w:rPr>
        <w:t xml:space="preserve">Serem, E. (2016). </w:t>
      </w:r>
      <w:r w:rsidRPr="000C5AB4">
        <w:rPr>
          <w:rFonts w:ascii="Times New Roman" w:hAnsi="Times New Roman" w:cs="Times New Roman"/>
          <w:iCs/>
          <w:sz w:val="24"/>
          <w:szCs w:val="24"/>
        </w:rPr>
        <w:t>The Relationship between Internal Management Controls and Efficiency of Service Delivery of Commercial Banks in Kenya</w:t>
      </w:r>
      <w:r w:rsidRPr="000C5AB4">
        <w:rPr>
          <w:rFonts w:ascii="Times New Roman" w:hAnsi="Times New Roman" w:cs="Times New Roman"/>
          <w:sz w:val="24"/>
          <w:szCs w:val="24"/>
        </w:rPr>
        <w:t>.</w:t>
      </w:r>
      <w:r w:rsidR="000C5AB4">
        <w:rPr>
          <w:rFonts w:ascii="Times New Roman" w:hAnsi="Times New Roman" w:cs="Times New Roman"/>
          <w:sz w:val="24"/>
          <w:szCs w:val="24"/>
        </w:rPr>
        <w:t xml:space="preserve"> </w:t>
      </w:r>
      <w:r w:rsidRPr="000C5AB4">
        <w:rPr>
          <w:rFonts w:ascii="Times New Roman" w:hAnsi="Times New Roman" w:cs="Times New Roman"/>
          <w:i/>
          <w:sz w:val="24"/>
          <w:szCs w:val="24"/>
        </w:rPr>
        <w:t>Doctoral dissertation, University of Nairobi</w:t>
      </w:r>
      <w:r w:rsidRPr="000C5AB4">
        <w:rPr>
          <w:rFonts w:ascii="Times New Roman" w:hAnsi="Times New Roman" w:cs="Times New Roman"/>
          <w:sz w:val="24"/>
          <w:szCs w:val="24"/>
        </w:rPr>
        <w:t>. http://erepository.uonbi.ac.ke/handle/11295/98897</w:t>
      </w:r>
    </w:p>
    <w:p w14:paraId="7157D772" w14:textId="77777777" w:rsidR="0070657F" w:rsidRPr="000C5AB4" w:rsidRDefault="0070657F" w:rsidP="00E35951">
      <w:pPr>
        <w:spacing w:after="100" w:afterAutospacing="1" w:line="240" w:lineRule="auto"/>
        <w:ind w:left="1440" w:hanging="1440"/>
        <w:jc w:val="both"/>
        <w:rPr>
          <w:rFonts w:ascii="Times New Roman" w:hAnsi="Times New Roman" w:cs="Times New Roman"/>
          <w:i/>
          <w:sz w:val="24"/>
          <w:szCs w:val="24"/>
        </w:rPr>
      </w:pPr>
      <w:r w:rsidRPr="000C5AB4">
        <w:rPr>
          <w:rFonts w:ascii="Times New Roman" w:hAnsi="Times New Roman" w:cs="Times New Roman"/>
          <w:sz w:val="24"/>
          <w:szCs w:val="24"/>
        </w:rPr>
        <w:t xml:space="preserve">Wangui.M (2018). The Impact of Internal Audit in Promoting Good Governance in the Public Sector in Kenya with Special Focus on the Government Ministries. </w:t>
      </w:r>
      <w:r w:rsidRPr="000C5AB4">
        <w:rPr>
          <w:rFonts w:ascii="Times New Roman" w:hAnsi="Times New Roman" w:cs="Times New Roman"/>
          <w:i/>
          <w:sz w:val="24"/>
          <w:szCs w:val="24"/>
        </w:rPr>
        <w:t>Unpublished MBA Research P</w:t>
      </w:r>
      <w:r w:rsidR="00D54920" w:rsidRPr="000C5AB4">
        <w:rPr>
          <w:rFonts w:ascii="Times New Roman" w:hAnsi="Times New Roman" w:cs="Times New Roman"/>
          <w:i/>
          <w:sz w:val="24"/>
          <w:szCs w:val="24"/>
        </w:rPr>
        <w:t xml:space="preserve">roject, University of Nairobi. </w:t>
      </w:r>
    </w:p>
    <w:p w14:paraId="51F11F3B" w14:textId="77777777" w:rsidR="00365131" w:rsidRPr="000C5AB4" w:rsidRDefault="00365131" w:rsidP="00E35951">
      <w:pPr>
        <w:spacing w:after="100" w:afterAutospacing="1" w:line="240" w:lineRule="auto"/>
        <w:ind w:left="1440" w:hanging="1440"/>
        <w:jc w:val="both"/>
        <w:rPr>
          <w:rFonts w:ascii="Times New Roman" w:hAnsi="Times New Roman" w:cs="Times New Roman"/>
          <w:sz w:val="24"/>
          <w:szCs w:val="24"/>
        </w:rPr>
      </w:pPr>
    </w:p>
    <w:p w14:paraId="2A480D27" w14:textId="77777777" w:rsidR="00AA3FA4" w:rsidRPr="000C5AB4" w:rsidRDefault="00AA3FA4" w:rsidP="00E35951">
      <w:pPr>
        <w:spacing w:after="100" w:afterAutospacing="1" w:line="240" w:lineRule="auto"/>
        <w:ind w:left="1440" w:hanging="1440"/>
        <w:jc w:val="both"/>
        <w:rPr>
          <w:rFonts w:ascii="Times New Roman" w:hAnsi="Times New Roman" w:cs="Times New Roman"/>
          <w:sz w:val="24"/>
          <w:szCs w:val="24"/>
        </w:rPr>
      </w:pPr>
    </w:p>
    <w:p w14:paraId="292D482B" w14:textId="77777777" w:rsidR="00AA3FA4" w:rsidRPr="000C5AB4" w:rsidRDefault="00AA3FA4" w:rsidP="00E35951">
      <w:pPr>
        <w:spacing w:after="100" w:afterAutospacing="1" w:line="360" w:lineRule="auto"/>
        <w:jc w:val="both"/>
        <w:rPr>
          <w:rFonts w:ascii="Times New Roman" w:hAnsi="Times New Roman" w:cs="Times New Roman"/>
          <w:b/>
          <w:sz w:val="24"/>
          <w:szCs w:val="24"/>
        </w:rPr>
      </w:pPr>
    </w:p>
    <w:p w14:paraId="49365989" w14:textId="77777777" w:rsidR="0070657F" w:rsidRPr="000C5AB4" w:rsidRDefault="0070657F" w:rsidP="00E35951">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APPENDICIES</w:t>
      </w:r>
    </w:p>
    <w:p w14:paraId="4515B449"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Appendix I: List of Sub counties with Internal Auditors in the North Rift Region of Kenya (Source IAGD National Treasury 2024).</w:t>
      </w:r>
    </w:p>
    <w:p w14:paraId="6CB2345A"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 xml:space="preserve">Regional Internal Auditor office </w:t>
      </w:r>
    </w:p>
    <w:p w14:paraId="0B8F46C0"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Chesumei Subcounty</w:t>
      </w:r>
    </w:p>
    <w:p w14:paraId="1299F684"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Central Subcounty</w:t>
      </w:r>
    </w:p>
    <w:p w14:paraId="3792D35C"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South Subcounty</w:t>
      </w:r>
    </w:p>
    <w:p w14:paraId="16C34D1C"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East Subcounty</w:t>
      </w:r>
    </w:p>
    <w:p w14:paraId="5D71F919"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North Subcounty</w:t>
      </w:r>
    </w:p>
    <w:p w14:paraId="786E0A52"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Eldoret East  Subcounty</w:t>
      </w:r>
    </w:p>
    <w:p w14:paraId="308EEE9D"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Eldoret West Subcounty</w:t>
      </w:r>
    </w:p>
    <w:p w14:paraId="7664DC91"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Kesess Subcounty</w:t>
      </w:r>
    </w:p>
    <w:p w14:paraId="166E9739"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Ainabkoi Subcounty</w:t>
      </w:r>
    </w:p>
    <w:p w14:paraId="2BAC1297"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Soy Subcounty</w:t>
      </w:r>
    </w:p>
    <w:p w14:paraId="0351FD21"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Keiyo South Subcounty</w:t>
      </w:r>
    </w:p>
    <w:p w14:paraId="7B689F65"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Keiyo North Subcounty</w:t>
      </w:r>
    </w:p>
    <w:p w14:paraId="77B7DFAD"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Marakwet East Subcounty</w:t>
      </w:r>
    </w:p>
    <w:p w14:paraId="640CD5AC"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Marakwet West Subcounty</w:t>
      </w:r>
    </w:p>
    <w:p w14:paraId="5B6E21FE"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North Subcounty</w:t>
      </w:r>
    </w:p>
    <w:p w14:paraId="2B1AE671"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West Subcounty</w:t>
      </w:r>
    </w:p>
    <w:p w14:paraId="4207365F"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Central Subcounty</w:t>
      </w:r>
    </w:p>
    <w:p w14:paraId="29BDB2A1"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South Subcounty</w:t>
      </w:r>
    </w:p>
    <w:p w14:paraId="6D7A9557"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Pokot Central Subcounty</w:t>
      </w:r>
    </w:p>
    <w:p w14:paraId="12C0160E"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Pokot North Subcounty</w:t>
      </w:r>
    </w:p>
    <w:p w14:paraId="6E1ADCD7"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Turkana Central Subcounty</w:t>
      </w:r>
    </w:p>
    <w:p w14:paraId="1797286E"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Turkana West Subcounty</w:t>
      </w:r>
    </w:p>
    <w:p w14:paraId="1CF6D569"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Tranzoia central subcounty</w:t>
      </w:r>
    </w:p>
    <w:p w14:paraId="4465E1A1" w14:textId="77777777" w:rsidR="0070657F" w:rsidRPr="000C5AB4" w:rsidRDefault="0070657F" w:rsidP="00E35951">
      <w:pPr>
        <w:numPr>
          <w:ilvl w:val="0"/>
          <w:numId w:val="27"/>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Entebes subcounty</w:t>
      </w:r>
      <w:r w:rsidRPr="000C5AB4">
        <w:rPr>
          <w:rFonts w:ascii="Times New Roman" w:eastAsia="Times New Roman" w:hAnsi="Times New Roman" w:cs="Times New Roman"/>
          <w:color w:val="000000"/>
          <w:sz w:val="24"/>
          <w:szCs w:val="24"/>
        </w:rPr>
        <w:tab/>
      </w:r>
    </w:p>
    <w:p w14:paraId="138DB814" w14:textId="77777777" w:rsidR="0070657F" w:rsidRPr="000C5AB4" w:rsidRDefault="008906FB" w:rsidP="00E35951">
      <w:pPr>
        <w:spacing w:after="100" w:afterAutospacing="1"/>
        <w:rPr>
          <w:rFonts w:ascii="Times New Roman" w:hAnsi="Times New Roman" w:cs="Times New Roman"/>
          <w:b/>
          <w:sz w:val="24"/>
          <w:szCs w:val="24"/>
        </w:rPr>
      </w:pPr>
      <w:bookmarkStart w:id="98" w:name="_Toc178857150"/>
      <w:r w:rsidRPr="000C5AB4">
        <w:rPr>
          <w:rFonts w:ascii="Times New Roman" w:hAnsi="Times New Roman" w:cs="Times New Roman"/>
          <w:b/>
          <w:sz w:val="24"/>
          <w:szCs w:val="24"/>
        </w:rPr>
        <w:t>APPENDIX II</w:t>
      </w:r>
      <w:r w:rsidR="0070657F" w:rsidRPr="000C5AB4">
        <w:rPr>
          <w:rFonts w:ascii="Times New Roman" w:hAnsi="Times New Roman" w:cs="Times New Roman"/>
          <w:b/>
          <w:sz w:val="24"/>
          <w:szCs w:val="24"/>
        </w:rPr>
        <w:t>: QUESTIONNAIRES</w:t>
      </w:r>
      <w:bookmarkEnd w:id="98"/>
    </w:p>
    <w:p w14:paraId="3EDBA1E5"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Instructions: Please provide accurate answers possible to the following questions. Tick / select the appropriate box next to the questions if needed. The given information will be handled with </w:t>
      </w:r>
      <w:r w:rsidR="00AA3FA4" w:rsidRPr="000C5AB4">
        <w:rPr>
          <w:rFonts w:ascii="Times New Roman" w:hAnsi="Times New Roman" w:cs="Times New Roman"/>
          <w:sz w:val="24"/>
          <w:szCs w:val="24"/>
        </w:rPr>
        <w:t xml:space="preserve">the highest degree of privacy. </w:t>
      </w:r>
    </w:p>
    <w:p w14:paraId="0ADEA4BD"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 xml:space="preserve">Section I: Demographic Features </w:t>
      </w:r>
    </w:p>
    <w:p w14:paraId="1A629245"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Please answer all questions by inserting a tick (√) or selecting where appropriate, in the space provided. </w:t>
      </w:r>
    </w:p>
    <w:p w14:paraId="52922FF7" w14:textId="77777777" w:rsidR="0070657F" w:rsidRPr="000C5AB4" w:rsidRDefault="0070657F" w:rsidP="00E35951">
      <w:pPr>
        <w:numPr>
          <w:ilvl w:val="0"/>
          <w:numId w:val="28"/>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Indicate your Position in the organization.</w:t>
      </w:r>
    </w:p>
    <w:p w14:paraId="4D46FAD6" w14:textId="77777777" w:rsidR="0070657F" w:rsidRPr="000C5AB4" w:rsidRDefault="0070657F" w:rsidP="00E35951">
      <w:pPr>
        <w:spacing w:after="100" w:afterAutospacing="1" w:line="240" w:lineRule="auto"/>
        <w:ind w:left="720"/>
        <w:jc w:val="both"/>
        <w:rPr>
          <w:rFonts w:ascii="Times New Roman" w:hAnsi="Times New Roman" w:cs="Times New Roman"/>
          <w:sz w:val="24"/>
          <w:szCs w:val="24"/>
        </w:rPr>
      </w:pPr>
      <w:r w:rsidRPr="000C5AB4">
        <w:rPr>
          <w:rFonts w:ascii="Times New Roman" w:hAnsi="Times New Roman" w:cs="Times New Roman"/>
          <w:sz w:val="24"/>
          <w:szCs w:val="24"/>
        </w:rPr>
        <w:lastRenderedPageBreak/>
        <w:t xml:space="preserve">  Principal internal auditor                        (   )</w:t>
      </w:r>
    </w:p>
    <w:p w14:paraId="3711B0FE"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Senior Internal Auditor                          (   )   </w:t>
      </w:r>
    </w:p>
    <w:p w14:paraId="3CBFE487"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Internal Auditor                                      (   )</w:t>
      </w:r>
    </w:p>
    <w:p w14:paraId="28AEEA3C"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Others                                                     (  ) specify…………………….</w:t>
      </w:r>
    </w:p>
    <w:p w14:paraId="595CB572" w14:textId="77777777" w:rsidR="0070657F" w:rsidRPr="000C5AB4" w:rsidRDefault="0070657F" w:rsidP="00E35951">
      <w:pPr>
        <w:numPr>
          <w:ilvl w:val="0"/>
          <w:numId w:val="28"/>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Indicate your Years of experience in the position</w:t>
      </w:r>
    </w:p>
    <w:p w14:paraId="54A9B25A"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1-6                         (   )</w:t>
      </w:r>
    </w:p>
    <w:p w14:paraId="0D2BFBAB"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7-13                       (   )</w:t>
      </w:r>
    </w:p>
    <w:p w14:paraId="6B6281D8"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14-20                      (   )</w:t>
      </w:r>
    </w:p>
    <w:p w14:paraId="3D1C3A8C"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21 and Above         (   )</w:t>
      </w:r>
    </w:p>
    <w:p w14:paraId="7EFEE918" w14:textId="77777777" w:rsidR="0070657F" w:rsidRPr="000C5AB4" w:rsidRDefault="0070657F" w:rsidP="00E35951">
      <w:pPr>
        <w:spacing w:after="100" w:afterAutospacing="1" w:line="240" w:lineRule="auto"/>
        <w:jc w:val="both"/>
        <w:rPr>
          <w:rFonts w:ascii="Times New Roman" w:hAnsi="Times New Roman" w:cs="Times New Roman"/>
          <w:b/>
          <w:color w:val="000000"/>
          <w:sz w:val="24"/>
          <w:szCs w:val="24"/>
        </w:rPr>
      </w:pPr>
      <w:r w:rsidRPr="000C5AB4">
        <w:rPr>
          <w:rFonts w:ascii="Times New Roman" w:hAnsi="Times New Roman" w:cs="Times New Roman"/>
          <w:b/>
          <w:color w:val="000000"/>
          <w:sz w:val="24"/>
          <w:szCs w:val="24"/>
        </w:rPr>
        <w:t>Section II: Internal Controls and Governance Processes</w:t>
      </w:r>
    </w:p>
    <w:p w14:paraId="14412E90" w14:textId="77777777" w:rsidR="0070657F" w:rsidRPr="000C5AB4" w:rsidRDefault="0070657F" w:rsidP="00E35951">
      <w:pPr>
        <w:pStyle w:val="ListParagraph"/>
        <w:numPr>
          <w:ilvl w:val="0"/>
          <w:numId w:val="28"/>
        </w:numPr>
        <w:autoSpaceDE w:val="0"/>
        <w:autoSpaceDN w:val="0"/>
        <w:adjustRightInd w:val="0"/>
        <w:spacing w:after="100" w:afterAutospacing="1"/>
        <w:ind w:left="0" w:firstLine="0"/>
        <w:jc w:val="both"/>
        <w:rPr>
          <w:rFonts w:ascii="Times New Roman" w:hAnsi="Times New Roman"/>
          <w:color w:val="000000"/>
        </w:rPr>
      </w:pPr>
      <w:r w:rsidRPr="000C5AB4">
        <w:rPr>
          <w:rFonts w:ascii="Times New Roman" w:hAnsi="Times New Roman"/>
          <w:color w:val="000000"/>
        </w:rPr>
        <w:t xml:space="preserve">Please identify some of the risks facing your organization </w:t>
      </w:r>
    </w:p>
    <w:p w14:paraId="23A41312" w14:textId="77777777" w:rsidR="0070657F" w:rsidRPr="000C5AB4" w:rsidRDefault="0070657F" w:rsidP="00E35951">
      <w:pPr>
        <w:autoSpaceDE w:val="0"/>
        <w:autoSpaceDN w:val="0"/>
        <w:adjustRightInd w:val="0"/>
        <w:spacing w:after="100" w:afterAutospacing="1" w:line="240" w:lineRule="auto"/>
        <w:ind w:left="720"/>
        <w:jc w:val="both"/>
        <w:rPr>
          <w:rFonts w:ascii="Times New Roman" w:eastAsia="Times New Roman" w:hAnsi="Times New Roman" w:cs="Times New Roman"/>
          <w:color w:val="000000"/>
          <w:sz w:val="24"/>
          <w:szCs w:val="24"/>
        </w:rPr>
      </w:pPr>
      <w:r w:rsidRPr="000C5AB4">
        <w:rPr>
          <w:rFonts w:ascii="Times New Roman" w:eastAsia="Times New Roman" w:hAnsi="Times New Roman" w:cs="Times New Roman"/>
          <w:color w:val="000000"/>
          <w:sz w:val="24"/>
          <w:szCs w:val="24"/>
        </w:rPr>
        <w:t xml:space="preserve">Operational risk                           </w:t>
      </w:r>
      <w:r w:rsidRPr="000C5AB4">
        <w:rPr>
          <w:rFonts w:ascii="Times New Roman" w:hAnsi="Times New Roman" w:cs="Times New Roman"/>
          <w:sz w:val="24"/>
          <w:szCs w:val="24"/>
        </w:rPr>
        <w:t>(   )</w:t>
      </w:r>
    </w:p>
    <w:p w14:paraId="687C5B53" w14:textId="77777777" w:rsidR="0070657F" w:rsidRPr="000C5AB4" w:rsidRDefault="0070657F" w:rsidP="00E35951">
      <w:pPr>
        <w:autoSpaceDE w:val="0"/>
        <w:autoSpaceDN w:val="0"/>
        <w:adjustRightInd w:val="0"/>
        <w:spacing w:after="100" w:afterAutospacing="1" w:line="240" w:lineRule="auto"/>
        <w:ind w:left="720"/>
        <w:jc w:val="both"/>
        <w:rPr>
          <w:rFonts w:ascii="Times New Roman" w:eastAsia="Times New Roman" w:hAnsi="Times New Roman" w:cs="Times New Roman"/>
          <w:color w:val="000000"/>
          <w:sz w:val="24"/>
          <w:szCs w:val="24"/>
        </w:rPr>
      </w:pPr>
      <w:r w:rsidRPr="000C5AB4">
        <w:rPr>
          <w:rFonts w:ascii="Times New Roman" w:eastAsia="Times New Roman" w:hAnsi="Times New Roman" w:cs="Times New Roman"/>
          <w:color w:val="000000"/>
          <w:sz w:val="24"/>
          <w:szCs w:val="24"/>
        </w:rPr>
        <w:t xml:space="preserve">Litigation risk                              </w:t>
      </w:r>
      <w:r w:rsidRPr="000C5AB4">
        <w:rPr>
          <w:rFonts w:ascii="Times New Roman" w:hAnsi="Times New Roman" w:cs="Times New Roman"/>
          <w:sz w:val="24"/>
          <w:szCs w:val="24"/>
        </w:rPr>
        <w:t>(   )</w:t>
      </w:r>
    </w:p>
    <w:p w14:paraId="05C86B6D" w14:textId="77777777" w:rsidR="0070657F" w:rsidRPr="000C5AB4" w:rsidRDefault="0070657F" w:rsidP="00E35951">
      <w:pPr>
        <w:autoSpaceDE w:val="0"/>
        <w:autoSpaceDN w:val="0"/>
        <w:adjustRightInd w:val="0"/>
        <w:spacing w:after="100" w:afterAutospacing="1" w:line="240" w:lineRule="auto"/>
        <w:ind w:left="720"/>
        <w:jc w:val="both"/>
        <w:rPr>
          <w:rFonts w:ascii="Times New Roman" w:eastAsia="Times New Roman" w:hAnsi="Times New Roman" w:cs="Times New Roman"/>
          <w:color w:val="000000"/>
          <w:sz w:val="24"/>
          <w:szCs w:val="24"/>
        </w:rPr>
      </w:pPr>
      <w:r w:rsidRPr="000C5AB4">
        <w:rPr>
          <w:rFonts w:ascii="Times New Roman" w:eastAsia="Times New Roman" w:hAnsi="Times New Roman" w:cs="Times New Roman"/>
          <w:color w:val="000000"/>
          <w:sz w:val="24"/>
          <w:szCs w:val="24"/>
        </w:rPr>
        <w:t xml:space="preserve">Compliance risk                          </w:t>
      </w:r>
      <w:r w:rsidRPr="000C5AB4">
        <w:rPr>
          <w:rFonts w:ascii="Times New Roman" w:hAnsi="Times New Roman" w:cs="Times New Roman"/>
          <w:sz w:val="24"/>
          <w:szCs w:val="24"/>
        </w:rPr>
        <w:t>(   )</w:t>
      </w:r>
    </w:p>
    <w:p w14:paraId="74CDFA21" w14:textId="77777777" w:rsidR="0070657F" w:rsidRPr="000C5AB4" w:rsidRDefault="0070657F" w:rsidP="00E35951">
      <w:pPr>
        <w:spacing w:after="100" w:afterAutospacing="1" w:line="240" w:lineRule="auto"/>
        <w:ind w:left="720"/>
        <w:jc w:val="both"/>
        <w:rPr>
          <w:rFonts w:ascii="Times New Roman" w:hAnsi="Times New Roman" w:cs="Times New Roman"/>
          <w:sz w:val="24"/>
          <w:szCs w:val="24"/>
        </w:rPr>
      </w:pPr>
      <w:r w:rsidRPr="000C5AB4">
        <w:rPr>
          <w:rFonts w:ascii="Times New Roman" w:eastAsia="Times New Roman" w:hAnsi="Times New Roman" w:cs="Times New Roman"/>
          <w:color w:val="000000"/>
          <w:sz w:val="24"/>
          <w:szCs w:val="24"/>
        </w:rPr>
        <w:t xml:space="preserve">Technology risk                          </w:t>
      </w:r>
      <w:r w:rsidRPr="000C5AB4">
        <w:rPr>
          <w:rFonts w:ascii="Times New Roman" w:hAnsi="Times New Roman" w:cs="Times New Roman"/>
          <w:sz w:val="24"/>
          <w:szCs w:val="24"/>
        </w:rPr>
        <w:t>(   )</w:t>
      </w:r>
    </w:p>
    <w:p w14:paraId="1D01B369" w14:textId="77777777" w:rsidR="0070657F" w:rsidRPr="000C5AB4" w:rsidRDefault="0070657F" w:rsidP="00E35951">
      <w:pPr>
        <w:spacing w:after="100" w:afterAutospacing="1" w:line="240" w:lineRule="auto"/>
        <w:ind w:left="720"/>
        <w:jc w:val="both"/>
        <w:rPr>
          <w:rFonts w:ascii="Times New Roman" w:eastAsia="Times New Roman" w:hAnsi="Times New Roman" w:cs="Times New Roman"/>
          <w:color w:val="000000"/>
          <w:sz w:val="24"/>
          <w:szCs w:val="24"/>
        </w:rPr>
      </w:pPr>
      <w:r w:rsidRPr="000C5AB4">
        <w:rPr>
          <w:rFonts w:ascii="Times New Roman" w:hAnsi="Times New Roman" w:cs="Times New Roman"/>
          <w:sz w:val="24"/>
          <w:szCs w:val="24"/>
        </w:rPr>
        <w:t>Any other risks                          ………………………….</w:t>
      </w:r>
    </w:p>
    <w:p w14:paraId="654C7A84" w14:textId="77777777" w:rsidR="0070657F" w:rsidRPr="000C5AB4" w:rsidRDefault="0070657F" w:rsidP="00E35951">
      <w:pPr>
        <w:pStyle w:val="ListParagraph"/>
        <w:numPr>
          <w:ilvl w:val="0"/>
          <w:numId w:val="28"/>
        </w:numPr>
        <w:spacing w:after="100" w:afterAutospacing="1"/>
        <w:ind w:left="0" w:firstLine="0"/>
        <w:jc w:val="both"/>
        <w:rPr>
          <w:rFonts w:ascii="Times New Roman" w:hAnsi="Times New Roman"/>
        </w:rPr>
      </w:pPr>
      <w:r w:rsidRPr="000C5AB4">
        <w:rPr>
          <w:rFonts w:ascii="Times New Roman" w:hAnsi="Times New Roman"/>
        </w:rPr>
        <w:t>To what extent to do you concur with the following statements regarding the influence of internal control practices on governance processes?  Please tick (√) as appropriate. Where: Strongly Disagree=1 Disagree=2, Neutral=3, Agree=4 and strongly agree=5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0"/>
        <w:gridCol w:w="336"/>
        <w:gridCol w:w="336"/>
        <w:gridCol w:w="336"/>
        <w:gridCol w:w="336"/>
        <w:gridCol w:w="336"/>
      </w:tblGrid>
      <w:tr w:rsidR="0070657F" w:rsidRPr="000C5AB4" w14:paraId="35C96337" w14:textId="77777777" w:rsidTr="0070657F">
        <w:trPr>
          <w:trHeight w:val="485"/>
        </w:trPr>
        <w:tc>
          <w:tcPr>
            <w:tcW w:w="0" w:type="auto"/>
          </w:tcPr>
          <w:p w14:paraId="4204FCB5" w14:textId="77777777" w:rsidR="0070657F" w:rsidRPr="000C5AB4" w:rsidRDefault="0070657F" w:rsidP="00E35951">
            <w:pPr>
              <w:spacing w:after="100" w:afterAutospacing="1" w:line="240" w:lineRule="auto"/>
              <w:jc w:val="both"/>
              <w:rPr>
                <w:rFonts w:ascii="Times New Roman" w:hAnsi="Times New Roman" w:cs="Times New Roman"/>
                <w:b/>
                <w:color w:val="000000"/>
                <w:sz w:val="24"/>
                <w:szCs w:val="24"/>
              </w:rPr>
            </w:pPr>
            <w:r w:rsidRPr="000C5AB4">
              <w:rPr>
                <w:rFonts w:ascii="Times New Roman" w:hAnsi="Times New Roman" w:cs="Times New Roman"/>
                <w:b/>
                <w:color w:val="000000"/>
                <w:sz w:val="24"/>
                <w:szCs w:val="24"/>
              </w:rPr>
              <w:t>Internal Controls and Governance Process</w:t>
            </w:r>
          </w:p>
        </w:tc>
        <w:tc>
          <w:tcPr>
            <w:tcW w:w="0" w:type="auto"/>
          </w:tcPr>
          <w:p w14:paraId="545F9507"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1</w:t>
            </w:r>
          </w:p>
        </w:tc>
        <w:tc>
          <w:tcPr>
            <w:tcW w:w="0" w:type="auto"/>
          </w:tcPr>
          <w:p w14:paraId="71E50F3F"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2</w:t>
            </w:r>
          </w:p>
        </w:tc>
        <w:tc>
          <w:tcPr>
            <w:tcW w:w="0" w:type="auto"/>
          </w:tcPr>
          <w:p w14:paraId="7B86DEB1"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3</w:t>
            </w:r>
          </w:p>
        </w:tc>
        <w:tc>
          <w:tcPr>
            <w:tcW w:w="0" w:type="auto"/>
          </w:tcPr>
          <w:p w14:paraId="001A216B"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4</w:t>
            </w:r>
          </w:p>
        </w:tc>
        <w:tc>
          <w:tcPr>
            <w:tcW w:w="0" w:type="auto"/>
          </w:tcPr>
          <w:p w14:paraId="0580B5C1"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5</w:t>
            </w:r>
          </w:p>
        </w:tc>
      </w:tr>
      <w:tr w:rsidR="0070657F" w:rsidRPr="000C5AB4" w14:paraId="3C5A97C3" w14:textId="77777777" w:rsidTr="0070657F">
        <w:tc>
          <w:tcPr>
            <w:tcW w:w="0" w:type="auto"/>
          </w:tcPr>
          <w:p w14:paraId="09EFFC60"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sz w:val="24"/>
                <w:szCs w:val="24"/>
              </w:rPr>
              <w:t>Internal audit department helps in developing and implementing risk management framework for other departments.</w:t>
            </w:r>
          </w:p>
        </w:tc>
        <w:tc>
          <w:tcPr>
            <w:tcW w:w="0" w:type="auto"/>
          </w:tcPr>
          <w:p w14:paraId="56B1B5D5"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A9986BD"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ED3031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02B2C27"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349AC10"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46B8A096" w14:textId="77777777" w:rsidTr="0070657F">
        <w:tc>
          <w:tcPr>
            <w:tcW w:w="0" w:type="auto"/>
          </w:tcPr>
          <w:p w14:paraId="7A7CE549"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The department does reviews of individuals, systems and processes in the departments regularly.</w:t>
            </w:r>
          </w:p>
        </w:tc>
        <w:tc>
          <w:tcPr>
            <w:tcW w:w="0" w:type="auto"/>
          </w:tcPr>
          <w:p w14:paraId="2475235F"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CDAC51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FC8959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D1FBA91"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545180F"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18E21E76" w14:textId="77777777" w:rsidTr="0070657F">
        <w:tc>
          <w:tcPr>
            <w:tcW w:w="0" w:type="auto"/>
          </w:tcPr>
          <w:p w14:paraId="33F5699E"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audit advises on financial controls to be instituted by departments.</w:t>
            </w:r>
          </w:p>
        </w:tc>
        <w:tc>
          <w:tcPr>
            <w:tcW w:w="0" w:type="auto"/>
          </w:tcPr>
          <w:p w14:paraId="68E1A50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3857E40"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3491C4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6CE2D53"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EADB413"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1FF8C062" w14:textId="77777777" w:rsidTr="0070657F">
        <w:tc>
          <w:tcPr>
            <w:tcW w:w="0" w:type="auto"/>
          </w:tcPr>
          <w:p w14:paraId="35B75B87"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audit advice and reviews managerial, and operational policy controls in the departments.</w:t>
            </w:r>
          </w:p>
        </w:tc>
        <w:tc>
          <w:tcPr>
            <w:tcW w:w="0" w:type="auto"/>
          </w:tcPr>
          <w:p w14:paraId="563F088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B3735F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01E993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0E92501"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1B3D7686"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500A91C6" w14:textId="77777777" w:rsidTr="0070657F">
        <w:tc>
          <w:tcPr>
            <w:tcW w:w="0" w:type="auto"/>
          </w:tcPr>
          <w:p w14:paraId="24F930F1"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lastRenderedPageBreak/>
              <w:t>Internal audit does a regular independent verification of transactions to ensure the integrity of the decision-making processes.</w:t>
            </w:r>
          </w:p>
        </w:tc>
        <w:tc>
          <w:tcPr>
            <w:tcW w:w="0" w:type="auto"/>
          </w:tcPr>
          <w:p w14:paraId="06D7500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D25615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E148080"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392A14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B427836"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2E876957" w14:textId="77777777" w:rsidTr="0070657F">
        <w:tc>
          <w:tcPr>
            <w:tcW w:w="0" w:type="auto"/>
          </w:tcPr>
          <w:p w14:paraId="408730D2"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audit performs independent reconciliation of all balances in all departments regularly.</w:t>
            </w:r>
          </w:p>
        </w:tc>
        <w:tc>
          <w:tcPr>
            <w:tcW w:w="0" w:type="auto"/>
          </w:tcPr>
          <w:p w14:paraId="1D68C49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74B196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719FC2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AEC24F0"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1051D5E5"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09EE428A" w14:textId="77777777" w:rsidTr="0070657F">
        <w:tc>
          <w:tcPr>
            <w:tcW w:w="0" w:type="auto"/>
          </w:tcPr>
          <w:p w14:paraId="1BE0FC75"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The department advises management on the effective systems for managing and accounting for physical and financial assets.</w:t>
            </w:r>
          </w:p>
        </w:tc>
        <w:tc>
          <w:tcPr>
            <w:tcW w:w="0" w:type="auto"/>
          </w:tcPr>
          <w:p w14:paraId="2141E3C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7CC29DF"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E6F5562"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02B76B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E76AD96"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6C4B499D" w14:textId="77777777" w:rsidTr="0070657F">
        <w:tc>
          <w:tcPr>
            <w:tcW w:w="0" w:type="auto"/>
          </w:tcPr>
          <w:p w14:paraId="147B62F4"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Auditors comply with the standards and guidelines on reporting to departmental  management</w:t>
            </w:r>
          </w:p>
        </w:tc>
        <w:tc>
          <w:tcPr>
            <w:tcW w:w="0" w:type="auto"/>
          </w:tcPr>
          <w:p w14:paraId="5C8FF4A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19AA2FA5"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0F29985"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5F84F37"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203F143"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bl>
    <w:p w14:paraId="1F5407AC" w14:textId="77777777" w:rsidR="0070657F" w:rsidRPr="000C5AB4" w:rsidRDefault="0070657F" w:rsidP="00E35951">
      <w:pPr>
        <w:pStyle w:val="ListParagraph"/>
        <w:spacing w:after="100" w:afterAutospacing="1"/>
        <w:ind w:left="0"/>
        <w:jc w:val="both"/>
        <w:rPr>
          <w:rFonts w:ascii="Times New Roman" w:hAnsi="Times New Roman"/>
        </w:rPr>
      </w:pPr>
      <w:r w:rsidRPr="000C5AB4">
        <w:rPr>
          <w:rFonts w:ascii="Times New Roman" w:hAnsi="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0"/>
        <w:gridCol w:w="336"/>
        <w:gridCol w:w="336"/>
        <w:gridCol w:w="336"/>
        <w:gridCol w:w="336"/>
        <w:gridCol w:w="336"/>
      </w:tblGrid>
      <w:tr w:rsidR="0070657F" w:rsidRPr="000C5AB4" w14:paraId="4DE3D074" w14:textId="77777777" w:rsidTr="0070657F">
        <w:tc>
          <w:tcPr>
            <w:tcW w:w="0" w:type="auto"/>
          </w:tcPr>
          <w:p w14:paraId="75B710CC"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Governance Processes Outcomes</w:t>
            </w:r>
          </w:p>
        </w:tc>
        <w:tc>
          <w:tcPr>
            <w:tcW w:w="0" w:type="auto"/>
          </w:tcPr>
          <w:p w14:paraId="0B0C4E9C"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1</w:t>
            </w:r>
          </w:p>
        </w:tc>
        <w:tc>
          <w:tcPr>
            <w:tcW w:w="0" w:type="auto"/>
          </w:tcPr>
          <w:p w14:paraId="72306ABF"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2</w:t>
            </w:r>
          </w:p>
        </w:tc>
        <w:tc>
          <w:tcPr>
            <w:tcW w:w="0" w:type="auto"/>
          </w:tcPr>
          <w:p w14:paraId="467C0471"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3</w:t>
            </w:r>
          </w:p>
        </w:tc>
        <w:tc>
          <w:tcPr>
            <w:tcW w:w="0" w:type="auto"/>
          </w:tcPr>
          <w:p w14:paraId="1EC341FD"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4</w:t>
            </w:r>
          </w:p>
        </w:tc>
        <w:tc>
          <w:tcPr>
            <w:tcW w:w="0" w:type="auto"/>
          </w:tcPr>
          <w:p w14:paraId="43C73FB5"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5</w:t>
            </w:r>
          </w:p>
        </w:tc>
      </w:tr>
      <w:tr w:rsidR="0070657F" w:rsidRPr="000C5AB4" w14:paraId="396160BD" w14:textId="77777777" w:rsidTr="0070657F">
        <w:tc>
          <w:tcPr>
            <w:tcW w:w="0" w:type="auto"/>
          </w:tcPr>
          <w:p w14:paraId="37C0D9D8"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Procurement and treasury processes are better managed by departments</w:t>
            </w:r>
          </w:p>
        </w:tc>
        <w:tc>
          <w:tcPr>
            <w:tcW w:w="0" w:type="auto"/>
          </w:tcPr>
          <w:p w14:paraId="7C71F5ED"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p>
        </w:tc>
        <w:tc>
          <w:tcPr>
            <w:tcW w:w="0" w:type="auto"/>
          </w:tcPr>
          <w:p w14:paraId="3AF489B9"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p>
        </w:tc>
        <w:tc>
          <w:tcPr>
            <w:tcW w:w="0" w:type="auto"/>
          </w:tcPr>
          <w:p w14:paraId="5254452A"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p>
        </w:tc>
        <w:tc>
          <w:tcPr>
            <w:tcW w:w="0" w:type="auto"/>
          </w:tcPr>
          <w:p w14:paraId="05EE36A0"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p>
        </w:tc>
        <w:tc>
          <w:tcPr>
            <w:tcW w:w="0" w:type="auto"/>
          </w:tcPr>
          <w:p w14:paraId="1EB24DDA"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p>
        </w:tc>
      </w:tr>
      <w:tr w:rsidR="0070657F" w:rsidRPr="000C5AB4" w14:paraId="75632E5C" w14:textId="77777777" w:rsidTr="0070657F">
        <w:tc>
          <w:tcPr>
            <w:tcW w:w="0" w:type="auto"/>
          </w:tcPr>
          <w:p w14:paraId="67C90381"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has improved service delivery in  various departments</w:t>
            </w:r>
          </w:p>
        </w:tc>
        <w:tc>
          <w:tcPr>
            <w:tcW w:w="0" w:type="auto"/>
          </w:tcPr>
          <w:p w14:paraId="25986BB1"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3683A7E"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098E1C5"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41A0EE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6BB2AB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0534E4EA" w14:textId="77777777" w:rsidTr="0070657F">
        <w:tc>
          <w:tcPr>
            <w:tcW w:w="0" w:type="auto"/>
          </w:tcPr>
          <w:p w14:paraId="78F664DF"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has enhanced compliance levels on various laws and regulations in departments.</w:t>
            </w:r>
          </w:p>
        </w:tc>
        <w:tc>
          <w:tcPr>
            <w:tcW w:w="0" w:type="auto"/>
          </w:tcPr>
          <w:p w14:paraId="1F88BD1E"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BCBF659"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AB694FD"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97E93E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7FC4D7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07D80272" w14:textId="77777777" w:rsidTr="0070657F">
        <w:tc>
          <w:tcPr>
            <w:tcW w:w="0" w:type="auto"/>
          </w:tcPr>
          <w:p w14:paraId="593EA332"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Financial discipline has improved as a result of intern audit reports and recommendations</w:t>
            </w:r>
          </w:p>
        </w:tc>
        <w:tc>
          <w:tcPr>
            <w:tcW w:w="0" w:type="auto"/>
          </w:tcPr>
          <w:p w14:paraId="5307AC39"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866F899"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15BE30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D20FDB3"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5B18F6D"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52E068B2" w14:textId="77777777" w:rsidTr="0070657F">
        <w:tc>
          <w:tcPr>
            <w:tcW w:w="0" w:type="auto"/>
          </w:tcPr>
          <w:p w14:paraId="04E28B96" w14:textId="77777777" w:rsidR="0070657F" w:rsidRPr="000C5AB4" w:rsidRDefault="0070657F" w:rsidP="00E35951">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operational Independence has been enhanced</w:t>
            </w:r>
          </w:p>
        </w:tc>
        <w:tc>
          <w:tcPr>
            <w:tcW w:w="0" w:type="auto"/>
          </w:tcPr>
          <w:p w14:paraId="0211A781"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A53A13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55C4193"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F4C94B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7F23B7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47097297" w14:textId="77777777" w:rsidTr="0070657F">
        <w:tc>
          <w:tcPr>
            <w:tcW w:w="0" w:type="auto"/>
          </w:tcPr>
          <w:p w14:paraId="061D6968"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audit has ensured that there’s accountability of public resources.</w:t>
            </w:r>
          </w:p>
        </w:tc>
        <w:tc>
          <w:tcPr>
            <w:tcW w:w="0" w:type="auto"/>
          </w:tcPr>
          <w:p w14:paraId="31616E1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1C9EBE9"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A6C04E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5D05527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03A48D9"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6BDE461F" w14:textId="77777777" w:rsidTr="0070657F">
        <w:tc>
          <w:tcPr>
            <w:tcW w:w="0" w:type="auto"/>
          </w:tcPr>
          <w:p w14:paraId="507DE8D1"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Decision in departments are more transparent and within the law.</w:t>
            </w:r>
          </w:p>
        </w:tc>
        <w:tc>
          <w:tcPr>
            <w:tcW w:w="0" w:type="auto"/>
          </w:tcPr>
          <w:p w14:paraId="09596B3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673469E"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F68FE3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9EDE751"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6CFC5A7"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6F28C380" w14:textId="77777777" w:rsidTr="0070657F">
        <w:tc>
          <w:tcPr>
            <w:tcW w:w="0" w:type="auto"/>
          </w:tcPr>
          <w:p w14:paraId="493504C7"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There’s improved reliability of financial reports by various departments.</w:t>
            </w:r>
          </w:p>
        </w:tc>
        <w:tc>
          <w:tcPr>
            <w:tcW w:w="0" w:type="auto"/>
          </w:tcPr>
          <w:p w14:paraId="1205275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6AC27D9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2599713"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02057FBC"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801FBE2"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12FB6CF8" w14:textId="77777777" w:rsidTr="0070657F">
        <w:tc>
          <w:tcPr>
            <w:tcW w:w="0" w:type="auto"/>
          </w:tcPr>
          <w:p w14:paraId="09E0F166"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 xml:space="preserve">There’s improved utility of Public resources in an economic, transparent and efficient manner thus value for money. </w:t>
            </w:r>
          </w:p>
        </w:tc>
        <w:tc>
          <w:tcPr>
            <w:tcW w:w="0" w:type="auto"/>
          </w:tcPr>
          <w:p w14:paraId="15999F1D"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179D2D5"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99A112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69165A8"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32F59900"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r w:rsidR="0070657F" w:rsidRPr="000C5AB4" w14:paraId="09090B3F" w14:textId="77777777" w:rsidTr="0070657F">
        <w:tc>
          <w:tcPr>
            <w:tcW w:w="0" w:type="auto"/>
          </w:tcPr>
          <w:p w14:paraId="52902302" w14:textId="77777777" w:rsidR="0070657F" w:rsidRPr="000C5AB4" w:rsidRDefault="0070657F" w:rsidP="00E35951">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Frauds and errors are detected early enough in all department</w:t>
            </w:r>
          </w:p>
        </w:tc>
        <w:tc>
          <w:tcPr>
            <w:tcW w:w="0" w:type="auto"/>
          </w:tcPr>
          <w:p w14:paraId="7E9BF76A"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406F88BB"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11DD4514"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70AFCD41"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c>
          <w:tcPr>
            <w:tcW w:w="0" w:type="auto"/>
          </w:tcPr>
          <w:p w14:paraId="23623146" w14:textId="77777777" w:rsidR="0070657F" w:rsidRPr="000C5AB4" w:rsidRDefault="0070657F" w:rsidP="00E35951">
            <w:pPr>
              <w:spacing w:after="100" w:afterAutospacing="1" w:line="240" w:lineRule="auto"/>
              <w:jc w:val="both"/>
              <w:rPr>
                <w:rFonts w:ascii="Times New Roman" w:hAnsi="Times New Roman" w:cs="Times New Roman"/>
                <w:sz w:val="24"/>
                <w:szCs w:val="24"/>
              </w:rPr>
            </w:pPr>
          </w:p>
        </w:tc>
      </w:tr>
    </w:tbl>
    <w:p w14:paraId="3B0127EF"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THANK YOU</w:t>
      </w:r>
      <w:bookmarkStart w:id="99" w:name="_Toc166327088"/>
    </w:p>
    <w:p w14:paraId="3665D092" w14:textId="77777777" w:rsidR="0070657F" w:rsidRPr="000C5AB4" w:rsidRDefault="0070657F" w:rsidP="00E35951">
      <w:pPr>
        <w:spacing w:after="100" w:afterAutospacing="1" w:line="240" w:lineRule="auto"/>
        <w:jc w:val="both"/>
        <w:rPr>
          <w:rFonts w:ascii="Times New Roman" w:hAnsi="Times New Roman" w:cs="Times New Roman"/>
          <w:b/>
          <w:sz w:val="24"/>
          <w:szCs w:val="24"/>
        </w:rPr>
      </w:pPr>
    </w:p>
    <w:bookmarkEnd w:id="99"/>
    <w:p w14:paraId="7AFF3538" w14:textId="77777777" w:rsidR="00B37DAF" w:rsidRPr="000C5AB4" w:rsidRDefault="00B37DAF" w:rsidP="00E35951">
      <w:pPr>
        <w:autoSpaceDE w:val="0"/>
        <w:autoSpaceDN w:val="0"/>
        <w:adjustRightInd w:val="0"/>
        <w:spacing w:after="100" w:afterAutospacing="1" w:line="240" w:lineRule="auto"/>
        <w:jc w:val="both"/>
        <w:rPr>
          <w:rFonts w:ascii="Times New Roman" w:hAnsi="Times New Roman" w:cs="Times New Roman"/>
          <w:b/>
          <w:sz w:val="24"/>
          <w:szCs w:val="24"/>
        </w:rPr>
      </w:pPr>
    </w:p>
    <w:sectPr w:rsidR="00B37DAF" w:rsidRPr="000C5AB4" w:rsidSect="000C5AB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ER" w:date="2025-04-24T08:19:00Z" w:initials="U">
    <w:p w14:paraId="27899C02" w14:textId="08EFC733" w:rsidR="007B0D76" w:rsidRDefault="007B0D76">
      <w:pPr>
        <w:pStyle w:val="CommentText"/>
      </w:pPr>
      <w:r>
        <w:rPr>
          <w:rStyle w:val="CommentReference"/>
        </w:rPr>
        <w:annotationRef/>
      </w:r>
      <w:r>
        <w:t>Be consistent with your statement (this article and paper) it is more preferable to use this study</w:t>
      </w:r>
    </w:p>
  </w:comment>
  <w:comment w:id="2" w:author="USER" w:date="2025-04-24T08:21:00Z" w:initials="U">
    <w:p w14:paraId="2F6F37B0" w14:textId="08C22BA1" w:rsidR="00F95FFD" w:rsidRDefault="00F95FFD">
      <w:pPr>
        <w:pStyle w:val="CommentText"/>
      </w:pPr>
      <w:r>
        <w:rPr>
          <w:rStyle w:val="CommentReference"/>
        </w:rPr>
        <w:annotationRef/>
      </w:r>
      <w:r>
        <w:t xml:space="preserve">Use singular verb because you are dealing with a single paper, you do not need to pluarise your paper </w:t>
      </w:r>
    </w:p>
  </w:comment>
  <w:comment w:id="3" w:author="USER" w:date="2025-04-24T08:25:00Z" w:initials="U">
    <w:p w14:paraId="3536A6C8" w14:textId="6275BA70" w:rsidR="007A6179" w:rsidRDefault="007A6179">
      <w:pPr>
        <w:pStyle w:val="CommentText"/>
      </w:pPr>
      <w:r>
        <w:rPr>
          <w:rStyle w:val="CommentReference"/>
        </w:rPr>
        <w:annotationRef/>
      </w:r>
      <w:r>
        <w:t xml:space="preserve">Targeted not targeting </w:t>
      </w:r>
    </w:p>
  </w:comment>
  <w:comment w:id="4" w:author="USER" w:date="2025-04-24T08:29:00Z" w:initials="U">
    <w:p w14:paraId="70351916" w14:textId="640F5615" w:rsidR="00331397" w:rsidRDefault="00331397">
      <w:pPr>
        <w:pStyle w:val="CommentText"/>
      </w:pPr>
      <w:r>
        <w:rPr>
          <w:rStyle w:val="CommentReference"/>
        </w:rPr>
        <w:annotationRef/>
      </w:r>
      <w:r>
        <w:t>The author should states all variables one after the other to attract readers</w:t>
      </w:r>
    </w:p>
  </w:comment>
  <w:comment w:id="5" w:author="USER" w:date="2025-04-24T08:32:00Z" w:initials="U">
    <w:p w14:paraId="38A116B9" w14:textId="068E59DE" w:rsidR="00331397" w:rsidRDefault="00331397">
      <w:pPr>
        <w:pStyle w:val="CommentText"/>
      </w:pPr>
      <w:r>
        <w:rPr>
          <w:rStyle w:val="CommentReference"/>
        </w:rPr>
        <w:annotationRef/>
      </w:r>
      <w:r>
        <w:rPr>
          <w:rFonts w:ascii="Times New Roman" w:hAnsi="Times New Roman" w:cs="Times New Roman"/>
          <w:sz w:val="24"/>
          <w:szCs w:val="24"/>
        </w:rPr>
        <w:t>Use “G</w:t>
      </w:r>
      <w:r w:rsidRPr="000C5AB4">
        <w:rPr>
          <w:rFonts w:ascii="Times New Roman" w:hAnsi="Times New Roman" w:cs="Times New Roman"/>
          <w:sz w:val="24"/>
          <w:szCs w:val="24"/>
        </w:rPr>
        <w:t>loba</w:t>
      </w:r>
      <w:r>
        <w:rPr>
          <w:rFonts w:ascii="Times New Roman" w:hAnsi="Times New Roman" w:cs="Times New Roman"/>
          <w:sz w:val="24"/>
          <w:szCs w:val="24"/>
        </w:rPr>
        <w:t>l</w:t>
      </w:r>
      <w:r w:rsidRPr="000C5AB4">
        <w:rPr>
          <w:rFonts w:ascii="Times New Roman" w:hAnsi="Times New Roman" w:cs="Times New Roman"/>
          <w:sz w:val="24"/>
          <w:szCs w:val="24"/>
        </w:rPr>
        <w:t>l</w:t>
      </w:r>
      <w:r>
        <w:rPr>
          <w:rFonts w:ascii="Times New Roman" w:hAnsi="Times New Roman" w:cs="Times New Roman"/>
          <w:sz w:val="24"/>
          <w:szCs w:val="24"/>
        </w:rPr>
        <w:t>y, as</w:t>
      </w:r>
      <w:r w:rsidRPr="000C5AB4">
        <w:rPr>
          <w:rFonts w:ascii="Times New Roman" w:hAnsi="Times New Roman" w:cs="Times New Roman"/>
          <w:sz w:val="24"/>
          <w:szCs w:val="24"/>
        </w:rPr>
        <w:t xml:space="preserve"> economic competition increases, governments are adopting practices that will enhance public service delivery</w:t>
      </w:r>
      <w:r>
        <w:rPr>
          <w:rFonts w:ascii="Times New Roman" w:hAnsi="Times New Roman" w:cs="Times New Roman"/>
          <w:sz w:val="24"/>
          <w:szCs w:val="24"/>
        </w:rPr>
        <w:t xml:space="preserve"> as t</w:t>
      </w:r>
      <w:r w:rsidRPr="000C5AB4">
        <w:rPr>
          <w:rFonts w:ascii="Times New Roman" w:hAnsi="Times New Roman" w:cs="Times New Roman"/>
          <w:sz w:val="24"/>
          <w:szCs w:val="24"/>
        </w:rPr>
        <w:t>heir citizens expect them to bear the responsibility of ensuring quality services are provided equitably in an efficient, economic, and effective manner</w:t>
      </w:r>
      <w:r>
        <w:rPr>
          <w:rFonts w:ascii="Times New Roman" w:hAnsi="Times New Roman" w:cs="Times New Roman"/>
          <w:sz w:val="24"/>
          <w:szCs w:val="24"/>
        </w:rPr>
        <w:t>” add source (        )</w:t>
      </w:r>
    </w:p>
  </w:comment>
  <w:comment w:id="6" w:author="USER" w:date="2025-04-24T08:34:00Z" w:initials="U">
    <w:p w14:paraId="1CBD2B29" w14:textId="6A3A749C" w:rsidR="00804B25" w:rsidRDefault="00804B25">
      <w:pPr>
        <w:pStyle w:val="CommentText"/>
      </w:pPr>
      <w:r>
        <w:rPr>
          <w:rStyle w:val="CommentReference"/>
        </w:rPr>
        <w:annotationRef/>
      </w:r>
      <w:r>
        <w:t>Delete the</w:t>
      </w:r>
    </w:p>
  </w:comment>
  <w:comment w:id="7" w:author="USER" w:date="2025-04-24T08:36:00Z" w:initials="U">
    <w:p w14:paraId="2E61761E" w14:textId="63C61F55" w:rsidR="00C1127B" w:rsidRDefault="00C1127B">
      <w:pPr>
        <w:pStyle w:val="CommentText"/>
      </w:pPr>
      <w:r>
        <w:rPr>
          <w:rStyle w:val="CommentReference"/>
        </w:rPr>
        <w:annotationRef/>
      </w:r>
      <w:r>
        <w:t>Delete</w:t>
      </w:r>
    </w:p>
  </w:comment>
  <w:comment w:id="8" w:author="USER" w:date="2025-04-24T08:38:00Z" w:initials="U">
    <w:p w14:paraId="3BD978CC" w14:textId="540B6AA2" w:rsidR="00DA273E" w:rsidRDefault="00DA273E">
      <w:pPr>
        <w:pStyle w:val="CommentText"/>
      </w:pPr>
      <w:r>
        <w:rPr>
          <w:rStyle w:val="CommentReference"/>
        </w:rPr>
        <w:annotationRef/>
      </w:r>
      <w:r>
        <w:t>5 lines is small to form a paragraph join this with the top one</w:t>
      </w:r>
    </w:p>
  </w:comment>
  <w:comment w:id="10" w:author="USER" w:date="2025-04-24T08:41:00Z" w:initials="U">
    <w:p w14:paraId="31752650" w14:textId="49052096" w:rsidR="00ED2728" w:rsidRDefault="00ED2728">
      <w:pPr>
        <w:pStyle w:val="CommentText"/>
      </w:pPr>
      <w:r>
        <w:rPr>
          <w:rStyle w:val="CommentReference"/>
        </w:rPr>
        <w:annotationRef/>
      </w:r>
      <w:r>
        <w:t xml:space="preserve">The two word can not be use together, therefore use </w:t>
      </w:r>
      <w:r w:rsidRPr="000C5AB4">
        <w:rPr>
          <w:rFonts w:ascii="Times New Roman" w:hAnsi="Times New Roman" w:cs="Times New Roman"/>
          <w:sz w:val="24"/>
          <w:szCs w:val="24"/>
        </w:rPr>
        <w:t>adherence</w:t>
      </w:r>
      <w:r>
        <w:rPr>
          <w:rStyle w:val="CommentReference"/>
        </w:rPr>
        <w:annotationRef/>
      </w:r>
    </w:p>
  </w:comment>
  <w:comment w:id="11" w:author="USER" w:date="2025-04-24T08:43:00Z" w:initials="U">
    <w:p w14:paraId="25E737CE" w14:textId="4459E8DC" w:rsidR="00846E63" w:rsidRDefault="00846E63">
      <w:pPr>
        <w:pStyle w:val="CommentText"/>
      </w:pPr>
      <w:r>
        <w:rPr>
          <w:rStyle w:val="CommentReference"/>
        </w:rPr>
        <w:annotationRef/>
      </w:r>
      <w:r>
        <w:t xml:space="preserve">Use ascending or decending other (e. g </w:t>
      </w:r>
      <w:r w:rsidRPr="000C5AB4">
        <w:rPr>
          <w:rFonts w:ascii="Times New Roman" w:hAnsi="Times New Roman" w:cs="Times New Roman"/>
          <w:sz w:val="24"/>
          <w:szCs w:val="24"/>
        </w:rPr>
        <w:t>Kibwage (2021</w:t>
      </w:r>
      <w:r>
        <w:rPr>
          <w:rStyle w:val="CommentReference"/>
        </w:rPr>
        <w:annotationRef/>
      </w:r>
      <w:r w:rsidRPr="000C5AB4">
        <w:rPr>
          <w:rFonts w:ascii="Times New Roman" w:hAnsi="Times New Roman" w:cs="Times New Roman"/>
          <w:sz w:val="24"/>
          <w:szCs w:val="24"/>
        </w:rPr>
        <w:t xml:space="preserve">), Gikonyo (2020), Kirima (2016),  </w:t>
      </w:r>
      <w:r>
        <w:t xml:space="preserve"> </w:t>
      </w:r>
    </w:p>
  </w:comment>
  <w:comment w:id="12" w:author="USER" w:date="2025-04-24T08:46:00Z" w:initials="U">
    <w:p w14:paraId="1667E76B" w14:textId="351177AC" w:rsidR="00127408" w:rsidRDefault="00127408">
      <w:pPr>
        <w:pStyle w:val="CommentText"/>
      </w:pPr>
      <w:r>
        <w:rPr>
          <w:rStyle w:val="CommentReference"/>
        </w:rPr>
        <w:annotationRef/>
      </w:r>
      <w:r>
        <w:t>Check for correct spelling</w:t>
      </w:r>
    </w:p>
  </w:comment>
  <w:comment w:id="17" w:author="USER" w:date="2025-04-24T08:47:00Z" w:initials="U">
    <w:p w14:paraId="642AB307" w14:textId="77777777" w:rsidR="007107A9" w:rsidRDefault="007107A9">
      <w:pPr>
        <w:pStyle w:val="CommentText"/>
      </w:pPr>
      <w:r>
        <w:rPr>
          <w:rStyle w:val="CommentReference"/>
        </w:rPr>
        <w:annotationRef/>
      </w:r>
      <w:r>
        <w:t>This theory was propounded by who?</w:t>
      </w:r>
    </w:p>
    <w:p w14:paraId="73853597" w14:textId="396AFF18" w:rsidR="007107A9" w:rsidRDefault="007107A9">
      <w:pPr>
        <w:pStyle w:val="CommentText"/>
      </w:pPr>
      <w:r>
        <w:t>2. when was this theory were developed?</w:t>
      </w:r>
    </w:p>
    <w:p w14:paraId="3341E179" w14:textId="77777777" w:rsidR="007107A9" w:rsidRDefault="007107A9">
      <w:pPr>
        <w:pStyle w:val="CommentText"/>
      </w:pPr>
      <w:r>
        <w:t>3. what are the assumption of this theory?</w:t>
      </w:r>
    </w:p>
    <w:p w14:paraId="68BF096A" w14:textId="2B65F96D" w:rsidR="003E5FFA" w:rsidRDefault="003E5FFA">
      <w:pPr>
        <w:pStyle w:val="CommentText"/>
      </w:pPr>
      <w:r>
        <w:t>4. what are the criticisms of system theory</w:t>
      </w:r>
    </w:p>
    <w:p w14:paraId="127AD2FD" w14:textId="77777777" w:rsidR="003E5FFA" w:rsidRDefault="003E5FFA">
      <w:pPr>
        <w:pStyle w:val="CommentText"/>
      </w:pPr>
      <w:r>
        <w:t>5. what is the application of</w:t>
      </w:r>
      <w:r>
        <w:t xml:space="preserve"> system theory</w:t>
      </w:r>
      <w:r>
        <w:t xml:space="preserve"> to your study.</w:t>
      </w:r>
    </w:p>
    <w:p w14:paraId="164455AC" w14:textId="4C45FF66" w:rsidR="003E5FFA" w:rsidRDefault="003E5FFA">
      <w:pPr>
        <w:pStyle w:val="CommentText"/>
      </w:pPr>
      <w:r>
        <w:t xml:space="preserve">6. How does </w:t>
      </w:r>
      <w:r>
        <w:t>system theory</w:t>
      </w:r>
      <w:r>
        <w:t xml:space="preserve"> relates to your study</w:t>
      </w:r>
    </w:p>
  </w:comment>
  <w:comment w:id="18" w:author="USER" w:date="2025-04-24T08:52:00Z" w:initials="U">
    <w:p w14:paraId="2C0ED0C0" w14:textId="098D0DE5" w:rsidR="005C5B3E" w:rsidRDefault="005C5B3E">
      <w:pPr>
        <w:pStyle w:val="CommentText"/>
      </w:pPr>
      <w:r>
        <w:rPr>
          <w:rStyle w:val="CommentReference"/>
        </w:rPr>
        <w:annotationRef/>
      </w:r>
      <w:r>
        <w:t xml:space="preserve">The empirical review is too old (2007) and (2021). Author is advising to download current journal (2024-2025 at least 5 for each year to enhance the robustness of the study </w:t>
      </w:r>
    </w:p>
  </w:comment>
  <w:comment w:id="20" w:author="USER" w:date="2025-04-24T08:58:00Z" w:initials="U">
    <w:p w14:paraId="2F62CDED" w14:textId="69F4EC8B" w:rsidR="005C65D7" w:rsidRDefault="005C65D7">
      <w:pPr>
        <w:pStyle w:val="CommentText"/>
      </w:pPr>
      <w:r>
        <w:rPr>
          <w:rStyle w:val="CommentReference"/>
        </w:rPr>
        <w:annotationRef/>
      </w:r>
      <w:r>
        <w:t>Give a space</w:t>
      </w:r>
    </w:p>
  </w:comment>
  <w:comment w:id="21" w:author="USER" w:date="2025-04-24T08:59:00Z" w:initials="U">
    <w:p w14:paraId="1D97C621" w14:textId="174A742F" w:rsidR="005C65D7" w:rsidRDefault="005C65D7">
      <w:pPr>
        <w:pStyle w:val="CommentText"/>
      </w:pPr>
      <w:r>
        <w:rPr>
          <w:rStyle w:val="CommentReference"/>
        </w:rPr>
        <w:annotationRef/>
      </w:r>
      <w:r>
        <w:t>Don’t cite authority in methodology except if u are adopting a model specification</w:t>
      </w:r>
    </w:p>
  </w:comment>
  <w:comment w:id="22" w:author="USER" w:date="2025-04-24T09:00:00Z" w:initials="U">
    <w:p w14:paraId="15D0D146" w14:textId="0B52BDC3" w:rsidR="00B3174D" w:rsidRDefault="00B3174D">
      <w:pPr>
        <w:pStyle w:val="CommentText"/>
      </w:pPr>
      <w:r>
        <w:rPr>
          <w:rStyle w:val="CommentReference"/>
        </w:rPr>
        <w:annotationRef/>
      </w:r>
      <w:r>
        <w:t>Use number like 2</w:t>
      </w:r>
      <w:r w:rsidR="0053495D">
        <w:t xml:space="preserve"> and</w:t>
      </w:r>
      <w:r>
        <w:t xml:space="preserve"> not in roman figure</w:t>
      </w:r>
    </w:p>
  </w:comment>
  <w:comment w:id="23" w:author="USER" w:date="2025-04-24T09:01:00Z" w:initials="U">
    <w:p w14:paraId="36F2A81A" w14:textId="6498132D" w:rsidR="00E21EBF" w:rsidRDefault="00E21EBF">
      <w:pPr>
        <w:pStyle w:val="CommentText"/>
      </w:pPr>
      <w:r>
        <w:rPr>
          <w:rStyle w:val="CommentReference"/>
        </w:rPr>
        <w:annotationRef/>
      </w:r>
      <w:r>
        <w:t>Delete all authorities cited</w:t>
      </w:r>
    </w:p>
  </w:comment>
  <w:comment w:id="24" w:author="USER" w:date="2025-04-24T09:03:00Z" w:initials="U">
    <w:p w14:paraId="49A5754E" w14:textId="0E28CE50" w:rsidR="00E70927" w:rsidRDefault="00E70927">
      <w:pPr>
        <w:pStyle w:val="CommentText"/>
      </w:pPr>
      <w:r>
        <w:rPr>
          <w:rStyle w:val="CommentReference"/>
        </w:rPr>
        <w:annotationRef/>
      </w:r>
      <w:r>
        <w:t>Use were distributed</w:t>
      </w:r>
    </w:p>
  </w:comment>
  <w:comment w:id="25" w:author="USER" w:date="2025-04-24T09:03:00Z" w:initials="U">
    <w:p w14:paraId="4E7F827E" w14:textId="335673EF" w:rsidR="00E70927" w:rsidRDefault="00E70927">
      <w:pPr>
        <w:pStyle w:val="CommentText"/>
      </w:pPr>
      <w:r>
        <w:rPr>
          <w:rStyle w:val="CommentReference"/>
        </w:rPr>
        <w:annotationRef/>
      </w:r>
      <w:r>
        <w:t xml:space="preserve">WhatsApp not what apps </w:t>
      </w:r>
      <w:r w:rsidR="00777B3F">
        <w:t>correct the spelling</w:t>
      </w:r>
    </w:p>
  </w:comment>
  <w:comment w:id="26" w:author="USER" w:date="2025-04-24T09:02:00Z" w:initials="U">
    <w:p w14:paraId="44BE7DE5" w14:textId="28E3407C" w:rsidR="00FD197F" w:rsidRDefault="00FD197F">
      <w:pPr>
        <w:pStyle w:val="CommentText"/>
      </w:pPr>
      <w:r>
        <w:rPr>
          <w:rStyle w:val="CommentReference"/>
        </w:rPr>
        <w:annotationRef/>
      </w:r>
      <w:r>
        <w:t>Delete</w:t>
      </w:r>
    </w:p>
  </w:comment>
  <w:comment w:id="43" w:author="USER" w:date="2025-04-24T09:08:00Z" w:initials="U">
    <w:p w14:paraId="2A55015A" w14:textId="6D60F812" w:rsidR="00775D7F" w:rsidRDefault="00775D7F">
      <w:pPr>
        <w:pStyle w:val="CommentText"/>
      </w:pPr>
      <w:r>
        <w:rPr>
          <w:rStyle w:val="CommentReference"/>
        </w:rPr>
        <w:annotationRef/>
      </w:r>
      <w:r>
        <w:t>Please be specific with the date under each table (2024) or (2025) which one are you using?</w:t>
      </w:r>
    </w:p>
  </w:comment>
  <w:comment w:id="49" w:author="USER" w:date="2025-04-24T09:08:00Z" w:initials="U">
    <w:p w14:paraId="0BD10A05" w14:textId="1C209DDE" w:rsidR="00775D7F" w:rsidRDefault="00775D7F">
      <w:pPr>
        <w:pStyle w:val="CommentText"/>
      </w:pPr>
      <w:r>
        <w:rPr>
          <w:rStyle w:val="CommentReference"/>
        </w:rPr>
        <w:annotationRef/>
      </w:r>
      <w:r>
        <w:t>Please be specific with the date under each table (2024) or (2025) which one are you using?</w:t>
      </w:r>
    </w:p>
  </w:comment>
  <w:comment w:id="53" w:author="USER" w:date="2025-04-24T09:08:00Z" w:initials="U">
    <w:p w14:paraId="5903634F" w14:textId="7D939B6A" w:rsidR="006913DD" w:rsidRDefault="006913DD">
      <w:pPr>
        <w:pStyle w:val="CommentText"/>
      </w:pPr>
      <w:r>
        <w:rPr>
          <w:rStyle w:val="CommentReference"/>
        </w:rPr>
        <w:annotationRef/>
      </w:r>
      <w:r>
        <w:t>Please be specific with the date under each table (2024) or (2025) which one are you using?</w:t>
      </w:r>
    </w:p>
  </w:comment>
  <w:comment w:id="59" w:author="USER" w:date="2025-04-24T09:07:00Z" w:initials="U">
    <w:p w14:paraId="1FD174D2" w14:textId="5BA10058" w:rsidR="00450641" w:rsidRDefault="00450641">
      <w:pPr>
        <w:pStyle w:val="CommentText"/>
      </w:pPr>
      <w:r>
        <w:rPr>
          <w:rStyle w:val="CommentReference"/>
        </w:rPr>
        <w:annotationRef/>
      </w:r>
      <w:r>
        <w:t>Please be specific with the date under each table (2024) or (2025) which one are you using?</w:t>
      </w:r>
    </w:p>
  </w:comment>
  <w:comment w:id="65" w:author="USER" w:date="2025-04-24T09:06:00Z" w:initials="U">
    <w:p w14:paraId="557FA15A" w14:textId="3FEB4082" w:rsidR="00205D5F" w:rsidRDefault="00205D5F">
      <w:pPr>
        <w:pStyle w:val="CommentText"/>
      </w:pPr>
      <w:r>
        <w:rPr>
          <w:rStyle w:val="CommentReference"/>
        </w:rPr>
        <w:annotationRef/>
      </w:r>
      <w:r>
        <w:t>Please be specific with the date under each table (2024) or (2025) which one are you using?</w:t>
      </w:r>
    </w:p>
  </w:comment>
  <w:comment w:id="74" w:author="USER" w:date="2025-04-24T09:09:00Z" w:initials="U">
    <w:p w14:paraId="0DD01A7F" w14:textId="3FB7FB9C" w:rsidR="000B5484" w:rsidRDefault="000B5484">
      <w:pPr>
        <w:pStyle w:val="CommentText"/>
      </w:pPr>
      <w:r>
        <w:rPr>
          <w:rStyle w:val="CommentReference"/>
        </w:rPr>
        <w:annotationRef/>
      </w:r>
      <w:r>
        <w:t>Unbold</w:t>
      </w:r>
    </w:p>
  </w:comment>
  <w:comment w:id="84" w:author="USER" w:date="2025-04-24T09:31:00Z" w:initials="U">
    <w:p w14:paraId="70B0EF35" w14:textId="32FF2B57" w:rsidR="00E24893" w:rsidRDefault="00E24893">
      <w:pPr>
        <w:pStyle w:val="CommentText"/>
      </w:pPr>
      <w:r>
        <w:rPr>
          <w:rStyle w:val="CommentReference"/>
        </w:rPr>
        <w:annotationRef/>
      </w:r>
      <w:r>
        <w:t>Check for APA 6</w:t>
      </w:r>
      <w:r w:rsidRPr="00E24893">
        <w:rPr>
          <w:vertAlign w:val="superscript"/>
        </w:rPr>
        <w:t>th</w:t>
      </w:r>
      <w:r>
        <w:t xml:space="preserve"> or 7</w:t>
      </w:r>
      <w:r w:rsidRPr="00E24893">
        <w:rPr>
          <w:vertAlign w:val="superscript"/>
        </w:rPr>
        <w:t>th</w:t>
      </w:r>
      <w:r>
        <w:t xml:space="preserve"> Edition</w:t>
      </w:r>
    </w:p>
  </w:comment>
  <w:comment w:id="85" w:author="USER" w:date="2025-04-24T09:30:00Z" w:initials="U">
    <w:p w14:paraId="2E560171" w14:textId="56B64EE5" w:rsidR="009E1B16" w:rsidRDefault="009E1B16">
      <w:pPr>
        <w:pStyle w:val="CommentText"/>
      </w:pPr>
      <w:r>
        <w:rPr>
          <w:rStyle w:val="CommentReference"/>
        </w:rPr>
        <w:annotationRef/>
      </w:r>
      <w:r>
        <w:t>State the Volume number, issue number and page number</w:t>
      </w:r>
    </w:p>
  </w:comment>
  <w:comment w:id="86" w:author="USER" w:date="2025-04-24T09:31:00Z" w:initials="U">
    <w:p w14:paraId="022E7A35" w14:textId="4A42E0B8" w:rsidR="00E24893" w:rsidRDefault="00E24893">
      <w:pPr>
        <w:pStyle w:val="CommentText"/>
      </w:pPr>
      <w:r>
        <w:rPr>
          <w:rStyle w:val="CommentReference"/>
        </w:rPr>
        <w:annotationRef/>
      </w:r>
      <w:r>
        <w:t xml:space="preserve">Journal of what ? </w:t>
      </w:r>
      <w:r>
        <w:t>State the Volume number, issue number and page number</w:t>
      </w:r>
    </w:p>
  </w:comment>
  <w:comment w:id="87" w:author="USER" w:date="2025-04-24T09:32:00Z" w:initials="U">
    <w:p w14:paraId="0C647224" w14:textId="2CB79560" w:rsidR="001B1FC5" w:rsidRDefault="001B1FC5">
      <w:pPr>
        <w:pStyle w:val="CommentText"/>
      </w:pPr>
      <w:r>
        <w:rPr>
          <w:rStyle w:val="CommentReference"/>
        </w:rPr>
        <w:annotationRef/>
      </w:r>
      <w:r>
        <w:t>italised</w:t>
      </w:r>
    </w:p>
  </w:comment>
  <w:comment w:id="88" w:author="USER" w:date="2025-04-24T09:32:00Z" w:initials="U">
    <w:p w14:paraId="45C17806" w14:textId="47CA3133" w:rsidR="00002FFD" w:rsidRDefault="00002FFD">
      <w:pPr>
        <w:pStyle w:val="CommentText"/>
      </w:pPr>
      <w:r>
        <w:rPr>
          <w:rStyle w:val="CommentReference"/>
        </w:rPr>
        <w:annotationRef/>
      </w:r>
      <w:r>
        <w:t>Delete “pp”</w:t>
      </w:r>
    </w:p>
  </w:comment>
  <w:comment w:id="89" w:author="USER" w:date="2025-04-24T09:33:00Z" w:initials="U">
    <w:p w14:paraId="269F99BB" w14:textId="44D2E91B" w:rsidR="001B1FC5" w:rsidRDefault="001B1FC5">
      <w:pPr>
        <w:pStyle w:val="CommentText"/>
      </w:pPr>
      <w:r>
        <w:rPr>
          <w:rStyle w:val="CommentReference"/>
        </w:rPr>
        <w:annotationRef/>
      </w:r>
      <w:r>
        <w:t>State the Volume number, issue number and page number</w:t>
      </w:r>
    </w:p>
  </w:comment>
  <w:comment w:id="90" w:author="USER" w:date="2025-04-24T09:34:00Z" w:initials="U">
    <w:p w14:paraId="15304E20" w14:textId="09EE1F6B" w:rsidR="00773FBE" w:rsidRDefault="00773FBE">
      <w:pPr>
        <w:pStyle w:val="CommentText"/>
      </w:pPr>
      <w:r>
        <w:rPr>
          <w:rStyle w:val="CommentReference"/>
        </w:rPr>
        <w:annotationRef/>
      </w:r>
      <w:r>
        <w:t>State the Volume number, issue number and page number</w:t>
      </w:r>
    </w:p>
  </w:comment>
  <w:comment w:id="91" w:author="USER" w:date="2025-04-24T09:34:00Z" w:initials="U">
    <w:p w14:paraId="3513394B" w14:textId="67311EA6" w:rsidR="001A764A" w:rsidRDefault="001A764A">
      <w:pPr>
        <w:pStyle w:val="CommentText"/>
      </w:pPr>
      <w:r>
        <w:rPr>
          <w:rStyle w:val="CommentReference"/>
        </w:rPr>
        <w:annotationRef/>
      </w:r>
      <w:r>
        <w:t>State the Volume number, issue number and page number</w:t>
      </w:r>
    </w:p>
  </w:comment>
  <w:comment w:id="92" w:author="USER" w:date="2025-04-24T09:34:00Z" w:initials="U">
    <w:p w14:paraId="59264462" w14:textId="0518B0B6" w:rsidR="00E27F4F" w:rsidRDefault="00E27F4F">
      <w:pPr>
        <w:pStyle w:val="CommentText"/>
      </w:pPr>
      <w:r>
        <w:rPr>
          <w:rStyle w:val="CommentReference"/>
        </w:rPr>
        <w:annotationRef/>
      </w:r>
      <w:r>
        <w:t>State the Volume number, issue number and page number</w:t>
      </w:r>
    </w:p>
  </w:comment>
  <w:comment w:id="93" w:author="USER" w:date="2025-04-24T09:35:00Z" w:initials="U">
    <w:p w14:paraId="10A5FB4D" w14:textId="3E974277" w:rsidR="00147389" w:rsidRDefault="00147389">
      <w:pPr>
        <w:pStyle w:val="CommentText"/>
      </w:pPr>
      <w:r>
        <w:rPr>
          <w:rStyle w:val="CommentReference"/>
        </w:rPr>
        <w:annotationRef/>
      </w:r>
      <w:r>
        <w:t>Very good. Do for others as you have done here</w:t>
      </w:r>
    </w:p>
  </w:comment>
  <w:comment w:id="94" w:author="USER" w:date="2025-04-24T09:35:00Z" w:initials="U">
    <w:p w14:paraId="3DD1689E" w14:textId="14439CF3" w:rsidR="008C175B" w:rsidRDefault="008C175B">
      <w:pPr>
        <w:pStyle w:val="CommentText"/>
      </w:pPr>
      <w:r>
        <w:rPr>
          <w:rStyle w:val="CommentReference"/>
        </w:rPr>
        <w:annotationRef/>
      </w:r>
      <w:r>
        <w:t xml:space="preserve">Bracket the year. </w:t>
      </w:r>
      <w:r>
        <w:t>in</w:t>
      </w:r>
      <w:r>
        <w:t>i</w:t>
      </w:r>
      <w:r>
        <w:t>tial</w:t>
      </w:r>
      <w:r>
        <w:t>ise Scott to initial “S”</w:t>
      </w:r>
    </w:p>
  </w:comment>
  <w:comment w:id="95" w:author="USER" w:date="2025-04-24T09:28:00Z" w:initials="U">
    <w:p w14:paraId="34348739" w14:textId="32959FF2" w:rsidR="00BB6A74" w:rsidRDefault="00BB6A74">
      <w:pPr>
        <w:pStyle w:val="CommentText"/>
      </w:pPr>
      <w:r>
        <w:rPr>
          <w:rStyle w:val="CommentReference"/>
        </w:rPr>
        <w:annotationRef/>
      </w:r>
      <w:r>
        <w:t>State the Volume number, issue number and page number</w:t>
      </w:r>
    </w:p>
  </w:comment>
  <w:comment w:id="96" w:author="USER" w:date="2025-04-24T09:16:00Z" w:initials="U">
    <w:p w14:paraId="103C5FB3" w14:textId="45F5364A" w:rsidR="000B5484" w:rsidRDefault="000B5484">
      <w:pPr>
        <w:pStyle w:val="CommentText"/>
      </w:pPr>
      <w:r>
        <w:rPr>
          <w:rStyle w:val="CommentReference"/>
        </w:rPr>
        <w:annotationRef/>
      </w:r>
      <w:r>
        <w:t>Use a</w:t>
      </w:r>
      <w:r w:rsidR="00BB6A74">
        <w:t>pa</w:t>
      </w:r>
      <w:r>
        <w:t xml:space="preserve">sand </w:t>
      </w:r>
      <w:r w:rsidR="00BB6A74">
        <w:t>that is “&amp;”</w:t>
      </w:r>
    </w:p>
  </w:comment>
  <w:comment w:id="97" w:author="USER" w:date="2025-04-24T09:29:00Z" w:initials="U">
    <w:p w14:paraId="4177A34A" w14:textId="3E84348F" w:rsidR="009E1B16" w:rsidRDefault="009E1B16">
      <w:pPr>
        <w:pStyle w:val="CommentText"/>
      </w:pPr>
      <w:r>
        <w:rPr>
          <w:rStyle w:val="CommentReference"/>
        </w:rPr>
        <w:annotationRef/>
      </w:r>
      <w:r>
        <w:t xml:space="preserve">Use </w:t>
      </w:r>
      <w:r>
        <w:t>&amp;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899C02" w15:done="0"/>
  <w15:commentEx w15:paraId="2F6F37B0" w15:done="0"/>
  <w15:commentEx w15:paraId="3536A6C8" w15:done="0"/>
  <w15:commentEx w15:paraId="70351916" w15:done="0"/>
  <w15:commentEx w15:paraId="38A116B9" w15:done="0"/>
  <w15:commentEx w15:paraId="1CBD2B29" w15:done="0"/>
  <w15:commentEx w15:paraId="2E61761E" w15:done="0"/>
  <w15:commentEx w15:paraId="3BD978CC" w15:done="0"/>
  <w15:commentEx w15:paraId="31752650" w15:done="0"/>
  <w15:commentEx w15:paraId="25E737CE" w15:done="0"/>
  <w15:commentEx w15:paraId="1667E76B" w15:done="0"/>
  <w15:commentEx w15:paraId="164455AC" w15:done="0"/>
  <w15:commentEx w15:paraId="2C0ED0C0" w15:done="0"/>
  <w15:commentEx w15:paraId="2F62CDED" w15:done="0"/>
  <w15:commentEx w15:paraId="1D97C621" w15:done="0"/>
  <w15:commentEx w15:paraId="15D0D146" w15:done="0"/>
  <w15:commentEx w15:paraId="36F2A81A" w15:done="0"/>
  <w15:commentEx w15:paraId="49A5754E" w15:done="0"/>
  <w15:commentEx w15:paraId="4E7F827E" w15:done="0"/>
  <w15:commentEx w15:paraId="44BE7DE5" w15:done="0"/>
  <w15:commentEx w15:paraId="2A55015A" w15:done="0"/>
  <w15:commentEx w15:paraId="0BD10A05" w15:done="0"/>
  <w15:commentEx w15:paraId="5903634F" w15:done="0"/>
  <w15:commentEx w15:paraId="1FD174D2" w15:done="0"/>
  <w15:commentEx w15:paraId="557FA15A" w15:done="0"/>
  <w15:commentEx w15:paraId="0DD01A7F" w15:done="0"/>
  <w15:commentEx w15:paraId="70B0EF35" w15:done="0"/>
  <w15:commentEx w15:paraId="2E560171" w15:done="0"/>
  <w15:commentEx w15:paraId="022E7A35" w15:done="0"/>
  <w15:commentEx w15:paraId="0C647224" w15:done="0"/>
  <w15:commentEx w15:paraId="45C17806" w15:done="0"/>
  <w15:commentEx w15:paraId="269F99BB" w15:done="0"/>
  <w15:commentEx w15:paraId="15304E20" w15:done="0"/>
  <w15:commentEx w15:paraId="3513394B" w15:done="0"/>
  <w15:commentEx w15:paraId="59264462" w15:done="0"/>
  <w15:commentEx w15:paraId="10A5FB4D" w15:done="0"/>
  <w15:commentEx w15:paraId="3DD1689E" w15:done="0"/>
  <w15:commentEx w15:paraId="34348739" w15:done="0"/>
  <w15:commentEx w15:paraId="103C5FB3" w15:done="0"/>
  <w15:commentEx w15:paraId="4177A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E9E0B6" w16cex:dateUtc="2025-04-24T07:19:00Z"/>
  <w16cex:commentExtensible w16cex:durableId="7A5720C1" w16cex:dateUtc="2025-04-24T07:21:00Z"/>
  <w16cex:commentExtensible w16cex:durableId="5B00C660" w16cex:dateUtc="2025-04-24T07:25:00Z"/>
  <w16cex:commentExtensible w16cex:durableId="2BAC597E" w16cex:dateUtc="2025-04-24T07:29:00Z"/>
  <w16cex:commentExtensible w16cex:durableId="02656393" w16cex:dateUtc="2025-04-24T07:32:00Z"/>
  <w16cex:commentExtensible w16cex:durableId="3C641E5A" w16cex:dateUtc="2025-04-24T07:34:00Z"/>
  <w16cex:commentExtensible w16cex:durableId="5B3D0553" w16cex:dateUtc="2025-04-24T07:36:00Z"/>
  <w16cex:commentExtensible w16cex:durableId="4FAFA137" w16cex:dateUtc="2025-04-24T07:38:00Z"/>
  <w16cex:commentExtensible w16cex:durableId="17FF2FDA" w16cex:dateUtc="2025-04-24T07:41:00Z"/>
  <w16cex:commentExtensible w16cex:durableId="4E051317" w16cex:dateUtc="2025-04-24T07:43:00Z"/>
  <w16cex:commentExtensible w16cex:durableId="13399283" w16cex:dateUtc="2025-04-24T07:46:00Z"/>
  <w16cex:commentExtensible w16cex:durableId="7528CC0D" w16cex:dateUtc="2025-04-24T07:47:00Z"/>
  <w16cex:commentExtensible w16cex:durableId="16CBE98A" w16cex:dateUtc="2025-04-24T07:52:00Z"/>
  <w16cex:commentExtensible w16cex:durableId="723114B5" w16cex:dateUtc="2025-04-24T07:58:00Z"/>
  <w16cex:commentExtensible w16cex:durableId="7FA7DC04" w16cex:dateUtc="2025-04-24T07:59:00Z"/>
  <w16cex:commentExtensible w16cex:durableId="71686E6C" w16cex:dateUtc="2025-04-24T08:00:00Z"/>
  <w16cex:commentExtensible w16cex:durableId="4A8B0D30" w16cex:dateUtc="2025-04-24T08:01:00Z"/>
  <w16cex:commentExtensible w16cex:durableId="6A18F952" w16cex:dateUtc="2025-04-24T08:03:00Z"/>
  <w16cex:commentExtensible w16cex:durableId="7C392DF1" w16cex:dateUtc="2025-04-24T08:03:00Z"/>
  <w16cex:commentExtensible w16cex:durableId="4C265150" w16cex:dateUtc="2025-04-24T08:02:00Z"/>
  <w16cex:commentExtensible w16cex:durableId="2C3E3868" w16cex:dateUtc="2025-04-24T08:08:00Z"/>
  <w16cex:commentExtensible w16cex:durableId="2371845F" w16cex:dateUtc="2025-04-24T08:08:00Z"/>
  <w16cex:commentExtensible w16cex:durableId="7650C233" w16cex:dateUtc="2025-04-24T08:08:00Z"/>
  <w16cex:commentExtensible w16cex:durableId="39BFA3D4" w16cex:dateUtc="2025-04-24T08:07:00Z"/>
  <w16cex:commentExtensible w16cex:durableId="3624DA07" w16cex:dateUtc="2025-04-24T08:06:00Z"/>
  <w16cex:commentExtensible w16cex:durableId="5E8F5A28" w16cex:dateUtc="2025-04-24T08:09:00Z"/>
  <w16cex:commentExtensible w16cex:durableId="271BDC84" w16cex:dateUtc="2025-04-24T08:31:00Z"/>
  <w16cex:commentExtensible w16cex:durableId="0EB9CC57" w16cex:dateUtc="2025-04-24T08:30:00Z"/>
  <w16cex:commentExtensible w16cex:durableId="5C32AD67" w16cex:dateUtc="2025-04-24T08:31:00Z"/>
  <w16cex:commentExtensible w16cex:durableId="28D340F0" w16cex:dateUtc="2025-04-24T08:32:00Z"/>
  <w16cex:commentExtensible w16cex:durableId="01F2C6BA" w16cex:dateUtc="2025-04-24T08:32:00Z"/>
  <w16cex:commentExtensible w16cex:durableId="00965EEF" w16cex:dateUtc="2025-04-24T08:33:00Z"/>
  <w16cex:commentExtensible w16cex:durableId="60454B21" w16cex:dateUtc="2025-04-24T08:34:00Z"/>
  <w16cex:commentExtensible w16cex:durableId="201931F8" w16cex:dateUtc="2025-04-24T08:34:00Z"/>
  <w16cex:commentExtensible w16cex:durableId="1D0A9A8E" w16cex:dateUtc="2025-04-24T08:34:00Z"/>
  <w16cex:commentExtensible w16cex:durableId="6B6EE3C0" w16cex:dateUtc="2025-04-24T08:35:00Z"/>
  <w16cex:commentExtensible w16cex:durableId="5E196FE1" w16cex:dateUtc="2025-04-24T08:35:00Z"/>
  <w16cex:commentExtensible w16cex:durableId="04C1FCE8" w16cex:dateUtc="2025-04-24T08:28:00Z"/>
  <w16cex:commentExtensible w16cex:durableId="5AD0A925" w16cex:dateUtc="2025-04-24T08:16:00Z"/>
  <w16cex:commentExtensible w16cex:durableId="0119CFC0" w16cex:dateUtc="2025-04-24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899C02" w16cid:durableId="22E9E0B6"/>
  <w16cid:commentId w16cid:paraId="2F6F37B0" w16cid:durableId="7A5720C1"/>
  <w16cid:commentId w16cid:paraId="3536A6C8" w16cid:durableId="5B00C660"/>
  <w16cid:commentId w16cid:paraId="70351916" w16cid:durableId="2BAC597E"/>
  <w16cid:commentId w16cid:paraId="38A116B9" w16cid:durableId="02656393"/>
  <w16cid:commentId w16cid:paraId="1CBD2B29" w16cid:durableId="3C641E5A"/>
  <w16cid:commentId w16cid:paraId="2E61761E" w16cid:durableId="5B3D0553"/>
  <w16cid:commentId w16cid:paraId="3BD978CC" w16cid:durableId="4FAFA137"/>
  <w16cid:commentId w16cid:paraId="31752650" w16cid:durableId="17FF2FDA"/>
  <w16cid:commentId w16cid:paraId="25E737CE" w16cid:durableId="4E051317"/>
  <w16cid:commentId w16cid:paraId="1667E76B" w16cid:durableId="13399283"/>
  <w16cid:commentId w16cid:paraId="164455AC" w16cid:durableId="7528CC0D"/>
  <w16cid:commentId w16cid:paraId="2C0ED0C0" w16cid:durableId="16CBE98A"/>
  <w16cid:commentId w16cid:paraId="2F62CDED" w16cid:durableId="723114B5"/>
  <w16cid:commentId w16cid:paraId="1D97C621" w16cid:durableId="7FA7DC04"/>
  <w16cid:commentId w16cid:paraId="15D0D146" w16cid:durableId="71686E6C"/>
  <w16cid:commentId w16cid:paraId="36F2A81A" w16cid:durableId="4A8B0D30"/>
  <w16cid:commentId w16cid:paraId="49A5754E" w16cid:durableId="6A18F952"/>
  <w16cid:commentId w16cid:paraId="4E7F827E" w16cid:durableId="7C392DF1"/>
  <w16cid:commentId w16cid:paraId="44BE7DE5" w16cid:durableId="4C265150"/>
  <w16cid:commentId w16cid:paraId="2A55015A" w16cid:durableId="2C3E3868"/>
  <w16cid:commentId w16cid:paraId="0BD10A05" w16cid:durableId="2371845F"/>
  <w16cid:commentId w16cid:paraId="5903634F" w16cid:durableId="7650C233"/>
  <w16cid:commentId w16cid:paraId="1FD174D2" w16cid:durableId="39BFA3D4"/>
  <w16cid:commentId w16cid:paraId="557FA15A" w16cid:durableId="3624DA07"/>
  <w16cid:commentId w16cid:paraId="0DD01A7F" w16cid:durableId="5E8F5A28"/>
  <w16cid:commentId w16cid:paraId="70B0EF35" w16cid:durableId="271BDC84"/>
  <w16cid:commentId w16cid:paraId="2E560171" w16cid:durableId="0EB9CC57"/>
  <w16cid:commentId w16cid:paraId="022E7A35" w16cid:durableId="5C32AD67"/>
  <w16cid:commentId w16cid:paraId="0C647224" w16cid:durableId="28D340F0"/>
  <w16cid:commentId w16cid:paraId="45C17806" w16cid:durableId="01F2C6BA"/>
  <w16cid:commentId w16cid:paraId="269F99BB" w16cid:durableId="00965EEF"/>
  <w16cid:commentId w16cid:paraId="15304E20" w16cid:durableId="60454B21"/>
  <w16cid:commentId w16cid:paraId="3513394B" w16cid:durableId="201931F8"/>
  <w16cid:commentId w16cid:paraId="59264462" w16cid:durableId="1D0A9A8E"/>
  <w16cid:commentId w16cid:paraId="10A5FB4D" w16cid:durableId="6B6EE3C0"/>
  <w16cid:commentId w16cid:paraId="3DD1689E" w16cid:durableId="5E196FE1"/>
  <w16cid:commentId w16cid:paraId="34348739" w16cid:durableId="04C1FCE8"/>
  <w16cid:commentId w16cid:paraId="103C5FB3" w16cid:durableId="5AD0A925"/>
  <w16cid:commentId w16cid:paraId="4177A34A" w16cid:durableId="0119CF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A8C0" w14:textId="77777777" w:rsidR="00AC7EFB" w:rsidRDefault="00AC7EFB" w:rsidP="0070657F">
      <w:pPr>
        <w:spacing w:after="0" w:line="240" w:lineRule="auto"/>
      </w:pPr>
      <w:r>
        <w:separator/>
      </w:r>
    </w:p>
  </w:endnote>
  <w:endnote w:type="continuationSeparator" w:id="0">
    <w:p w14:paraId="438C0F0B" w14:textId="77777777" w:rsidR="00AC7EFB" w:rsidRDefault="00AC7EFB" w:rsidP="0070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E4C3" w14:textId="77777777" w:rsidR="000C5AB4" w:rsidRDefault="000C5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189975"/>
      <w:docPartObj>
        <w:docPartGallery w:val="Page Numbers (Bottom of Page)"/>
        <w:docPartUnique/>
      </w:docPartObj>
    </w:sdtPr>
    <w:sdtEndPr>
      <w:rPr>
        <w:noProof/>
      </w:rPr>
    </w:sdtEndPr>
    <w:sdtContent>
      <w:p w14:paraId="02674E82" w14:textId="77777777" w:rsidR="008B1614" w:rsidRDefault="00000000" w:rsidP="008906FB">
        <w:pPr>
          <w:pStyle w:val="Heading1"/>
        </w:pPr>
      </w:p>
    </w:sdtContent>
  </w:sdt>
  <w:p w14:paraId="503B71E5" w14:textId="77777777" w:rsidR="008B1614" w:rsidRDefault="008B1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E478" w14:textId="77777777" w:rsidR="000C5AB4" w:rsidRDefault="000C5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C616" w14:textId="77777777" w:rsidR="00AC7EFB" w:rsidRDefault="00AC7EFB" w:rsidP="0070657F">
      <w:pPr>
        <w:spacing w:after="0" w:line="240" w:lineRule="auto"/>
      </w:pPr>
      <w:r>
        <w:separator/>
      </w:r>
    </w:p>
  </w:footnote>
  <w:footnote w:type="continuationSeparator" w:id="0">
    <w:p w14:paraId="10623732" w14:textId="77777777" w:rsidR="00AC7EFB" w:rsidRDefault="00AC7EFB" w:rsidP="0070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FF4B" w14:textId="3A4A85F2" w:rsidR="000C5AB4" w:rsidRDefault="00000000">
    <w:pPr>
      <w:pStyle w:val="Header"/>
    </w:pPr>
    <w:r>
      <w:rPr>
        <w:noProof/>
      </w:rPr>
      <w:pict w14:anchorId="41A38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79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B6F7" w14:textId="3FD69A39" w:rsidR="000C5AB4" w:rsidRDefault="00000000">
    <w:pPr>
      <w:pStyle w:val="Header"/>
    </w:pPr>
    <w:r>
      <w:rPr>
        <w:noProof/>
      </w:rPr>
      <w:pict w14:anchorId="2F8C9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79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E6A6" w14:textId="15146C0F" w:rsidR="000C5AB4" w:rsidRDefault="00000000">
    <w:pPr>
      <w:pStyle w:val="Header"/>
    </w:pPr>
    <w:r>
      <w:rPr>
        <w:noProof/>
      </w:rPr>
      <w:pict w14:anchorId="7718F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79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756AF712"/>
    <w:lvl w:ilvl="0" w:tplc="0CFA5436">
      <w:start w:val="1"/>
      <w:numFmt w:val="bullet"/>
      <w:lvlText w:val=""/>
      <w:lvlJc w:val="left"/>
      <w:pPr>
        <w:ind w:left="720" w:hanging="360"/>
      </w:pPr>
      <w:rPr>
        <w:rFonts w:ascii="Symbol" w:hAnsi="Symbol" w:hint="default"/>
      </w:rPr>
    </w:lvl>
    <w:lvl w:ilvl="1" w:tplc="316E9F1E" w:tentative="1">
      <w:start w:val="1"/>
      <w:numFmt w:val="bullet"/>
      <w:lvlText w:val="o"/>
      <w:lvlJc w:val="left"/>
      <w:pPr>
        <w:ind w:left="1440" w:hanging="360"/>
      </w:pPr>
      <w:rPr>
        <w:rFonts w:ascii="Courier New" w:hAnsi="Courier New" w:cs="Courier New" w:hint="default"/>
      </w:rPr>
    </w:lvl>
    <w:lvl w:ilvl="2" w:tplc="D5D49EBA" w:tentative="1">
      <w:start w:val="1"/>
      <w:numFmt w:val="bullet"/>
      <w:lvlText w:val=""/>
      <w:lvlJc w:val="left"/>
      <w:pPr>
        <w:ind w:left="2160" w:hanging="360"/>
      </w:pPr>
      <w:rPr>
        <w:rFonts w:ascii="Wingdings" w:hAnsi="Wingdings" w:hint="default"/>
      </w:rPr>
    </w:lvl>
    <w:lvl w:ilvl="3" w:tplc="D4B4B1FC" w:tentative="1">
      <w:start w:val="1"/>
      <w:numFmt w:val="bullet"/>
      <w:lvlText w:val=""/>
      <w:lvlJc w:val="left"/>
      <w:pPr>
        <w:ind w:left="2880" w:hanging="360"/>
      </w:pPr>
      <w:rPr>
        <w:rFonts w:ascii="Symbol" w:hAnsi="Symbol" w:hint="default"/>
      </w:rPr>
    </w:lvl>
    <w:lvl w:ilvl="4" w:tplc="AC444B44" w:tentative="1">
      <w:start w:val="1"/>
      <w:numFmt w:val="bullet"/>
      <w:lvlText w:val="o"/>
      <w:lvlJc w:val="left"/>
      <w:pPr>
        <w:ind w:left="3600" w:hanging="360"/>
      </w:pPr>
      <w:rPr>
        <w:rFonts w:ascii="Courier New" w:hAnsi="Courier New" w:cs="Courier New" w:hint="default"/>
      </w:rPr>
    </w:lvl>
    <w:lvl w:ilvl="5" w:tplc="F1E43A18" w:tentative="1">
      <w:start w:val="1"/>
      <w:numFmt w:val="bullet"/>
      <w:lvlText w:val=""/>
      <w:lvlJc w:val="left"/>
      <w:pPr>
        <w:ind w:left="4320" w:hanging="360"/>
      </w:pPr>
      <w:rPr>
        <w:rFonts w:ascii="Wingdings" w:hAnsi="Wingdings" w:hint="default"/>
      </w:rPr>
    </w:lvl>
    <w:lvl w:ilvl="6" w:tplc="28407448" w:tentative="1">
      <w:start w:val="1"/>
      <w:numFmt w:val="bullet"/>
      <w:lvlText w:val=""/>
      <w:lvlJc w:val="left"/>
      <w:pPr>
        <w:ind w:left="5040" w:hanging="360"/>
      </w:pPr>
      <w:rPr>
        <w:rFonts w:ascii="Symbol" w:hAnsi="Symbol" w:hint="default"/>
      </w:rPr>
    </w:lvl>
    <w:lvl w:ilvl="7" w:tplc="7BDAE0FC" w:tentative="1">
      <w:start w:val="1"/>
      <w:numFmt w:val="bullet"/>
      <w:lvlText w:val="o"/>
      <w:lvlJc w:val="left"/>
      <w:pPr>
        <w:ind w:left="5760" w:hanging="360"/>
      </w:pPr>
      <w:rPr>
        <w:rFonts w:ascii="Courier New" w:hAnsi="Courier New" w:cs="Courier New" w:hint="default"/>
      </w:rPr>
    </w:lvl>
    <w:lvl w:ilvl="8" w:tplc="DB280FF4" w:tentative="1">
      <w:start w:val="1"/>
      <w:numFmt w:val="bullet"/>
      <w:lvlText w:val=""/>
      <w:lvlJc w:val="left"/>
      <w:pPr>
        <w:ind w:left="6480" w:hanging="360"/>
      </w:pPr>
      <w:rPr>
        <w:rFonts w:ascii="Wingdings" w:hAnsi="Wingdings" w:hint="default"/>
      </w:rPr>
    </w:lvl>
  </w:abstractNum>
  <w:abstractNum w:abstractNumId="1" w15:restartNumberingAfterBreak="0">
    <w:nsid w:val="02011720"/>
    <w:multiLevelType w:val="hybridMultilevel"/>
    <w:tmpl w:val="CA70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41197"/>
    <w:multiLevelType w:val="multilevel"/>
    <w:tmpl w:val="544A05BC"/>
    <w:lvl w:ilvl="0">
      <w:start w:val="1"/>
      <w:numFmt w:val="decimal"/>
      <w:lvlText w:val="%1"/>
      <w:lvlJc w:val="left"/>
      <w:pPr>
        <w:ind w:left="360" w:hanging="36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454F43"/>
    <w:multiLevelType w:val="hybridMultilevel"/>
    <w:tmpl w:val="EE887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0325F"/>
    <w:multiLevelType w:val="hybridMultilevel"/>
    <w:tmpl w:val="43184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E0C07"/>
    <w:multiLevelType w:val="hybridMultilevel"/>
    <w:tmpl w:val="48CC3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8029BE"/>
    <w:multiLevelType w:val="hybridMultilevel"/>
    <w:tmpl w:val="26D65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B35C5E"/>
    <w:multiLevelType w:val="hybridMultilevel"/>
    <w:tmpl w:val="8C726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D198C"/>
    <w:multiLevelType w:val="hybridMultilevel"/>
    <w:tmpl w:val="6F4C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762D7"/>
    <w:multiLevelType w:val="hybridMultilevel"/>
    <w:tmpl w:val="517EC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B4B90"/>
    <w:multiLevelType w:val="hybridMultilevel"/>
    <w:tmpl w:val="20967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C66C89"/>
    <w:multiLevelType w:val="hybridMultilevel"/>
    <w:tmpl w:val="189216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F400F3"/>
    <w:multiLevelType w:val="hybridMultilevel"/>
    <w:tmpl w:val="1DC6B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84391"/>
    <w:multiLevelType w:val="hybridMultilevel"/>
    <w:tmpl w:val="B6C8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44BC3"/>
    <w:multiLevelType w:val="multilevel"/>
    <w:tmpl w:val="5DEEC5E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CB553E6"/>
    <w:multiLevelType w:val="hybridMultilevel"/>
    <w:tmpl w:val="B6789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9439B"/>
    <w:multiLevelType w:val="multilevel"/>
    <w:tmpl w:val="CAC232D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160310"/>
    <w:multiLevelType w:val="hybridMultilevel"/>
    <w:tmpl w:val="8C726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955FF"/>
    <w:multiLevelType w:val="hybridMultilevel"/>
    <w:tmpl w:val="E00C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523EC"/>
    <w:multiLevelType w:val="hybridMultilevel"/>
    <w:tmpl w:val="73F6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40D71"/>
    <w:multiLevelType w:val="hybridMultilevel"/>
    <w:tmpl w:val="ACC81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5184B"/>
    <w:multiLevelType w:val="hybridMultilevel"/>
    <w:tmpl w:val="38FEC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96010C"/>
    <w:multiLevelType w:val="hybridMultilevel"/>
    <w:tmpl w:val="C48606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D2DC4"/>
    <w:multiLevelType w:val="hybridMultilevel"/>
    <w:tmpl w:val="B4744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C52B0F"/>
    <w:multiLevelType w:val="hybridMultilevel"/>
    <w:tmpl w:val="40B839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065974"/>
    <w:multiLevelType w:val="hybridMultilevel"/>
    <w:tmpl w:val="0A76B120"/>
    <w:lvl w:ilvl="0" w:tplc="C9D0E026">
      <w:start w:val="1"/>
      <w:numFmt w:val="bullet"/>
      <w:lvlText w:val=""/>
      <w:lvlJc w:val="left"/>
      <w:pPr>
        <w:ind w:left="780" w:hanging="360"/>
      </w:pPr>
      <w:rPr>
        <w:rFonts w:ascii="Symbol" w:hAnsi="Symbol" w:hint="default"/>
      </w:rPr>
    </w:lvl>
    <w:lvl w:ilvl="1" w:tplc="B2BC4498" w:tentative="1">
      <w:start w:val="1"/>
      <w:numFmt w:val="bullet"/>
      <w:lvlText w:val="o"/>
      <w:lvlJc w:val="left"/>
      <w:pPr>
        <w:ind w:left="1500" w:hanging="360"/>
      </w:pPr>
      <w:rPr>
        <w:rFonts w:ascii="Courier New" w:hAnsi="Courier New" w:cs="Courier New" w:hint="default"/>
      </w:rPr>
    </w:lvl>
    <w:lvl w:ilvl="2" w:tplc="D4E4C328" w:tentative="1">
      <w:start w:val="1"/>
      <w:numFmt w:val="bullet"/>
      <w:lvlText w:val=""/>
      <w:lvlJc w:val="left"/>
      <w:pPr>
        <w:ind w:left="2220" w:hanging="360"/>
      </w:pPr>
      <w:rPr>
        <w:rFonts w:ascii="Wingdings" w:hAnsi="Wingdings" w:hint="default"/>
      </w:rPr>
    </w:lvl>
    <w:lvl w:ilvl="3" w:tplc="64BCE6A4" w:tentative="1">
      <w:start w:val="1"/>
      <w:numFmt w:val="bullet"/>
      <w:lvlText w:val=""/>
      <w:lvlJc w:val="left"/>
      <w:pPr>
        <w:ind w:left="2940" w:hanging="360"/>
      </w:pPr>
      <w:rPr>
        <w:rFonts w:ascii="Symbol" w:hAnsi="Symbol" w:hint="default"/>
      </w:rPr>
    </w:lvl>
    <w:lvl w:ilvl="4" w:tplc="C512D066" w:tentative="1">
      <w:start w:val="1"/>
      <w:numFmt w:val="bullet"/>
      <w:lvlText w:val="o"/>
      <w:lvlJc w:val="left"/>
      <w:pPr>
        <w:ind w:left="3660" w:hanging="360"/>
      </w:pPr>
      <w:rPr>
        <w:rFonts w:ascii="Courier New" w:hAnsi="Courier New" w:cs="Courier New" w:hint="default"/>
      </w:rPr>
    </w:lvl>
    <w:lvl w:ilvl="5" w:tplc="543A8868" w:tentative="1">
      <w:start w:val="1"/>
      <w:numFmt w:val="bullet"/>
      <w:lvlText w:val=""/>
      <w:lvlJc w:val="left"/>
      <w:pPr>
        <w:ind w:left="4380" w:hanging="360"/>
      </w:pPr>
      <w:rPr>
        <w:rFonts w:ascii="Wingdings" w:hAnsi="Wingdings" w:hint="default"/>
      </w:rPr>
    </w:lvl>
    <w:lvl w:ilvl="6" w:tplc="5E80E8EE" w:tentative="1">
      <w:start w:val="1"/>
      <w:numFmt w:val="bullet"/>
      <w:lvlText w:val=""/>
      <w:lvlJc w:val="left"/>
      <w:pPr>
        <w:ind w:left="5100" w:hanging="360"/>
      </w:pPr>
      <w:rPr>
        <w:rFonts w:ascii="Symbol" w:hAnsi="Symbol" w:hint="default"/>
      </w:rPr>
    </w:lvl>
    <w:lvl w:ilvl="7" w:tplc="79FC4416" w:tentative="1">
      <w:start w:val="1"/>
      <w:numFmt w:val="bullet"/>
      <w:lvlText w:val="o"/>
      <w:lvlJc w:val="left"/>
      <w:pPr>
        <w:ind w:left="5820" w:hanging="360"/>
      </w:pPr>
      <w:rPr>
        <w:rFonts w:ascii="Courier New" w:hAnsi="Courier New" w:cs="Courier New" w:hint="default"/>
      </w:rPr>
    </w:lvl>
    <w:lvl w:ilvl="8" w:tplc="824ACD18" w:tentative="1">
      <w:start w:val="1"/>
      <w:numFmt w:val="bullet"/>
      <w:lvlText w:val=""/>
      <w:lvlJc w:val="left"/>
      <w:pPr>
        <w:ind w:left="6540" w:hanging="360"/>
      </w:pPr>
      <w:rPr>
        <w:rFonts w:ascii="Wingdings" w:hAnsi="Wingdings" w:hint="default"/>
      </w:rPr>
    </w:lvl>
  </w:abstractNum>
  <w:abstractNum w:abstractNumId="26" w15:restartNumberingAfterBreak="0">
    <w:nsid w:val="54197999"/>
    <w:multiLevelType w:val="hybridMultilevel"/>
    <w:tmpl w:val="8C726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514C8"/>
    <w:multiLevelType w:val="hybridMultilevel"/>
    <w:tmpl w:val="D21037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DE792A"/>
    <w:multiLevelType w:val="hybridMultilevel"/>
    <w:tmpl w:val="2E5E10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3D660A"/>
    <w:multiLevelType w:val="multilevel"/>
    <w:tmpl w:val="BBE82AB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B377A5"/>
    <w:multiLevelType w:val="hybridMultilevel"/>
    <w:tmpl w:val="248EA05A"/>
    <w:lvl w:ilvl="0" w:tplc="21426A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14E85"/>
    <w:multiLevelType w:val="hybridMultilevel"/>
    <w:tmpl w:val="18584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90299"/>
    <w:multiLevelType w:val="multilevel"/>
    <w:tmpl w:val="50289982"/>
    <w:lvl w:ilvl="0">
      <w:start w:val="4"/>
      <w:numFmt w:val="decimal"/>
      <w:lvlText w:val="%1"/>
      <w:lvlJc w:val="left"/>
      <w:pPr>
        <w:ind w:left="480" w:hanging="480"/>
      </w:pPr>
      <w:rPr>
        <w:rFonts w:eastAsiaTheme="minorEastAsia" w:cstheme="minorBidi" w:hint="default"/>
        <w:b w:val="0"/>
      </w:rPr>
    </w:lvl>
    <w:lvl w:ilvl="1">
      <w:start w:val="4"/>
      <w:numFmt w:val="decimal"/>
      <w:lvlText w:val="%1.%2"/>
      <w:lvlJc w:val="left"/>
      <w:pPr>
        <w:ind w:left="660" w:hanging="480"/>
      </w:pPr>
      <w:rPr>
        <w:rFonts w:eastAsiaTheme="minorEastAsia" w:cstheme="minorBidi" w:hint="default"/>
        <w:b/>
      </w:rPr>
    </w:lvl>
    <w:lvl w:ilvl="2">
      <w:start w:val="1"/>
      <w:numFmt w:val="decimal"/>
      <w:lvlText w:val="%1.%2.%3"/>
      <w:lvlJc w:val="left"/>
      <w:pPr>
        <w:ind w:left="720" w:hanging="720"/>
      </w:pPr>
      <w:rPr>
        <w:rFonts w:eastAsiaTheme="minorEastAsia" w:cstheme="minorBidi" w:hint="default"/>
        <w:b/>
      </w:rPr>
    </w:lvl>
    <w:lvl w:ilvl="3">
      <w:start w:val="1"/>
      <w:numFmt w:val="decimal"/>
      <w:lvlText w:val="%1.%2.%3.%4"/>
      <w:lvlJc w:val="left"/>
      <w:pPr>
        <w:ind w:left="720" w:hanging="720"/>
      </w:pPr>
      <w:rPr>
        <w:rFonts w:eastAsiaTheme="minorEastAsia" w:cstheme="minorBidi" w:hint="default"/>
        <w:b/>
      </w:rPr>
    </w:lvl>
    <w:lvl w:ilvl="4">
      <w:start w:val="1"/>
      <w:numFmt w:val="decimal"/>
      <w:lvlText w:val="%1.%2.%3.%4.%5"/>
      <w:lvlJc w:val="left"/>
      <w:pPr>
        <w:ind w:left="1080" w:hanging="1080"/>
      </w:pPr>
      <w:rPr>
        <w:rFonts w:eastAsiaTheme="minorEastAsia" w:cstheme="minorBidi" w:hint="default"/>
        <w:b w:val="0"/>
      </w:rPr>
    </w:lvl>
    <w:lvl w:ilvl="5">
      <w:start w:val="1"/>
      <w:numFmt w:val="decimal"/>
      <w:lvlText w:val="%1.%2.%3.%4.%5.%6"/>
      <w:lvlJc w:val="left"/>
      <w:pPr>
        <w:ind w:left="1080" w:hanging="1080"/>
      </w:pPr>
      <w:rPr>
        <w:rFonts w:eastAsiaTheme="minorEastAsia" w:cstheme="minorBidi" w:hint="default"/>
        <w:b w:val="0"/>
      </w:rPr>
    </w:lvl>
    <w:lvl w:ilvl="6">
      <w:start w:val="1"/>
      <w:numFmt w:val="decimal"/>
      <w:lvlText w:val="%1.%2.%3.%4.%5.%6.%7"/>
      <w:lvlJc w:val="left"/>
      <w:pPr>
        <w:ind w:left="1440" w:hanging="1440"/>
      </w:pPr>
      <w:rPr>
        <w:rFonts w:eastAsiaTheme="minorEastAsia" w:cstheme="minorBidi" w:hint="default"/>
        <w:b w:val="0"/>
      </w:rPr>
    </w:lvl>
    <w:lvl w:ilvl="7">
      <w:start w:val="1"/>
      <w:numFmt w:val="decimal"/>
      <w:lvlText w:val="%1.%2.%3.%4.%5.%6.%7.%8"/>
      <w:lvlJc w:val="left"/>
      <w:pPr>
        <w:ind w:left="1440" w:hanging="1440"/>
      </w:pPr>
      <w:rPr>
        <w:rFonts w:eastAsiaTheme="minorEastAsia" w:cstheme="minorBidi" w:hint="default"/>
        <w:b w:val="0"/>
      </w:rPr>
    </w:lvl>
    <w:lvl w:ilvl="8">
      <w:start w:val="1"/>
      <w:numFmt w:val="decimal"/>
      <w:lvlText w:val="%1.%2.%3.%4.%5.%6.%7.%8.%9"/>
      <w:lvlJc w:val="left"/>
      <w:pPr>
        <w:ind w:left="1800" w:hanging="1800"/>
      </w:pPr>
      <w:rPr>
        <w:rFonts w:eastAsiaTheme="minorEastAsia" w:cstheme="minorBidi" w:hint="default"/>
        <w:b w:val="0"/>
      </w:rPr>
    </w:lvl>
  </w:abstractNum>
  <w:abstractNum w:abstractNumId="33" w15:restartNumberingAfterBreak="0">
    <w:nsid w:val="63D64DDA"/>
    <w:multiLevelType w:val="hybridMultilevel"/>
    <w:tmpl w:val="E8F21C46"/>
    <w:lvl w:ilvl="0" w:tplc="28824D36">
      <w:start w:val="1"/>
      <w:numFmt w:val="bullet"/>
      <w:lvlText w:val=""/>
      <w:lvlJc w:val="left"/>
      <w:pPr>
        <w:ind w:left="720" w:hanging="360"/>
      </w:pPr>
      <w:rPr>
        <w:rFonts w:ascii="Symbol" w:hAnsi="Symbol" w:hint="default"/>
      </w:rPr>
    </w:lvl>
    <w:lvl w:ilvl="1" w:tplc="8F4498EC" w:tentative="1">
      <w:start w:val="1"/>
      <w:numFmt w:val="bullet"/>
      <w:lvlText w:val="o"/>
      <w:lvlJc w:val="left"/>
      <w:pPr>
        <w:ind w:left="1440" w:hanging="360"/>
      </w:pPr>
      <w:rPr>
        <w:rFonts w:ascii="Courier New" w:hAnsi="Courier New" w:cs="Courier New" w:hint="default"/>
      </w:rPr>
    </w:lvl>
    <w:lvl w:ilvl="2" w:tplc="037E457A" w:tentative="1">
      <w:start w:val="1"/>
      <w:numFmt w:val="bullet"/>
      <w:lvlText w:val=""/>
      <w:lvlJc w:val="left"/>
      <w:pPr>
        <w:ind w:left="2160" w:hanging="360"/>
      </w:pPr>
      <w:rPr>
        <w:rFonts w:ascii="Wingdings" w:hAnsi="Wingdings" w:hint="default"/>
      </w:rPr>
    </w:lvl>
    <w:lvl w:ilvl="3" w:tplc="DB4470B8" w:tentative="1">
      <w:start w:val="1"/>
      <w:numFmt w:val="bullet"/>
      <w:lvlText w:val=""/>
      <w:lvlJc w:val="left"/>
      <w:pPr>
        <w:ind w:left="2880" w:hanging="360"/>
      </w:pPr>
      <w:rPr>
        <w:rFonts w:ascii="Symbol" w:hAnsi="Symbol" w:hint="default"/>
      </w:rPr>
    </w:lvl>
    <w:lvl w:ilvl="4" w:tplc="A6FC8A38" w:tentative="1">
      <w:start w:val="1"/>
      <w:numFmt w:val="bullet"/>
      <w:lvlText w:val="o"/>
      <w:lvlJc w:val="left"/>
      <w:pPr>
        <w:ind w:left="3600" w:hanging="360"/>
      </w:pPr>
      <w:rPr>
        <w:rFonts w:ascii="Courier New" w:hAnsi="Courier New" w:cs="Courier New" w:hint="default"/>
      </w:rPr>
    </w:lvl>
    <w:lvl w:ilvl="5" w:tplc="2216EEE8" w:tentative="1">
      <w:start w:val="1"/>
      <w:numFmt w:val="bullet"/>
      <w:lvlText w:val=""/>
      <w:lvlJc w:val="left"/>
      <w:pPr>
        <w:ind w:left="4320" w:hanging="360"/>
      </w:pPr>
      <w:rPr>
        <w:rFonts w:ascii="Wingdings" w:hAnsi="Wingdings" w:hint="default"/>
      </w:rPr>
    </w:lvl>
    <w:lvl w:ilvl="6" w:tplc="CF8CBC34" w:tentative="1">
      <w:start w:val="1"/>
      <w:numFmt w:val="bullet"/>
      <w:lvlText w:val=""/>
      <w:lvlJc w:val="left"/>
      <w:pPr>
        <w:ind w:left="5040" w:hanging="360"/>
      </w:pPr>
      <w:rPr>
        <w:rFonts w:ascii="Symbol" w:hAnsi="Symbol" w:hint="default"/>
      </w:rPr>
    </w:lvl>
    <w:lvl w:ilvl="7" w:tplc="AF1E847A" w:tentative="1">
      <w:start w:val="1"/>
      <w:numFmt w:val="bullet"/>
      <w:lvlText w:val="o"/>
      <w:lvlJc w:val="left"/>
      <w:pPr>
        <w:ind w:left="5760" w:hanging="360"/>
      </w:pPr>
      <w:rPr>
        <w:rFonts w:ascii="Courier New" w:hAnsi="Courier New" w:cs="Courier New" w:hint="default"/>
      </w:rPr>
    </w:lvl>
    <w:lvl w:ilvl="8" w:tplc="B5A2AAF8" w:tentative="1">
      <w:start w:val="1"/>
      <w:numFmt w:val="bullet"/>
      <w:lvlText w:val=""/>
      <w:lvlJc w:val="left"/>
      <w:pPr>
        <w:ind w:left="6480" w:hanging="360"/>
      </w:pPr>
      <w:rPr>
        <w:rFonts w:ascii="Wingdings" w:hAnsi="Wingdings" w:hint="default"/>
      </w:rPr>
    </w:lvl>
  </w:abstractNum>
  <w:abstractNum w:abstractNumId="34" w15:restartNumberingAfterBreak="0">
    <w:nsid w:val="72311902"/>
    <w:multiLevelType w:val="hybridMultilevel"/>
    <w:tmpl w:val="08BE9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7409E"/>
    <w:multiLevelType w:val="hybridMultilevel"/>
    <w:tmpl w:val="400439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60319">
    <w:abstractNumId w:val="7"/>
  </w:num>
  <w:num w:numId="2" w16cid:durableId="424423323">
    <w:abstractNumId w:val="0"/>
  </w:num>
  <w:num w:numId="3" w16cid:durableId="1860969521">
    <w:abstractNumId w:val="18"/>
  </w:num>
  <w:num w:numId="4" w16cid:durableId="1273514042">
    <w:abstractNumId w:val="10"/>
  </w:num>
  <w:num w:numId="5" w16cid:durableId="1053384602">
    <w:abstractNumId w:val="32"/>
  </w:num>
  <w:num w:numId="6" w16cid:durableId="332296718">
    <w:abstractNumId w:val="2"/>
  </w:num>
  <w:num w:numId="7" w16cid:durableId="1055474267">
    <w:abstractNumId w:val="35"/>
  </w:num>
  <w:num w:numId="8" w16cid:durableId="1430351382">
    <w:abstractNumId w:val="20"/>
  </w:num>
  <w:num w:numId="9" w16cid:durableId="1868517414">
    <w:abstractNumId w:val="34"/>
  </w:num>
  <w:num w:numId="10" w16cid:durableId="1136531796">
    <w:abstractNumId w:val="31"/>
  </w:num>
  <w:num w:numId="11" w16cid:durableId="167866200">
    <w:abstractNumId w:val="22"/>
  </w:num>
  <w:num w:numId="12" w16cid:durableId="1631932530">
    <w:abstractNumId w:val="12"/>
  </w:num>
  <w:num w:numId="13" w16cid:durableId="1994674535">
    <w:abstractNumId w:val="15"/>
  </w:num>
  <w:num w:numId="14" w16cid:durableId="1530297741">
    <w:abstractNumId w:val="13"/>
  </w:num>
  <w:num w:numId="15" w16cid:durableId="1675499026">
    <w:abstractNumId w:val="16"/>
  </w:num>
  <w:num w:numId="16" w16cid:durableId="530991374">
    <w:abstractNumId w:val="14"/>
  </w:num>
  <w:num w:numId="17" w16cid:durableId="1310935564">
    <w:abstractNumId w:val="29"/>
  </w:num>
  <w:num w:numId="18" w16cid:durableId="877663136">
    <w:abstractNumId w:val="8"/>
  </w:num>
  <w:num w:numId="19" w16cid:durableId="1264143745">
    <w:abstractNumId w:val="6"/>
  </w:num>
  <w:num w:numId="20" w16cid:durableId="590282939">
    <w:abstractNumId w:val="3"/>
  </w:num>
  <w:num w:numId="21" w16cid:durableId="1833107803">
    <w:abstractNumId w:val="28"/>
  </w:num>
  <w:num w:numId="22" w16cid:durableId="1639603693">
    <w:abstractNumId w:val="11"/>
  </w:num>
  <w:num w:numId="23" w16cid:durableId="136917941">
    <w:abstractNumId w:val="21"/>
  </w:num>
  <w:num w:numId="24" w16cid:durableId="1275089596">
    <w:abstractNumId w:val="24"/>
  </w:num>
  <w:num w:numId="25" w16cid:durableId="845821907">
    <w:abstractNumId w:val="23"/>
  </w:num>
  <w:num w:numId="26" w16cid:durableId="67656633">
    <w:abstractNumId w:val="5"/>
  </w:num>
  <w:num w:numId="27" w16cid:durableId="586698683">
    <w:abstractNumId w:val="30"/>
  </w:num>
  <w:num w:numId="28" w16cid:durableId="711732214">
    <w:abstractNumId w:val="19"/>
  </w:num>
  <w:num w:numId="29" w16cid:durableId="1138760932">
    <w:abstractNumId w:val="25"/>
  </w:num>
  <w:num w:numId="30" w16cid:durableId="1162700786">
    <w:abstractNumId w:val="33"/>
  </w:num>
  <w:num w:numId="31" w16cid:durableId="971138387">
    <w:abstractNumId w:val="27"/>
  </w:num>
  <w:num w:numId="32" w16cid:durableId="760830373">
    <w:abstractNumId w:val="17"/>
  </w:num>
  <w:num w:numId="33" w16cid:durableId="1689991464">
    <w:abstractNumId w:val="26"/>
  </w:num>
  <w:num w:numId="34" w16cid:durableId="1303266060">
    <w:abstractNumId w:val="9"/>
  </w:num>
  <w:num w:numId="35" w16cid:durableId="808474840">
    <w:abstractNumId w:val="1"/>
  </w:num>
  <w:num w:numId="36" w16cid:durableId="99657135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9D7"/>
    <w:rsid w:val="00002FFD"/>
    <w:rsid w:val="00011955"/>
    <w:rsid w:val="00061CFF"/>
    <w:rsid w:val="000837A5"/>
    <w:rsid w:val="000B5484"/>
    <w:rsid w:val="000C5AB4"/>
    <w:rsid w:val="000F25E3"/>
    <w:rsid w:val="00127408"/>
    <w:rsid w:val="00147389"/>
    <w:rsid w:val="00152984"/>
    <w:rsid w:val="001857C2"/>
    <w:rsid w:val="001A7039"/>
    <w:rsid w:val="001A764A"/>
    <w:rsid w:val="001B056F"/>
    <w:rsid w:val="001B1FC5"/>
    <w:rsid w:val="001B4B39"/>
    <w:rsid w:val="001B6039"/>
    <w:rsid w:val="00205D5F"/>
    <w:rsid w:val="0031335E"/>
    <w:rsid w:val="00331397"/>
    <w:rsid w:val="003369C7"/>
    <w:rsid w:val="00356E2E"/>
    <w:rsid w:val="00365131"/>
    <w:rsid w:val="003E5FFA"/>
    <w:rsid w:val="004311D7"/>
    <w:rsid w:val="00450641"/>
    <w:rsid w:val="00495B3A"/>
    <w:rsid w:val="00497922"/>
    <w:rsid w:val="0053495D"/>
    <w:rsid w:val="00591157"/>
    <w:rsid w:val="005C5B3E"/>
    <w:rsid w:val="005C65D7"/>
    <w:rsid w:val="005F6F24"/>
    <w:rsid w:val="00614FEA"/>
    <w:rsid w:val="006655A7"/>
    <w:rsid w:val="006870B7"/>
    <w:rsid w:val="006913DD"/>
    <w:rsid w:val="006B1DF8"/>
    <w:rsid w:val="006D75E2"/>
    <w:rsid w:val="006F0FD4"/>
    <w:rsid w:val="0070657F"/>
    <w:rsid w:val="007107A9"/>
    <w:rsid w:val="007377B5"/>
    <w:rsid w:val="00773FBE"/>
    <w:rsid w:val="00775D7F"/>
    <w:rsid w:val="00777B3F"/>
    <w:rsid w:val="007A6179"/>
    <w:rsid w:val="007B0D76"/>
    <w:rsid w:val="00804B25"/>
    <w:rsid w:val="008106F2"/>
    <w:rsid w:val="00846E63"/>
    <w:rsid w:val="00876655"/>
    <w:rsid w:val="008906FB"/>
    <w:rsid w:val="008A6FFE"/>
    <w:rsid w:val="008B1614"/>
    <w:rsid w:val="008C175B"/>
    <w:rsid w:val="008C1968"/>
    <w:rsid w:val="008E59D7"/>
    <w:rsid w:val="008F716D"/>
    <w:rsid w:val="00903C40"/>
    <w:rsid w:val="0095509C"/>
    <w:rsid w:val="0099023F"/>
    <w:rsid w:val="009B66DE"/>
    <w:rsid w:val="009D48CB"/>
    <w:rsid w:val="009E1B16"/>
    <w:rsid w:val="009F3AD5"/>
    <w:rsid w:val="00A32B1C"/>
    <w:rsid w:val="00A47531"/>
    <w:rsid w:val="00A519D8"/>
    <w:rsid w:val="00AA3FA4"/>
    <w:rsid w:val="00AC7EFB"/>
    <w:rsid w:val="00AD15D4"/>
    <w:rsid w:val="00AF7BF6"/>
    <w:rsid w:val="00B1318B"/>
    <w:rsid w:val="00B3174D"/>
    <w:rsid w:val="00B37DAF"/>
    <w:rsid w:val="00B51BED"/>
    <w:rsid w:val="00BB6A74"/>
    <w:rsid w:val="00C1127B"/>
    <w:rsid w:val="00C3256A"/>
    <w:rsid w:val="00C64591"/>
    <w:rsid w:val="00C87FD8"/>
    <w:rsid w:val="00CB7DEA"/>
    <w:rsid w:val="00CE2D80"/>
    <w:rsid w:val="00D45E39"/>
    <w:rsid w:val="00D47EB5"/>
    <w:rsid w:val="00D54920"/>
    <w:rsid w:val="00D65C0F"/>
    <w:rsid w:val="00D744DD"/>
    <w:rsid w:val="00D809CE"/>
    <w:rsid w:val="00D82F95"/>
    <w:rsid w:val="00DA273E"/>
    <w:rsid w:val="00DD09AE"/>
    <w:rsid w:val="00E114C0"/>
    <w:rsid w:val="00E21EBF"/>
    <w:rsid w:val="00E24893"/>
    <w:rsid w:val="00E27F4F"/>
    <w:rsid w:val="00E35951"/>
    <w:rsid w:val="00E36F98"/>
    <w:rsid w:val="00E70927"/>
    <w:rsid w:val="00ED2728"/>
    <w:rsid w:val="00ED5E00"/>
    <w:rsid w:val="00F32C68"/>
    <w:rsid w:val="00F426D5"/>
    <w:rsid w:val="00F43F91"/>
    <w:rsid w:val="00F95FFD"/>
    <w:rsid w:val="00FD0B53"/>
    <w:rsid w:val="00FD1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E89FE"/>
  <w15:chartTrackingRefBased/>
  <w15:docId w15:val="{B32862DC-9E4D-4414-92D1-4E7C61BE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4DD"/>
  </w:style>
  <w:style w:type="paragraph" w:styleId="Heading1">
    <w:name w:val="heading 1"/>
    <w:basedOn w:val="Normal"/>
    <w:next w:val="Normal"/>
    <w:link w:val="Heading1Char"/>
    <w:autoRedefine/>
    <w:uiPriority w:val="9"/>
    <w:qFormat/>
    <w:rsid w:val="008906FB"/>
    <w:pPr>
      <w:keepNext/>
      <w:keepLines/>
      <w:spacing w:before="240" w:after="0"/>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uiPriority w:val="9"/>
    <w:unhideWhenUsed/>
    <w:qFormat/>
    <w:rsid w:val="00E35951"/>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8E59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70657F"/>
    <w:pPr>
      <w:keepNext/>
      <w:keepLines/>
      <w:spacing w:before="40" w:after="0" w:line="480" w:lineRule="auto"/>
      <w:jc w:val="both"/>
      <w:outlineLvl w:val="4"/>
    </w:pPr>
    <w:rPr>
      <w:rFonts w:asciiTheme="majorHAnsi" w:eastAsiaTheme="majorEastAsia" w:hAnsiTheme="majorHAnsi" w:cstheme="majorBidi"/>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6FB"/>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E3595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E59D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8E59D7"/>
    <w:pPr>
      <w:spacing w:after="0" w:line="240" w:lineRule="auto"/>
      <w:ind w:left="720"/>
      <w:contextualSpacing/>
    </w:pPr>
    <w:rPr>
      <w:rFonts w:ascii="Century Gothic" w:eastAsia="Times New Roman" w:hAnsi="Century Gothic" w:cs="Times New Roman"/>
      <w:sz w:val="24"/>
      <w:szCs w:val="24"/>
      <w:lang w:val="en-GB" w:eastAsia="en-GB"/>
    </w:rPr>
  </w:style>
  <w:style w:type="character" w:customStyle="1" w:styleId="ListParagraphChar">
    <w:name w:val="List Paragraph Char"/>
    <w:link w:val="ListParagraph"/>
    <w:uiPriority w:val="34"/>
    <w:rsid w:val="008E59D7"/>
    <w:rPr>
      <w:rFonts w:ascii="Century Gothic" w:eastAsia="Times New Roman" w:hAnsi="Century Gothic" w:cs="Times New Roman"/>
      <w:sz w:val="24"/>
      <w:szCs w:val="24"/>
      <w:lang w:val="en-GB" w:eastAsia="en-GB"/>
    </w:rPr>
  </w:style>
  <w:style w:type="paragraph" w:styleId="NormalWeb">
    <w:name w:val="Normal (Web)"/>
    <w:basedOn w:val="Normal"/>
    <w:uiPriority w:val="99"/>
    <w:unhideWhenUsed/>
    <w:rsid w:val="008E59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426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F42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426D5"/>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426D5"/>
    <w:rPr>
      <w:b/>
      <w:bCs/>
    </w:rPr>
  </w:style>
  <w:style w:type="character" w:styleId="Emphasis">
    <w:name w:val="Emphasis"/>
    <w:basedOn w:val="DefaultParagraphFont"/>
    <w:uiPriority w:val="20"/>
    <w:qFormat/>
    <w:rsid w:val="0070657F"/>
    <w:rPr>
      <w:i/>
      <w:iCs/>
    </w:rPr>
  </w:style>
  <w:style w:type="character" w:customStyle="1" w:styleId="Heading5Char">
    <w:name w:val="Heading 5 Char"/>
    <w:basedOn w:val="DefaultParagraphFont"/>
    <w:link w:val="Heading5"/>
    <w:uiPriority w:val="9"/>
    <w:semiHidden/>
    <w:rsid w:val="0070657F"/>
    <w:rPr>
      <w:rFonts w:asciiTheme="majorHAnsi" w:eastAsiaTheme="majorEastAsia" w:hAnsiTheme="majorHAnsi" w:cstheme="majorBidi"/>
      <w:color w:val="2E74B5" w:themeColor="accent1" w:themeShade="BF"/>
      <w:sz w:val="24"/>
    </w:rPr>
  </w:style>
  <w:style w:type="character" w:styleId="Hyperlink">
    <w:name w:val="Hyperlink"/>
    <w:basedOn w:val="DefaultParagraphFont"/>
    <w:uiPriority w:val="99"/>
    <w:unhideWhenUsed/>
    <w:rsid w:val="0070657F"/>
    <w:rPr>
      <w:color w:val="0563C1" w:themeColor="hyperlink"/>
      <w:u w:val="single"/>
    </w:rPr>
  </w:style>
  <w:style w:type="paragraph" w:styleId="BodyText">
    <w:name w:val="Body Text"/>
    <w:basedOn w:val="Normal"/>
    <w:link w:val="BodyTextChar"/>
    <w:uiPriority w:val="1"/>
    <w:qFormat/>
    <w:rsid w:val="0070657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0657F"/>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0657F"/>
    <w:pPr>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70657F"/>
    <w:pPr>
      <w:spacing w:after="100"/>
    </w:pPr>
  </w:style>
  <w:style w:type="paragraph" w:styleId="TOC2">
    <w:name w:val="toc 2"/>
    <w:basedOn w:val="Normal"/>
    <w:next w:val="Normal"/>
    <w:autoRedefine/>
    <w:uiPriority w:val="39"/>
    <w:unhideWhenUsed/>
    <w:rsid w:val="0070657F"/>
    <w:pPr>
      <w:spacing w:after="100"/>
      <w:ind w:left="220"/>
    </w:pPr>
  </w:style>
  <w:style w:type="paragraph" w:styleId="Header">
    <w:name w:val="header"/>
    <w:basedOn w:val="Normal"/>
    <w:link w:val="HeaderChar"/>
    <w:uiPriority w:val="99"/>
    <w:unhideWhenUsed/>
    <w:rsid w:val="00706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57F"/>
  </w:style>
  <w:style w:type="paragraph" w:styleId="Footer">
    <w:name w:val="footer"/>
    <w:basedOn w:val="Normal"/>
    <w:link w:val="FooterChar"/>
    <w:uiPriority w:val="99"/>
    <w:unhideWhenUsed/>
    <w:rsid w:val="00706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57F"/>
  </w:style>
  <w:style w:type="paragraph" w:styleId="TOC3">
    <w:name w:val="toc 3"/>
    <w:basedOn w:val="Normal"/>
    <w:next w:val="Normal"/>
    <w:autoRedefine/>
    <w:uiPriority w:val="39"/>
    <w:unhideWhenUsed/>
    <w:rsid w:val="0070657F"/>
    <w:pPr>
      <w:spacing w:after="100"/>
      <w:ind w:left="440"/>
    </w:pPr>
  </w:style>
  <w:style w:type="character" w:customStyle="1" w:styleId="a">
    <w:name w:val="_"/>
    <w:basedOn w:val="DefaultParagraphFont"/>
    <w:rsid w:val="0070657F"/>
  </w:style>
  <w:style w:type="character" w:customStyle="1" w:styleId="ls76">
    <w:name w:val="ls76"/>
    <w:basedOn w:val="DefaultParagraphFont"/>
    <w:rsid w:val="0070657F"/>
  </w:style>
  <w:style w:type="character" w:customStyle="1" w:styleId="ls77">
    <w:name w:val="ls77"/>
    <w:basedOn w:val="DefaultParagraphFont"/>
    <w:rsid w:val="0070657F"/>
  </w:style>
  <w:style w:type="character" w:customStyle="1" w:styleId="ls4">
    <w:name w:val="ls4"/>
    <w:basedOn w:val="DefaultParagraphFont"/>
    <w:rsid w:val="0070657F"/>
  </w:style>
  <w:style w:type="character" w:customStyle="1" w:styleId="ls5">
    <w:name w:val="ls5"/>
    <w:basedOn w:val="DefaultParagraphFont"/>
    <w:rsid w:val="0070657F"/>
  </w:style>
  <w:style w:type="character" w:customStyle="1" w:styleId="ls3">
    <w:name w:val="ls3"/>
    <w:basedOn w:val="DefaultParagraphFont"/>
    <w:rsid w:val="0070657F"/>
  </w:style>
  <w:style w:type="paragraph" w:styleId="Caption">
    <w:name w:val="caption"/>
    <w:basedOn w:val="Normal"/>
    <w:next w:val="Normal"/>
    <w:uiPriority w:val="35"/>
    <w:unhideWhenUsed/>
    <w:qFormat/>
    <w:rsid w:val="0070657F"/>
    <w:pPr>
      <w:overflowPunct w:val="0"/>
      <w:spacing w:after="200" w:line="276" w:lineRule="auto"/>
    </w:pPr>
    <w:rPr>
      <w:rFonts w:ascii="Calibri" w:eastAsia="Calibri" w:hAnsi="Calibri" w:cs="SimSun"/>
      <w:b/>
      <w:bCs/>
      <w:color w:val="00000A"/>
      <w:sz w:val="20"/>
      <w:szCs w:val="20"/>
    </w:rPr>
  </w:style>
  <w:style w:type="paragraph" w:styleId="NoSpacing">
    <w:name w:val="No Spacing"/>
    <w:link w:val="NoSpacingChar"/>
    <w:uiPriority w:val="1"/>
    <w:qFormat/>
    <w:rsid w:val="0070657F"/>
    <w:pPr>
      <w:spacing w:after="0" w:line="240" w:lineRule="auto"/>
    </w:pPr>
  </w:style>
  <w:style w:type="character" w:customStyle="1" w:styleId="NoSpacingChar">
    <w:name w:val="No Spacing Char"/>
    <w:basedOn w:val="DefaultParagraphFont"/>
    <w:link w:val="NoSpacing"/>
    <w:uiPriority w:val="1"/>
    <w:rsid w:val="0070657F"/>
  </w:style>
  <w:style w:type="character" w:customStyle="1" w:styleId="CommentTextChar">
    <w:name w:val="Comment Text Char"/>
    <w:basedOn w:val="DefaultParagraphFont"/>
    <w:link w:val="CommentText"/>
    <w:uiPriority w:val="99"/>
    <w:semiHidden/>
    <w:rsid w:val="0070657F"/>
    <w:rPr>
      <w:sz w:val="20"/>
      <w:szCs w:val="20"/>
    </w:rPr>
  </w:style>
  <w:style w:type="paragraph" w:styleId="CommentText">
    <w:name w:val="annotation text"/>
    <w:basedOn w:val="Normal"/>
    <w:link w:val="CommentTextChar"/>
    <w:uiPriority w:val="99"/>
    <w:semiHidden/>
    <w:unhideWhenUsed/>
    <w:rsid w:val="0070657F"/>
    <w:pPr>
      <w:spacing w:line="240" w:lineRule="auto"/>
    </w:pPr>
    <w:rPr>
      <w:sz w:val="20"/>
      <w:szCs w:val="20"/>
    </w:rPr>
  </w:style>
  <w:style w:type="character" w:customStyle="1" w:styleId="CommentSubjectChar">
    <w:name w:val="Comment Subject Char"/>
    <w:basedOn w:val="CommentTextChar"/>
    <w:link w:val="CommentSubject"/>
    <w:uiPriority w:val="99"/>
    <w:semiHidden/>
    <w:rsid w:val="0070657F"/>
    <w:rPr>
      <w:b/>
      <w:bCs/>
      <w:sz w:val="20"/>
      <w:szCs w:val="20"/>
    </w:rPr>
  </w:style>
  <w:style w:type="paragraph" w:styleId="CommentSubject">
    <w:name w:val="annotation subject"/>
    <w:basedOn w:val="CommentText"/>
    <w:next w:val="CommentText"/>
    <w:link w:val="CommentSubjectChar"/>
    <w:uiPriority w:val="99"/>
    <w:semiHidden/>
    <w:unhideWhenUsed/>
    <w:rsid w:val="0070657F"/>
    <w:rPr>
      <w:b/>
      <w:bCs/>
    </w:rPr>
  </w:style>
  <w:style w:type="character" w:customStyle="1" w:styleId="BalloonTextChar">
    <w:name w:val="Balloon Text Char"/>
    <w:basedOn w:val="DefaultParagraphFont"/>
    <w:link w:val="BalloonText"/>
    <w:uiPriority w:val="99"/>
    <w:semiHidden/>
    <w:rsid w:val="0070657F"/>
    <w:rPr>
      <w:rFonts w:ascii="Segoe UI" w:hAnsi="Segoe UI" w:cs="Segoe UI"/>
      <w:sz w:val="18"/>
      <w:szCs w:val="18"/>
    </w:rPr>
  </w:style>
  <w:style w:type="paragraph" w:styleId="BalloonText">
    <w:name w:val="Balloon Text"/>
    <w:basedOn w:val="Normal"/>
    <w:link w:val="BalloonTextChar"/>
    <w:uiPriority w:val="99"/>
    <w:semiHidden/>
    <w:unhideWhenUsed/>
    <w:rsid w:val="0070657F"/>
    <w:pPr>
      <w:spacing w:after="0" w:line="240" w:lineRule="auto"/>
    </w:pPr>
    <w:rPr>
      <w:rFonts w:ascii="Segoe UI" w:hAnsi="Segoe UI" w:cs="Segoe UI"/>
      <w:sz w:val="18"/>
      <w:szCs w:val="18"/>
    </w:rPr>
  </w:style>
  <w:style w:type="character" w:styleId="FollowedHyperlink">
    <w:name w:val="FollowedHyperlink"/>
    <w:basedOn w:val="DefaultParagraphFont"/>
    <w:uiPriority w:val="99"/>
    <w:semiHidden/>
    <w:unhideWhenUsed/>
    <w:rsid w:val="0070657F"/>
    <w:rPr>
      <w:color w:val="954F72" w:themeColor="followedHyperlink"/>
      <w:u w:val="single"/>
    </w:rPr>
  </w:style>
  <w:style w:type="paragraph" w:styleId="TOC4">
    <w:name w:val="toc 4"/>
    <w:basedOn w:val="Normal"/>
    <w:next w:val="Normal"/>
    <w:autoRedefine/>
    <w:uiPriority w:val="39"/>
    <w:unhideWhenUsed/>
    <w:rsid w:val="0070657F"/>
    <w:pPr>
      <w:spacing w:after="100"/>
      <w:ind w:left="660"/>
    </w:pPr>
    <w:rPr>
      <w:rFonts w:eastAsiaTheme="minorEastAsia"/>
    </w:rPr>
  </w:style>
  <w:style w:type="paragraph" w:styleId="TOC5">
    <w:name w:val="toc 5"/>
    <w:basedOn w:val="Normal"/>
    <w:next w:val="Normal"/>
    <w:autoRedefine/>
    <w:uiPriority w:val="39"/>
    <w:unhideWhenUsed/>
    <w:rsid w:val="0070657F"/>
    <w:pPr>
      <w:spacing w:after="100"/>
      <w:ind w:left="880"/>
    </w:pPr>
    <w:rPr>
      <w:rFonts w:eastAsiaTheme="minorEastAsia"/>
    </w:rPr>
  </w:style>
  <w:style w:type="paragraph" w:styleId="TOC6">
    <w:name w:val="toc 6"/>
    <w:basedOn w:val="Normal"/>
    <w:next w:val="Normal"/>
    <w:autoRedefine/>
    <w:uiPriority w:val="39"/>
    <w:unhideWhenUsed/>
    <w:rsid w:val="0070657F"/>
    <w:pPr>
      <w:spacing w:after="100"/>
      <w:ind w:left="1100"/>
    </w:pPr>
    <w:rPr>
      <w:rFonts w:eastAsiaTheme="minorEastAsia"/>
    </w:rPr>
  </w:style>
  <w:style w:type="paragraph" w:styleId="TOC7">
    <w:name w:val="toc 7"/>
    <w:basedOn w:val="Normal"/>
    <w:next w:val="Normal"/>
    <w:autoRedefine/>
    <w:uiPriority w:val="39"/>
    <w:unhideWhenUsed/>
    <w:rsid w:val="0070657F"/>
    <w:pPr>
      <w:spacing w:after="100"/>
      <w:ind w:left="1320"/>
    </w:pPr>
    <w:rPr>
      <w:rFonts w:eastAsiaTheme="minorEastAsia"/>
    </w:rPr>
  </w:style>
  <w:style w:type="paragraph" w:styleId="TOC8">
    <w:name w:val="toc 8"/>
    <w:basedOn w:val="Normal"/>
    <w:next w:val="Normal"/>
    <w:autoRedefine/>
    <w:uiPriority w:val="39"/>
    <w:unhideWhenUsed/>
    <w:rsid w:val="0070657F"/>
    <w:pPr>
      <w:spacing w:after="100"/>
      <w:ind w:left="1540"/>
    </w:pPr>
    <w:rPr>
      <w:rFonts w:eastAsiaTheme="minorEastAsia"/>
    </w:rPr>
  </w:style>
  <w:style w:type="paragraph" w:styleId="TOC9">
    <w:name w:val="toc 9"/>
    <w:basedOn w:val="Normal"/>
    <w:next w:val="Normal"/>
    <w:autoRedefine/>
    <w:uiPriority w:val="39"/>
    <w:unhideWhenUsed/>
    <w:rsid w:val="0070657F"/>
    <w:pPr>
      <w:spacing w:after="100"/>
      <w:ind w:left="1760"/>
    </w:pPr>
    <w:rPr>
      <w:rFonts w:eastAsiaTheme="minorEastAsia"/>
    </w:rPr>
  </w:style>
  <w:style w:type="character" w:styleId="CommentReference">
    <w:name w:val="annotation reference"/>
    <w:basedOn w:val="DefaultParagraphFont"/>
    <w:uiPriority w:val="99"/>
    <w:semiHidden/>
    <w:unhideWhenUsed/>
    <w:rsid w:val="007B0D7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r.or.ke/"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22</Pages>
  <Words>6590</Words>
  <Characters>37567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41</cp:revision>
  <dcterms:created xsi:type="dcterms:W3CDTF">2025-04-22T09:58:00Z</dcterms:created>
  <dcterms:modified xsi:type="dcterms:W3CDTF">2025-04-24T08:37:00Z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1832b0c8-1351-402b-a76d-54ca984ba035</vt:lpwstr>
  </property>
</Properties>
</file>