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6673A" w14:textId="77777777" w:rsidR="005329B2" w:rsidRPr="005329B2" w:rsidRDefault="005329B2" w:rsidP="005329B2">
      <w:pPr>
        <w:spacing w:line="480" w:lineRule="auto"/>
        <w:jc w:val="right"/>
        <w:rPr>
          <w:rFonts w:ascii="Arial" w:hAnsi="Arial" w:cs="Arial"/>
          <w:b/>
          <w:bCs/>
          <w:i/>
          <w:iCs/>
          <w:sz w:val="36"/>
          <w:szCs w:val="36"/>
          <w:u w:val="single"/>
          <w:lang w:val="en-US"/>
        </w:rPr>
      </w:pPr>
      <w:bookmarkStart w:id="0" w:name="_Hlk193381817"/>
      <w:r w:rsidRPr="005329B2">
        <w:rPr>
          <w:rFonts w:ascii="Arial" w:hAnsi="Arial" w:cs="Arial"/>
          <w:b/>
          <w:bCs/>
          <w:i/>
          <w:iCs/>
          <w:sz w:val="36"/>
          <w:szCs w:val="36"/>
          <w:u w:val="single"/>
          <w:lang w:val="en-US"/>
        </w:rPr>
        <w:t>Original Research Article</w:t>
      </w:r>
    </w:p>
    <w:p w14:paraId="2C0AFCF6" w14:textId="1F4059E2" w:rsidR="00BA51EC" w:rsidRPr="00EF28E1" w:rsidRDefault="00383ED0" w:rsidP="00C770DD">
      <w:pPr>
        <w:spacing w:line="480" w:lineRule="auto"/>
        <w:jc w:val="right"/>
        <w:rPr>
          <w:rFonts w:ascii="Arial" w:hAnsi="Arial" w:cs="Arial"/>
          <w:b/>
          <w:bCs/>
          <w:sz w:val="36"/>
          <w:szCs w:val="36"/>
        </w:rPr>
      </w:pPr>
      <w:r w:rsidRPr="00EF28E1">
        <w:rPr>
          <w:rFonts w:ascii="Arial" w:hAnsi="Arial" w:cs="Arial"/>
          <w:b/>
          <w:bCs/>
          <w:sz w:val="36"/>
          <w:szCs w:val="36"/>
        </w:rPr>
        <w:t>Molecular c</w:t>
      </w:r>
      <w:r w:rsidR="00BA51EC" w:rsidRPr="00EF28E1">
        <w:rPr>
          <w:rFonts w:ascii="Arial" w:hAnsi="Arial" w:cs="Arial"/>
          <w:b/>
          <w:bCs/>
          <w:sz w:val="36"/>
          <w:szCs w:val="36"/>
        </w:rPr>
        <w:t>haracterization of fung</w:t>
      </w:r>
      <w:r w:rsidR="00616AFD" w:rsidRPr="00EF28E1">
        <w:rPr>
          <w:rFonts w:ascii="Arial" w:hAnsi="Arial" w:cs="Arial"/>
          <w:b/>
          <w:bCs/>
          <w:sz w:val="36"/>
          <w:szCs w:val="36"/>
        </w:rPr>
        <w:t>i</w:t>
      </w:r>
      <w:r w:rsidR="00BA51EC" w:rsidRPr="00EF28E1">
        <w:rPr>
          <w:rFonts w:ascii="Arial" w:hAnsi="Arial" w:cs="Arial"/>
          <w:b/>
          <w:bCs/>
          <w:sz w:val="36"/>
          <w:szCs w:val="36"/>
        </w:rPr>
        <w:t xml:space="preserve"> species </w:t>
      </w:r>
      <w:r w:rsidRPr="00EF28E1">
        <w:rPr>
          <w:rFonts w:ascii="Arial" w:hAnsi="Arial" w:cs="Arial"/>
          <w:b/>
          <w:bCs/>
          <w:sz w:val="36"/>
          <w:szCs w:val="36"/>
        </w:rPr>
        <w:t xml:space="preserve">identified </w:t>
      </w:r>
      <w:r w:rsidR="00BA51EC" w:rsidRPr="00EF28E1">
        <w:rPr>
          <w:rFonts w:ascii="Arial" w:hAnsi="Arial" w:cs="Arial"/>
          <w:b/>
          <w:bCs/>
          <w:sz w:val="36"/>
          <w:szCs w:val="36"/>
        </w:rPr>
        <w:t>in superficial mycoses in Togo</w:t>
      </w:r>
    </w:p>
    <w:p w14:paraId="21CCDA82" w14:textId="2DA2D5F1" w:rsidR="003106CB" w:rsidRPr="00C770DD" w:rsidRDefault="00845307" w:rsidP="00A132FF">
      <w:pPr>
        <w:pStyle w:val="Heading1"/>
        <w:spacing w:before="240" w:line="480" w:lineRule="auto"/>
        <w:jc w:val="left"/>
        <w:rPr>
          <w:sz w:val="22"/>
          <w:szCs w:val="22"/>
          <w:lang w:val="en-US"/>
        </w:rPr>
      </w:pPr>
      <w:bookmarkStart w:id="1" w:name="_Hlk195282864"/>
      <w:bookmarkEnd w:id="0"/>
      <w:r w:rsidRPr="00C770DD">
        <w:rPr>
          <w:sz w:val="22"/>
          <w:szCs w:val="22"/>
          <w:lang w:val="en-US"/>
        </w:rPr>
        <w:t>ABSTRACT</w:t>
      </w:r>
    </w:p>
    <w:p w14:paraId="34E9C838" w14:textId="76AB0275" w:rsidR="00845307" w:rsidRPr="00C770DD" w:rsidRDefault="00845307" w:rsidP="00845307">
      <w:pPr>
        <w:rPr>
          <w:lang w:val="en-US" w:eastAsia="en-ZA"/>
        </w:rPr>
      </w:pPr>
      <w:r>
        <w:rPr>
          <w:lang w:val="en-US"/>
        </w:rPr>
        <mc:AlternateContent>
          <mc:Choice Requires="wps">
            <w:drawing>
              <wp:anchor distT="0" distB="0" distL="114300" distR="114300" simplePos="0" relativeHeight="251673600" behindDoc="0" locked="0" layoutInCell="1" allowOverlap="1" wp14:anchorId="4E7CFE60" wp14:editId="746CC0B3">
                <wp:simplePos x="0" y="0"/>
                <wp:positionH relativeFrom="column">
                  <wp:posOffset>23231</wp:posOffset>
                </wp:positionH>
                <wp:positionV relativeFrom="paragraph">
                  <wp:posOffset>169880</wp:posOffset>
                </wp:positionV>
                <wp:extent cx="6133382" cy="6694099"/>
                <wp:effectExtent l="0" t="0" r="20320" b="12065"/>
                <wp:wrapNone/>
                <wp:docPr id="1607488168" name="Zone de texte 2"/>
                <wp:cNvGraphicFramePr/>
                <a:graphic xmlns:a="http://schemas.openxmlformats.org/drawingml/2006/main">
                  <a:graphicData uri="http://schemas.microsoft.com/office/word/2010/wordprocessingShape">
                    <wps:wsp>
                      <wps:cNvSpPr txBox="1"/>
                      <wps:spPr>
                        <a:xfrm>
                          <a:off x="0" y="0"/>
                          <a:ext cx="6133382" cy="6694099"/>
                        </a:xfrm>
                        <a:prstGeom prst="rect">
                          <a:avLst/>
                        </a:prstGeom>
                        <a:solidFill>
                          <a:schemeClr val="lt1"/>
                        </a:solidFill>
                        <a:ln w="6350">
                          <a:solidFill>
                            <a:prstClr val="black"/>
                          </a:solidFill>
                        </a:ln>
                      </wps:spPr>
                      <wps:txbx>
                        <w:txbxContent>
                          <w:p w14:paraId="5564E0BA" w14:textId="77777777" w:rsidR="00845307" w:rsidRPr="00845307" w:rsidRDefault="00845307" w:rsidP="00CD3FA8">
                            <w:pPr>
                              <w:spacing w:line="480" w:lineRule="auto"/>
                              <w:jc w:val="both"/>
                              <w:rPr>
                                <w:rFonts w:ascii="Arial" w:hAnsi="Arial" w:cs="Arial"/>
                                <w:sz w:val="20"/>
                                <w:szCs w:val="20"/>
                              </w:rPr>
                            </w:pPr>
                            <w:bookmarkStart w:id="2"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3" w:name="_Hlk196368242"/>
                            <w:r w:rsidRPr="00845307">
                              <w:rPr>
                                <w:rFonts w:ascii="Arial" w:hAnsi="Arial" w:cs="Arial"/>
                                <w:b/>
                                <w:bCs/>
                                <w:sz w:val="20"/>
                                <w:szCs w:val="20"/>
                                <w:lang w:val="en-US"/>
                              </w:rPr>
                              <w:t>Conclusions</w:t>
                            </w:r>
                            <w:bookmarkEnd w:id="3"/>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2"/>
                          <w:p w14:paraId="67CCB898" w14:textId="77777777" w:rsidR="00845307" w:rsidRDefault="00845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7CFE60" id="_x0000_t202" coordsize="21600,21600" o:spt="202" path="m,l,21600r21600,l21600,xe">
                <v:stroke joinstyle="miter"/>
                <v:path gradientshapeok="t" o:connecttype="rect"/>
              </v:shapetype>
              <v:shape id="Zone de texte 2" o:spid="_x0000_s1026" type="#_x0000_t202" style="position:absolute;margin-left:1.85pt;margin-top:13.4pt;width:482.95pt;height:5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" fillcolor="white [3201]" strokeweight=".5pt">
                <v:textbox>
                  <w:txbxContent>
                    <w:p w14:paraId="5564E0BA" w14:textId="77777777" w:rsidR="00845307" w:rsidRPr="00845307" w:rsidRDefault="00845307" w:rsidP="00CD3FA8">
                      <w:pPr>
                        <w:spacing w:line="480" w:lineRule="auto"/>
                        <w:jc w:val="both"/>
                        <w:rPr>
                          <w:rFonts w:ascii="Arial" w:hAnsi="Arial" w:cs="Arial"/>
                          <w:sz w:val="20"/>
                          <w:szCs w:val="20"/>
                        </w:rPr>
                      </w:pPr>
                      <w:bookmarkStart w:id="4"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5" w:name="_Hlk196368242"/>
                      <w:r w:rsidRPr="00845307">
                        <w:rPr>
                          <w:rFonts w:ascii="Arial" w:hAnsi="Arial" w:cs="Arial"/>
                          <w:b/>
                          <w:bCs/>
                          <w:sz w:val="20"/>
                          <w:szCs w:val="20"/>
                          <w:lang w:val="en-US"/>
                        </w:rPr>
                        <w:t>Conclusions</w:t>
                      </w:r>
                      <w:bookmarkEnd w:id="5"/>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4"/>
                    <w:p w14:paraId="67CCB898" w14:textId="77777777" w:rsidR="00845307" w:rsidRDefault="00845307"/>
                  </w:txbxContent>
                </v:textbox>
              </v:shape>
            </w:pict>
          </mc:Fallback>
        </mc:AlternateContent>
      </w:r>
    </w:p>
    <w:p w14:paraId="1E2D7953" w14:textId="77777777" w:rsidR="00845307" w:rsidRPr="00C770DD" w:rsidRDefault="00845307" w:rsidP="00845307">
      <w:pPr>
        <w:rPr>
          <w:lang w:val="en-US" w:eastAsia="en-ZA"/>
        </w:rPr>
      </w:pPr>
    </w:p>
    <w:p w14:paraId="3661DBA4" w14:textId="77777777" w:rsidR="00845307" w:rsidRPr="00C770DD" w:rsidRDefault="00845307" w:rsidP="00845307">
      <w:pPr>
        <w:rPr>
          <w:lang w:val="en-US" w:eastAsia="en-ZA"/>
        </w:rPr>
      </w:pPr>
    </w:p>
    <w:p w14:paraId="774A3ED6" w14:textId="77777777" w:rsidR="00845307" w:rsidRPr="00C770DD" w:rsidRDefault="00845307" w:rsidP="00845307">
      <w:pPr>
        <w:rPr>
          <w:lang w:val="en-US" w:eastAsia="en-ZA"/>
        </w:rPr>
      </w:pPr>
    </w:p>
    <w:p w14:paraId="47782586" w14:textId="77777777" w:rsidR="00845307" w:rsidRPr="00C770DD" w:rsidRDefault="00845307" w:rsidP="00845307">
      <w:pPr>
        <w:rPr>
          <w:lang w:val="en-US" w:eastAsia="en-ZA"/>
        </w:rPr>
      </w:pPr>
    </w:p>
    <w:p w14:paraId="11125722" w14:textId="77777777" w:rsidR="00845307" w:rsidRPr="00C770DD" w:rsidRDefault="00845307" w:rsidP="00845307">
      <w:pPr>
        <w:rPr>
          <w:lang w:val="en-US" w:eastAsia="en-ZA"/>
        </w:rPr>
      </w:pPr>
    </w:p>
    <w:p w14:paraId="7DDDB6ED" w14:textId="77777777" w:rsidR="00845307" w:rsidRPr="00C770DD" w:rsidRDefault="00845307" w:rsidP="00845307">
      <w:pPr>
        <w:rPr>
          <w:lang w:val="en-US" w:eastAsia="en-ZA"/>
        </w:rPr>
      </w:pPr>
    </w:p>
    <w:p w14:paraId="665AFB7A" w14:textId="77777777" w:rsidR="00845307" w:rsidRPr="00C770DD" w:rsidRDefault="00845307" w:rsidP="00845307">
      <w:pPr>
        <w:rPr>
          <w:lang w:val="en-US" w:eastAsia="en-ZA"/>
        </w:rPr>
      </w:pPr>
    </w:p>
    <w:p w14:paraId="4DE5D4D4" w14:textId="77777777" w:rsidR="00845307" w:rsidRPr="00C770DD" w:rsidRDefault="00845307" w:rsidP="00845307">
      <w:pPr>
        <w:rPr>
          <w:lang w:val="en-US" w:eastAsia="en-ZA"/>
        </w:rPr>
      </w:pPr>
    </w:p>
    <w:p w14:paraId="11909518" w14:textId="77777777" w:rsidR="00845307" w:rsidRPr="00C770DD" w:rsidRDefault="00845307" w:rsidP="00845307">
      <w:pPr>
        <w:rPr>
          <w:lang w:val="en-US" w:eastAsia="en-ZA"/>
        </w:rPr>
      </w:pPr>
    </w:p>
    <w:p w14:paraId="75DCF813" w14:textId="77777777" w:rsidR="00845307" w:rsidRPr="00C770DD" w:rsidRDefault="00845307" w:rsidP="00845307">
      <w:pPr>
        <w:rPr>
          <w:lang w:val="en-US" w:eastAsia="en-ZA"/>
        </w:rPr>
      </w:pPr>
    </w:p>
    <w:p w14:paraId="61ED38F6" w14:textId="77777777" w:rsidR="00845307" w:rsidRPr="00C770DD" w:rsidRDefault="00845307" w:rsidP="00845307">
      <w:pPr>
        <w:rPr>
          <w:lang w:val="en-US" w:eastAsia="en-ZA"/>
        </w:rPr>
      </w:pPr>
    </w:p>
    <w:p w14:paraId="3FC208F7" w14:textId="77777777" w:rsidR="00845307" w:rsidRPr="00C770DD" w:rsidRDefault="00845307" w:rsidP="00845307">
      <w:pPr>
        <w:rPr>
          <w:lang w:val="en-US" w:eastAsia="en-ZA"/>
        </w:rPr>
      </w:pPr>
    </w:p>
    <w:p w14:paraId="1A54AE65" w14:textId="77777777" w:rsidR="00845307" w:rsidRPr="00C770DD" w:rsidRDefault="00845307" w:rsidP="00845307">
      <w:pPr>
        <w:rPr>
          <w:lang w:val="en-US" w:eastAsia="en-ZA"/>
        </w:rPr>
      </w:pPr>
    </w:p>
    <w:p w14:paraId="42A9E073" w14:textId="77777777" w:rsidR="00845307" w:rsidRPr="00C770DD" w:rsidRDefault="00845307" w:rsidP="00845307">
      <w:pPr>
        <w:rPr>
          <w:lang w:val="en-US" w:eastAsia="en-ZA"/>
        </w:rPr>
      </w:pPr>
    </w:p>
    <w:p w14:paraId="3E3E0DDA" w14:textId="77777777" w:rsidR="00845307" w:rsidRPr="00C770DD" w:rsidRDefault="00845307" w:rsidP="00845307">
      <w:pPr>
        <w:rPr>
          <w:lang w:val="en-US" w:eastAsia="en-ZA"/>
        </w:rPr>
      </w:pPr>
    </w:p>
    <w:p w14:paraId="349C6661" w14:textId="77777777" w:rsidR="00845307" w:rsidRPr="00C770DD" w:rsidRDefault="00845307" w:rsidP="00845307">
      <w:pPr>
        <w:rPr>
          <w:lang w:val="en-US" w:eastAsia="en-ZA"/>
        </w:rPr>
      </w:pPr>
    </w:p>
    <w:p w14:paraId="6C17B8AF" w14:textId="77777777" w:rsidR="00845307" w:rsidRPr="00C770DD" w:rsidRDefault="00845307" w:rsidP="00845307">
      <w:pPr>
        <w:rPr>
          <w:lang w:val="en-US" w:eastAsia="en-ZA"/>
        </w:rPr>
      </w:pPr>
    </w:p>
    <w:p w14:paraId="607B988F" w14:textId="77777777" w:rsidR="00845307" w:rsidRPr="00C770DD" w:rsidRDefault="00845307" w:rsidP="00845307">
      <w:pPr>
        <w:rPr>
          <w:lang w:val="en-US" w:eastAsia="en-ZA"/>
        </w:rPr>
      </w:pPr>
    </w:p>
    <w:p w14:paraId="2B5C3CB9" w14:textId="77777777" w:rsidR="00845307" w:rsidRPr="00C770DD" w:rsidRDefault="00845307" w:rsidP="00845307">
      <w:pPr>
        <w:rPr>
          <w:lang w:val="en-US" w:eastAsia="en-ZA"/>
        </w:rPr>
      </w:pPr>
    </w:p>
    <w:p w14:paraId="1B9578B6" w14:textId="77777777" w:rsidR="00845307" w:rsidRPr="00C770DD" w:rsidRDefault="00845307" w:rsidP="00845307">
      <w:pPr>
        <w:rPr>
          <w:lang w:val="en-US" w:eastAsia="en-ZA"/>
        </w:rPr>
      </w:pPr>
    </w:p>
    <w:p w14:paraId="7474D6B9" w14:textId="77777777" w:rsidR="00845307" w:rsidRPr="00C770DD" w:rsidRDefault="00845307" w:rsidP="00845307">
      <w:pPr>
        <w:rPr>
          <w:lang w:val="en-US" w:eastAsia="en-ZA"/>
        </w:rPr>
      </w:pPr>
    </w:p>
    <w:p w14:paraId="418167EA" w14:textId="77777777" w:rsidR="00070FED" w:rsidRDefault="00070FED" w:rsidP="00070FED">
      <w:pPr>
        <w:spacing w:line="480" w:lineRule="auto"/>
        <w:jc w:val="both"/>
        <w:rPr>
          <w:rFonts w:ascii="Arial" w:hAnsi="Arial" w:cs="Arial"/>
          <w:b/>
          <w:bCs/>
          <w:sz w:val="28"/>
          <w:szCs w:val="28"/>
        </w:rPr>
      </w:pPr>
    </w:p>
    <w:p w14:paraId="78C11845" w14:textId="77777777" w:rsidR="00E8506B" w:rsidRPr="00070FED" w:rsidRDefault="00E8506B" w:rsidP="00070FED">
      <w:pPr>
        <w:spacing w:line="480" w:lineRule="auto"/>
        <w:jc w:val="both"/>
        <w:rPr>
          <w:rFonts w:ascii="Arial" w:hAnsi="Arial" w:cs="Arial"/>
          <w:b/>
          <w:bCs/>
          <w:sz w:val="28"/>
          <w:szCs w:val="28"/>
        </w:rPr>
      </w:pPr>
    </w:p>
    <w:p w14:paraId="0B298273" w14:textId="6001D626" w:rsidR="00070FED" w:rsidRPr="00CD3FA8" w:rsidRDefault="00070FED" w:rsidP="00070FED">
      <w:pPr>
        <w:spacing w:line="480" w:lineRule="auto"/>
        <w:jc w:val="both"/>
        <w:rPr>
          <w:rFonts w:ascii="Arial" w:hAnsi="Arial" w:cs="Arial"/>
          <w:i/>
          <w:iCs/>
          <w:sz w:val="20"/>
          <w:szCs w:val="20"/>
        </w:rPr>
      </w:pPr>
      <w:r w:rsidRPr="00CD3FA8">
        <w:rPr>
          <w:rFonts w:ascii="Arial" w:hAnsi="Arial" w:cs="Arial"/>
          <w:i/>
          <w:iCs/>
          <w:sz w:val="20"/>
          <w:szCs w:val="20"/>
        </w:rPr>
        <w:t xml:space="preserve">Key words: </w:t>
      </w:r>
      <w:bookmarkStart w:id="4" w:name="_Hlk193400064"/>
      <w:r w:rsidRPr="00CD3FA8">
        <w:rPr>
          <w:rFonts w:ascii="Arial" w:hAnsi="Arial" w:cs="Arial"/>
          <w:i/>
          <w:iCs/>
          <w:sz w:val="20"/>
          <w:szCs w:val="20"/>
        </w:rPr>
        <w:t>Fungi identification, MALDI-TOF, Routine</w:t>
      </w:r>
      <w:bookmarkEnd w:id="4"/>
      <w:r w:rsidRPr="00CD3FA8">
        <w:rPr>
          <w:rFonts w:ascii="Arial" w:hAnsi="Arial" w:cs="Arial"/>
          <w:i/>
          <w:iCs/>
          <w:sz w:val="20"/>
          <w:szCs w:val="20"/>
        </w:rPr>
        <w:t>-Method, Lomé-Togo</w:t>
      </w:r>
    </w:p>
    <w:p w14:paraId="25653F18" w14:textId="77777777" w:rsidR="00845307" w:rsidRPr="00070FED" w:rsidRDefault="00845307" w:rsidP="00845307">
      <w:pPr>
        <w:rPr>
          <w:lang w:eastAsia="en-ZA"/>
        </w:rPr>
      </w:pPr>
    </w:p>
    <w:p w14:paraId="5787EB0F" w14:textId="77777777" w:rsidR="00845307" w:rsidRDefault="00845307" w:rsidP="00845307">
      <w:pPr>
        <w:rPr>
          <w:lang w:eastAsia="en-ZA"/>
        </w:rPr>
      </w:pPr>
    </w:p>
    <w:p w14:paraId="3E74F384" w14:textId="77777777" w:rsidR="00070FED" w:rsidRDefault="00070FED" w:rsidP="00845307">
      <w:pPr>
        <w:rPr>
          <w:lang w:eastAsia="en-ZA"/>
        </w:rPr>
      </w:pPr>
    </w:p>
    <w:p w14:paraId="128EBE5D" w14:textId="77777777" w:rsidR="00C770DD" w:rsidRPr="00070FED" w:rsidRDefault="00C770DD" w:rsidP="00845307">
      <w:pPr>
        <w:rPr>
          <w:lang w:eastAsia="en-ZA"/>
        </w:rPr>
      </w:pPr>
    </w:p>
    <w:bookmarkEnd w:id="1"/>
    <w:p w14:paraId="1F6B4D5F" w14:textId="62203C54" w:rsidR="00BA51EC" w:rsidRPr="006A6222" w:rsidRDefault="004130D4" w:rsidP="000B315A">
      <w:pPr>
        <w:pStyle w:val="Heading1"/>
        <w:numPr>
          <w:ilvl w:val="0"/>
          <w:numId w:val="4"/>
        </w:numPr>
        <w:spacing w:before="240" w:line="480" w:lineRule="auto"/>
        <w:jc w:val="left"/>
        <w:rPr>
          <w:sz w:val="22"/>
          <w:szCs w:val="22"/>
        </w:rPr>
      </w:pPr>
      <w:r w:rsidRPr="006A6222">
        <w:rPr>
          <w:sz w:val="22"/>
          <w:szCs w:val="22"/>
        </w:rPr>
        <w:t>INTRODUCTION</w:t>
      </w:r>
    </w:p>
    <w:p w14:paraId="72840575" w14:textId="06347A78" w:rsidR="00BA51EC" w:rsidRPr="006A6222" w:rsidRDefault="00D26EE8" w:rsidP="00451967">
      <w:pPr>
        <w:spacing w:line="480" w:lineRule="auto"/>
        <w:jc w:val="both"/>
        <w:rPr>
          <w:rFonts w:ascii="Arial" w:hAnsi="Arial" w:cs="Arial"/>
          <w:sz w:val="20"/>
          <w:szCs w:val="20"/>
        </w:rPr>
      </w:pPr>
      <w:bookmarkStart w:id="5" w:name="_Hlk193403195"/>
      <w:r w:rsidRPr="006A6222">
        <w:rPr>
          <w:rFonts w:ascii="Arial" w:hAnsi="Arial" w:cs="Arial"/>
          <w:sz w:val="20"/>
          <w:szCs w:val="20"/>
        </w:rPr>
        <w:t xml:space="preserve">Superficial mycoses are mucocutaneous infections primarily caused by dermatophytes and yeasts of the </w:t>
      </w:r>
      <w:commentRangeStart w:id="6"/>
      <w:r w:rsidRPr="006A6222">
        <w:rPr>
          <w:rFonts w:ascii="Arial" w:hAnsi="Arial" w:cs="Arial"/>
          <w:sz w:val="20"/>
          <w:szCs w:val="20"/>
        </w:rPr>
        <w:t>Malassezia</w:t>
      </w:r>
      <w:commentRangeEnd w:id="6"/>
      <w:r w:rsidR="00B44316">
        <w:rPr>
          <w:rStyle w:val="CommentReference"/>
        </w:rPr>
        <w:commentReference w:id="6"/>
      </w:r>
      <w:r w:rsidRPr="006A6222">
        <w:rPr>
          <w:rFonts w:ascii="Arial" w:hAnsi="Arial" w:cs="Arial"/>
          <w:sz w:val="20"/>
          <w:szCs w:val="20"/>
        </w:rPr>
        <w:t xml:space="preserve"> genus. In some cases, they are caused by, yeasts from the </w:t>
      </w:r>
      <w:commentRangeStart w:id="7"/>
      <w:r w:rsidRPr="006A6222">
        <w:rPr>
          <w:rFonts w:ascii="Arial" w:hAnsi="Arial" w:cs="Arial"/>
          <w:sz w:val="20"/>
          <w:szCs w:val="20"/>
        </w:rPr>
        <w:t xml:space="preserve">Candida </w:t>
      </w:r>
      <w:commentRangeEnd w:id="7"/>
      <w:r w:rsidR="00B44316">
        <w:rPr>
          <w:rStyle w:val="CommentReference"/>
        </w:rPr>
        <w:commentReference w:id="7"/>
      </w:r>
      <w:r w:rsidRPr="006A6222">
        <w:rPr>
          <w:rFonts w:ascii="Arial" w:hAnsi="Arial" w:cs="Arial"/>
          <w:sz w:val="20"/>
          <w:szCs w:val="20"/>
        </w:rPr>
        <w:t xml:space="preserve">and </w:t>
      </w:r>
      <w:commentRangeStart w:id="8"/>
      <w:r w:rsidRPr="006A6222">
        <w:rPr>
          <w:rFonts w:ascii="Arial" w:hAnsi="Arial" w:cs="Arial"/>
          <w:sz w:val="20"/>
          <w:szCs w:val="20"/>
        </w:rPr>
        <w:t xml:space="preserve">Trichosporon </w:t>
      </w:r>
      <w:commentRangeEnd w:id="8"/>
      <w:r w:rsidR="00B44316">
        <w:rPr>
          <w:rStyle w:val="CommentReference"/>
        </w:rPr>
        <w:commentReference w:id="8"/>
      </w:r>
      <w:r w:rsidRPr="006A6222">
        <w:rPr>
          <w:rFonts w:ascii="Arial" w:hAnsi="Arial" w:cs="Arial"/>
          <w:sz w:val="20"/>
          <w:szCs w:val="20"/>
        </w:rPr>
        <w:t>genera</w:t>
      </w:r>
      <w:r w:rsidR="00EF26DD" w:rsidRPr="006A6222">
        <w:rPr>
          <w:rFonts w:ascii="Arial" w:hAnsi="Arial" w:cs="Arial"/>
          <w:sz w:val="20"/>
          <w:szCs w:val="20"/>
        </w:rPr>
        <w:fldChar w:fldCharType="begin" w:fldLock="1"/>
      </w:r>
      <w:r w:rsidR="00424ECD">
        <w:rPr>
          <w:rFonts w:ascii="Arial" w:hAnsi="Arial" w:cs="Arial"/>
          <w:sz w:val="20"/>
          <w:szCs w:val="20"/>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(Togo)","type":"article-journal"},"uris":["http://www.mendeley.com/documents/?uuid=6bbee7ed-7d5b-4475-894f-5cbe8cca4bae"]},{"id":"ITEM-2","itemData":{"DOI":"10.1016/j.jaad.2018.05.1260","ISSN":"10976787","PMID":"29959962","abstract":"Onychomycosis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Dermatology","id":"ITEM-2","issue":"4","issued":{"date-parts":[["2019"]]},"page":"853-867","title":"Onychomycosis: Treatment and prevention of recurrence","type":"article-journal","volume":"80"},"uris":["http://www.mendeley.com/documents/?uuid=23e780b8-c9cd-483e-8c91-e0f08a848598"]}],"mendeley":{"formattedCitation":"(Efoé SOSSOU*, Ameyo DORKENOO, 2024; Lipner and Scher, 2019)","manualFormatting":"(Efoé Sossou et al, 2024; Lipner and Scher, 2019)","plainTextFormattedCitation":"(Efoé SOSSOU*, Ameyo DORKENOO, 2024; Lipner and Scher, 2019)","previouslyFormattedCitation":"(Efoé SOSSOU*, Ameyo DORKENOO, 2024; Lipner and Scher, 2019)"},"properties":{"noteIndex":0},"schema":"https://github.com/citation-style-language/schema/raw/master/csl-citation.json"}</w:instrText>
      </w:r>
      <w:r w:rsidR="00EF26DD" w:rsidRPr="006A6222">
        <w:rPr>
          <w:rFonts w:ascii="Arial" w:hAnsi="Arial" w:cs="Arial"/>
          <w:sz w:val="20"/>
          <w:szCs w:val="20"/>
        </w:rPr>
        <w:fldChar w:fldCharType="separate"/>
      </w:r>
      <w:r w:rsidR="00DA7D66" w:rsidRPr="006A6222">
        <w:rPr>
          <w:rFonts w:ascii="Arial" w:hAnsi="Arial" w:cs="Arial"/>
          <w:sz w:val="20"/>
          <w:szCs w:val="20"/>
        </w:rPr>
        <w:t>(Efoé S</w:t>
      </w:r>
      <w:r w:rsidR="00424ECD" w:rsidRPr="006A6222">
        <w:rPr>
          <w:rFonts w:ascii="Arial" w:hAnsi="Arial" w:cs="Arial"/>
          <w:sz w:val="20"/>
          <w:szCs w:val="20"/>
        </w:rPr>
        <w:t>ossou</w:t>
      </w:r>
      <w:r w:rsidR="00F04718">
        <w:rPr>
          <w:rFonts w:ascii="Arial" w:hAnsi="Arial" w:cs="Arial"/>
          <w:sz w:val="20"/>
          <w:szCs w:val="20"/>
        </w:rPr>
        <w:t xml:space="preserve"> </w:t>
      </w:r>
      <w:r w:rsidR="00F04718" w:rsidRPr="00F04718">
        <w:rPr>
          <w:rFonts w:ascii="Arial" w:hAnsi="Arial" w:cs="Arial"/>
          <w:i/>
          <w:iCs/>
          <w:sz w:val="20"/>
          <w:szCs w:val="20"/>
        </w:rPr>
        <w:t>et al</w:t>
      </w:r>
      <w:r w:rsidR="00DA7D66" w:rsidRPr="006A6222">
        <w:rPr>
          <w:rFonts w:ascii="Arial" w:hAnsi="Arial" w:cs="Arial"/>
          <w:sz w:val="20"/>
          <w:szCs w:val="20"/>
        </w:rPr>
        <w:t>, 2024; Lipner and Scher, 2019)</w:t>
      </w:r>
      <w:r w:rsidR="00EF26DD" w:rsidRPr="006A6222">
        <w:rPr>
          <w:rFonts w:ascii="Arial" w:hAnsi="Arial" w:cs="Arial"/>
          <w:sz w:val="20"/>
          <w:szCs w:val="20"/>
        </w:rPr>
        <w:fldChar w:fldCharType="end"/>
      </w:r>
      <w:r w:rsidR="00BD3075" w:rsidRPr="006A6222">
        <w:rPr>
          <w:rFonts w:ascii="Arial" w:hAnsi="Arial" w:cs="Arial"/>
          <w:sz w:val="20"/>
          <w:szCs w:val="20"/>
        </w:rPr>
        <w:t xml:space="preserve">. </w:t>
      </w:r>
      <w:r w:rsidRPr="006A6222">
        <w:rPr>
          <w:rFonts w:ascii="Arial" w:hAnsi="Arial" w:cs="Arial"/>
          <w:sz w:val="20"/>
          <w:szCs w:val="20"/>
        </w:rPr>
        <w:t>These infections are among the most prevalent globally, affecting 20% to 25% of the population</w:t>
      </w:r>
      <w:r w:rsidR="00C770DD">
        <w:rPr>
          <w:rFonts w:ascii="Arial" w:hAnsi="Arial" w:cs="Arial"/>
          <w:sz w:val="20"/>
          <w:szCs w:val="20"/>
        </w:rPr>
        <w:t xml:space="preserve"> </w:t>
      </w:r>
      <w:r w:rsidR="00DF191F"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DF191F" w:rsidRPr="006A6222">
        <w:rPr>
          <w:rFonts w:ascii="Arial" w:hAnsi="Arial" w:cs="Arial"/>
          <w:sz w:val="20"/>
          <w:szCs w:val="20"/>
        </w:rPr>
        <w:fldChar w:fldCharType="separate"/>
      </w:r>
      <w:r w:rsidR="00DA7D66" w:rsidRPr="006A6222">
        <w:rPr>
          <w:rFonts w:ascii="Arial" w:hAnsi="Arial" w:cs="Arial"/>
          <w:sz w:val="20"/>
          <w:szCs w:val="20"/>
        </w:rPr>
        <w:t>(Lombardi et al., 2020)</w:t>
      </w:r>
      <w:r w:rsidR="00DF191F" w:rsidRPr="006A6222">
        <w:rPr>
          <w:rFonts w:ascii="Arial" w:hAnsi="Arial" w:cs="Arial"/>
          <w:sz w:val="20"/>
          <w:szCs w:val="20"/>
        </w:rPr>
        <w:fldChar w:fldCharType="end"/>
      </w:r>
      <w:r w:rsidR="007845BB" w:rsidRPr="006A6222">
        <w:rPr>
          <w:rFonts w:ascii="Arial" w:hAnsi="Arial" w:cs="Arial"/>
          <w:sz w:val="20"/>
          <w:szCs w:val="20"/>
        </w:rPr>
        <w:t>.</w:t>
      </w:r>
    </w:p>
    <w:p w14:paraId="4DD25270" w14:textId="6401369D" w:rsidR="00BA51EC" w:rsidRPr="006A6222" w:rsidRDefault="00BA51EC" w:rsidP="00451967">
      <w:pPr>
        <w:spacing w:line="480" w:lineRule="auto"/>
        <w:jc w:val="both"/>
        <w:rPr>
          <w:rFonts w:ascii="Arial" w:hAnsi="Arial" w:cs="Arial"/>
          <w:sz w:val="20"/>
          <w:szCs w:val="20"/>
        </w:rPr>
      </w:pPr>
      <w:r w:rsidRPr="006A6222">
        <w:rPr>
          <w:rFonts w:ascii="Arial" w:hAnsi="Arial" w:cs="Arial"/>
          <w:sz w:val="20"/>
          <w:szCs w:val="20"/>
        </w:rPr>
        <w:t>Over the last two decades, their incidence has risen considerably</w:t>
      </w:r>
      <w:r w:rsidR="00C770DD">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Dermatology","id":"ITEM-1","issue":"4","issued":{"date-parts":[["2019"]]},"page":"853-867","title":"Onychomycosis: Treatment and prevention of recurrence","type":"article-journal","volume":"80"},"uris":["http://www.mendeley.com/documents/?uuid=23e780b8-c9cd-483e-8c91-e0f08a848598"]},{"id":"ITEM-2","itemData":{"DOI":"10.1016/j.mycmed.2017.07.011","ISSN":"17730449","PMID":"28887005","abstract":"Aim of the study Fungal interdigital tinea pedis are poorly documented in Ivory Coast. This study aimed to determine the distribution of fungal species and contributing factors of the disease among policemen in Abidjan. Patients and methods Our cross-sectional study was carried out at the police school in Abidjan. Our patients consisted of symptomatic or non-symptomatic police students. Samples of scales or serosities taken from inter-toes spaces were examinated with KOH mount and cultured on Sabouraud-chloramphenicol and Sabouraud-chloramphenicol-actidione media. The method of identification depended on the observed fungus. Results Among the 303 police students with clinical lesions of the inter-toe folds, 233 (76.9%; IC 95% = 71.9–81.4) had a positive diagnosis after mycological examination. Lesions were predominantly located in the 3rd and 4th interdigital plantar spaces, with desquamation (100%) followed by maceration (82.5%) as the predominant functional sign. Dermatophytes accounted for 86.3% of the strains isolated with as majority species : Trichophyton interdigitale (40.3%), Microsporum langeronii (30.0%) and Trichophyton rubrum (15.5%). Yeasts accounted for 13.7% of the strains with Candida albicans (7.7%) as the most found species. The duration at the police school (P = 0.004) and the practice of sports activities (P = 0.0001) were statistically associated with the occurrence of the disease. Conclusion A good hygiene of feet would reduce the incidence of the disease among the defense and security forces. Also, investigations for the influence of the seasons in the occurrence of interdigital tinea pedis will allow a better understand of epidemiology of this dermatomycosis.","author":[{"dropping-particle":"","family":"Kiki-Barro","given":"P. C.M.","non-dropping-particle":"","parse-names":false,"suffix":""},{"dropping-particle":"","family":"Konaté","given":"A.","non-dropping-particle":"","parse-names":false,"suffix":""},{"dropping-particle":"","family":"Angora","given":"E. K.","non-dropping-particle":"","parse-names":false,"suffix":""},{"dropping-particle":"","family":"Kassi","given":"F. K.","non-dropping-particle":"","parse-names":false,"suffix":""},{"dropping-particle":"","family":"Bosson-Vanga","given":"H.","non-dropping-particle":"","parse-names":false,"suffix":""},{"dropping-particle":"V.","family":"Bedia-Tanoh","given":"A.","non-dropping-particle":"","parse-names":false,"suffix":""},{"dropping-particle":"","family":"Djohan","given":"V.","non-dropping-particle":"","parse-names":false,"suffix":""},{"dropping-particle":"","family":"Yavo","given":"W.","non-dropping-particle":"","parse-names":false,"suffix":""},{"dropping-particle":"","family":"Menan","given":"E. I.H.","non-dropping-particle":"","parse-names":false,"suffix":""}],"container-title":"Journal de Mycologie Medicale","id":"ITEM-2","issue":"4","issued":{"date-parts":[["2017"]]},"page":"561-566","publisher":"Elsevier Masson SAS","title":"Fungal aetiologies and contributing factors of interdigital tinea pedis among policemen in Abidjan (Ivory Coast)","type":"article-journal","volume":"27"},"uris":["http://www.mendeley.com/documents/?uuid=d119d1f0-8359-451d-bcf2-b86fa1e54fa0"]}],"mendeley":{"formattedCitation":"(Kiki-Barro et al., 2017; Lipner and Scher, 2019)","plainTextFormattedCitation":"(Kiki-Barro et al., 2017; Lipner and Scher, 2019)","previouslyFormattedCitation":"(Kiki-Barro et al., 2017; Lipner and Scher, 2019)"},"properties":{"noteIndex":0},"schema":"https://github.com/citation-style-language/schema/raw/master/csl-citation.json"}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(Kiki-Barro </w:t>
      </w:r>
      <w:r w:rsidR="00DA7D66" w:rsidRPr="00ED09D5">
        <w:rPr>
          <w:rFonts w:ascii="Arial" w:hAnsi="Arial" w:cs="Arial"/>
          <w:i/>
          <w:iCs/>
          <w:sz w:val="20"/>
          <w:szCs w:val="20"/>
        </w:rPr>
        <w:t>et al.</w:t>
      </w:r>
      <w:r w:rsidR="00DA7D66" w:rsidRPr="006A6222">
        <w:rPr>
          <w:rFonts w:ascii="Arial" w:hAnsi="Arial" w:cs="Arial"/>
          <w:sz w:val="20"/>
          <w:szCs w:val="20"/>
        </w:rPr>
        <w:t>, 2017; Lipner and Scher, 2019)</w:t>
      </w:r>
      <w:r w:rsidR="00A054CB" w:rsidRPr="006A6222">
        <w:rPr>
          <w:rFonts w:ascii="Arial" w:hAnsi="Arial" w:cs="Arial"/>
          <w:sz w:val="20"/>
          <w:szCs w:val="20"/>
        </w:rPr>
        <w:fldChar w:fldCharType="end"/>
      </w:r>
      <w:r w:rsidRPr="006A6222">
        <w:rPr>
          <w:rFonts w:ascii="Arial" w:hAnsi="Arial" w:cs="Arial"/>
          <w:sz w:val="20"/>
          <w:szCs w:val="20"/>
        </w:rPr>
        <w:t xml:space="preserve"> due to various risk factors such as international travel, contact with pets, and the use of immunosuppressive drugs</w:t>
      </w:r>
      <w:r w:rsidR="00ED09D5">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A054CB" w:rsidRPr="006A6222">
        <w:rPr>
          <w:rFonts w:ascii="Arial" w:hAnsi="Arial" w:cs="Arial"/>
          <w:sz w:val="20"/>
          <w:szCs w:val="20"/>
        </w:rPr>
        <w:fldChar w:fldCharType="end"/>
      </w:r>
      <w:r w:rsidRPr="006A6222">
        <w:rPr>
          <w:rFonts w:ascii="Arial" w:hAnsi="Arial" w:cs="Arial"/>
          <w:sz w:val="20"/>
          <w:szCs w:val="20"/>
        </w:rPr>
        <w:t>. This increase is compounded by the emergence of previously unknown pathogenic species in human infections, as well as new forms of clinical manifestations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Mycology","id":"ITEM-2","issue":"4","issued":{"date-parts":[["2013"]]},"page":"371-377","title":"Evaluation of four pretreatment procedures for MALDI-TOF MS yeast identification in the routine clinical laboratory","type":"article-journal","volume":"51"},"uris":["http://www.mendeley.com/documents/?uuid=efcd6e94-030a-4391-90b9-cb84656708f7"]}],"mendeley":{"formattedCitation":"(Cassagne et al., 2013; Lombardi et al., 2020)","plainTextFormattedCitation":"(Cassagne et al., 2013; Lombardi et al., 2020)","previouslyFormattedCitation":"(Cassagne et al., 2013; Lombardi et al., 2020)"},"properties":{"noteIndex":0},"schema":"https://github.com/citation-style-language/schema/raw/master/csl-citation.json"}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(Cassagne et al., 2013; 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DA6231" w:rsidRPr="006A6222">
        <w:rPr>
          <w:rFonts w:ascii="Arial" w:hAnsi="Arial" w:cs="Arial"/>
          <w:sz w:val="20"/>
          <w:szCs w:val="20"/>
        </w:rPr>
        <w:fldChar w:fldCharType="end"/>
      </w:r>
      <w:r w:rsidRPr="006A6222">
        <w:rPr>
          <w:rFonts w:ascii="Arial" w:hAnsi="Arial" w:cs="Arial"/>
          <w:sz w:val="20"/>
          <w:szCs w:val="20"/>
        </w:rPr>
        <w:t>.</w:t>
      </w:r>
    </w:p>
    <w:p w14:paraId="686FFC7A" w14:textId="3C4B3BF9" w:rsidR="00BA51EC" w:rsidRPr="006A6222" w:rsidRDefault="0079289D" w:rsidP="00451967">
      <w:pPr>
        <w:spacing w:line="480" w:lineRule="auto"/>
        <w:jc w:val="both"/>
        <w:rPr>
          <w:rFonts w:ascii="Arial" w:hAnsi="Arial" w:cs="Arial"/>
          <w:sz w:val="20"/>
          <w:szCs w:val="20"/>
        </w:rPr>
      </w:pPr>
      <w:r w:rsidRPr="006A6222">
        <w:rPr>
          <w:rFonts w:ascii="Arial" w:hAnsi="Arial" w:cs="Arial"/>
          <w:sz w:val="20"/>
          <w:szCs w:val="20"/>
        </w:rPr>
        <w:t>Accurate identification of fungal pathogens is crucial for effective patient management, particularly in the context of rising fungal infections globally. In low-income settings, the diagnosis of these infections primarily relies on , which are often supplemented with morphological or biochemical identification techniques. However, these conventional diagnostic approaches present several significant challenges.</w:t>
      </w:r>
      <w:r w:rsidR="00826310" w:rsidRPr="006A6222">
        <w:rPr>
          <w:rFonts w:ascii="Arial" w:hAnsi="Arial" w:cs="Arial"/>
          <w:sz w:val="20"/>
          <w:szCs w:val="20"/>
        </w:rPr>
        <w:t xml:space="preserve"> </w:t>
      </w:r>
      <w:r w:rsidR="00BB1829" w:rsidRPr="006A6222">
        <w:rPr>
          <w:rFonts w:ascii="Arial" w:hAnsi="Arial" w:cs="Arial"/>
          <w:sz w:val="20"/>
          <w:szCs w:val="20"/>
        </w:rPr>
        <w:t xml:space="preserve">In </w:t>
      </w:r>
      <w:r w:rsidR="0036162A" w:rsidRPr="006A6222">
        <w:rPr>
          <w:rFonts w:ascii="Arial" w:hAnsi="Arial" w:cs="Arial"/>
          <w:sz w:val="20"/>
          <w:szCs w:val="20"/>
        </w:rPr>
        <w:t>low-income</w:t>
      </w:r>
      <w:r w:rsidR="00BB1829" w:rsidRPr="006A6222">
        <w:rPr>
          <w:rFonts w:ascii="Arial" w:hAnsi="Arial" w:cs="Arial"/>
          <w:sz w:val="20"/>
          <w:szCs w:val="20"/>
        </w:rPr>
        <w:t xml:space="preserve"> countries like Togo, the </w:t>
      </w:r>
      <w:r w:rsidR="0043582A" w:rsidRPr="006A6222">
        <w:rPr>
          <w:rFonts w:ascii="Arial" w:hAnsi="Arial" w:cs="Arial"/>
          <w:sz w:val="20"/>
          <w:szCs w:val="20"/>
        </w:rPr>
        <w:t xml:space="preserve">large </w:t>
      </w:r>
      <w:r w:rsidR="00BB1829" w:rsidRPr="006A6222">
        <w:rPr>
          <w:rFonts w:ascii="Arial" w:hAnsi="Arial" w:cs="Arial"/>
          <w:sz w:val="20"/>
          <w:szCs w:val="20"/>
        </w:rPr>
        <w:t xml:space="preserve">diversity of fungal species responsible for superficial mycoses poses significant challenges for identification using </w:t>
      </w:r>
      <w:r w:rsidR="00576965" w:rsidRPr="006A6222">
        <w:rPr>
          <w:rFonts w:ascii="Arial" w:hAnsi="Arial" w:cs="Arial"/>
          <w:sz w:val="20"/>
          <w:szCs w:val="20"/>
        </w:rPr>
        <w:t>traditional culture-based methods</w:t>
      </w:r>
      <w:r w:rsidR="00BB1829" w:rsidRPr="006A6222">
        <w:rPr>
          <w:rFonts w:ascii="Arial" w:hAnsi="Arial" w:cs="Arial"/>
          <w:sz w:val="20"/>
          <w:szCs w:val="20"/>
        </w:rPr>
        <w:t>. The technical infrastructure for reliable biological confirmation of these fungi is often inadequate. Additionally, the introduction of advanced diagnostic tools, which offer greater reliability, speed, specificity, and affordability, remains a major hurdle in these regions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Mycology","id":"ITEM-1","issue":"4","issued":{"date-parts":[["2013"]]},"page":"371-377","title":"Evaluation of four pretreatment procedures for MALDI-TOF MS yeast identification in the routine clinical laboratory","type":"article-journal","volume":"51"},"uris":["http://www.mendeley.com/documents/?uuid=04af4892-8fe1-436d-9d13-0a6a754a005a"]},{"id":"ITEM-2","itemData":{"DOI":"10.1186/s12014-023-09424-x","ISSN":"15590275","abstract":"Mass spectrometry (MS)-based proteomics have been increasingly implemented in various disciplines of laboratory medicine to identify and quantify biomolecules in a variety of biological specimens. MS-based proteomics is continuously expanding and widely applied in biomarker discovery for early detection, prognosis and markers for treatment response prediction and monitoring. Furthermore, making these advanced tests more accessible and affordable will have the greatest healthcare benefit. This review article highlights the new paradigms MS-based clinical proteomics has created in microbiology laboratories, cancer research and diagnosis of metabolic disorders. The technique is preferred over conventional methods in disease detection and therapy monitoring for its combined advantages in multiplexing capacity, remarkable analytical specificity and sensitivity and low turnaround time. Despite the achievements in the development and adoption of a number of MS-based clinical proteomics practices, more are expected to undergo transition from bench to bedside in the near future. The review provides insights from early trials and recent progresses (mainly covering literature from the NCBI database) in the application of proteomics in clinical laboratories.","author":[{"dropping-particle":"","family":"Birhanu","given":"Alemayehu Godana","non-dropping-particle":"","parse-names":false,"suffix":""}],"container-title":"Clinical Proteomics","id":"ITEM-2","issue":"1","issued":{"date-parts":[["2023"]]},"page":"1-20","title":"Mass spectrometry-based proteomics as an emerging tool in clinical laboratories","type":"article-journal","volume":"20"},"uris":["http://www.mendeley.com/documents/?uuid=b59ec081-4928-4872-92d5-1f76892e1c02"]}],"mendeley":{"formattedCitation":"(Birhanu, 2023; Cassagne et al., 2013)","plainTextFormattedCitation":"(Birhanu, 2023; Cassagne et al., 2013)","previouslyFormattedCitation":"(Birhanu, 2023; Cassagne et al., 2013)"},"properties":{"noteIndex":0},"schema":"https://github.com/citation-style-language/schema/raw/master/csl-citation.json"}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(Birhanu, 2023; Cassagne </w:t>
      </w:r>
      <w:r w:rsidR="00DA7D66" w:rsidRPr="00ED09D5">
        <w:rPr>
          <w:rFonts w:ascii="Arial" w:hAnsi="Arial" w:cs="Arial"/>
          <w:i/>
          <w:iCs/>
          <w:sz w:val="20"/>
          <w:szCs w:val="20"/>
        </w:rPr>
        <w:t>et al.</w:t>
      </w:r>
      <w:r w:rsidR="00DA7D66" w:rsidRPr="006A6222">
        <w:rPr>
          <w:rFonts w:ascii="Arial" w:hAnsi="Arial" w:cs="Arial"/>
          <w:sz w:val="20"/>
          <w:szCs w:val="20"/>
        </w:rPr>
        <w:t>, 2013)</w:t>
      </w:r>
      <w:r w:rsidR="00DA6231" w:rsidRPr="006A6222">
        <w:rPr>
          <w:rFonts w:ascii="Arial" w:hAnsi="Arial" w:cs="Arial"/>
          <w:sz w:val="20"/>
          <w:szCs w:val="20"/>
        </w:rPr>
        <w:fldChar w:fldCharType="end"/>
      </w:r>
      <w:r w:rsidR="00814BD1" w:rsidRPr="006A6222">
        <w:rPr>
          <w:rFonts w:ascii="Arial" w:hAnsi="Arial" w:cs="Arial"/>
          <w:sz w:val="20"/>
          <w:szCs w:val="20"/>
        </w:rPr>
        <w:t>.</w:t>
      </w:r>
      <w:r w:rsidR="00BB1829" w:rsidRPr="006A6222">
        <w:rPr>
          <w:rFonts w:ascii="Arial" w:hAnsi="Arial" w:cs="Arial"/>
          <w:sz w:val="20"/>
          <w:szCs w:val="20"/>
        </w:rPr>
        <w:t xml:space="preserve"> In the absence of such </w:t>
      </w:r>
      <w:r w:rsidR="00032BFD" w:rsidRPr="006A6222">
        <w:rPr>
          <w:rFonts w:ascii="Arial" w:hAnsi="Arial" w:cs="Arial"/>
          <w:sz w:val="20"/>
          <w:szCs w:val="20"/>
        </w:rPr>
        <w:t>techniques</w:t>
      </w:r>
      <w:r w:rsidR="00BB1829" w:rsidRPr="006A6222">
        <w:rPr>
          <w:rFonts w:ascii="Arial" w:hAnsi="Arial" w:cs="Arial"/>
          <w:sz w:val="20"/>
          <w:szCs w:val="20"/>
        </w:rPr>
        <w:t xml:space="preserve">, traditional methods remain the primary </w:t>
      </w:r>
      <w:r w:rsidR="00032BFD" w:rsidRPr="006A6222">
        <w:rPr>
          <w:rFonts w:ascii="Arial" w:hAnsi="Arial" w:cs="Arial"/>
          <w:sz w:val="20"/>
          <w:szCs w:val="20"/>
        </w:rPr>
        <w:t xml:space="preserve">tools </w:t>
      </w:r>
      <w:r w:rsidR="00F343E5" w:rsidRPr="006A6222">
        <w:rPr>
          <w:rFonts w:ascii="Arial" w:hAnsi="Arial" w:cs="Arial"/>
          <w:sz w:val="20"/>
          <w:szCs w:val="20"/>
        </w:rPr>
        <w:t xml:space="preserve">used </w:t>
      </w:r>
      <w:r w:rsidR="00EB35B7" w:rsidRPr="006A6222">
        <w:rPr>
          <w:rFonts w:ascii="Arial" w:hAnsi="Arial" w:cs="Arial"/>
          <w:sz w:val="20"/>
          <w:szCs w:val="20"/>
        </w:rPr>
        <w:t>for this</w:t>
      </w:r>
      <w:r w:rsidR="00032BFD" w:rsidRPr="006A6222">
        <w:rPr>
          <w:rFonts w:ascii="Arial" w:hAnsi="Arial" w:cs="Arial"/>
          <w:sz w:val="20"/>
          <w:szCs w:val="20"/>
        </w:rPr>
        <w:t xml:space="preserve"> </w:t>
      </w:r>
      <w:r w:rsidR="00814BD1" w:rsidRPr="006A6222">
        <w:rPr>
          <w:rFonts w:ascii="Arial" w:hAnsi="Arial" w:cs="Arial"/>
          <w:sz w:val="20"/>
          <w:szCs w:val="20"/>
        </w:rPr>
        <w:t>identification.</w:t>
      </w:r>
      <w:r w:rsidR="00BB1829" w:rsidRPr="006A6222">
        <w:rPr>
          <w:rFonts w:ascii="Arial" w:hAnsi="Arial" w:cs="Arial"/>
          <w:sz w:val="20"/>
          <w:szCs w:val="20"/>
        </w:rPr>
        <w:t xml:space="preserve"> However, these conventional approaches </w:t>
      </w:r>
      <w:r w:rsidR="008C1721" w:rsidRPr="006A6222">
        <w:rPr>
          <w:rFonts w:ascii="Arial" w:hAnsi="Arial" w:cs="Arial"/>
          <w:sz w:val="20"/>
          <w:szCs w:val="20"/>
        </w:rPr>
        <w:t>present several</w:t>
      </w:r>
      <w:r w:rsidR="00BB1829" w:rsidRPr="006A6222">
        <w:rPr>
          <w:rFonts w:ascii="Arial" w:hAnsi="Arial" w:cs="Arial"/>
          <w:sz w:val="20"/>
          <w:szCs w:val="20"/>
        </w:rPr>
        <w:t xml:space="preserve"> limitations, including delayed results reduced accuracy</w:t>
      </w:r>
      <w:r w:rsidR="002F37E4" w:rsidRPr="006A6222">
        <w:rPr>
          <w:rFonts w:ascii="Arial" w:hAnsi="Arial" w:cs="Arial"/>
          <w:sz w:val="20"/>
          <w:szCs w:val="20"/>
        </w:rPr>
        <w:t>,</w:t>
      </w:r>
      <w:r w:rsidR="00814BD1" w:rsidRPr="006A6222">
        <w:rPr>
          <w:rFonts w:ascii="Arial" w:hAnsi="Arial" w:cs="Arial"/>
          <w:sz w:val="20"/>
          <w:szCs w:val="20"/>
        </w:rPr>
        <w:t xml:space="preserve"> </w:t>
      </w:r>
      <w:r w:rsidR="00806D12" w:rsidRPr="006A6222">
        <w:rPr>
          <w:rFonts w:ascii="Arial" w:hAnsi="Arial" w:cs="Arial"/>
          <w:sz w:val="20"/>
          <w:szCs w:val="20"/>
        </w:rPr>
        <w:t>and difficulties in identifying emerging and re-emerging fungal species</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Approaches","type":"article-journal"},"uris":["http://www.mendeley.com/documents/?uuid=323cdb23-8093-42bc-806e-934efa694bdd"]}],"mendeley":{"formattedCitation":"(Pham et al., 2024)","plainTextFormattedCitation":"(Pham et al., 2024)","previouslyFormattedCitation":"(Pham et al., 2024)"},"properties":{"noteIndex":0},"schema":"https://github.com/citation-style-language/schema/raw/master/csl-citation.json"}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 xml:space="preserve">(Pham </w:t>
      </w:r>
      <w:r w:rsidR="00DA7D66" w:rsidRPr="00ED09D5">
        <w:rPr>
          <w:rFonts w:ascii="Arial" w:hAnsi="Arial" w:cs="Arial"/>
          <w:i/>
          <w:iCs/>
          <w:sz w:val="20"/>
          <w:szCs w:val="20"/>
        </w:rPr>
        <w:t>et al.,</w:t>
      </w:r>
      <w:r w:rsidR="00DA7D66" w:rsidRPr="006A6222">
        <w:rPr>
          <w:rFonts w:ascii="Arial" w:hAnsi="Arial" w:cs="Arial"/>
          <w:sz w:val="20"/>
          <w:szCs w:val="20"/>
        </w:rPr>
        <w:t xml:space="preserve"> 2024)</w:t>
      </w:r>
      <w:r w:rsidR="0099702B" w:rsidRPr="006A6222">
        <w:rPr>
          <w:rFonts w:ascii="Arial" w:hAnsi="Arial" w:cs="Arial"/>
          <w:sz w:val="20"/>
          <w:szCs w:val="20"/>
        </w:rPr>
        <w:fldChar w:fldCharType="end"/>
      </w:r>
      <w:r w:rsidR="00806D12" w:rsidRPr="006A6222">
        <w:rPr>
          <w:rFonts w:ascii="Arial" w:hAnsi="Arial" w:cs="Arial"/>
          <w:sz w:val="20"/>
          <w:szCs w:val="20"/>
        </w:rPr>
        <w:t xml:space="preserve">, </w:t>
      </w:r>
      <w:r w:rsidR="00806D12" w:rsidRPr="006A6222">
        <w:rPr>
          <w:rFonts w:ascii="Arial" w:hAnsi="Arial" w:cs="Arial"/>
          <w:sz w:val="20"/>
          <w:szCs w:val="20"/>
        </w:rPr>
        <w:lastRenderedPageBreak/>
        <w:t>with the corollary of inappropriate management of these mycoses</w:t>
      </w:r>
      <w:r w:rsidR="00657A85">
        <w:rPr>
          <w:rFonts w:ascii="Arial" w:hAnsi="Arial" w:cs="Arial"/>
          <w:sz w:val="20"/>
          <w:szCs w:val="20"/>
        </w:rPr>
        <w:t xml:space="preserve"> </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Pham et al., 2024)","plainTextFormattedCitation":"(Bastides, 2010; Pham et al., 2024)","previouslyFormattedCitation":"(Bastides, 2010; Pham et al., 2024)"},"properties":{"noteIndex":0},"schema":"https://github.com/citation-style-language/schema/raw/master/csl-citation.json"}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(Bastides, 2010; Pham </w:t>
      </w:r>
      <w:r w:rsidR="00DA7D66" w:rsidRPr="00657A85">
        <w:rPr>
          <w:rFonts w:ascii="Arial" w:hAnsi="Arial" w:cs="Arial"/>
          <w:i/>
          <w:iCs/>
          <w:sz w:val="20"/>
          <w:szCs w:val="20"/>
        </w:rPr>
        <w:t>et al.</w:t>
      </w:r>
      <w:r w:rsidR="00DA7D66" w:rsidRPr="006A6222">
        <w:rPr>
          <w:rFonts w:ascii="Arial" w:hAnsi="Arial" w:cs="Arial"/>
          <w:sz w:val="20"/>
          <w:szCs w:val="20"/>
        </w:rPr>
        <w:t>, 2024)</w:t>
      </w:r>
      <w:r w:rsidR="00DA6231" w:rsidRPr="006A6222">
        <w:rPr>
          <w:rFonts w:ascii="Arial" w:hAnsi="Arial" w:cs="Arial"/>
          <w:sz w:val="20"/>
          <w:szCs w:val="20"/>
        </w:rPr>
        <w:fldChar w:fldCharType="end"/>
      </w:r>
      <w:r w:rsidR="00806D12" w:rsidRPr="006A6222">
        <w:rPr>
          <w:rFonts w:ascii="Arial" w:hAnsi="Arial" w:cs="Arial"/>
          <w:sz w:val="20"/>
          <w:szCs w:val="20"/>
        </w:rPr>
        <w:t>. In developed countries, however, the use of new techniques such as MALDI ToF mass spectrometry has provided a promising alternative for improving the biological confirmation of mycoses</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(Simon, 2021)</w:t>
      </w:r>
      <w:r w:rsidR="0099702B" w:rsidRPr="006A6222">
        <w:rPr>
          <w:rFonts w:ascii="Arial" w:hAnsi="Arial" w:cs="Arial"/>
          <w:sz w:val="20"/>
          <w:szCs w:val="20"/>
        </w:rPr>
        <w:fldChar w:fldCharType="end"/>
      </w:r>
      <w:r w:rsidR="00806D12" w:rsidRPr="006A6222">
        <w:rPr>
          <w:rFonts w:ascii="Arial" w:hAnsi="Arial" w:cs="Arial"/>
          <w:sz w:val="20"/>
          <w:szCs w:val="20"/>
        </w:rPr>
        <w:t>. According to Lacroix et al., who evaluated two mass spectrometry systems for the identification of Candida species, mass spectrometry is more accurate (98.3%) than routine techniques (96.5%), and also facilitates the identification of rare or emerging species</w:t>
      </w:r>
      <w:r w:rsidR="00DA6231" w:rsidRPr="006A6222">
        <w:rPr>
          <w:rFonts w:ascii="Arial" w:hAnsi="Arial" w:cs="Arial"/>
          <w:sz w:val="20"/>
          <w:szCs w:val="20"/>
        </w:rPr>
        <w:fldChar w:fldCharType="begin" w:fldLock="1"/>
      </w:r>
      <w:r w:rsidR="00422B90">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Simon, 2021)","manualFormatting":"(Normand AC et al., 2021; Simon, 2021)","plainTextFormattedCitation":"(Normand AC, Blaize M, Imbert S, Packeu A, Becker P, Fekkar A, Stubbe D, 2021; Simon, 2021)","previouslyFormattedCitation":"(Normand AC, Blaize M, Imbert S, Packeu A, Becker P, Fekkar A, Stubbe D, 2021; Simon, 2021)"},"properties":{"noteIndex":0},"schema":"https://github.com/citation-style-language/schema/raw/master/csl-citation.json"}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(Normand AC</w:t>
      </w:r>
      <w:r w:rsidR="00657A85">
        <w:rPr>
          <w:rFonts w:ascii="Arial" w:hAnsi="Arial" w:cs="Arial"/>
          <w:sz w:val="20"/>
          <w:szCs w:val="20"/>
        </w:rPr>
        <w:t xml:space="preserve"> </w:t>
      </w:r>
      <w:r w:rsidR="00657A85" w:rsidRPr="00657A85">
        <w:rPr>
          <w:rFonts w:ascii="Arial" w:hAnsi="Arial" w:cs="Arial"/>
          <w:i/>
          <w:iCs/>
          <w:sz w:val="20"/>
          <w:szCs w:val="20"/>
        </w:rPr>
        <w:t>et al</w:t>
      </w:r>
      <w:r w:rsidR="00657A85">
        <w:rPr>
          <w:rFonts w:ascii="Arial" w:hAnsi="Arial" w:cs="Arial"/>
          <w:sz w:val="20"/>
          <w:szCs w:val="20"/>
        </w:rPr>
        <w:t>.</w:t>
      </w:r>
      <w:r w:rsidR="00DA7D66" w:rsidRPr="006A6222">
        <w:rPr>
          <w:rFonts w:ascii="Arial" w:hAnsi="Arial" w:cs="Arial"/>
          <w:sz w:val="20"/>
          <w:szCs w:val="20"/>
        </w:rPr>
        <w:t>, 2021; Simon, 2021)</w:t>
      </w:r>
      <w:r w:rsidR="00DA6231" w:rsidRPr="006A6222">
        <w:rPr>
          <w:rFonts w:ascii="Arial" w:hAnsi="Arial" w:cs="Arial"/>
          <w:sz w:val="20"/>
          <w:szCs w:val="20"/>
        </w:rPr>
        <w:fldChar w:fldCharType="end"/>
      </w:r>
      <w:r w:rsidR="00806D12" w:rsidRPr="006A6222">
        <w:rPr>
          <w:rFonts w:ascii="Arial" w:hAnsi="Arial" w:cs="Arial"/>
          <w:sz w:val="20"/>
          <w:szCs w:val="20"/>
        </w:rPr>
        <w:t xml:space="preserve">, with exceptional performance levels, sensitivity and specificity of 94.6% and 99% respectively </w:t>
      </w:r>
      <w:r w:rsidR="00081FFF" w:rsidRPr="006A6222">
        <w:rPr>
          <w:rFonts w:ascii="Arial" w:hAnsi="Arial" w:cs="Arial"/>
          <w:sz w:val="20"/>
          <w:szCs w:val="20"/>
        </w:rPr>
        <w:fldChar w:fldCharType="begin" w:fldLock="1"/>
      </w:r>
      <w:r w:rsidR="00422B90">
        <w:rPr>
          <w:rFonts w:ascii="Arial" w:hAnsi="Arial" w:cs="Arial"/>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Laboratoires","id":"ITEM-2","issue":"529","issued":{"date-parts":[["2021"]]},"page":"58-65","publisher":"Elsevier","title":"Identification des moisissures au laboratoire de routine hospitalière","type":"article-journal","volume":"2021"},"uris":["http://www.mendeley.com/documents/?uuid=7e8fd509-f84d-42e1-842e-9d08d437420e"]}],"mendeley":{"formattedCitation":"(Blaize et al., 2021; Normand AC, Blaize M, Imbert S, Packeu A, Becker P, Fekkar A, Stubbe D, 2021)","manualFormatting":"(Blaize et al., 2021; Normand AC et al.,2021)","plainTextFormattedCitation":"(Blaize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081FFF"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657A85">
        <w:rPr>
          <w:rFonts w:ascii="Arial" w:hAnsi="Arial" w:cs="Arial"/>
          <w:i/>
          <w:iCs/>
          <w:sz w:val="20"/>
          <w:szCs w:val="20"/>
        </w:rPr>
        <w:t>et al.</w:t>
      </w:r>
      <w:r w:rsidR="00DA7D66" w:rsidRPr="006A6222">
        <w:rPr>
          <w:rFonts w:ascii="Arial" w:hAnsi="Arial" w:cs="Arial"/>
          <w:sz w:val="20"/>
          <w:szCs w:val="20"/>
        </w:rPr>
        <w:t>, 2021; Normand AC</w:t>
      </w:r>
      <w:r w:rsidR="00657A85" w:rsidRPr="00657A85">
        <w:rPr>
          <w:rFonts w:ascii="Arial" w:hAnsi="Arial" w:cs="Arial"/>
          <w:i/>
          <w:iCs/>
          <w:sz w:val="20"/>
          <w:szCs w:val="20"/>
        </w:rPr>
        <w:t xml:space="preserve"> et al</w:t>
      </w:r>
      <w:r w:rsidR="00657A85">
        <w:rPr>
          <w:rFonts w:ascii="Arial" w:hAnsi="Arial" w:cs="Arial"/>
          <w:i/>
          <w:iCs/>
          <w:sz w:val="20"/>
          <w:szCs w:val="20"/>
        </w:rPr>
        <w:t>.,</w:t>
      </w:r>
      <w:r w:rsidR="00DA7D66" w:rsidRPr="006A6222">
        <w:rPr>
          <w:rFonts w:ascii="Arial" w:hAnsi="Arial" w:cs="Arial"/>
          <w:sz w:val="20"/>
          <w:szCs w:val="20"/>
        </w:rPr>
        <w:t>2021)</w:t>
      </w:r>
      <w:r w:rsidR="00081FFF" w:rsidRPr="006A6222">
        <w:rPr>
          <w:rFonts w:ascii="Arial" w:hAnsi="Arial" w:cs="Arial"/>
          <w:sz w:val="20"/>
          <w:szCs w:val="20"/>
        </w:rPr>
        <w:fldChar w:fldCharType="end"/>
      </w:r>
      <w:r w:rsidR="00806D12" w:rsidRPr="006A6222">
        <w:rPr>
          <w:rFonts w:ascii="Arial" w:hAnsi="Arial" w:cs="Arial"/>
          <w:sz w:val="20"/>
          <w:szCs w:val="20"/>
        </w:rPr>
        <w:t xml:space="preserve">. </w:t>
      </w:r>
      <w:r w:rsidR="00806D84" w:rsidRPr="006A6222">
        <w:rPr>
          <w:rFonts w:ascii="Arial" w:hAnsi="Arial" w:cs="Arial"/>
          <w:sz w:val="20"/>
          <w:szCs w:val="20"/>
        </w:rPr>
        <w:t>T</w:t>
      </w:r>
      <w:r w:rsidR="00806D12" w:rsidRPr="006A6222">
        <w:rPr>
          <w:rFonts w:ascii="Arial" w:hAnsi="Arial" w:cs="Arial"/>
          <w:sz w:val="20"/>
          <w:szCs w:val="20"/>
        </w:rPr>
        <w:t xml:space="preserve">his study was initiated  </w:t>
      </w:r>
      <w:r w:rsidR="001F6BB0" w:rsidRPr="006A6222">
        <w:rPr>
          <w:rFonts w:ascii="Arial" w:hAnsi="Arial" w:cs="Arial"/>
          <w:sz w:val="20"/>
          <w:szCs w:val="20"/>
        </w:rPr>
        <w:t>to measure the accuracy of routine techniques for identifying fungi in mycology laboratories in Lomé, Togo</w:t>
      </w:r>
    </w:p>
    <w:p w14:paraId="475DC9EF" w14:textId="61BD6D80" w:rsidR="00806D12" w:rsidRPr="006A6222" w:rsidRDefault="000B315A" w:rsidP="000B315A">
      <w:pPr>
        <w:pStyle w:val="Heading1"/>
        <w:numPr>
          <w:ilvl w:val="0"/>
          <w:numId w:val="4"/>
        </w:numPr>
        <w:spacing w:before="240" w:line="480" w:lineRule="auto"/>
        <w:jc w:val="left"/>
        <w:rPr>
          <w:sz w:val="22"/>
          <w:szCs w:val="22"/>
        </w:rPr>
      </w:pPr>
      <w:bookmarkStart w:id="9" w:name="_Hlk193403527"/>
      <w:bookmarkEnd w:id="5"/>
      <w:r>
        <w:rPr>
          <w:sz w:val="22"/>
          <w:szCs w:val="22"/>
        </w:rPr>
        <w:t xml:space="preserve">MATERIAL AND </w:t>
      </w:r>
      <w:r w:rsidR="003F22DB" w:rsidRPr="006A6222">
        <w:rPr>
          <w:sz w:val="22"/>
          <w:szCs w:val="22"/>
        </w:rPr>
        <w:t>METHODS</w:t>
      </w:r>
    </w:p>
    <w:p w14:paraId="7418BB59" w14:textId="65FE9740" w:rsidR="00806D12" w:rsidRPr="006A6222" w:rsidRDefault="00E34462" w:rsidP="000B315A">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ZA" w:eastAsia="en-ZA"/>
          <w14:ligatures w14:val="none"/>
        </w:rPr>
      </w:pPr>
      <w:r w:rsidRPr="006A6222">
        <w:rPr>
          <w:rFonts w:ascii="Arial" w:eastAsia="Times New Roman" w:hAnsi="Arial" w:cs="Arial"/>
          <w:b/>
          <w:bCs/>
          <w:noProof w:val="0"/>
          <w:color w:val="auto"/>
          <w:kern w:val="0"/>
          <w:sz w:val="22"/>
          <w:szCs w:val="22"/>
          <w:lang w:val="en-US" w:eastAsia="en-ZA"/>
          <w14:ligatures w14:val="none"/>
        </w:rPr>
        <w:t xml:space="preserve">Study design, </w:t>
      </w:r>
      <w:r w:rsidR="00EB4CF7" w:rsidRPr="006A6222">
        <w:rPr>
          <w:rFonts w:ascii="Arial" w:eastAsia="Times New Roman" w:hAnsi="Arial" w:cs="Arial"/>
          <w:b/>
          <w:bCs/>
          <w:noProof w:val="0"/>
          <w:color w:val="auto"/>
          <w:kern w:val="0"/>
          <w:sz w:val="22"/>
          <w:szCs w:val="22"/>
          <w:lang w:val="en-US" w:eastAsia="en-ZA"/>
          <w14:ligatures w14:val="none"/>
        </w:rPr>
        <w:t xml:space="preserve">period, </w:t>
      </w:r>
      <w:r w:rsidRPr="006A6222">
        <w:rPr>
          <w:rFonts w:ascii="Arial" w:eastAsia="Times New Roman" w:hAnsi="Arial" w:cs="Arial"/>
          <w:b/>
          <w:bCs/>
          <w:noProof w:val="0"/>
          <w:color w:val="auto"/>
          <w:kern w:val="0"/>
          <w:sz w:val="22"/>
          <w:szCs w:val="22"/>
          <w:lang w:val="en-US" w:eastAsia="en-ZA"/>
          <w14:ligatures w14:val="none"/>
        </w:rPr>
        <w:t xml:space="preserve">population </w:t>
      </w:r>
      <w:r w:rsidR="00806D12" w:rsidRPr="006A6222">
        <w:rPr>
          <w:rFonts w:ascii="Arial" w:eastAsia="Times New Roman" w:hAnsi="Arial" w:cs="Arial"/>
          <w:b/>
          <w:bCs/>
          <w:noProof w:val="0"/>
          <w:color w:val="auto"/>
          <w:kern w:val="0"/>
          <w:sz w:val="22"/>
          <w:szCs w:val="22"/>
          <w:lang w:val="en-ZA" w:eastAsia="en-ZA"/>
          <w14:ligatures w14:val="none"/>
        </w:rPr>
        <w:t>and s</w:t>
      </w:r>
      <w:r w:rsidR="007A2BEC" w:rsidRPr="006A6222">
        <w:rPr>
          <w:rFonts w:ascii="Arial" w:eastAsia="Times New Roman" w:hAnsi="Arial" w:cs="Arial"/>
          <w:b/>
          <w:bCs/>
          <w:noProof w:val="0"/>
          <w:color w:val="auto"/>
          <w:kern w:val="0"/>
          <w:sz w:val="22"/>
          <w:szCs w:val="22"/>
          <w:lang w:val="en-ZA" w:eastAsia="en-ZA"/>
          <w14:ligatures w14:val="none"/>
        </w:rPr>
        <w:t>ites</w:t>
      </w:r>
      <w:r w:rsidR="00806D12" w:rsidRPr="006A6222">
        <w:rPr>
          <w:rFonts w:ascii="Arial" w:eastAsia="Times New Roman" w:hAnsi="Arial" w:cs="Arial"/>
          <w:b/>
          <w:bCs/>
          <w:noProof w:val="0"/>
          <w:color w:val="auto"/>
          <w:kern w:val="0"/>
          <w:sz w:val="22"/>
          <w:szCs w:val="22"/>
          <w:lang w:val="en-ZA" w:eastAsia="en-ZA"/>
          <w14:ligatures w14:val="none"/>
        </w:rPr>
        <w:t xml:space="preserve"> of the study</w:t>
      </w:r>
    </w:p>
    <w:p w14:paraId="6F9C5110" w14:textId="3ECC68CE" w:rsidR="00220272" w:rsidRPr="006A6222" w:rsidRDefault="00220272" w:rsidP="00451967">
      <w:pPr>
        <w:spacing w:line="480" w:lineRule="auto"/>
        <w:jc w:val="both"/>
        <w:rPr>
          <w:rFonts w:ascii="Arial" w:hAnsi="Arial" w:cs="Arial"/>
          <w:sz w:val="20"/>
          <w:szCs w:val="20"/>
          <w:lang w:val="en-US"/>
        </w:rPr>
      </w:pPr>
      <w:r w:rsidRPr="006A6222">
        <w:rPr>
          <w:rFonts w:ascii="Arial" w:hAnsi="Arial" w:cs="Arial"/>
          <w:sz w:val="20"/>
          <w:szCs w:val="20"/>
          <w:lang w:val="en-US"/>
        </w:rPr>
        <w:t xml:space="preserve">This descriptive-analytical study was conducted from March 2023 to April 2024. Patients were enrolled across four dermatology departments in Lomé, Togo, between </w:t>
      </w:r>
      <w:r w:rsidR="003D0EDD" w:rsidRPr="006A6222">
        <w:rPr>
          <w:rFonts w:ascii="Arial" w:hAnsi="Arial" w:cs="Arial"/>
          <w:sz w:val="20"/>
          <w:szCs w:val="20"/>
          <w:lang w:val="en-US"/>
        </w:rPr>
        <w:t xml:space="preserve">June </w:t>
      </w:r>
      <w:r w:rsidRPr="006A6222">
        <w:rPr>
          <w:rFonts w:ascii="Arial" w:hAnsi="Arial" w:cs="Arial"/>
          <w:sz w:val="20"/>
          <w:szCs w:val="20"/>
          <w:lang w:val="en-US"/>
        </w:rPr>
        <w:t>202</w:t>
      </w:r>
      <w:r w:rsidR="003D0EDD" w:rsidRPr="006A6222">
        <w:rPr>
          <w:rFonts w:ascii="Arial" w:hAnsi="Arial" w:cs="Arial"/>
          <w:sz w:val="20"/>
          <w:szCs w:val="20"/>
          <w:lang w:val="en-US"/>
        </w:rPr>
        <w:t>2</w:t>
      </w:r>
      <w:r w:rsidRPr="006A6222">
        <w:rPr>
          <w:rFonts w:ascii="Arial" w:hAnsi="Arial" w:cs="Arial"/>
          <w:sz w:val="20"/>
          <w:szCs w:val="20"/>
          <w:lang w:val="en-US"/>
        </w:rPr>
        <w:t xml:space="preserve"> and March 202</w:t>
      </w:r>
      <w:r w:rsidR="003D0EDD" w:rsidRPr="006A6222">
        <w:rPr>
          <w:rFonts w:ascii="Arial" w:hAnsi="Arial" w:cs="Arial"/>
          <w:sz w:val="20"/>
          <w:szCs w:val="20"/>
          <w:lang w:val="en-US"/>
        </w:rPr>
        <w:t>3</w:t>
      </w:r>
      <w:r w:rsidRPr="006A6222">
        <w:rPr>
          <w:rFonts w:ascii="Arial" w:hAnsi="Arial" w:cs="Arial"/>
          <w:sz w:val="20"/>
          <w:szCs w:val="20"/>
          <w:lang w:val="en-US"/>
        </w:rPr>
        <w:t>. Various samples of lesions suspected of superficial mycoses were collected, as depicted in Figure 1. The samples included nail clippings, scalp scrapes, skin scales, and vaginal swabs. For each patient, a detailed information sheet was meticulously recorded. The study involved the dermatology departments of the following institutions, all located in Lomé, the capital of Togo: Centre Hospitalier Universitaire (CHU) Sylvanus Olympio, CHU Campus, Gbossimé Dermatology Center, and Centre Médical des Armées de Lomé (CMA, Gendarmerie). The collected samples underwent initial analysis using traditional identification methods. Subsequently, the isolates were sent to the Parasitology-Mycology Laboratory at Pitié-Salpêtrière Hospital in Paris for advanced identification via MALDI-TOF mass spectrometry.</w:t>
      </w:r>
    </w:p>
    <w:p w14:paraId="5C86BAEA" w14:textId="34FCDE5A" w:rsidR="00263847" w:rsidRPr="00F35139" w:rsidRDefault="00263847" w:rsidP="00F35139">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10" w:name="_Hlk193403787"/>
      <w:bookmarkEnd w:id="9"/>
      <w:r w:rsidRPr="00F35139">
        <w:rPr>
          <w:rFonts w:ascii="Arial" w:eastAsia="Times New Roman" w:hAnsi="Arial" w:cs="Arial"/>
          <w:b/>
          <w:bCs/>
          <w:noProof w:val="0"/>
          <w:color w:val="auto"/>
          <w:kern w:val="0"/>
          <w:sz w:val="22"/>
          <w:szCs w:val="22"/>
          <w:lang w:val="en-US" w:eastAsia="en-ZA"/>
          <w14:ligatures w14:val="none"/>
        </w:rPr>
        <w:t>Sample collection</w:t>
      </w:r>
    </w:p>
    <w:p w14:paraId="7A12E8DB" w14:textId="37350409" w:rsidR="0030620B" w:rsidRPr="006A6222" w:rsidRDefault="0030620B" w:rsidP="00451967">
      <w:pPr>
        <w:spacing w:line="480" w:lineRule="auto"/>
        <w:jc w:val="both"/>
        <w:rPr>
          <w:rFonts w:ascii="Arial" w:hAnsi="Arial" w:cs="Arial"/>
          <w:sz w:val="20"/>
          <w:szCs w:val="20"/>
        </w:rPr>
      </w:pPr>
      <w:r w:rsidRPr="006A6222">
        <w:rPr>
          <w:rFonts w:ascii="Arial" w:hAnsi="Arial" w:cs="Arial"/>
          <w:sz w:val="20"/>
          <w:szCs w:val="20"/>
        </w:rPr>
        <w:t xml:space="preserve">Samples were taken under aseptic conditions from lesions on the skin, nails and scalp (Figure. 1), either by scraping the scales from the edge of the lesion (skin), or by cutting and scraping with a scalpel (nails), or by scraping the scales from the scalp and plucking the affected hair with forceps. Where </w:t>
      </w:r>
      <w:commentRangeStart w:id="11"/>
      <w:r w:rsidRPr="006A6222">
        <w:rPr>
          <w:rFonts w:ascii="Arial" w:hAnsi="Arial" w:cs="Arial"/>
          <w:sz w:val="20"/>
          <w:szCs w:val="20"/>
        </w:rPr>
        <w:t>pityriasis versicolor</w:t>
      </w:r>
      <w:commentRangeEnd w:id="11"/>
      <w:r w:rsidR="008F36BF">
        <w:rPr>
          <w:rStyle w:val="CommentReference"/>
        </w:rPr>
        <w:commentReference w:id="11"/>
      </w:r>
      <w:r w:rsidRPr="006A6222">
        <w:rPr>
          <w:rFonts w:ascii="Arial" w:hAnsi="Arial" w:cs="Arial"/>
          <w:sz w:val="20"/>
          <w:szCs w:val="20"/>
        </w:rPr>
        <w:t xml:space="preserve"> was suspected, samples were taken using adhesive cellophane, followed by direct observation under a light microscope</w:t>
      </w:r>
      <w:r w:rsidR="00C639C2" w:rsidRPr="006A6222">
        <w:rPr>
          <w:rFonts w:ascii="Arial" w:hAnsi="Arial" w:cs="Arial"/>
          <w:sz w:val="20"/>
          <w:szCs w:val="20"/>
        </w:rPr>
        <w:t xml:space="preserve"> (Figure 1)</w:t>
      </w:r>
      <w:r w:rsidRPr="006A6222">
        <w:rPr>
          <w:rFonts w:ascii="Arial" w:hAnsi="Arial" w:cs="Arial"/>
          <w:sz w:val="20"/>
          <w:szCs w:val="20"/>
        </w:rPr>
        <w:t>.</w:t>
      </w:r>
    </w:p>
    <w:p w14:paraId="279EEEA7" w14:textId="2770E264"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val="en-US"/>
        </w:rPr>
        <w:lastRenderedPageBreak/>
        <mc:AlternateContent>
          <mc:Choice Requires="wps">
            <w:drawing>
              <wp:anchor distT="0" distB="0" distL="114300" distR="114300" simplePos="0" relativeHeight="251662336" behindDoc="0" locked="0" layoutInCell="1" allowOverlap="1" wp14:anchorId="077EDB92" wp14:editId="28BA1B46">
                <wp:simplePos x="0" y="0"/>
                <wp:positionH relativeFrom="column">
                  <wp:posOffset>4561554</wp:posOffset>
                </wp:positionH>
                <wp:positionV relativeFrom="paragraph">
                  <wp:posOffset>114813</wp:posOffset>
                </wp:positionV>
                <wp:extent cx="250520" cy="295275"/>
                <wp:effectExtent l="0" t="0" r="16510" b="28575"/>
                <wp:wrapNone/>
                <wp:docPr id="1459199820" name="Rectangle : coins arrondis 5"/>
                <wp:cNvGraphicFramePr/>
                <a:graphic xmlns:a="http://schemas.openxmlformats.org/drawingml/2006/main">
                  <a:graphicData uri="http://schemas.microsoft.com/office/word/2010/wordprocessingShape">
                    <wps:wsp>
                      <wps:cNvSpPr/>
                      <wps:spPr>
                        <a:xfrm>
                          <a:off x="0" y="0"/>
                          <a:ext cx="250520" cy="295275"/>
                        </a:xfrm>
                        <a:prstGeom prst="roundRect">
                          <a:avLst>
                            <a:gd name="adj" fmla="val 0"/>
                          </a:avLst>
                        </a:prstGeom>
                      </wps:spPr>
                      <wps:style>
                        <a:lnRef idx="2">
                          <a:schemeClr val="accent6"/>
                        </a:lnRef>
                        <a:fillRef idx="1">
                          <a:schemeClr val="lt1"/>
                        </a:fillRef>
                        <a:effectRef idx="0">
                          <a:schemeClr val="accent6"/>
                        </a:effectRef>
                        <a:fontRef idx="minor">
                          <a:schemeClr val="dk1"/>
                        </a:fontRef>
                      </wps:style>
                      <wps:txbx>
                        <w:txbxContent>
                          <w:p w14:paraId="63CE6B20" w14:textId="77777777" w:rsidR="00DE32A9" w:rsidRPr="00E23C17" w:rsidRDefault="00DE32A9" w:rsidP="00DE32A9">
                            <w:pPr>
                              <w:jc w:val="center"/>
                            </w:pPr>
                            <w:r w:rsidRPr="00E23C17">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77EDB92" id="Rectangle : coins arrondis 5" o:spid="_x0000_s1027" style="position:absolute;left:0;text-align:left;margin-left:359.2pt;margin-top:9.05pt;width:19.75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" fillcolor="white [3201]" strokecolor="#70ad47 [3209]" strokeweight="1pt">
                <v:stroke joinstyle="miter"/>
                <v:textbox>
                  <w:txbxContent>
                    <w:p w14:paraId="63CE6B20" w14:textId="77777777" w:rsidR="00DE32A9" w:rsidRPr="00E23C17" w:rsidRDefault="00DE32A9" w:rsidP="00DE32A9">
                      <w:pPr>
                        <w:jc w:val="center"/>
                      </w:pPr>
                      <w:r w:rsidRPr="00E23C17">
                        <w:t>D</w:t>
                      </w:r>
                    </w:p>
                  </w:txbxContent>
                </v:textbox>
              </v:roundrect>
            </w:pict>
          </mc:Fallback>
        </mc:AlternateContent>
      </w:r>
      <w:r w:rsidRPr="006A6222">
        <w:rPr>
          <w:rFonts w:ascii="Arial" w:hAnsi="Arial" w:cs="Arial"/>
          <w:color w:val="000000" w:themeColor="text1"/>
          <w:sz w:val="24"/>
          <w:szCs w:val="24"/>
          <w:lang w:val="en-US"/>
        </w:rPr>
        <mc:AlternateContent>
          <mc:Choice Requires="wps">
            <w:drawing>
              <wp:anchor distT="0" distB="0" distL="114300" distR="114300" simplePos="0" relativeHeight="251660288" behindDoc="0" locked="0" layoutInCell="1" allowOverlap="1" wp14:anchorId="06B51EDB" wp14:editId="6D6D638A">
                <wp:simplePos x="0" y="0"/>
                <wp:positionH relativeFrom="column">
                  <wp:posOffset>1522730</wp:posOffset>
                </wp:positionH>
                <wp:positionV relativeFrom="paragraph">
                  <wp:posOffset>120650</wp:posOffset>
                </wp:positionV>
                <wp:extent cx="266700" cy="285750"/>
                <wp:effectExtent l="0" t="0" r="19050" b="19050"/>
                <wp:wrapNone/>
                <wp:docPr id="2052058632" name="Rectangle : coins arrondis 3"/>
                <wp:cNvGraphicFramePr/>
                <a:graphic xmlns:a="http://schemas.openxmlformats.org/drawingml/2006/main">
                  <a:graphicData uri="http://schemas.microsoft.com/office/word/2010/wordprocessingShape">
                    <wps:wsp>
                      <wps:cNvSpPr/>
                      <wps:spPr>
                        <a:xfrm>
                          <a:off x="0" y="0"/>
                          <a:ext cx="2667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74F41B" w14:textId="77777777" w:rsidR="00DE32A9" w:rsidRPr="00E23C17" w:rsidRDefault="00DE32A9" w:rsidP="00DE32A9">
                            <w:pPr>
                              <w:jc w:val="center"/>
                            </w:pPr>
                            <w:r w:rsidRPr="00E23C17">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6B51EDB" id="Rectangle : coins arrondis 3" o:spid="_x0000_s1028" style="position:absolute;left:0;text-align:left;margin-left:119.9pt;margin-top:9.5pt;width:21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" fillcolor="white [3201]" strokecolor="#70ad47 [3209]" strokeweight="1pt">
                <v:stroke joinstyle="miter"/>
                <v:textbox>
                  <w:txbxContent>
                    <w:p w14:paraId="2974F41B" w14:textId="77777777" w:rsidR="00DE32A9" w:rsidRPr="00E23C17" w:rsidRDefault="00DE32A9" w:rsidP="00DE32A9">
                      <w:pPr>
                        <w:jc w:val="center"/>
                      </w:pPr>
                      <w:r w:rsidRPr="00E23C17">
                        <w:t>B</w:t>
                      </w:r>
                    </w:p>
                  </w:txbxContent>
                </v:textbox>
              </v:roundrect>
            </w:pict>
          </mc:Fallback>
        </mc:AlternateContent>
      </w:r>
      <w:r w:rsidRPr="006A6222">
        <w:rPr>
          <w:rFonts w:ascii="Arial" w:hAnsi="Arial" w:cs="Arial"/>
          <w:color w:val="000000" w:themeColor="text1"/>
          <w:sz w:val="24"/>
          <w:szCs w:val="24"/>
          <w:lang w:val="en-US"/>
        </w:rPr>
        <mc:AlternateContent>
          <mc:Choice Requires="wps">
            <w:drawing>
              <wp:anchor distT="0" distB="0" distL="114300" distR="114300" simplePos="0" relativeHeight="251661312" behindDoc="0" locked="0" layoutInCell="1" allowOverlap="1" wp14:anchorId="189096E0" wp14:editId="7DF8DF05">
                <wp:simplePos x="0" y="0"/>
                <wp:positionH relativeFrom="column">
                  <wp:posOffset>3201670</wp:posOffset>
                </wp:positionH>
                <wp:positionV relativeFrom="paragraph">
                  <wp:posOffset>121285</wp:posOffset>
                </wp:positionV>
                <wp:extent cx="276225" cy="271421"/>
                <wp:effectExtent l="0" t="0" r="28575" b="14605"/>
                <wp:wrapNone/>
                <wp:docPr id="54426087" name="Rectangle : coins arrondis 4"/>
                <wp:cNvGraphicFramePr/>
                <a:graphic xmlns:a="http://schemas.openxmlformats.org/drawingml/2006/main">
                  <a:graphicData uri="http://schemas.microsoft.com/office/word/2010/wordprocessingShape">
                    <wps:wsp>
                      <wps:cNvSpPr/>
                      <wps:spPr>
                        <a:xfrm>
                          <a:off x="0" y="0"/>
                          <a:ext cx="276225" cy="2714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1DFD241" w14:textId="77777777" w:rsidR="00DE32A9" w:rsidRPr="00E23C17" w:rsidRDefault="00DE32A9" w:rsidP="00DE32A9">
                            <w:pPr>
                              <w:jc w:val="center"/>
                            </w:pPr>
                            <w:r w:rsidRPr="00E23C17">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89096E0" id="Rectangle : coins arrondis 4" o:spid="_x0000_s1029" style="position:absolute;left:0;text-align:left;margin-left:252.1pt;margin-top:9.55pt;width:21.75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" fillcolor="white [3201]" strokecolor="#70ad47 [3209]" strokeweight="1pt">
                <v:stroke joinstyle="miter"/>
                <v:textbox>
                  <w:txbxContent>
                    <w:p w14:paraId="61DFD241" w14:textId="77777777" w:rsidR="00DE32A9" w:rsidRPr="00E23C17" w:rsidRDefault="00DE32A9" w:rsidP="00DE32A9">
                      <w:pPr>
                        <w:jc w:val="center"/>
                      </w:pPr>
                      <w:r w:rsidRPr="00E23C17">
                        <w:t>C</w:t>
                      </w:r>
                    </w:p>
                  </w:txbxContent>
                </v:textbox>
              </v:roundrect>
            </w:pict>
          </mc:Fallback>
        </mc:AlternateContent>
      </w:r>
      <w:r w:rsidRPr="006A6222">
        <w:rPr>
          <w:rFonts w:ascii="Arial" w:hAnsi="Arial" w:cs="Arial"/>
          <w:color w:val="000000" w:themeColor="text1"/>
          <w:sz w:val="24"/>
          <w:szCs w:val="24"/>
          <w:lang w:val="en-US"/>
        </w:rPr>
        <mc:AlternateContent>
          <mc:Choice Requires="wps">
            <w:drawing>
              <wp:anchor distT="0" distB="0" distL="114300" distR="114300" simplePos="0" relativeHeight="251659264" behindDoc="0" locked="0" layoutInCell="1" allowOverlap="1" wp14:anchorId="4F90C63D" wp14:editId="00120315">
                <wp:simplePos x="0" y="0"/>
                <wp:positionH relativeFrom="column">
                  <wp:posOffset>65405</wp:posOffset>
                </wp:positionH>
                <wp:positionV relativeFrom="paragraph">
                  <wp:posOffset>63500</wp:posOffset>
                </wp:positionV>
                <wp:extent cx="295275" cy="276225"/>
                <wp:effectExtent l="0" t="0" r="28575" b="28575"/>
                <wp:wrapNone/>
                <wp:docPr id="1378692278" name="Rectangle : coins arrondis 2"/>
                <wp:cNvGraphicFramePr/>
                <a:graphic xmlns:a="http://schemas.openxmlformats.org/drawingml/2006/main">
                  <a:graphicData uri="http://schemas.microsoft.com/office/word/2010/wordprocessingShape">
                    <wps:wsp>
                      <wps:cNvSpPr/>
                      <wps:spPr>
                        <a:xfrm>
                          <a:off x="0" y="0"/>
                          <a:ext cx="29527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43EE15D" w14:textId="77777777" w:rsidR="00DE32A9" w:rsidRPr="00E23C17" w:rsidRDefault="00DE32A9" w:rsidP="00DE32A9">
                            <w:pPr>
                              <w:jc w:val="center"/>
                            </w:pPr>
                            <w:r w:rsidRPr="00E23C17">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F90C63D" id="Rectangle : coins arrondis 2" o:spid="_x0000_s1030" style="position:absolute;left:0;text-align:left;margin-left:5.15pt;margin-top:5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" fillcolor="white [3201]" strokecolor="#70ad47 [3209]" strokeweight="1pt">
                <v:stroke joinstyle="miter"/>
                <v:textbox>
                  <w:txbxContent>
                    <w:p w14:paraId="143EE15D" w14:textId="77777777" w:rsidR="00DE32A9" w:rsidRPr="00E23C17" w:rsidRDefault="00DE32A9" w:rsidP="00DE32A9">
                      <w:pPr>
                        <w:jc w:val="center"/>
                      </w:pPr>
                      <w:r w:rsidRPr="00E23C17">
                        <w:t>A</w:t>
                      </w:r>
                    </w:p>
                  </w:txbxContent>
                </v:textbox>
              </v:roundrect>
            </w:pict>
          </mc:Fallback>
        </mc:AlternateContent>
      </w:r>
      <w:r w:rsidRPr="006A6222">
        <w:rPr>
          <w:rFonts w:ascii="Arial" w:hAnsi="Arial" w:cs="Arial"/>
          <w:color w:val="000000" w:themeColor="text1"/>
          <w:sz w:val="24"/>
          <w:szCs w:val="24"/>
          <w:lang w:val="en-US"/>
        </w:rPr>
        <w:drawing>
          <wp:inline distT="0" distB="0" distL="0" distR="0" wp14:anchorId="4E0CE5D7" wp14:editId="5FDA3F33">
            <wp:extent cx="1295400" cy="1341120"/>
            <wp:effectExtent l="0" t="0" r="0" b="0"/>
            <wp:docPr id="704293134"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3411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n-US"/>
        </w:rPr>
        <w:drawing>
          <wp:inline distT="0" distB="0" distL="0" distR="0" wp14:anchorId="52B763B0" wp14:editId="607840CF">
            <wp:extent cx="1280160" cy="1371600"/>
            <wp:effectExtent l="0" t="0" r="0" b="0"/>
            <wp:docPr id="801764956"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137160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n-US"/>
        </w:rPr>
        <w:drawing>
          <wp:inline distT="0" distB="0" distL="0" distR="0" wp14:anchorId="005B384B" wp14:editId="468B48B9">
            <wp:extent cx="1295400" cy="1333500"/>
            <wp:effectExtent l="0" t="0" r="0" b="0"/>
            <wp:docPr id="9349118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333500"/>
                    </a:xfrm>
                    <a:prstGeom prst="rect">
                      <a:avLst/>
                    </a:prstGeom>
                    <a:noFill/>
                  </pic:spPr>
                </pic:pic>
              </a:graphicData>
            </a:graphic>
          </wp:inline>
        </w:drawing>
      </w:r>
      <w:r w:rsidRPr="006A6222">
        <w:rPr>
          <w:rFonts w:ascii="Arial" w:hAnsi="Arial" w:cs="Arial"/>
          <w:color w:val="000000" w:themeColor="text1"/>
          <w:sz w:val="24"/>
          <w:szCs w:val="24"/>
          <w:lang w:eastAsia="fr-FR"/>
        </w:rPr>
        <w:t xml:space="preserve"> </w:t>
      </w:r>
      <w:r w:rsidRPr="006A6222">
        <w:rPr>
          <w:rFonts w:ascii="Arial" w:hAnsi="Arial" w:cs="Arial"/>
          <w:color w:val="000000" w:themeColor="text1"/>
          <w:sz w:val="24"/>
          <w:szCs w:val="24"/>
          <w:lang w:val="en-US"/>
        </w:rPr>
        <w:drawing>
          <wp:inline distT="0" distB="0" distL="0" distR="0" wp14:anchorId="6871B2E1" wp14:editId="6CE84983">
            <wp:extent cx="1432560" cy="1348740"/>
            <wp:effectExtent l="0" t="0" r="0" b="3810"/>
            <wp:docPr id="134836206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1348740"/>
                    </a:xfrm>
                    <a:prstGeom prst="rect">
                      <a:avLst/>
                    </a:prstGeom>
                    <a:noFill/>
                  </pic:spPr>
                </pic:pic>
              </a:graphicData>
            </a:graphic>
          </wp:inline>
        </w:drawing>
      </w:r>
    </w:p>
    <w:p w14:paraId="173635FE" w14:textId="2AADC7AC"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val="en-US"/>
        </w:rPr>
        <mc:AlternateContent>
          <mc:Choice Requires="wps">
            <w:drawing>
              <wp:anchor distT="0" distB="0" distL="114300" distR="114300" simplePos="0" relativeHeight="251664384" behindDoc="0" locked="0" layoutInCell="1" allowOverlap="1" wp14:anchorId="26591662" wp14:editId="124B9BE5">
                <wp:simplePos x="0" y="0"/>
                <wp:positionH relativeFrom="column">
                  <wp:posOffset>3656689</wp:posOffset>
                </wp:positionH>
                <wp:positionV relativeFrom="paragraph">
                  <wp:posOffset>119428</wp:posOffset>
                </wp:positionV>
                <wp:extent cx="314325" cy="276225"/>
                <wp:effectExtent l="0" t="0" r="28575" b="28575"/>
                <wp:wrapNone/>
                <wp:docPr id="1825746453" name="Rectangle : coins arrondis 7"/>
                <wp:cNvGraphicFramePr/>
                <a:graphic xmlns:a="http://schemas.openxmlformats.org/drawingml/2006/main">
                  <a:graphicData uri="http://schemas.microsoft.com/office/word/2010/wordprocessingShape">
                    <wps:wsp>
                      <wps:cNvSpPr/>
                      <wps:spPr>
                        <a:xfrm>
                          <a:off x="0" y="0"/>
                          <a:ext cx="31432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FEC130" w14:textId="77777777" w:rsidR="00DE32A9" w:rsidRPr="00E23C17" w:rsidRDefault="00DE32A9" w:rsidP="00DE32A9">
                            <w:pPr>
                              <w:jc w:val="center"/>
                            </w:pPr>
                            <w:r w:rsidRPr="00E23C17">
                              <w:t>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6591662" id="Rectangle : coins arrondis 7" o:spid="_x0000_s1031" style="position:absolute;left:0;text-align:left;margin-left:287.95pt;margin-top:9.4pt;width:24.7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" fillcolor="white [3201]" strokecolor="#70ad47 [3209]" strokeweight="1pt">
                <v:stroke joinstyle="miter"/>
                <v:textbox>
                  <w:txbxContent>
                    <w:p w14:paraId="17FEC130" w14:textId="77777777" w:rsidR="00DE32A9" w:rsidRPr="00E23C17" w:rsidRDefault="00DE32A9" w:rsidP="00DE32A9">
                      <w:pPr>
                        <w:jc w:val="center"/>
                      </w:pPr>
                      <w:r w:rsidRPr="00E23C17">
                        <w:t>F</w:t>
                      </w:r>
                    </w:p>
                  </w:txbxContent>
                </v:textbox>
              </v:roundrect>
            </w:pict>
          </mc:Fallback>
        </mc:AlternateContent>
      </w:r>
      <w:r w:rsidRPr="006A6222">
        <w:rPr>
          <w:rFonts w:ascii="Arial" w:hAnsi="Arial" w:cs="Arial"/>
          <w:color w:val="000000" w:themeColor="text1"/>
          <w:sz w:val="24"/>
          <w:szCs w:val="24"/>
          <w:lang w:val="en-US"/>
        </w:rPr>
        <mc:AlternateContent>
          <mc:Choice Requires="wps">
            <w:drawing>
              <wp:anchor distT="0" distB="0" distL="114300" distR="114300" simplePos="0" relativeHeight="251665408" behindDoc="0" locked="0" layoutInCell="1" allowOverlap="1" wp14:anchorId="6900699E" wp14:editId="47C1AC52">
                <wp:simplePos x="0" y="0"/>
                <wp:positionH relativeFrom="column">
                  <wp:posOffset>5224181</wp:posOffset>
                </wp:positionH>
                <wp:positionV relativeFrom="paragraph">
                  <wp:posOffset>49338</wp:posOffset>
                </wp:positionV>
                <wp:extent cx="333375" cy="342900"/>
                <wp:effectExtent l="0" t="0" r="28575" b="19050"/>
                <wp:wrapNone/>
                <wp:docPr id="2051199208" name="Rectangle : coins arrondis 8"/>
                <wp:cNvGraphicFramePr/>
                <a:graphic xmlns:a="http://schemas.openxmlformats.org/drawingml/2006/main">
                  <a:graphicData uri="http://schemas.microsoft.com/office/word/2010/wordprocessingShape">
                    <wps:wsp>
                      <wps:cNvSpPr/>
                      <wps:spPr>
                        <a:xfrm>
                          <a:off x="0" y="0"/>
                          <a:ext cx="33337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6DD2C7" w14:textId="77777777" w:rsidR="00DE32A9" w:rsidRPr="00E23C17" w:rsidRDefault="00DE32A9" w:rsidP="00DE32A9">
                            <w:pPr>
                              <w:jc w:val="center"/>
                            </w:pPr>
                            <w:r w:rsidRPr="00E23C17">
                              <w:t>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900699E" id="Rectangle : coins arrondis 8" o:spid="_x0000_s1032" style="position:absolute;left:0;text-align:left;margin-left:411.35pt;margin-top:3.9pt;width:26.2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" fillcolor="white [3201]" strokecolor="#70ad47 [3209]" strokeweight="1pt">
                <v:stroke joinstyle="miter"/>
                <v:textbox>
                  <w:txbxContent>
                    <w:p w14:paraId="256DD2C7" w14:textId="77777777" w:rsidR="00DE32A9" w:rsidRPr="00E23C17" w:rsidRDefault="00DE32A9" w:rsidP="00DE32A9">
                      <w:pPr>
                        <w:jc w:val="center"/>
                      </w:pPr>
                      <w:r w:rsidRPr="00E23C17">
                        <w:t>G</w:t>
                      </w:r>
                    </w:p>
                  </w:txbxContent>
                </v:textbox>
              </v:roundrect>
            </w:pict>
          </mc:Fallback>
        </mc:AlternateContent>
      </w:r>
      <w:r w:rsidRPr="006A6222">
        <w:rPr>
          <w:rFonts w:ascii="Arial" w:hAnsi="Arial" w:cs="Arial"/>
          <w:color w:val="000000" w:themeColor="text1"/>
          <w:sz w:val="24"/>
          <w:szCs w:val="24"/>
          <w:lang w:val="en-US"/>
        </w:rPr>
        <mc:AlternateContent>
          <mc:Choice Requires="wps">
            <w:drawing>
              <wp:anchor distT="0" distB="0" distL="114300" distR="114300" simplePos="0" relativeHeight="251663360" behindDoc="0" locked="0" layoutInCell="1" allowOverlap="1" wp14:anchorId="55B04B34" wp14:editId="1AEC16B7">
                <wp:simplePos x="0" y="0"/>
                <wp:positionH relativeFrom="column">
                  <wp:posOffset>1675130</wp:posOffset>
                </wp:positionH>
                <wp:positionV relativeFrom="paragraph">
                  <wp:posOffset>95250</wp:posOffset>
                </wp:positionV>
                <wp:extent cx="266700" cy="276225"/>
                <wp:effectExtent l="0" t="0" r="19050" b="28575"/>
                <wp:wrapNone/>
                <wp:docPr id="104374693" name="Rectangle : coins arrondis 6"/>
                <wp:cNvGraphicFramePr/>
                <a:graphic xmlns:a="http://schemas.openxmlformats.org/drawingml/2006/main">
                  <a:graphicData uri="http://schemas.microsoft.com/office/word/2010/wordprocessingShape">
                    <wps:wsp>
                      <wps:cNvSpPr/>
                      <wps:spPr>
                        <a:xfrm>
                          <a:off x="0" y="0"/>
                          <a:ext cx="266700"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67ECCC" w14:textId="77777777" w:rsidR="00DE32A9" w:rsidRPr="00E23C17" w:rsidRDefault="00DE32A9" w:rsidP="00DE32A9">
                            <w:pPr>
                              <w:jc w:val="center"/>
                            </w:pPr>
                            <w:r w:rsidRPr="00E23C17">
                              <w: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5B04B34" id="Rectangle : coins arrondis 6" o:spid="_x0000_s1033" style="position:absolute;left:0;text-align:left;margin-left:131.9pt;margin-top:7.5pt;width:21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" fillcolor="white [3201]" strokecolor="#70ad47 [3209]" strokeweight="1pt">
                <v:stroke joinstyle="miter"/>
                <v:textbox>
                  <w:txbxContent>
                    <w:p w14:paraId="5167ECCC" w14:textId="77777777" w:rsidR="00DE32A9" w:rsidRPr="00E23C17" w:rsidRDefault="00DE32A9" w:rsidP="00DE32A9">
                      <w:pPr>
                        <w:jc w:val="center"/>
                      </w:pPr>
                      <w:r w:rsidRPr="00E23C17">
                        <w:t>E</w:t>
                      </w:r>
                    </w:p>
                  </w:txbxContent>
                </v:textbox>
              </v:roundrect>
            </w:pict>
          </mc:Fallback>
        </mc:AlternateContent>
      </w:r>
      <w:r w:rsidRPr="006A6222">
        <w:rPr>
          <w:rFonts w:ascii="Arial" w:hAnsi="Arial" w:cs="Arial"/>
          <w:color w:val="000000" w:themeColor="text1"/>
          <w:sz w:val="24"/>
          <w:szCs w:val="24"/>
          <w:lang w:val="en-US"/>
        </w:rPr>
        <w:drawing>
          <wp:inline distT="0" distB="0" distL="0" distR="0" wp14:anchorId="7AC3603E" wp14:editId="345012E6">
            <wp:extent cx="2011680" cy="1546860"/>
            <wp:effectExtent l="0" t="0" r="7620" b="0"/>
            <wp:docPr id="1876098567"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1680" cy="154686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n-US"/>
        </w:rPr>
        <w:drawing>
          <wp:inline distT="0" distB="0" distL="0" distR="0" wp14:anchorId="7EF1DC70" wp14:editId="1FA2C18E">
            <wp:extent cx="2026920" cy="1531620"/>
            <wp:effectExtent l="0" t="0" r="0" b="0"/>
            <wp:docPr id="1597971682"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6920" cy="15316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lang w:val="en-US"/>
        </w:rPr>
        <w:drawing>
          <wp:inline distT="0" distB="0" distL="0" distR="0" wp14:anchorId="41E82AA5" wp14:editId="02B8CF6A">
            <wp:extent cx="1600200" cy="1539240"/>
            <wp:effectExtent l="0" t="0" r="0" b="3810"/>
            <wp:docPr id="61248571"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539240"/>
                    </a:xfrm>
                    <a:prstGeom prst="rect">
                      <a:avLst/>
                    </a:prstGeom>
                    <a:noFill/>
                  </pic:spPr>
                </pic:pic>
              </a:graphicData>
            </a:graphic>
          </wp:inline>
        </w:drawing>
      </w:r>
    </w:p>
    <w:p w14:paraId="15C20307" w14:textId="095D8D04" w:rsidR="00DE32A9" w:rsidRPr="006A6222" w:rsidRDefault="00DE32A9" w:rsidP="00451967">
      <w:pPr>
        <w:pStyle w:val="Caption"/>
        <w:spacing w:line="480" w:lineRule="auto"/>
        <w:rPr>
          <w:rFonts w:ascii="Arial" w:hAnsi="Arial" w:cs="Arial"/>
          <w:color w:val="000000" w:themeColor="text1"/>
          <w:sz w:val="20"/>
          <w:szCs w:val="20"/>
          <w:lang w:val="en-US"/>
        </w:rPr>
      </w:pPr>
      <w:r w:rsidRPr="00EF28E1">
        <w:rPr>
          <w:rFonts w:ascii="Arial" w:hAnsi="Arial" w:cs="Arial"/>
          <w:b/>
          <w:bCs/>
          <w:i w:val="0"/>
          <w:iCs w:val="0"/>
          <w:color w:val="000000" w:themeColor="text1"/>
          <w:sz w:val="20"/>
          <w:szCs w:val="20"/>
          <w:lang w:val="en-US"/>
        </w:rPr>
        <w:t xml:space="preserve">Figure </w:t>
      </w:r>
      <w:r w:rsidRPr="00EF28E1">
        <w:rPr>
          <w:rFonts w:ascii="Arial" w:hAnsi="Arial" w:cs="Arial"/>
          <w:b/>
          <w:bCs/>
          <w:i w:val="0"/>
          <w:iCs w:val="0"/>
          <w:color w:val="000000" w:themeColor="text1"/>
          <w:sz w:val="20"/>
          <w:szCs w:val="20"/>
          <w:lang w:val="en-US"/>
        </w:rPr>
        <w:fldChar w:fldCharType="begin"/>
      </w:r>
      <w:r w:rsidRPr="00EF28E1">
        <w:rPr>
          <w:rFonts w:ascii="Arial" w:hAnsi="Arial" w:cs="Arial"/>
          <w:b/>
          <w:bCs/>
          <w:i w:val="0"/>
          <w:iCs w:val="0"/>
          <w:color w:val="000000" w:themeColor="text1"/>
          <w:sz w:val="20"/>
          <w:szCs w:val="20"/>
          <w:lang w:val="en-US"/>
        </w:rPr>
        <w:instrText xml:space="preserve"> SEQ Figure \* ARABIC </w:instrText>
      </w:r>
      <w:r w:rsidRPr="00EF28E1">
        <w:rPr>
          <w:rFonts w:ascii="Arial" w:hAnsi="Arial" w:cs="Arial"/>
          <w:b/>
          <w:bCs/>
          <w:i w:val="0"/>
          <w:iCs w:val="0"/>
          <w:color w:val="000000" w:themeColor="text1"/>
          <w:sz w:val="20"/>
          <w:szCs w:val="20"/>
          <w:lang w:val="en-US"/>
        </w:rPr>
        <w:fldChar w:fldCharType="separate"/>
      </w:r>
      <w:r w:rsidRPr="00EF28E1">
        <w:rPr>
          <w:rFonts w:ascii="Arial" w:hAnsi="Arial" w:cs="Arial"/>
          <w:b/>
          <w:bCs/>
          <w:i w:val="0"/>
          <w:iCs w:val="0"/>
          <w:noProof/>
          <w:color w:val="000000" w:themeColor="text1"/>
          <w:sz w:val="20"/>
          <w:szCs w:val="20"/>
          <w:lang w:val="en-US"/>
        </w:rPr>
        <w:t>1</w:t>
      </w:r>
      <w:r w:rsidRPr="00EF28E1">
        <w:rPr>
          <w:rFonts w:ascii="Arial" w:hAnsi="Arial" w:cs="Arial"/>
          <w:b/>
          <w:bCs/>
          <w:i w:val="0"/>
          <w:iCs w:val="0"/>
          <w:color w:val="000000" w:themeColor="text1"/>
          <w:sz w:val="20"/>
          <w:szCs w:val="20"/>
          <w:lang w:val="en-US"/>
        </w:rPr>
        <w:fldChar w:fldCharType="end"/>
      </w:r>
      <w:r w:rsidRPr="00EF28E1">
        <w:rPr>
          <w:rFonts w:ascii="Arial" w:hAnsi="Arial" w:cs="Arial"/>
          <w:b/>
          <w:bCs/>
          <w:i w:val="0"/>
          <w:iCs w:val="0"/>
          <w:color w:val="000000" w:themeColor="text1"/>
          <w:sz w:val="20"/>
          <w:szCs w:val="20"/>
          <w:lang w:val="en-US"/>
        </w:rPr>
        <w:t>: clinical lesions collected and fungi isolated</w:t>
      </w:r>
      <w:r w:rsidRPr="006A6222">
        <w:rPr>
          <w:rFonts w:ascii="Arial" w:hAnsi="Arial" w:cs="Arial"/>
          <w:color w:val="000000" w:themeColor="text1"/>
          <w:sz w:val="20"/>
          <w:szCs w:val="20"/>
          <w:lang w:val="en-US"/>
        </w:rPr>
        <w:t xml:space="preserve"> </w:t>
      </w:r>
      <w:r w:rsidRPr="00EF28E1">
        <w:rPr>
          <w:rFonts w:ascii="Arial" w:hAnsi="Arial" w:cs="Arial"/>
          <w:i w:val="0"/>
          <w:iCs w:val="0"/>
          <w:color w:val="000000" w:themeColor="text1"/>
          <w:sz w:val="20"/>
          <w:szCs w:val="20"/>
          <w:lang w:val="en-US"/>
        </w:rPr>
        <w:t>(Source</w:t>
      </w:r>
      <w:r w:rsidR="00D7462F" w:rsidRPr="006A6222">
        <w:rPr>
          <w:rFonts w:ascii="Arial" w:hAnsi="Arial" w:cs="Arial"/>
          <w:color w:val="000000" w:themeColor="text1"/>
          <w:sz w:val="20"/>
          <w:szCs w:val="20"/>
          <w:lang w:val="en-US"/>
        </w:rPr>
        <w:fldChar w:fldCharType="begin" w:fldLock="1"/>
      </w:r>
      <w:r w:rsidR="00451D3E">
        <w:rPr>
          <w:rFonts w:ascii="Arial" w:hAnsi="Arial" w:cs="Arial"/>
          <w:color w:val="000000" w:themeColor="text1"/>
          <w:sz w:val="20"/>
          <w:szCs w:val="20"/>
          <w:lang w:val="en-US"/>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(Togo)","type":"article-journal"},"uris":["http://www.mendeley.com/documents/?uuid=6bbee7ed-7d5b-4475-894f-5cbe8cca4bae"]}],"mendeley":{"formattedCitation":"(Efoé SOSSOU*, Ameyo DORKENOO, 2024)","manualFormatting":"(Efoé Sossou et al., 2024)"},"properties":{"noteIndex":0},"schema":"https://github.com/citation-style-language/schema/raw/master/csl-citation.json"}</w:instrText>
      </w:r>
      <w:r w:rsidR="00D7462F" w:rsidRPr="006A6222">
        <w:rPr>
          <w:rFonts w:ascii="Arial" w:hAnsi="Arial" w:cs="Arial"/>
          <w:color w:val="000000" w:themeColor="text1"/>
          <w:sz w:val="20"/>
          <w:szCs w:val="20"/>
          <w:lang w:val="en-US"/>
        </w:rPr>
        <w:fldChar w:fldCharType="separate"/>
      </w:r>
      <w:r w:rsidR="00422B90" w:rsidRPr="00422B90">
        <w:rPr>
          <w:rFonts w:ascii="Arial" w:hAnsi="Arial" w:cs="Arial"/>
          <w:i w:val="0"/>
          <w:noProof/>
          <w:color w:val="000000" w:themeColor="text1"/>
          <w:sz w:val="20"/>
          <w:szCs w:val="20"/>
          <w:lang w:val="en-US"/>
        </w:rPr>
        <w:t>(Efoé S</w:t>
      </w:r>
      <w:r w:rsidR="00451D3E" w:rsidRPr="00422B90">
        <w:rPr>
          <w:rFonts w:ascii="Arial" w:hAnsi="Arial" w:cs="Arial"/>
          <w:i w:val="0"/>
          <w:noProof/>
          <w:color w:val="000000" w:themeColor="text1"/>
          <w:sz w:val="20"/>
          <w:szCs w:val="20"/>
          <w:lang w:val="en-US"/>
        </w:rPr>
        <w:t>ossou</w:t>
      </w:r>
      <w:r w:rsidR="00422B90">
        <w:rPr>
          <w:rFonts w:ascii="Arial" w:hAnsi="Arial" w:cs="Arial"/>
          <w:i w:val="0"/>
          <w:noProof/>
          <w:color w:val="000000" w:themeColor="text1"/>
          <w:sz w:val="20"/>
          <w:szCs w:val="20"/>
          <w:lang w:val="en-US"/>
        </w:rPr>
        <w:t xml:space="preserve"> </w:t>
      </w:r>
      <w:r w:rsidR="00422B90" w:rsidRPr="000D28CD">
        <w:rPr>
          <w:rFonts w:ascii="Arial" w:hAnsi="Arial" w:cs="Arial"/>
          <w:iCs w:val="0"/>
          <w:noProof/>
          <w:color w:val="000000" w:themeColor="text1"/>
          <w:sz w:val="20"/>
          <w:szCs w:val="20"/>
          <w:lang w:val="en-US"/>
        </w:rPr>
        <w:t>et al</w:t>
      </w:r>
      <w:r w:rsidR="00422B90">
        <w:rPr>
          <w:rFonts w:ascii="Arial" w:hAnsi="Arial" w:cs="Arial"/>
          <w:i w:val="0"/>
          <w:noProof/>
          <w:color w:val="000000" w:themeColor="text1"/>
          <w:sz w:val="20"/>
          <w:szCs w:val="20"/>
          <w:lang w:val="en-US"/>
        </w:rPr>
        <w:t>.</w:t>
      </w:r>
      <w:r w:rsidR="00422B90" w:rsidRPr="00422B90">
        <w:rPr>
          <w:rFonts w:ascii="Arial" w:hAnsi="Arial" w:cs="Arial"/>
          <w:i w:val="0"/>
          <w:noProof/>
          <w:color w:val="000000" w:themeColor="text1"/>
          <w:sz w:val="20"/>
          <w:szCs w:val="20"/>
          <w:lang w:val="en-US"/>
        </w:rPr>
        <w:t>, 2024)</w:t>
      </w:r>
      <w:r w:rsidR="00D7462F" w:rsidRPr="006A6222">
        <w:rPr>
          <w:rFonts w:ascii="Arial" w:hAnsi="Arial" w:cs="Arial"/>
          <w:color w:val="000000" w:themeColor="text1"/>
          <w:sz w:val="20"/>
          <w:szCs w:val="20"/>
          <w:lang w:val="en-US"/>
        </w:rPr>
        <w:fldChar w:fldCharType="end"/>
      </w:r>
      <w:r w:rsidRPr="00EF28E1">
        <w:rPr>
          <w:rFonts w:ascii="Arial" w:hAnsi="Arial" w:cs="Arial"/>
          <w:i w:val="0"/>
          <w:iCs w:val="0"/>
          <w:color w:val="000000" w:themeColor="text1"/>
          <w:sz w:val="20"/>
          <w:szCs w:val="20"/>
          <w:lang w:val="en-US"/>
        </w:rPr>
        <w:t>)</w:t>
      </w:r>
    </w:p>
    <w:p w14:paraId="4EFAEE65"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F35139">
        <w:rPr>
          <w:rFonts w:ascii="Arial" w:hAnsi="Arial" w:cs="Arial"/>
          <w:color w:val="000000" w:themeColor="text1"/>
          <w:sz w:val="20"/>
          <w:szCs w:val="20"/>
          <w:lang w:val="en-US"/>
        </w:rPr>
        <w:t>A:</w:t>
      </w:r>
      <w:r w:rsidRPr="006A6222">
        <w:rPr>
          <w:rFonts w:ascii="Arial" w:hAnsi="Arial" w:cs="Arial"/>
          <w:color w:val="000000" w:themeColor="text1"/>
          <w:sz w:val="24"/>
          <w:szCs w:val="24"/>
          <w:lang w:val="en-US"/>
        </w:rPr>
        <w:t xml:space="preserve"> </w:t>
      </w:r>
      <w:r w:rsidRPr="006A6222">
        <w:rPr>
          <w:rFonts w:ascii="Arial" w:hAnsi="Arial" w:cs="Arial"/>
          <w:color w:val="000000" w:themeColor="text1"/>
          <w:sz w:val="20"/>
          <w:szCs w:val="20"/>
          <w:lang w:val="en-US"/>
        </w:rPr>
        <w:t xml:space="preserve">Onychomycosis of the thumb (hand) </w:t>
      </w:r>
      <w:r w:rsidRPr="006A6222">
        <w:rPr>
          <w:rFonts w:ascii="Arial" w:hAnsi="Arial" w:cs="Arial"/>
          <w:i/>
          <w:iCs/>
          <w:color w:val="000000" w:themeColor="text1"/>
          <w:sz w:val="20"/>
          <w:szCs w:val="20"/>
          <w:lang w:val="en-US"/>
        </w:rPr>
        <w:t>(Candida albicans</w:t>
      </w:r>
      <w:r w:rsidRPr="006A6222">
        <w:rPr>
          <w:rFonts w:ascii="Arial" w:hAnsi="Arial" w:cs="Arial"/>
          <w:color w:val="000000" w:themeColor="text1"/>
          <w:sz w:val="20"/>
          <w:szCs w:val="20"/>
          <w:lang w:val="en-US"/>
        </w:rPr>
        <w:t>)</w:t>
      </w:r>
    </w:p>
    <w:p w14:paraId="0B988424"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B: Hyperkeratosis of foot (</w:t>
      </w:r>
      <w:r w:rsidRPr="006A6222">
        <w:rPr>
          <w:rFonts w:ascii="Arial" w:hAnsi="Arial" w:cs="Arial"/>
          <w:i/>
          <w:iCs/>
          <w:color w:val="000000" w:themeColor="text1"/>
          <w:sz w:val="20"/>
          <w:szCs w:val="20"/>
          <w:lang w:val="en-US"/>
        </w:rPr>
        <w:t>Neosytalidium dimidiatum</w:t>
      </w:r>
      <w:r w:rsidRPr="006A6222">
        <w:rPr>
          <w:rFonts w:ascii="Arial" w:hAnsi="Arial" w:cs="Arial"/>
          <w:color w:val="000000" w:themeColor="text1"/>
          <w:sz w:val="20"/>
          <w:szCs w:val="20"/>
          <w:lang w:val="en-US"/>
        </w:rPr>
        <w:t>)</w:t>
      </w:r>
    </w:p>
    <w:p w14:paraId="75121EAF"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C: Intertrigo of toe (foot) (</w:t>
      </w:r>
      <w:commentRangeStart w:id="12"/>
      <w:r w:rsidRPr="006A6222">
        <w:rPr>
          <w:rFonts w:ascii="Arial" w:hAnsi="Arial" w:cs="Arial"/>
          <w:color w:val="000000" w:themeColor="text1"/>
          <w:sz w:val="20"/>
          <w:szCs w:val="20"/>
          <w:lang w:val="en-US"/>
        </w:rPr>
        <w:t>Trichosporon</w:t>
      </w:r>
      <w:commentRangeEnd w:id="12"/>
      <w:r w:rsidR="008F36BF">
        <w:rPr>
          <w:rStyle w:val="CommentReference"/>
        </w:rPr>
        <w:commentReference w:id="12"/>
      </w:r>
      <w:r w:rsidRPr="006A6222">
        <w:rPr>
          <w:rFonts w:ascii="Arial" w:hAnsi="Arial" w:cs="Arial"/>
          <w:color w:val="000000" w:themeColor="text1"/>
          <w:sz w:val="20"/>
          <w:szCs w:val="20"/>
          <w:lang w:val="en-US"/>
        </w:rPr>
        <w:t xml:space="preserve"> sp.)</w:t>
      </w:r>
    </w:p>
    <w:p w14:paraId="533015F6"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D: Scalp ringworm (</w:t>
      </w:r>
      <w:r w:rsidRPr="006A6222">
        <w:rPr>
          <w:rFonts w:ascii="Arial" w:hAnsi="Arial" w:cs="Arial"/>
          <w:i/>
          <w:iCs/>
          <w:color w:val="000000" w:themeColor="text1"/>
          <w:sz w:val="20"/>
          <w:szCs w:val="20"/>
          <w:lang w:val="en-US"/>
        </w:rPr>
        <w:t>Microsporum audouinii</w:t>
      </w:r>
      <w:r w:rsidRPr="006A6222">
        <w:rPr>
          <w:rFonts w:ascii="Arial" w:hAnsi="Arial" w:cs="Arial"/>
          <w:color w:val="000000" w:themeColor="text1"/>
          <w:sz w:val="20"/>
          <w:szCs w:val="20"/>
          <w:lang w:val="en-US"/>
        </w:rPr>
        <w:t>)</w:t>
      </w:r>
    </w:p>
    <w:p w14:paraId="76C757E7"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E: Epidermophytia (</w:t>
      </w:r>
      <w:r w:rsidRPr="006A6222">
        <w:rPr>
          <w:rFonts w:ascii="Arial" w:hAnsi="Arial" w:cs="Arial"/>
          <w:i/>
          <w:iCs/>
          <w:color w:val="000000" w:themeColor="text1"/>
          <w:sz w:val="20"/>
          <w:szCs w:val="20"/>
          <w:lang w:val="en-US"/>
        </w:rPr>
        <w:t>Trichophyton mentagrophytes</w:t>
      </w:r>
      <w:r w:rsidRPr="006A6222">
        <w:rPr>
          <w:rFonts w:ascii="Arial" w:hAnsi="Arial" w:cs="Arial"/>
          <w:color w:val="000000" w:themeColor="text1"/>
          <w:sz w:val="20"/>
          <w:szCs w:val="20"/>
          <w:lang w:val="en-US"/>
        </w:rPr>
        <w:t>)</w:t>
      </w:r>
    </w:p>
    <w:p w14:paraId="58843B71"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F: Pityriasis versicolor (</w:t>
      </w:r>
      <w:commentRangeStart w:id="13"/>
      <w:r w:rsidRPr="006A6222">
        <w:rPr>
          <w:rFonts w:ascii="Arial" w:hAnsi="Arial" w:cs="Arial"/>
          <w:color w:val="000000" w:themeColor="text1"/>
          <w:sz w:val="20"/>
          <w:szCs w:val="20"/>
          <w:lang w:val="en-US"/>
        </w:rPr>
        <w:t>Malassezia</w:t>
      </w:r>
      <w:commentRangeEnd w:id="13"/>
      <w:r w:rsidR="008F36BF">
        <w:rPr>
          <w:rStyle w:val="CommentReference"/>
        </w:rPr>
        <w:commentReference w:id="13"/>
      </w:r>
      <w:r w:rsidRPr="006A6222">
        <w:rPr>
          <w:rFonts w:ascii="Arial" w:hAnsi="Arial" w:cs="Arial"/>
          <w:color w:val="000000" w:themeColor="text1"/>
          <w:sz w:val="20"/>
          <w:szCs w:val="20"/>
          <w:lang w:val="en-US"/>
        </w:rPr>
        <w:t xml:space="preserve"> sp.)</w:t>
      </w:r>
    </w:p>
    <w:p w14:paraId="63E94813" w14:textId="77777777" w:rsidR="00DE32A9" w:rsidRPr="006A6222" w:rsidRDefault="00DE32A9" w:rsidP="00451967">
      <w:pPr>
        <w:spacing w:line="480" w:lineRule="auto"/>
        <w:jc w:val="both"/>
        <w:rPr>
          <w:rFonts w:ascii="Arial" w:hAnsi="Arial" w:cs="Arial"/>
          <w:sz w:val="20"/>
          <w:szCs w:val="20"/>
        </w:rPr>
      </w:pPr>
      <w:r w:rsidRPr="006A6222">
        <w:rPr>
          <w:rFonts w:ascii="Arial" w:hAnsi="Arial" w:cs="Arial"/>
          <w:color w:val="000000" w:themeColor="text1"/>
          <w:sz w:val="20"/>
          <w:szCs w:val="20"/>
          <w:lang w:val="en-US"/>
        </w:rPr>
        <w:t>G: Onychomycosis of toes (foot) (</w:t>
      </w:r>
      <w:commentRangeStart w:id="14"/>
      <w:r w:rsidRPr="006A6222">
        <w:rPr>
          <w:rFonts w:ascii="Arial" w:hAnsi="Arial" w:cs="Arial"/>
          <w:color w:val="000000" w:themeColor="text1"/>
          <w:sz w:val="20"/>
          <w:szCs w:val="20"/>
          <w:lang w:val="en-US"/>
        </w:rPr>
        <w:t>Curvularia</w:t>
      </w:r>
      <w:commentRangeEnd w:id="14"/>
      <w:r w:rsidR="008F36BF">
        <w:rPr>
          <w:rStyle w:val="CommentReference"/>
        </w:rPr>
        <w:commentReference w:id="14"/>
      </w:r>
      <w:r w:rsidRPr="006A6222">
        <w:rPr>
          <w:rFonts w:ascii="Arial" w:hAnsi="Arial" w:cs="Arial"/>
          <w:color w:val="000000" w:themeColor="text1"/>
          <w:sz w:val="20"/>
          <w:szCs w:val="20"/>
          <w:lang w:val="en-US"/>
        </w:rPr>
        <w:t xml:space="preserve"> sp.)</w:t>
      </w:r>
    </w:p>
    <w:bookmarkEnd w:id="10"/>
    <w:p w14:paraId="5A3A5090" w14:textId="4F364869" w:rsidR="00806D12" w:rsidRPr="00F35139" w:rsidRDefault="00806D12" w:rsidP="00F35139">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F35139">
        <w:rPr>
          <w:rFonts w:ascii="Arial" w:eastAsia="Times New Roman" w:hAnsi="Arial" w:cs="Arial"/>
          <w:b/>
          <w:bCs/>
          <w:noProof w:val="0"/>
          <w:color w:val="auto"/>
          <w:kern w:val="0"/>
          <w:sz w:val="22"/>
          <w:szCs w:val="22"/>
          <w:lang w:val="en-US" w:eastAsia="en-ZA"/>
          <w14:ligatures w14:val="none"/>
        </w:rPr>
        <w:t>Routine mycological examination</w:t>
      </w:r>
    </w:p>
    <w:p w14:paraId="6229A968" w14:textId="33F98AB6" w:rsidR="00B65807" w:rsidRPr="006A6222" w:rsidRDefault="006006B4" w:rsidP="00451967">
      <w:pPr>
        <w:spacing w:line="480" w:lineRule="auto"/>
        <w:jc w:val="both"/>
        <w:rPr>
          <w:rFonts w:ascii="Arial" w:hAnsi="Arial" w:cs="Arial"/>
          <w:sz w:val="20"/>
          <w:szCs w:val="20"/>
        </w:rPr>
      </w:pPr>
      <w:r w:rsidRPr="006A6222">
        <w:rPr>
          <w:rFonts w:ascii="Arial" w:hAnsi="Arial" w:cs="Arial"/>
          <w:sz w:val="20"/>
          <w:szCs w:val="20"/>
        </w:rPr>
        <w:t>In the mycology laboratories of the two university hospitals, samples collected in a sterile Petri dish were processed as follows: One part was used for direct examination in physiological saline solution (for swabs) or in 10</w:t>
      </w:r>
      <w:r w:rsidR="00067FCC" w:rsidRPr="006A6222">
        <w:rPr>
          <w:rFonts w:ascii="Arial" w:hAnsi="Arial" w:cs="Arial"/>
          <w:sz w:val="20"/>
          <w:szCs w:val="20"/>
        </w:rPr>
        <w:t xml:space="preserve"> </w:t>
      </w:r>
      <w:r w:rsidRPr="006A6222">
        <w:rPr>
          <w:rFonts w:ascii="Arial" w:hAnsi="Arial" w:cs="Arial"/>
          <w:sz w:val="20"/>
          <w:szCs w:val="20"/>
        </w:rPr>
        <w:t>% potassium hydroxide solution for 20-30 min (for other types of samples)</w:t>
      </w:r>
      <w:r w:rsidR="0001211A" w:rsidRPr="006A6222">
        <w:rPr>
          <w:rFonts w:ascii="Arial" w:hAnsi="Arial" w:cs="Arial"/>
          <w:sz w:val="20"/>
          <w:szCs w:val="20"/>
        </w:rPr>
        <w:t xml:space="preserve"> using light </w:t>
      </w:r>
      <w:r w:rsidR="00AE1593" w:rsidRPr="006A6222">
        <w:rPr>
          <w:rFonts w:ascii="Arial" w:hAnsi="Arial" w:cs="Arial"/>
          <w:sz w:val="20"/>
          <w:szCs w:val="20"/>
        </w:rPr>
        <w:t>microscopy</w:t>
      </w:r>
      <w:r w:rsidRPr="006A6222">
        <w:rPr>
          <w:rFonts w:ascii="Arial" w:hAnsi="Arial" w:cs="Arial"/>
          <w:sz w:val="20"/>
          <w:szCs w:val="20"/>
        </w:rPr>
        <w:t>. The second part was seeded on Sabouraud dextrose agar (SDA) medium supplemented with chloramphenicol 0.5 g/l (SC medium) and on SDA medium supplemented with chloramphenicol 0.5 g/l and cycloheximide 0.4 g/l (S</w:t>
      </w:r>
      <w:r w:rsidR="00E12949" w:rsidRPr="006A6222">
        <w:rPr>
          <w:rFonts w:ascii="Arial" w:hAnsi="Arial" w:cs="Arial"/>
          <w:sz w:val="20"/>
          <w:szCs w:val="20"/>
        </w:rPr>
        <w:t>AC</w:t>
      </w:r>
      <w:r w:rsidRPr="006A6222">
        <w:rPr>
          <w:rFonts w:ascii="Arial" w:hAnsi="Arial" w:cs="Arial"/>
          <w:sz w:val="20"/>
          <w:szCs w:val="20"/>
        </w:rPr>
        <w:t xml:space="preserve"> medium) respectively, and incubated at 25</w:t>
      </w:r>
      <w:r w:rsidR="00067FCC" w:rsidRPr="006A6222">
        <w:rPr>
          <w:rFonts w:ascii="Arial" w:hAnsi="Arial" w:cs="Arial"/>
          <w:sz w:val="20"/>
          <w:szCs w:val="20"/>
        </w:rPr>
        <w:t xml:space="preserve"> </w:t>
      </w:r>
      <w:r w:rsidRPr="006A6222">
        <w:rPr>
          <w:rFonts w:ascii="Arial" w:hAnsi="Arial" w:cs="Arial"/>
          <w:sz w:val="20"/>
          <w:szCs w:val="20"/>
        </w:rPr>
        <w:t>°C</w:t>
      </w:r>
      <w:r w:rsidR="00D867D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Fungi","id":"ITEM-2","issue":"10","issued":{"date-parts":[["2024"]]},"page":"1-31","title":"Molecular Diagnostics for Invasive Fungal Diseases : Current and Future Approaches","type":"article-journal"},"uris":["http://www.mendeley.com/documents/?uuid=323cdb23-8093-42bc-806e-934efa694bdd"]}],"mendeley":{"formattedCitation":"(Lombardi et al., 2020; Pham et al., 2024)","plainTextFormattedCitation":"(Lombardi et al., 2020; Pham et al., 2024)","previouslyFormattedCitation":"(Lombardi et al., 2020; Pham et al., 2024)"},"properties":{"noteIndex":0},"schema":"https://github.com/citation-style-language/schema/raw/master/csl-citation.json"}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422B90">
        <w:rPr>
          <w:rFonts w:ascii="Arial" w:hAnsi="Arial" w:cs="Arial"/>
          <w:i/>
          <w:iCs/>
          <w:sz w:val="20"/>
          <w:szCs w:val="20"/>
        </w:rPr>
        <w:t>et al.</w:t>
      </w:r>
      <w:r w:rsidR="00DA7D66" w:rsidRPr="006A6222">
        <w:rPr>
          <w:rFonts w:ascii="Arial" w:hAnsi="Arial" w:cs="Arial"/>
          <w:sz w:val="20"/>
          <w:szCs w:val="20"/>
        </w:rPr>
        <w:t xml:space="preserve">, 2020; Pham </w:t>
      </w:r>
      <w:r w:rsidR="00DA7D66" w:rsidRPr="00422B90">
        <w:rPr>
          <w:rFonts w:ascii="Arial" w:hAnsi="Arial" w:cs="Arial"/>
          <w:i/>
          <w:iCs/>
          <w:sz w:val="20"/>
          <w:szCs w:val="20"/>
        </w:rPr>
        <w:t>et al.</w:t>
      </w:r>
      <w:r w:rsidR="00DA7D66" w:rsidRPr="006A6222">
        <w:rPr>
          <w:rFonts w:ascii="Arial" w:hAnsi="Arial" w:cs="Arial"/>
          <w:sz w:val="20"/>
          <w:szCs w:val="20"/>
        </w:rPr>
        <w:t>, 2024)</w:t>
      </w:r>
      <w:r w:rsidR="00D867D2" w:rsidRPr="006A6222">
        <w:rPr>
          <w:rFonts w:ascii="Arial" w:hAnsi="Arial" w:cs="Arial"/>
          <w:sz w:val="20"/>
          <w:szCs w:val="20"/>
        </w:rPr>
        <w:fldChar w:fldCharType="end"/>
      </w:r>
      <w:r w:rsidR="00806D12" w:rsidRPr="006A6222">
        <w:rPr>
          <w:rFonts w:ascii="Arial" w:hAnsi="Arial" w:cs="Arial"/>
          <w:sz w:val="20"/>
          <w:szCs w:val="20"/>
        </w:rPr>
        <w:t xml:space="preserve">. Cultures were </w:t>
      </w:r>
      <w:r w:rsidR="001F3E4B" w:rsidRPr="006A6222">
        <w:rPr>
          <w:rFonts w:ascii="Arial" w:hAnsi="Arial" w:cs="Arial"/>
          <w:sz w:val="20"/>
          <w:szCs w:val="20"/>
        </w:rPr>
        <w:t xml:space="preserve">monitored </w:t>
      </w:r>
      <w:r w:rsidR="00806D12" w:rsidRPr="006A6222">
        <w:rPr>
          <w:rFonts w:ascii="Arial" w:hAnsi="Arial" w:cs="Arial"/>
          <w:sz w:val="20"/>
          <w:szCs w:val="20"/>
        </w:rPr>
        <w:t>visually every day for 30 days</w:t>
      </w:r>
      <w:r w:rsidR="008E27F7" w:rsidRPr="006A6222">
        <w:rPr>
          <w:rFonts w:ascii="Arial" w:hAnsi="Arial" w:cs="Arial"/>
          <w:sz w:val="20"/>
          <w:szCs w:val="20"/>
        </w:rPr>
        <w:t>. For</w:t>
      </w:r>
      <w:r w:rsidR="00806D12" w:rsidRPr="006A6222">
        <w:rPr>
          <w:rFonts w:ascii="Arial" w:hAnsi="Arial" w:cs="Arial"/>
          <w:sz w:val="20"/>
          <w:szCs w:val="20"/>
        </w:rPr>
        <w:t xml:space="preserve"> each positive culture</w:t>
      </w:r>
      <w:r w:rsidR="00FB3B5C" w:rsidRPr="006A6222">
        <w:rPr>
          <w:rFonts w:ascii="Arial" w:hAnsi="Arial" w:cs="Arial"/>
          <w:sz w:val="20"/>
          <w:szCs w:val="20"/>
        </w:rPr>
        <w:t>,</w:t>
      </w:r>
      <w:r w:rsidR="00806D12" w:rsidRPr="006A6222">
        <w:rPr>
          <w:rFonts w:ascii="Arial" w:hAnsi="Arial" w:cs="Arial"/>
          <w:sz w:val="20"/>
          <w:szCs w:val="20"/>
        </w:rPr>
        <w:t xml:space="preserve"> the fungal species were identified bas</w:t>
      </w:r>
      <w:r w:rsidR="00616270" w:rsidRPr="006A6222">
        <w:rPr>
          <w:rFonts w:ascii="Arial" w:hAnsi="Arial" w:cs="Arial"/>
          <w:sz w:val="20"/>
          <w:szCs w:val="20"/>
        </w:rPr>
        <w:t>ed on</w:t>
      </w:r>
      <w:r w:rsidR="00806D12" w:rsidRPr="006A6222">
        <w:rPr>
          <w:rFonts w:ascii="Arial" w:hAnsi="Arial" w:cs="Arial"/>
          <w:sz w:val="20"/>
          <w:szCs w:val="20"/>
        </w:rPr>
        <w:t xml:space="preserve"> </w:t>
      </w:r>
      <w:r w:rsidR="00D961F2" w:rsidRPr="006A6222">
        <w:rPr>
          <w:rFonts w:ascii="Arial" w:hAnsi="Arial" w:cs="Arial"/>
          <w:sz w:val="20"/>
          <w:szCs w:val="20"/>
        </w:rPr>
        <w:t xml:space="preserve">the </w:t>
      </w:r>
      <w:r w:rsidR="00806D12" w:rsidRPr="006A6222">
        <w:rPr>
          <w:rFonts w:ascii="Arial" w:hAnsi="Arial" w:cs="Arial"/>
          <w:sz w:val="20"/>
          <w:szCs w:val="20"/>
        </w:rPr>
        <w:t>re</w:t>
      </w:r>
      <w:r w:rsidR="00FB3B5C" w:rsidRPr="006A6222">
        <w:rPr>
          <w:rFonts w:ascii="Arial" w:hAnsi="Arial" w:cs="Arial"/>
          <w:sz w:val="20"/>
          <w:szCs w:val="20"/>
        </w:rPr>
        <w:t xml:space="preserve">sults of </w:t>
      </w:r>
      <w:r w:rsidR="00806D12" w:rsidRPr="006A6222">
        <w:rPr>
          <w:rFonts w:ascii="Arial" w:hAnsi="Arial" w:cs="Arial"/>
          <w:sz w:val="20"/>
          <w:szCs w:val="20"/>
        </w:rPr>
        <w:t>direct examination</w:t>
      </w:r>
      <w:r w:rsidR="00BC4CB6" w:rsidRPr="006A6222">
        <w:rPr>
          <w:rFonts w:ascii="Arial" w:hAnsi="Arial" w:cs="Arial"/>
          <w:sz w:val="20"/>
          <w:szCs w:val="20"/>
        </w:rPr>
        <w:t xml:space="preserve"> such us</w:t>
      </w:r>
      <w:r w:rsidR="00B26FA4" w:rsidRPr="006A6222">
        <w:rPr>
          <w:rFonts w:ascii="Arial" w:hAnsi="Arial" w:cs="Arial"/>
          <w:sz w:val="20"/>
          <w:szCs w:val="20"/>
        </w:rPr>
        <w:t xml:space="preserve"> the </w:t>
      </w:r>
      <w:r w:rsidR="00806D12" w:rsidRPr="006A6222">
        <w:rPr>
          <w:rFonts w:ascii="Arial" w:hAnsi="Arial" w:cs="Arial"/>
          <w:sz w:val="20"/>
          <w:szCs w:val="20"/>
        </w:rPr>
        <w:t xml:space="preserve">growth rate, </w:t>
      </w:r>
      <w:r w:rsidR="00616270" w:rsidRPr="006A6222">
        <w:rPr>
          <w:rFonts w:ascii="Arial" w:hAnsi="Arial" w:cs="Arial"/>
          <w:sz w:val="20"/>
          <w:szCs w:val="20"/>
        </w:rPr>
        <w:t>colonies</w:t>
      </w:r>
      <w:r w:rsidR="00242E5F" w:rsidRPr="006A6222">
        <w:rPr>
          <w:rFonts w:ascii="Arial" w:hAnsi="Arial" w:cs="Arial"/>
          <w:sz w:val="20"/>
          <w:szCs w:val="20"/>
        </w:rPr>
        <w:t>,</w:t>
      </w:r>
      <w:r w:rsidR="00616270" w:rsidRPr="006A6222">
        <w:rPr>
          <w:rFonts w:ascii="Arial" w:hAnsi="Arial" w:cs="Arial"/>
          <w:sz w:val="20"/>
          <w:szCs w:val="20"/>
        </w:rPr>
        <w:t xml:space="preserve"> and all phenotypical characteristics of the isolates</w:t>
      </w:r>
      <w:r w:rsidR="00422B90">
        <w:rPr>
          <w:rFonts w:ascii="Arial" w:hAnsi="Arial" w:cs="Arial"/>
          <w:sz w:val="20"/>
          <w:szCs w:val="20"/>
          <w:vertAlign w:val="superscript"/>
        </w:rPr>
        <w:t xml:space="preserve"> </w:t>
      </w:r>
      <w:r w:rsidR="00422B90">
        <w:rPr>
          <w:rFonts w:ascii="Arial" w:hAnsi="Arial" w:cs="Arial"/>
          <w:sz w:val="20"/>
          <w:szCs w:val="20"/>
          <w:vertAlign w:val="superscript"/>
        </w:rPr>
        <w:fldChar w:fldCharType="begin" w:fldLock="1"/>
      </w:r>
      <w:r w:rsidR="00422B90">
        <w:rPr>
          <w:rFonts w:ascii="Arial" w:hAnsi="Arial" w:cs="Arial"/>
          <w:sz w:val="20"/>
          <w:szCs w:val="20"/>
          <w:vertAlign w:val="superscript"/>
        </w:rPr>
        <w:instrText>ADDIN CSL_CITATION {"citationItems":[{"id":"ITEM-1","itemData":{"DOI":"10.3390/molecules25204775.","author":[{"dropping-particle":"","family":"Tsuchida S, Umemura H","given":"Nakayama T.","non-dropping-particle":"","parse-names":false,"suffix":""}],"container-title":"Molecules","id":"ITEM-1","issue":"25(20)","issued":{"date-parts":[["2023"]]},"page":"4775","title":"Current Status of Matrix-Assisted Laser Desorption/Ionization-Time-of-Flight Mass Spectrometry (MALDI-TOF MS) in Clinical Diagnostic Microbiology","type":"article-journal","volume":"17"},"uris":["http://www.mendeley.com/documents/?uuid=1745608f-4c66-470c-b4ac-498c727cbb0e"]}],"mendeley":{"formattedCitation":"(Tsuchida S, Umemura H, 2023)","manualFormatting":"(Tsuchida S, et al., 2023)","plainTextFormattedCitation":"(Tsuchida S, Umemura H, 2023)"},"properties":{"noteIndex":0},"schema":"https://github.com/citation-style-language/schema/raw/master/csl-citation.json"}</w:instrText>
      </w:r>
      <w:r w:rsidR="00422B90">
        <w:rPr>
          <w:rFonts w:ascii="Arial" w:hAnsi="Arial" w:cs="Arial"/>
          <w:sz w:val="20"/>
          <w:szCs w:val="20"/>
          <w:vertAlign w:val="superscript"/>
        </w:rPr>
        <w:fldChar w:fldCharType="separate"/>
      </w:r>
      <w:r w:rsidR="00422B90" w:rsidRPr="00422B90">
        <w:rPr>
          <w:rFonts w:ascii="Arial" w:hAnsi="Arial" w:cs="Arial"/>
          <w:sz w:val="20"/>
          <w:szCs w:val="20"/>
        </w:rPr>
        <w:t xml:space="preserve">(Tsuchida S, </w:t>
      </w:r>
      <w:r w:rsidR="00422B90" w:rsidRPr="00422B90">
        <w:rPr>
          <w:rFonts w:ascii="Arial" w:hAnsi="Arial" w:cs="Arial"/>
          <w:i/>
          <w:iCs/>
          <w:sz w:val="20"/>
          <w:szCs w:val="20"/>
        </w:rPr>
        <w:t>et al</w:t>
      </w:r>
      <w:r w:rsidR="00422B90">
        <w:rPr>
          <w:rFonts w:ascii="Arial" w:hAnsi="Arial" w:cs="Arial"/>
          <w:sz w:val="20"/>
          <w:szCs w:val="20"/>
        </w:rPr>
        <w:t>.</w:t>
      </w:r>
      <w:r w:rsidR="00422B90" w:rsidRPr="00422B90">
        <w:rPr>
          <w:rFonts w:ascii="Arial" w:hAnsi="Arial" w:cs="Arial"/>
          <w:sz w:val="20"/>
          <w:szCs w:val="20"/>
        </w:rPr>
        <w:t>, 2023)</w:t>
      </w:r>
      <w:r w:rsidR="00422B90">
        <w:rPr>
          <w:rFonts w:ascii="Arial" w:hAnsi="Arial" w:cs="Arial"/>
          <w:sz w:val="20"/>
          <w:szCs w:val="20"/>
          <w:vertAlign w:val="superscript"/>
        </w:rPr>
        <w:fldChar w:fldCharType="end"/>
      </w:r>
      <w:r w:rsidR="007A7F25" w:rsidRPr="006A6222">
        <w:rPr>
          <w:rFonts w:ascii="Arial" w:hAnsi="Arial" w:cs="Arial"/>
          <w:sz w:val="20"/>
          <w:szCs w:val="20"/>
        </w:rPr>
        <w:t xml:space="preserve"> </w:t>
      </w:r>
      <w:r w:rsidR="00383ED0" w:rsidRPr="006A6222">
        <w:rPr>
          <w:rFonts w:ascii="Arial" w:hAnsi="Arial" w:cs="Arial"/>
          <w:sz w:val="20"/>
          <w:szCs w:val="20"/>
        </w:rPr>
        <w:t>(Figure 2)</w:t>
      </w:r>
      <w:r w:rsidR="00806D12" w:rsidRPr="006A6222">
        <w:rPr>
          <w:rFonts w:ascii="Arial" w:hAnsi="Arial" w:cs="Arial"/>
          <w:sz w:val="20"/>
          <w:szCs w:val="20"/>
        </w:rPr>
        <w:t>.</w:t>
      </w:r>
      <w:r w:rsidR="00B9130A" w:rsidRPr="006A6222">
        <w:rPr>
          <w:rFonts w:ascii="Arial" w:hAnsi="Arial" w:cs="Arial"/>
          <w:sz w:val="20"/>
          <w:szCs w:val="20"/>
        </w:rPr>
        <w:t xml:space="preserve"> </w:t>
      </w:r>
      <w:r w:rsidR="00806D12" w:rsidRPr="006A6222">
        <w:rPr>
          <w:rFonts w:ascii="Arial" w:hAnsi="Arial" w:cs="Arial"/>
          <w:sz w:val="20"/>
          <w:szCs w:val="20"/>
        </w:rPr>
        <w:t xml:space="preserve">For </w:t>
      </w:r>
      <w:r w:rsidR="00806D12" w:rsidRPr="006A6222">
        <w:rPr>
          <w:rFonts w:ascii="Arial" w:hAnsi="Arial" w:cs="Arial"/>
          <w:sz w:val="20"/>
          <w:szCs w:val="20"/>
        </w:rPr>
        <w:lastRenderedPageBreak/>
        <w:t xml:space="preserve">fungi of the </w:t>
      </w:r>
      <w:commentRangeStart w:id="15"/>
      <w:r w:rsidR="00806D12" w:rsidRPr="006A6222">
        <w:rPr>
          <w:rFonts w:ascii="Arial" w:hAnsi="Arial" w:cs="Arial"/>
          <w:sz w:val="20"/>
          <w:szCs w:val="20"/>
        </w:rPr>
        <w:t xml:space="preserve">Candida </w:t>
      </w:r>
      <w:commentRangeEnd w:id="15"/>
      <w:r w:rsidR="008F36BF">
        <w:rPr>
          <w:rStyle w:val="CommentReference"/>
        </w:rPr>
        <w:commentReference w:id="15"/>
      </w:r>
      <w:r w:rsidR="00806D12" w:rsidRPr="006A6222">
        <w:rPr>
          <w:rFonts w:ascii="Arial" w:hAnsi="Arial" w:cs="Arial"/>
          <w:sz w:val="20"/>
          <w:szCs w:val="20"/>
        </w:rPr>
        <w:t>genus, the use of specific chromogenic media (Candi s</w:t>
      </w:r>
      <w:r w:rsidR="00224937" w:rsidRPr="006A6222">
        <w:rPr>
          <w:rFonts w:ascii="Arial" w:hAnsi="Arial" w:cs="Arial"/>
          <w:sz w:val="20"/>
          <w:szCs w:val="20"/>
        </w:rPr>
        <w:t>e</w:t>
      </w:r>
      <w:r w:rsidR="00806D12" w:rsidRPr="006A6222">
        <w:rPr>
          <w:rFonts w:ascii="Arial" w:hAnsi="Arial" w:cs="Arial"/>
          <w:sz w:val="20"/>
          <w:szCs w:val="20"/>
        </w:rPr>
        <w:t>lect®) (BIOMEDICAL PRO, Lomé-Togo) enabled further discrimination between the different species</w:t>
      </w:r>
      <w:r w:rsidR="00B03573" w:rsidRPr="006A6222">
        <w:rPr>
          <w:rFonts w:ascii="Arial" w:hAnsi="Arial" w:cs="Arial"/>
          <w:sz w:val="20"/>
          <w:szCs w:val="20"/>
        </w:rPr>
        <w:t xml:space="preserve"> while for fungi of the </w:t>
      </w:r>
      <w:commentRangeStart w:id="16"/>
      <w:r w:rsidR="00B03573" w:rsidRPr="006A6222">
        <w:rPr>
          <w:rFonts w:ascii="Arial" w:hAnsi="Arial" w:cs="Arial"/>
          <w:sz w:val="20"/>
          <w:szCs w:val="20"/>
        </w:rPr>
        <w:t>Malassezia</w:t>
      </w:r>
      <w:commentRangeEnd w:id="16"/>
      <w:r w:rsidR="008F36BF">
        <w:rPr>
          <w:rStyle w:val="CommentReference"/>
        </w:rPr>
        <w:commentReference w:id="16"/>
      </w:r>
      <w:r w:rsidR="00B03573" w:rsidRPr="006A6222">
        <w:rPr>
          <w:rFonts w:ascii="Arial" w:hAnsi="Arial" w:cs="Arial"/>
          <w:sz w:val="20"/>
          <w:szCs w:val="20"/>
        </w:rPr>
        <w:t xml:space="preserve"> genus, identification was done based on results of the direct examination only</w:t>
      </w:r>
      <w:r w:rsidR="00806D12" w:rsidRPr="006A6222">
        <w:rPr>
          <w:rFonts w:ascii="Arial" w:hAnsi="Arial" w:cs="Arial"/>
          <w:sz w:val="20"/>
          <w:szCs w:val="20"/>
        </w:rPr>
        <w:t>.</w:t>
      </w:r>
      <w:r w:rsidR="007F494C" w:rsidRPr="006A6222">
        <w:rPr>
          <w:rFonts w:ascii="Arial" w:hAnsi="Arial" w:cs="Arial"/>
          <w:sz w:val="20"/>
          <w:szCs w:val="20"/>
        </w:rPr>
        <w:t xml:space="preserve"> </w:t>
      </w:r>
      <w:r w:rsidR="00EE4F03" w:rsidRPr="006A6222">
        <w:rPr>
          <w:rFonts w:ascii="Arial" w:hAnsi="Arial" w:cs="Arial"/>
          <w:sz w:val="20"/>
          <w:szCs w:val="20"/>
        </w:rPr>
        <w:t>Isolates were then stored in glycerol at -80</w:t>
      </w:r>
      <w:r w:rsidR="00067FCC" w:rsidRPr="006A6222">
        <w:rPr>
          <w:rFonts w:ascii="Arial" w:hAnsi="Arial" w:cs="Arial"/>
          <w:sz w:val="20"/>
          <w:szCs w:val="20"/>
        </w:rPr>
        <w:t xml:space="preserve"> </w:t>
      </w:r>
      <w:r w:rsidR="00EE4F03" w:rsidRPr="006A6222">
        <w:rPr>
          <w:rFonts w:ascii="Arial" w:hAnsi="Arial" w:cs="Arial"/>
          <w:sz w:val="20"/>
          <w:szCs w:val="20"/>
        </w:rPr>
        <w:t>°C for up to three months, then transported to Paris for sub-culture and confirmation by MS.</w:t>
      </w:r>
      <w:bookmarkStart w:id="17" w:name="_Hlk193405640"/>
    </w:p>
    <w:p w14:paraId="34D2F4DA" w14:textId="3B44CEB6" w:rsidR="00737017" w:rsidRPr="006A6222" w:rsidRDefault="00F35139" w:rsidP="00451967">
      <w:pPr>
        <w:spacing w:line="480" w:lineRule="auto"/>
        <w:jc w:val="both"/>
        <w:rPr>
          <w:rFonts w:ascii="Arial" w:hAnsi="Arial" w:cs="Arial"/>
          <w:lang w:val="en-US"/>
        </w:rPr>
      </w:pPr>
      <w:r w:rsidRPr="006A6222">
        <w:rPr>
          <w:rFonts w:ascii="Arial" w:hAnsi="Arial" w:cs="Arial"/>
          <w:color w:val="FF0000"/>
          <w:lang w:val="en-US"/>
        </w:rPr>
        <mc:AlternateContent>
          <mc:Choice Requires="wps">
            <w:drawing>
              <wp:anchor distT="0" distB="0" distL="114300" distR="114300" simplePos="0" relativeHeight="251667456" behindDoc="0" locked="0" layoutInCell="1" allowOverlap="1" wp14:anchorId="0439797C" wp14:editId="69F2B1A9">
                <wp:simplePos x="0" y="0"/>
                <wp:positionH relativeFrom="column">
                  <wp:posOffset>83616</wp:posOffset>
                </wp:positionH>
                <wp:positionV relativeFrom="paragraph">
                  <wp:posOffset>116145</wp:posOffset>
                </wp:positionV>
                <wp:extent cx="269240" cy="292735"/>
                <wp:effectExtent l="0" t="0" r="16510" b="12065"/>
                <wp:wrapNone/>
                <wp:docPr id="243986055" name="Rectangle 25"/>
                <wp:cNvGraphicFramePr/>
                <a:graphic xmlns:a="http://schemas.openxmlformats.org/drawingml/2006/main">
                  <a:graphicData uri="http://schemas.microsoft.com/office/word/2010/wordprocessingShape">
                    <wps:wsp>
                      <wps:cNvSpPr/>
                      <wps:spPr>
                        <a:xfrm>
                          <a:off x="0" y="0"/>
                          <a:ext cx="269240" cy="2927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0DDC2C" w14:textId="77777777" w:rsidR="00737017" w:rsidRDefault="00737017" w:rsidP="00737017">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439797C" id="Rectangle 25" o:spid="_x0000_s1034" style="position:absolute;left:0;text-align:left;margin-left:6.6pt;margin-top:9.15pt;width:21.2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" fillcolor="white [3201]" strokecolor="#70ad47 [3209]" strokeweight="1pt">
                <v:textbox>
                  <w:txbxContent>
                    <w:p w14:paraId="4E0DDC2C" w14:textId="77777777" w:rsidR="00737017" w:rsidRDefault="00737017" w:rsidP="00737017">
                      <w:pPr>
                        <w:jc w:val="center"/>
                      </w:pPr>
                      <w:r>
                        <w:t>A</w:t>
                      </w:r>
                    </w:p>
                  </w:txbxContent>
                </v:textbox>
              </v:rect>
            </w:pict>
          </mc:Fallback>
        </mc:AlternateContent>
      </w:r>
      <w:r w:rsidR="00737017" w:rsidRPr="006A6222">
        <w:rPr>
          <w:rFonts w:ascii="Arial" w:hAnsi="Arial" w:cs="Arial"/>
          <w:color w:val="FF0000"/>
          <w:lang w:val="en-US"/>
        </w:rPr>
        <mc:AlternateContent>
          <mc:Choice Requires="wps">
            <w:drawing>
              <wp:anchor distT="0" distB="0" distL="114300" distR="114300" simplePos="0" relativeHeight="251668480" behindDoc="0" locked="0" layoutInCell="1" allowOverlap="1" wp14:anchorId="04C8D10B" wp14:editId="22DAD1F0">
                <wp:simplePos x="0" y="0"/>
                <wp:positionH relativeFrom="column">
                  <wp:posOffset>2568024</wp:posOffset>
                </wp:positionH>
                <wp:positionV relativeFrom="paragraph">
                  <wp:posOffset>116145</wp:posOffset>
                </wp:positionV>
                <wp:extent cx="281305" cy="293298"/>
                <wp:effectExtent l="0" t="0" r="23495" b="12065"/>
                <wp:wrapNone/>
                <wp:docPr id="982575398" name="Rectangle 26"/>
                <wp:cNvGraphicFramePr/>
                <a:graphic xmlns:a="http://schemas.openxmlformats.org/drawingml/2006/main">
                  <a:graphicData uri="http://schemas.microsoft.com/office/word/2010/wordprocessingShape">
                    <wps:wsp>
                      <wps:cNvSpPr/>
                      <wps:spPr>
                        <a:xfrm>
                          <a:off x="0" y="0"/>
                          <a:ext cx="281305" cy="2932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042951" w14:textId="77777777" w:rsidR="00737017" w:rsidRDefault="00737017" w:rsidP="00737017">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4C8D10B" id="Rectangle 26" o:spid="_x0000_s1035" style="position:absolute;left:0;text-align:left;margin-left:202.2pt;margin-top:9.15pt;width:22.1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" fillcolor="white [3201]" strokecolor="#70ad47 [3209]" strokeweight="1pt">
                <v:textbox>
                  <w:txbxContent>
                    <w:p w14:paraId="46042951" w14:textId="77777777" w:rsidR="00737017" w:rsidRDefault="00737017" w:rsidP="00737017">
                      <w:pPr>
                        <w:jc w:val="center"/>
                      </w:pPr>
                      <w:r>
                        <w:t>B</w:t>
                      </w:r>
                    </w:p>
                  </w:txbxContent>
                </v:textbox>
              </v:rect>
            </w:pict>
          </mc:Fallback>
        </mc:AlternateContent>
      </w:r>
      <w:r w:rsidR="00737017" w:rsidRPr="006A6222">
        <w:rPr>
          <w:rFonts w:ascii="Arial" w:hAnsi="Arial" w:cs="Arial"/>
          <w:color w:val="FF0000"/>
          <w:lang w:val="en-US"/>
        </w:rPr>
        <w:drawing>
          <wp:inline distT="0" distB="0" distL="0" distR="0" wp14:anchorId="21E7E0BD" wp14:editId="57A586BB">
            <wp:extent cx="2415540" cy="2331720"/>
            <wp:effectExtent l="0" t="0" r="3810" b="0"/>
            <wp:docPr id="77847521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5540" cy="2331720"/>
                    </a:xfrm>
                    <a:prstGeom prst="rect">
                      <a:avLst/>
                    </a:prstGeom>
                    <a:noFill/>
                  </pic:spPr>
                </pic:pic>
              </a:graphicData>
            </a:graphic>
          </wp:inline>
        </w:drawing>
      </w:r>
      <w:r w:rsidR="00737017" w:rsidRPr="006A6222">
        <w:rPr>
          <w:rFonts w:ascii="Arial" w:hAnsi="Arial" w:cs="Arial"/>
          <w:color w:val="FF0000"/>
          <w:lang w:val="en-US"/>
        </w:rPr>
        <w:t xml:space="preserve"> </w:t>
      </w:r>
      <w:r w:rsidR="00737017" w:rsidRPr="006A6222">
        <w:rPr>
          <w:rFonts w:ascii="Arial" w:hAnsi="Arial" w:cs="Arial"/>
          <w:color w:val="FF0000"/>
          <w:lang w:val="en-US"/>
        </w:rPr>
        <w:drawing>
          <wp:inline distT="0" distB="0" distL="0" distR="0" wp14:anchorId="042E8622" wp14:editId="07DC83CC">
            <wp:extent cx="2468880" cy="2331720"/>
            <wp:effectExtent l="0" t="0" r="7620" b="0"/>
            <wp:docPr id="12225150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8880" cy="2331720"/>
                    </a:xfrm>
                    <a:prstGeom prst="rect">
                      <a:avLst/>
                    </a:prstGeom>
                    <a:noFill/>
                  </pic:spPr>
                </pic:pic>
              </a:graphicData>
            </a:graphic>
          </wp:inline>
        </w:drawing>
      </w:r>
    </w:p>
    <w:p w14:paraId="1C081242" w14:textId="77777777" w:rsidR="00737017" w:rsidRPr="006A6222" w:rsidRDefault="00737017" w:rsidP="00451967">
      <w:pPr>
        <w:spacing w:line="480" w:lineRule="auto"/>
        <w:jc w:val="both"/>
        <w:rPr>
          <w:rFonts w:ascii="Arial" w:hAnsi="Arial" w:cs="Arial"/>
          <w:color w:val="FF0000"/>
          <w:lang w:val="en-US"/>
        </w:rPr>
      </w:pPr>
      <w:r w:rsidRPr="006A6222">
        <w:rPr>
          <w:rFonts w:ascii="Arial" w:hAnsi="Arial" w:cs="Arial"/>
          <w:color w:val="FF0000"/>
          <w:lang w:val="en-US"/>
        </w:rPr>
        <mc:AlternateContent>
          <mc:Choice Requires="wps">
            <w:drawing>
              <wp:anchor distT="0" distB="0" distL="114300" distR="114300" simplePos="0" relativeHeight="251669504" behindDoc="0" locked="0" layoutInCell="1" allowOverlap="1" wp14:anchorId="31B8DA7D" wp14:editId="1BA2BBCA">
                <wp:simplePos x="0" y="0"/>
                <wp:positionH relativeFrom="column">
                  <wp:posOffset>262255</wp:posOffset>
                </wp:positionH>
                <wp:positionV relativeFrom="paragraph">
                  <wp:posOffset>243205</wp:posOffset>
                </wp:positionV>
                <wp:extent cx="269240" cy="295275"/>
                <wp:effectExtent l="0" t="0" r="16510" b="28575"/>
                <wp:wrapNone/>
                <wp:docPr id="688113286" name="Rectangle 27"/>
                <wp:cNvGraphicFramePr/>
                <a:graphic xmlns:a="http://schemas.openxmlformats.org/drawingml/2006/main">
                  <a:graphicData uri="http://schemas.microsoft.com/office/word/2010/wordprocessingShape">
                    <wps:wsp>
                      <wps:cNvSpPr/>
                      <wps:spPr>
                        <a:xfrm>
                          <a:off x="0" y="0"/>
                          <a:ext cx="26924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B1C96A" w14:textId="77777777" w:rsidR="00737017" w:rsidRDefault="00737017" w:rsidP="00737017">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1B8DA7D" id="Rectangle 27" o:spid="_x0000_s1036" style="position:absolute;left:0;text-align:left;margin-left:20.65pt;margin-top:19.15pt;width:21.2pt;height:2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" fillcolor="white [3201]" strokecolor="#70ad47 [3209]" strokeweight="1pt">
                <v:textbox>
                  <w:txbxContent>
                    <w:p w14:paraId="7DB1C96A" w14:textId="77777777" w:rsidR="00737017" w:rsidRDefault="00737017" w:rsidP="00737017">
                      <w:pPr>
                        <w:jc w:val="center"/>
                      </w:pPr>
                      <w:r>
                        <w:t>C</w:t>
                      </w:r>
                    </w:p>
                  </w:txbxContent>
                </v:textbox>
              </v:rect>
            </w:pict>
          </mc:Fallback>
        </mc:AlternateContent>
      </w:r>
      <w:r w:rsidRPr="006A6222">
        <w:rPr>
          <w:rFonts w:ascii="Arial" w:hAnsi="Arial" w:cs="Arial"/>
          <w:color w:val="FF0000"/>
          <w:lang w:val="en-US"/>
        </w:rPr>
        <mc:AlternateContent>
          <mc:Choice Requires="wps">
            <w:drawing>
              <wp:anchor distT="0" distB="0" distL="114300" distR="114300" simplePos="0" relativeHeight="251670528" behindDoc="0" locked="0" layoutInCell="1" allowOverlap="1" wp14:anchorId="4D0AE7B5" wp14:editId="3667F4DA">
                <wp:simplePos x="0" y="0"/>
                <wp:positionH relativeFrom="column">
                  <wp:posOffset>2643505</wp:posOffset>
                </wp:positionH>
                <wp:positionV relativeFrom="paragraph">
                  <wp:posOffset>271780</wp:posOffset>
                </wp:positionV>
                <wp:extent cx="287020" cy="256540"/>
                <wp:effectExtent l="0" t="0" r="17780" b="10160"/>
                <wp:wrapNone/>
                <wp:docPr id="1630304046" name="Rectangle 28"/>
                <wp:cNvGraphicFramePr/>
                <a:graphic xmlns:a="http://schemas.openxmlformats.org/drawingml/2006/main">
                  <a:graphicData uri="http://schemas.microsoft.com/office/word/2010/wordprocessingShape">
                    <wps:wsp>
                      <wps:cNvSpPr/>
                      <wps:spPr>
                        <a:xfrm>
                          <a:off x="0" y="0"/>
                          <a:ext cx="287020" cy="256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71AA" w14:textId="77777777" w:rsidR="00737017" w:rsidRDefault="00737017" w:rsidP="00737017">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D0AE7B5" id="Rectangle 28" o:spid="_x0000_s1037" style="position:absolute;left:0;text-align:left;margin-left:208.15pt;margin-top:21.4pt;width:22.6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" fillcolor="white [3201]" strokecolor="#70ad47 [3209]" strokeweight="1pt">
                <v:textbox>
                  <w:txbxContent>
                    <w:p w14:paraId="25E371AA" w14:textId="77777777" w:rsidR="00737017" w:rsidRDefault="00737017" w:rsidP="00737017">
                      <w:pPr>
                        <w:jc w:val="center"/>
                      </w:pPr>
                      <w:r>
                        <w:t>D</w:t>
                      </w:r>
                    </w:p>
                  </w:txbxContent>
                </v:textbox>
              </v:rect>
            </w:pict>
          </mc:Fallback>
        </mc:AlternateContent>
      </w:r>
      <w:r w:rsidRPr="006A6222">
        <w:rPr>
          <w:rFonts w:ascii="Arial" w:hAnsi="Arial" w:cs="Arial"/>
          <w:color w:val="FF0000"/>
          <w:lang w:val="en-US"/>
        </w:rPr>
        <w:drawing>
          <wp:inline distT="0" distB="0" distL="0" distR="0" wp14:anchorId="4D2930D4" wp14:editId="4043027E">
            <wp:extent cx="2461260" cy="2148840"/>
            <wp:effectExtent l="0" t="0" r="0" b="3810"/>
            <wp:docPr id="216495259"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1260" cy="2148840"/>
                    </a:xfrm>
                    <a:prstGeom prst="rect">
                      <a:avLst/>
                    </a:prstGeom>
                    <a:noFill/>
                  </pic:spPr>
                </pic:pic>
              </a:graphicData>
            </a:graphic>
          </wp:inline>
        </w:drawing>
      </w:r>
      <w:r w:rsidRPr="006A6222">
        <w:rPr>
          <w:rFonts w:ascii="Arial" w:hAnsi="Arial" w:cs="Arial"/>
          <w:color w:val="FF0000"/>
          <w:lang w:val="en-US"/>
        </w:rPr>
        <w:t xml:space="preserve"> </w:t>
      </w:r>
      <w:r w:rsidRPr="006A6222">
        <w:rPr>
          <w:rFonts w:ascii="Arial" w:hAnsi="Arial" w:cs="Arial"/>
          <w:color w:val="FF0000"/>
          <w:lang w:val="en-US"/>
        </w:rPr>
        <w:drawing>
          <wp:inline distT="0" distB="0" distL="0" distR="0" wp14:anchorId="65C36E91" wp14:editId="1575A5DE">
            <wp:extent cx="2484120" cy="2148840"/>
            <wp:effectExtent l="0" t="0" r="0" b="3810"/>
            <wp:docPr id="201524765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4120" cy="2148840"/>
                    </a:xfrm>
                    <a:prstGeom prst="rect">
                      <a:avLst/>
                    </a:prstGeom>
                    <a:noFill/>
                  </pic:spPr>
                </pic:pic>
              </a:graphicData>
            </a:graphic>
          </wp:inline>
        </w:drawing>
      </w:r>
    </w:p>
    <w:p w14:paraId="7CB13741" w14:textId="77777777" w:rsidR="00737017" w:rsidRPr="00EF28E1" w:rsidRDefault="00737017" w:rsidP="00451967">
      <w:pPr>
        <w:pStyle w:val="Caption"/>
        <w:spacing w:line="480" w:lineRule="auto"/>
        <w:rPr>
          <w:rFonts w:ascii="Arial" w:hAnsi="Arial" w:cs="Arial"/>
          <w:b/>
          <w:bCs/>
          <w:i w:val="0"/>
          <w:iCs w:val="0"/>
          <w:color w:val="000000" w:themeColor="text1"/>
          <w:sz w:val="20"/>
          <w:szCs w:val="20"/>
          <w:lang w:val="en-US"/>
        </w:rPr>
      </w:pPr>
      <w:r w:rsidRPr="00EF28E1">
        <w:rPr>
          <w:rFonts w:ascii="Arial" w:hAnsi="Arial" w:cs="Arial"/>
          <w:b/>
          <w:bCs/>
          <w:i w:val="0"/>
          <w:iCs w:val="0"/>
          <w:color w:val="000000" w:themeColor="text1"/>
          <w:sz w:val="20"/>
          <w:szCs w:val="20"/>
          <w:lang w:val="en-US"/>
        </w:rPr>
        <w:t xml:space="preserve">Figure </w:t>
      </w:r>
      <w:r w:rsidRPr="00EF28E1">
        <w:rPr>
          <w:rFonts w:ascii="Arial" w:hAnsi="Arial" w:cs="Arial"/>
          <w:b/>
          <w:bCs/>
          <w:i w:val="0"/>
          <w:iCs w:val="0"/>
          <w:color w:val="000000" w:themeColor="text1"/>
          <w:sz w:val="20"/>
          <w:szCs w:val="20"/>
        </w:rPr>
        <w:fldChar w:fldCharType="begin"/>
      </w:r>
      <w:r w:rsidRPr="00EF28E1">
        <w:rPr>
          <w:rFonts w:ascii="Arial" w:hAnsi="Arial" w:cs="Arial"/>
          <w:b/>
          <w:bCs/>
          <w:i w:val="0"/>
          <w:iCs w:val="0"/>
          <w:color w:val="000000" w:themeColor="text1"/>
          <w:sz w:val="20"/>
          <w:szCs w:val="20"/>
          <w:lang w:val="en-US"/>
        </w:rPr>
        <w:instrText xml:space="preserve"> SEQ Figure \* ARABIC </w:instrText>
      </w:r>
      <w:r w:rsidRPr="00EF28E1">
        <w:rPr>
          <w:rFonts w:ascii="Arial" w:hAnsi="Arial" w:cs="Arial"/>
          <w:b/>
          <w:bCs/>
          <w:i w:val="0"/>
          <w:iCs w:val="0"/>
          <w:color w:val="000000" w:themeColor="text1"/>
          <w:sz w:val="20"/>
          <w:szCs w:val="20"/>
        </w:rPr>
        <w:fldChar w:fldCharType="separate"/>
      </w:r>
      <w:r w:rsidRPr="00EF28E1">
        <w:rPr>
          <w:rFonts w:ascii="Arial" w:hAnsi="Arial" w:cs="Arial"/>
          <w:b/>
          <w:bCs/>
          <w:i w:val="0"/>
          <w:iCs w:val="0"/>
          <w:noProof/>
          <w:color w:val="000000" w:themeColor="text1"/>
          <w:sz w:val="20"/>
          <w:szCs w:val="20"/>
          <w:lang w:val="en-US"/>
        </w:rPr>
        <w:t>2</w:t>
      </w:r>
      <w:r w:rsidRPr="00EF28E1">
        <w:rPr>
          <w:rFonts w:ascii="Arial" w:hAnsi="Arial" w:cs="Arial"/>
          <w:b/>
          <w:bCs/>
          <w:i w:val="0"/>
          <w:iCs w:val="0"/>
          <w:color w:val="000000" w:themeColor="text1"/>
          <w:sz w:val="20"/>
          <w:szCs w:val="20"/>
        </w:rPr>
        <w:fldChar w:fldCharType="end"/>
      </w:r>
      <w:r w:rsidRPr="00EF28E1">
        <w:rPr>
          <w:rFonts w:ascii="Arial" w:hAnsi="Arial" w:cs="Arial"/>
          <w:b/>
          <w:bCs/>
          <w:i w:val="0"/>
          <w:iCs w:val="0"/>
          <w:color w:val="000000" w:themeColor="text1"/>
          <w:sz w:val="20"/>
          <w:szCs w:val="20"/>
          <w:lang w:val="en-US"/>
        </w:rPr>
        <w:t>: Microscopic appearance of culture isolates (Source Photo E. Sossou 2022)</w:t>
      </w:r>
    </w:p>
    <w:p w14:paraId="35A1AB2E"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A- Microconidia of </w:t>
      </w:r>
      <w:r w:rsidRPr="006A6222">
        <w:rPr>
          <w:rFonts w:ascii="Arial" w:hAnsi="Arial" w:cs="Arial"/>
          <w:i/>
          <w:iCs/>
          <w:sz w:val="20"/>
          <w:szCs w:val="20"/>
          <w:lang w:val="en-US"/>
        </w:rPr>
        <w:t>Trichophyton mentagrophytes</w:t>
      </w:r>
    </w:p>
    <w:p w14:paraId="1630D336"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B- Macroconidia of </w:t>
      </w:r>
      <w:r w:rsidRPr="006A6222">
        <w:rPr>
          <w:rFonts w:ascii="Arial" w:hAnsi="Arial" w:cs="Arial"/>
          <w:i/>
          <w:iCs/>
          <w:sz w:val="20"/>
          <w:szCs w:val="20"/>
          <w:lang w:val="en-US"/>
        </w:rPr>
        <w:t>Microsporum canis</w:t>
      </w:r>
    </w:p>
    <w:p w14:paraId="6A238DBD"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C- Microconidia and macroconidia of </w:t>
      </w:r>
      <w:r w:rsidRPr="006A6222">
        <w:rPr>
          <w:rFonts w:ascii="Arial" w:hAnsi="Arial" w:cs="Arial"/>
          <w:i/>
          <w:iCs/>
          <w:sz w:val="20"/>
          <w:szCs w:val="20"/>
          <w:lang w:val="en-US"/>
        </w:rPr>
        <w:t>Trichophyton rubrum</w:t>
      </w:r>
    </w:p>
    <w:p w14:paraId="710184AB" w14:textId="77777777" w:rsidR="00737017" w:rsidRPr="006A6222" w:rsidRDefault="00737017" w:rsidP="003F22DB">
      <w:pPr>
        <w:spacing w:line="480" w:lineRule="auto"/>
        <w:jc w:val="both"/>
        <w:rPr>
          <w:rFonts w:ascii="Arial" w:hAnsi="Arial" w:cs="Arial"/>
          <w:sz w:val="20"/>
          <w:szCs w:val="20"/>
          <w:lang w:val="en-US"/>
        </w:rPr>
      </w:pPr>
      <w:r w:rsidRPr="006A6222">
        <w:rPr>
          <w:rFonts w:ascii="Arial" w:hAnsi="Arial" w:cs="Arial"/>
          <w:sz w:val="20"/>
          <w:szCs w:val="20"/>
          <w:lang w:val="en-US"/>
        </w:rPr>
        <w:t xml:space="preserve">D- Spores of </w:t>
      </w:r>
      <w:commentRangeStart w:id="18"/>
      <w:r w:rsidRPr="006A6222">
        <w:rPr>
          <w:rFonts w:ascii="Arial" w:hAnsi="Arial" w:cs="Arial"/>
          <w:sz w:val="20"/>
          <w:szCs w:val="20"/>
          <w:lang w:val="en-US"/>
        </w:rPr>
        <w:t>Culvularia s</w:t>
      </w:r>
      <w:commentRangeEnd w:id="18"/>
      <w:r w:rsidR="008F36BF">
        <w:rPr>
          <w:rStyle w:val="CommentReference"/>
        </w:rPr>
        <w:commentReference w:id="18"/>
      </w:r>
      <w:r w:rsidRPr="006A6222">
        <w:rPr>
          <w:rFonts w:ascii="Arial" w:hAnsi="Arial" w:cs="Arial"/>
          <w:sz w:val="20"/>
          <w:szCs w:val="20"/>
          <w:lang w:val="en-US"/>
        </w:rPr>
        <w:t>p</w:t>
      </w:r>
    </w:p>
    <w:p w14:paraId="0CB32A23" w14:textId="624577CE" w:rsidR="008F384B" w:rsidRPr="00FB5241" w:rsidRDefault="008F384B" w:rsidP="00FB5241">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19" w:name="_Hlk193404304"/>
      <w:bookmarkEnd w:id="17"/>
      <w:r w:rsidRPr="00FB5241">
        <w:rPr>
          <w:rFonts w:ascii="Arial" w:eastAsia="Times New Roman" w:hAnsi="Arial" w:cs="Arial"/>
          <w:b/>
          <w:bCs/>
          <w:noProof w:val="0"/>
          <w:color w:val="auto"/>
          <w:kern w:val="0"/>
          <w:sz w:val="22"/>
          <w:szCs w:val="22"/>
          <w:lang w:val="en-US" w:eastAsia="en-ZA"/>
          <w14:ligatures w14:val="none"/>
        </w:rPr>
        <w:t>Mass spectrum preparation</w:t>
      </w:r>
    </w:p>
    <w:p w14:paraId="767F67DA" w14:textId="31C2924F" w:rsidR="00806D12" w:rsidRPr="006A6222" w:rsidRDefault="00803041" w:rsidP="00451967">
      <w:pPr>
        <w:spacing w:line="480" w:lineRule="auto"/>
        <w:jc w:val="both"/>
        <w:rPr>
          <w:rFonts w:ascii="Arial" w:hAnsi="Arial" w:cs="Arial"/>
          <w:b/>
          <w:bCs/>
          <w:sz w:val="20"/>
          <w:szCs w:val="20"/>
        </w:rPr>
      </w:pPr>
      <w:r w:rsidRPr="006A6222">
        <w:rPr>
          <w:rFonts w:ascii="Arial" w:hAnsi="Arial" w:cs="Arial"/>
          <w:sz w:val="20"/>
          <w:szCs w:val="20"/>
        </w:rPr>
        <w:lastRenderedPageBreak/>
        <w:t>All the procedure were performed using the methods previously described</w:t>
      </w:r>
      <w:r w:rsidR="0030620B" w:rsidRPr="006A6222">
        <w:rPr>
          <w:rFonts w:ascii="Arial" w:hAnsi="Arial" w:cs="Arial"/>
          <w:b/>
          <w:bCs/>
          <w:sz w:val="20"/>
          <w:szCs w:val="20"/>
        </w:rPr>
        <w:fldChar w:fldCharType="begin" w:fldLock="1"/>
      </w:r>
      <w:r w:rsidR="00EB33B3">
        <w:rPr>
          <w:rFonts w:ascii="Arial" w:hAnsi="Arial" w:cs="Arial"/>
          <w:b/>
          <w:bCs/>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diagnosis","type":"article-journal","volume":"6"},"uris":["http://www.mendeley.com/documents/?uuid=335d62c7-2c73-4576-a77f-0154ec2fa9a6"]}],"mendeley":{"formattedCitation":"(Normand AC, Blaize M, Imbert S, Packeu A, Becker P, Fekkar A, Stubbe D, 2021; Singhal et al., 2015)","manualFormatting":"(Normand AC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30620B" w:rsidRPr="006A6222">
        <w:rPr>
          <w:rFonts w:ascii="Arial" w:hAnsi="Arial" w:cs="Arial"/>
          <w:b/>
          <w:bCs/>
          <w:sz w:val="20"/>
          <w:szCs w:val="20"/>
        </w:rPr>
        <w:fldChar w:fldCharType="separate"/>
      </w:r>
      <w:r w:rsidR="00DA7D66" w:rsidRPr="006A6222">
        <w:rPr>
          <w:rFonts w:ascii="Arial" w:hAnsi="Arial" w:cs="Arial"/>
          <w:bCs/>
          <w:sz w:val="20"/>
          <w:szCs w:val="20"/>
        </w:rPr>
        <w:t>(Normand AC</w:t>
      </w:r>
      <w:r w:rsidR="00EB33B3">
        <w:rPr>
          <w:rFonts w:ascii="Arial" w:hAnsi="Arial" w:cs="Arial"/>
          <w:bCs/>
          <w:sz w:val="20"/>
          <w:szCs w:val="20"/>
        </w:rPr>
        <w:t xml:space="preserve"> </w:t>
      </w:r>
      <w:r w:rsidR="00EB33B3" w:rsidRPr="00EB33B3">
        <w:rPr>
          <w:rFonts w:ascii="Arial" w:hAnsi="Arial" w:cs="Arial"/>
          <w:bCs/>
          <w:i/>
          <w:iCs/>
          <w:sz w:val="20"/>
          <w:szCs w:val="20"/>
        </w:rPr>
        <w:t>et al.</w:t>
      </w:r>
      <w:r w:rsidR="00EB33B3">
        <w:rPr>
          <w:rFonts w:ascii="Arial" w:hAnsi="Arial" w:cs="Arial"/>
          <w:bCs/>
          <w:sz w:val="20"/>
          <w:szCs w:val="20"/>
        </w:rPr>
        <w:t>, 20</w:t>
      </w:r>
      <w:r w:rsidR="00DA7D66" w:rsidRPr="006A6222">
        <w:rPr>
          <w:rFonts w:ascii="Arial" w:hAnsi="Arial" w:cs="Arial"/>
          <w:bCs/>
          <w:sz w:val="20"/>
          <w:szCs w:val="20"/>
        </w:rPr>
        <w:t xml:space="preserve">21; Singhal </w:t>
      </w:r>
      <w:r w:rsidR="00DA7D66" w:rsidRPr="00EB33B3">
        <w:rPr>
          <w:rFonts w:ascii="Arial" w:hAnsi="Arial" w:cs="Arial"/>
          <w:bCs/>
          <w:i/>
          <w:iCs/>
          <w:sz w:val="20"/>
          <w:szCs w:val="20"/>
        </w:rPr>
        <w:t>et al.</w:t>
      </w:r>
      <w:r w:rsidR="00DA7D66" w:rsidRPr="006A6222">
        <w:rPr>
          <w:rFonts w:ascii="Arial" w:hAnsi="Arial" w:cs="Arial"/>
          <w:bCs/>
          <w:sz w:val="20"/>
          <w:szCs w:val="20"/>
        </w:rPr>
        <w:t>, 2015)</w:t>
      </w:r>
      <w:r w:rsidR="0030620B" w:rsidRPr="006A6222">
        <w:rPr>
          <w:rFonts w:ascii="Arial" w:hAnsi="Arial" w:cs="Arial"/>
          <w:b/>
          <w:bCs/>
          <w:sz w:val="20"/>
          <w:szCs w:val="20"/>
        </w:rPr>
        <w:fldChar w:fldCharType="end"/>
      </w:r>
      <w:r w:rsidR="0086253E" w:rsidRPr="006A6222">
        <w:rPr>
          <w:rFonts w:ascii="Arial" w:hAnsi="Arial" w:cs="Arial"/>
          <w:b/>
          <w:bCs/>
          <w:sz w:val="20"/>
          <w:szCs w:val="20"/>
        </w:rPr>
        <w:t xml:space="preserve">. </w:t>
      </w:r>
      <w:r w:rsidR="00806D12" w:rsidRPr="006A6222">
        <w:rPr>
          <w:rFonts w:ascii="Arial" w:hAnsi="Arial" w:cs="Arial"/>
          <w:sz w:val="20"/>
          <w:szCs w:val="20"/>
        </w:rPr>
        <w:t>Identification by MS was carried out on fresh colonies on SC/SAC medi</w:t>
      </w:r>
      <w:r w:rsidR="00311FA7" w:rsidRPr="006A6222">
        <w:rPr>
          <w:rFonts w:ascii="Arial" w:hAnsi="Arial" w:cs="Arial"/>
          <w:sz w:val="20"/>
          <w:szCs w:val="20"/>
        </w:rPr>
        <w:t>a</w:t>
      </w:r>
      <w:r w:rsidR="00806D12" w:rsidRPr="006A6222">
        <w:rPr>
          <w:rFonts w:ascii="Arial" w:hAnsi="Arial" w:cs="Arial"/>
          <w:sz w:val="20"/>
          <w:szCs w:val="20"/>
        </w:rPr>
        <w:t>. For protein extraction, for yeasts, two to five colonies were picked using a 1 μ</w:t>
      </w:r>
      <w:r w:rsidR="0007614C" w:rsidRPr="006A6222">
        <w:rPr>
          <w:rFonts w:ascii="Arial" w:hAnsi="Arial" w:cs="Arial"/>
          <w:sz w:val="20"/>
          <w:szCs w:val="20"/>
        </w:rPr>
        <w:t>L</w:t>
      </w:r>
      <w:r w:rsidR="00806D12" w:rsidRPr="006A6222">
        <w:rPr>
          <w:rFonts w:ascii="Arial" w:hAnsi="Arial" w:cs="Arial"/>
          <w:sz w:val="20"/>
          <w:szCs w:val="20"/>
        </w:rPr>
        <w:t xml:space="preserve"> öse and for filamentous fungi, the colony was gently scraped from the surface of the culture using a scalpel blade or rubbed with a sterile swab. The product thus collected was then suspended in a mixture of 300 μl of demineralized water and 900 μl of absolute ethanol ( 70</w:t>
      </w:r>
      <w:r w:rsidR="00067FCC" w:rsidRPr="006A6222">
        <w:rPr>
          <w:rFonts w:ascii="Arial" w:hAnsi="Arial" w:cs="Arial"/>
          <w:sz w:val="20"/>
          <w:szCs w:val="20"/>
        </w:rPr>
        <w:t xml:space="preserve"> </w:t>
      </w:r>
      <w:r w:rsidR="00806D12" w:rsidRPr="006A6222">
        <w:rPr>
          <w:rFonts w:ascii="Arial" w:hAnsi="Arial" w:cs="Arial"/>
          <w:sz w:val="20"/>
          <w:szCs w:val="20"/>
        </w:rPr>
        <w:t xml:space="preserve">% ethanol solution). After centrifugation at 12,000 rpm for two minutes, the cell pellet was </w:t>
      </w:r>
      <w:r w:rsidR="00763562" w:rsidRPr="006A6222">
        <w:rPr>
          <w:rFonts w:ascii="Arial" w:hAnsi="Arial" w:cs="Arial"/>
          <w:sz w:val="20"/>
          <w:szCs w:val="20"/>
        </w:rPr>
        <w:t>havested</w:t>
      </w:r>
      <w:r w:rsidR="00806D12" w:rsidRPr="006A6222">
        <w:rPr>
          <w:rFonts w:ascii="Arial" w:hAnsi="Arial" w:cs="Arial"/>
          <w:sz w:val="20"/>
          <w:szCs w:val="20"/>
        </w:rPr>
        <w:t xml:space="preserve"> and resuspended in 20 μ</w:t>
      </w:r>
      <w:r w:rsidR="0007614C" w:rsidRPr="006A6222">
        <w:rPr>
          <w:rFonts w:ascii="Arial" w:hAnsi="Arial" w:cs="Arial"/>
          <w:sz w:val="20"/>
          <w:szCs w:val="20"/>
        </w:rPr>
        <w:t>L</w:t>
      </w:r>
      <w:r w:rsidR="00806D12" w:rsidRPr="006A6222">
        <w:rPr>
          <w:rFonts w:ascii="Arial" w:hAnsi="Arial" w:cs="Arial"/>
          <w:sz w:val="20"/>
          <w:szCs w:val="20"/>
        </w:rPr>
        <w:t xml:space="preserve"> of 70</w:t>
      </w:r>
      <w:r w:rsidR="00067FCC" w:rsidRPr="006A6222">
        <w:rPr>
          <w:rFonts w:ascii="Arial" w:hAnsi="Arial" w:cs="Arial"/>
          <w:sz w:val="20"/>
          <w:szCs w:val="20"/>
        </w:rPr>
        <w:t xml:space="preserve"> </w:t>
      </w:r>
      <w:r w:rsidR="00806D12" w:rsidRPr="006A6222">
        <w:rPr>
          <w:rFonts w:ascii="Arial" w:hAnsi="Arial" w:cs="Arial"/>
          <w:sz w:val="20"/>
          <w:szCs w:val="20"/>
        </w:rPr>
        <w:t>% formic acid</w:t>
      </w:r>
      <w:r w:rsidR="008F384B" w:rsidRPr="006A6222">
        <w:rPr>
          <w:rFonts w:ascii="Arial" w:hAnsi="Arial" w:cs="Arial"/>
          <w:sz w:val="20"/>
          <w:szCs w:val="20"/>
        </w:rPr>
        <w:t xml:space="preserve"> and incubated </w:t>
      </w:r>
      <w:r w:rsidR="00806D12" w:rsidRPr="006A6222">
        <w:rPr>
          <w:rFonts w:ascii="Arial" w:hAnsi="Arial" w:cs="Arial"/>
          <w:sz w:val="20"/>
          <w:szCs w:val="20"/>
        </w:rPr>
        <w:t xml:space="preserve"> </w:t>
      </w:r>
      <w:r w:rsidR="008F384B" w:rsidRPr="006A6222">
        <w:rPr>
          <w:rFonts w:ascii="Arial" w:hAnsi="Arial" w:cs="Arial"/>
          <w:sz w:val="20"/>
          <w:szCs w:val="20"/>
        </w:rPr>
        <w:t xml:space="preserve">for </w:t>
      </w:r>
      <w:r w:rsidR="00806D12" w:rsidRPr="006A6222">
        <w:rPr>
          <w:rFonts w:ascii="Arial" w:hAnsi="Arial" w:cs="Arial"/>
          <w:sz w:val="20"/>
          <w:szCs w:val="20"/>
        </w:rPr>
        <w:t xml:space="preserve">5 </w:t>
      </w:r>
      <w:r w:rsidR="007E3A7F" w:rsidRPr="006A6222">
        <w:rPr>
          <w:rFonts w:ascii="Arial" w:hAnsi="Arial" w:cs="Arial"/>
          <w:sz w:val="20"/>
          <w:szCs w:val="20"/>
        </w:rPr>
        <w:t xml:space="preserve"> minutes incubation</w:t>
      </w:r>
      <w:r w:rsidR="008F384B" w:rsidRPr="006A6222">
        <w:rPr>
          <w:rFonts w:ascii="Arial" w:hAnsi="Arial" w:cs="Arial"/>
          <w:sz w:val="20"/>
          <w:szCs w:val="20"/>
        </w:rPr>
        <w:t>.</w:t>
      </w:r>
      <w:r w:rsidR="00B21921" w:rsidRPr="006A6222">
        <w:rPr>
          <w:rFonts w:ascii="Arial" w:hAnsi="Arial" w:cs="Arial"/>
          <w:sz w:val="20"/>
          <w:szCs w:val="20"/>
        </w:rPr>
        <w:t xml:space="preserve"> </w:t>
      </w:r>
      <w:r w:rsidR="007E3A7F" w:rsidRPr="006A6222">
        <w:rPr>
          <w:rFonts w:ascii="Arial" w:hAnsi="Arial" w:cs="Arial"/>
          <w:sz w:val="20"/>
          <w:szCs w:val="20"/>
        </w:rPr>
        <w:t>20 μ</w:t>
      </w:r>
      <w:r w:rsidR="0007614C" w:rsidRPr="006A6222">
        <w:rPr>
          <w:rFonts w:ascii="Arial" w:hAnsi="Arial" w:cs="Arial"/>
          <w:sz w:val="20"/>
          <w:szCs w:val="20"/>
        </w:rPr>
        <w:t>L</w:t>
      </w:r>
      <w:r w:rsidR="007E3A7F" w:rsidRPr="006A6222">
        <w:rPr>
          <w:rFonts w:ascii="Arial" w:hAnsi="Arial" w:cs="Arial"/>
          <w:sz w:val="20"/>
          <w:szCs w:val="20"/>
        </w:rPr>
        <w:t xml:space="preserve"> of 100</w:t>
      </w:r>
      <w:r w:rsidR="00067FCC" w:rsidRPr="006A6222">
        <w:rPr>
          <w:rFonts w:ascii="Arial" w:hAnsi="Arial" w:cs="Arial"/>
          <w:sz w:val="20"/>
          <w:szCs w:val="20"/>
        </w:rPr>
        <w:t xml:space="preserve"> </w:t>
      </w:r>
      <w:r w:rsidR="007E3A7F" w:rsidRPr="006A6222">
        <w:rPr>
          <w:rFonts w:ascii="Arial" w:hAnsi="Arial" w:cs="Arial"/>
          <w:sz w:val="20"/>
          <w:szCs w:val="20"/>
        </w:rPr>
        <w:t>% acetonitrile was added</w:t>
      </w:r>
      <w:r w:rsidR="00E432EE" w:rsidRPr="006A6222">
        <w:rPr>
          <w:rFonts w:ascii="Arial" w:hAnsi="Arial" w:cs="Arial"/>
          <w:sz w:val="20"/>
          <w:szCs w:val="20"/>
        </w:rPr>
        <w:t xml:space="preserve"> to the suspenssion</w:t>
      </w:r>
      <w:r w:rsidR="00951996" w:rsidRPr="006A6222">
        <w:rPr>
          <w:rFonts w:ascii="Arial" w:hAnsi="Arial" w:cs="Arial"/>
          <w:sz w:val="20"/>
          <w:szCs w:val="20"/>
        </w:rPr>
        <w:fldChar w:fldCharType="begin" w:fldLock="1"/>
      </w:r>
      <w:r w:rsidR="00EB33B3">
        <w:rPr>
          <w:rFonts w:ascii="Arial" w:hAnsi="Arial" w:cs="Arial"/>
          <w:sz w:val="20"/>
          <w:szCs w:val="20"/>
        </w:rPr>
        <w:instrText>ADDIN CSL_CITATION {"citationItems":[{"id":"ITEM-1","itemData":{"DOI":"10.3389/fmicb.2015.00791","ISSN":"1664302X","PMID":"26300860","abstract":"Currently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Microbiology","id":"ITEM-1","issue":"AUG","issued":{"date-parts":[["2015"]]},"page":"1-16","title":"MALDI-TOF mass spectrometry: An emerging technology for microbial identification and diagnosis","type":"article-journal","volume":"6"},"uris":["http://www.mendeley.com/documents/?uuid=335d62c7-2c73-4576-a77f-0154ec2fa9a6"]},{"id":"ITEM-2","itemData":{"DOI":"10.1128/JCM.01299-21.","PMID":"34319807","author":[{"dropping-particle":"","family":"Normand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Singhal et al., 2015)","manualFormatting":"(Normand AC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951996" w:rsidRPr="006A6222">
        <w:rPr>
          <w:rFonts w:ascii="Arial" w:hAnsi="Arial" w:cs="Arial"/>
          <w:sz w:val="20"/>
          <w:szCs w:val="20"/>
        </w:rPr>
        <w:fldChar w:fldCharType="separate"/>
      </w:r>
      <w:r w:rsidR="00DA7D66" w:rsidRPr="006A6222">
        <w:rPr>
          <w:rFonts w:ascii="Arial" w:hAnsi="Arial" w:cs="Arial"/>
          <w:sz w:val="20"/>
          <w:szCs w:val="20"/>
        </w:rPr>
        <w:t>(Normand AC</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 xml:space="preserve">2021; Singhal </w:t>
      </w:r>
      <w:r w:rsidR="00DA7D66" w:rsidRPr="00EB33B3">
        <w:rPr>
          <w:rFonts w:ascii="Arial" w:hAnsi="Arial" w:cs="Arial"/>
          <w:i/>
          <w:iCs/>
          <w:sz w:val="20"/>
          <w:szCs w:val="20"/>
        </w:rPr>
        <w:t>et al.</w:t>
      </w:r>
      <w:r w:rsidR="00DA7D66" w:rsidRPr="006A6222">
        <w:rPr>
          <w:rFonts w:ascii="Arial" w:hAnsi="Arial" w:cs="Arial"/>
          <w:sz w:val="20"/>
          <w:szCs w:val="20"/>
        </w:rPr>
        <w:t>, 2015)</w:t>
      </w:r>
      <w:r w:rsidR="00951996" w:rsidRPr="006A6222">
        <w:rPr>
          <w:rFonts w:ascii="Arial" w:hAnsi="Arial" w:cs="Arial"/>
          <w:sz w:val="20"/>
          <w:szCs w:val="20"/>
        </w:rPr>
        <w:fldChar w:fldCharType="end"/>
      </w:r>
      <w:r w:rsidR="00806D12" w:rsidRPr="006A6222">
        <w:rPr>
          <w:rFonts w:ascii="Arial" w:hAnsi="Arial" w:cs="Arial"/>
          <w:sz w:val="20"/>
          <w:szCs w:val="20"/>
        </w:rPr>
        <w:t xml:space="preserve">. After mixing, and a further </w:t>
      </w:r>
      <w:r w:rsidR="00B427AA" w:rsidRPr="006A6222">
        <w:rPr>
          <w:rFonts w:ascii="Arial" w:hAnsi="Arial" w:cs="Arial"/>
          <w:sz w:val="20"/>
          <w:szCs w:val="20"/>
        </w:rPr>
        <w:t xml:space="preserve">5 min </w:t>
      </w:r>
      <w:r w:rsidR="00806D12" w:rsidRPr="006A6222">
        <w:rPr>
          <w:rFonts w:ascii="Arial" w:hAnsi="Arial" w:cs="Arial"/>
          <w:sz w:val="20"/>
          <w:szCs w:val="20"/>
        </w:rPr>
        <w:t>incubation, the preparation was centrifuged again at 12</w:t>
      </w:r>
      <w:r w:rsidR="00E72523" w:rsidRPr="006A6222">
        <w:rPr>
          <w:rFonts w:ascii="Arial" w:hAnsi="Arial" w:cs="Arial"/>
          <w:sz w:val="20"/>
          <w:szCs w:val="20"/>
        </w:rPr>
        <w:t>.</w:t>
      </w:r>
      <w:r w:rsidR="00806D12" w:rsidRPr="006A6222">
        <w:rPr>
          <w:rFonts w:ascii="Arial" w:hAnsi="Arial" w:cs="Arial"/>
          <w:sz w:val="20"/>
          <w:szCs w:val="20"/>
        </w:rPr>
        <w:t>000 rpm for 2 min, then 1 μ</w:t>
      </w:r>
      <w:r w:rsidR="0007614C" w:rsidRPr="006A6222">
        <w:rPr>
          <w:rFonts w:ascii="Arial" w:hAnsi="Arial" w:cs="Arial"/>
          <w:sz w:val="20"/>
          <w:szCs w:val="20"/>
        </w:rPr>
        <w:t>L</w:t>
      </w:r>
      <w:r w:rsidR="00806D12" w:rsidRPr="006A6222">
        <w:rPr>
          <w:rFonts w:ascii="Arial" w:hAnsi="Arial" w:cs="Arial"/>
          <w:sz w:val="20"/>
          <w:szCs w:val="20"/>
        </w:rPr>
        <w:t xml:space="preserve"> of its supernatant was deposited on a target at a spot location and dried. One (1) μ</w:t>
      </w:r>
      <w:r w:rsidR="0007614C" w:rsidRPr="006A6222">
        <w:rPr>
          <w:rFonts w:ascii="Arial" w:hAnsi="Arial" w:cs="Arial"/>
          <w:sz w:val="20"/>
          <w:szCs w:val="20"/>
        </w:rPr>
        <w:t>L</w:t>
      </w:r>
      <w:r w:rsidR="00806D12" w:rsidRPr="006A6222">
        <w:rPr>
          <w:rFonts w:ascii="Arial" w:hAnsi="Arial" w:cs="Arial"/>
          <w:sz w:val="20"/>
          <w:szCs w:val="20"/>
        </w:rPr>
        <w:t xml:space="preserve"> of matrix solution (alpha-cyano-4-hydroxycinnamic acid [HCCA; Bruker Daltonics]) at 10 mg/ml was then added to the protein deposit and dried. </w:t>
      </w:r>
      <w:r w:rsidR="00FC2BD7" w:rsidRPr="006A6222">
        <w:rPr>
          <w:rFonts w:ascii="Arial" w:hAnsi="Arial" w:cs="Arial"/>
          <w:sz w:val="20"/>
          <w:szCs w:val="20"/>
        </w:rPr>
        <w:t>The complexes formed between the proteins and the matrix were vaporised by a laser beam.</w:t>
      </w:r>
      <w:r w:rsidR="00BD4E56" w:rsidRPr="006A6222">
        <w:rPr>
          <w:rFonts w:ascii="Arial" w:hAnsi="Arial" w:cs="Arial"/>
          <w:b/>
          <w:bCs/>
          <w:sz w:val="20"/>
          <w:szCs w:val="20"/>
        </w:rPr>
        <w:t xml:space="preserve"> </w:t>
      </w:r>
      <w:r w:rsidR="00806D12" w:rsidRPr="006A6222">
        <w:rPr>
          <w:rFonts w:ascii="Arial" w:hAnsi="Arial" w:cs="Arial"/>
          <w:sz w:val="20"/>
          <w:szCs w:val="20"/>
        </w:rPr>
        <w:t>As the target is read by the mass spectrometer, the excited matrix becomes positively charged, and this charge is rapidly transferred to the proteins, which, ionized, migrate through an evacuated tube, according to their mass-to-charge ratio (m/z)</w:t>
      </w:r>
      <w:r w:rsidR="00D867D2" w:rsidRPr="006A6222">
        <w:rPr>
          <w:rFonts w:ascii="Arial" w:hAnsi="Arial" w:cs="Arial"/>
          <w:sz w:val="20"/>
          <w:szCs w:val="20"/>
        </w:rPr>
        <w:fldChar w:fldCharType="begin" w:fldLock="1"/>
      </w:r>
      <w:r w:rsidR="00EB33B3">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MSI-1","type":"article-journal","volume":"20;59"},"uris":["http://www.mendeley.com/documents/?uuid=4f3b4c41-13fb-4ccd-8486-0a7cadec4ee0"]}],"mendeley":{"formattedCitation":"(Blaize et al., 2021; Normand AC, Blaize M, Imbert S, Packeu A, Becker P, Fekkar A, Stubbe D, 2021)","manualFormatting":"(Blaize et al., 2021; Normand AC et al., 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(Blaize et al., 2021; Normand AC</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2021)</w:t>
      </w:r>
      <w:r w:rsidR="00D867D2" w:rsidRPr="006A6222">
        <w:rPr>
          <w:rFonts w:ascii="Arial" w:hAnsi="Arial" w:cs="Arial"/>
          <w:sz w:val="20"/>
          <w:szCs w:val="20"/>
        </w:rPr>
        <w:fldChar w:fldCharType="end"/>
      </w:r>
      <w:r w:rsidR="00806D12" w:rsidRPr="006A6222">
        <w:rPr>
          <w:rFonts w:ascii="Arial" w:hAnsi="Arial" w:cs="Arial"/>
          <w:sz w:val="20"/>
          <w:szCs w:val="20"/>
        </w:rPr>
        <w:t>. At the end of their migration, the time of flight is recorded by a detector and converted into m/z by a computerized system. The operation is repeated a large number of times for each extract to obtain a cumulative spectrum whose intensities are sufficient to meet the requirements of the equipment supplier</w:t>
      </w:r>
      <w:r w:rsidR="00C975C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hospitalière","type":"article-journal","volume":"2021"},"uris":["http://www.mendeley.com/documents/?uuid=7e8fd509-f84d-42e1-842e-9d08d437420e"]}],"mendeley":{"formattedCitation":"(Blaize et al., 2021)","plainTextFormattedCitation":"(Blaize et al., 2021)","previouslyFormattedCitation":"(Blaize et al., 2021)"},"properties":{"noteIndex":0},"schema":"https://github.com/citation-style-language/schema/raw/master/csl-citation.json"}</w:instrText>
      </w:r>
      <w:r w:rsidR="00C975C2"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EB33B3">
        <w:rPr>
          <w:rFonts w:ascii="Arial" w:hAnsi="Arial" w:cs="Arial"/>
          <w:i/>
          <w:iCs/>
          <w:sz w:val="20"/>
          <w:szCs w:val="20"/>
        </w:rPr>
        <w:t>et al.</w:t>
      </w:r>
      <w:r w:rsidR="00DA7D66" w:rsidRPr="006A6222">
        <w:rPr>
          <w:rFonts w:ascii="Arial" w:hAnsi="Arial" w:cs="Arial"/>
          <w:sz w:val="20"/>
          <w:szCs w:val="20"/>
        </w:rPr>
        <w:t>, 2021)</w:t>
      </w:r>
      <w:r w:rsidR="00C975C2" w:rsidRPr="006A6222">
        <w:rPr>
          <w:rFonts w:ascii="Arial" w:hAnsi="Arial" w:cs="Arial"/>
          <w:sz w:val="20"/>
          <w:szCs w:val="20"/>
        </w:rPr>
        <w:fldChar w:fldCharType="end"/>
      </w:r>
      <w:r w:rsidR="00806D12" w:rsidRPr="006A6222">
        <w:rPr>
          <w:rFonts w:ascii="Arial" w:hAnsi="Arial" w:cs="Arial"/>
          <w:sz w:val="20"/>
          <w:szCs w:val="20"/>
        </w:rPr>
        <w:t>.</w:t>
      </w:r>
      <w:bookmarkEnd w:id="19"/>
    </w:p>
    <w:p w14:paraId="51BEF955" w14:textId="05729CB6" w:rsidR="00806D12" w:rsidRPr="00E85FF3" w:rsidRDefault="00806D12" w:rsidP="00E85FF3">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20" w:name="_Hlk193404399"/>
      <w:r w:rsidRPr="00E85FF3">
        <w:rPr>
          <w:rFonts w:ascii="Arial" w:eastAsia="Times New Roman" w:hAnsi="Arial" w:cs="Arial"/>
          <w:b/>
          <w:bCs/>
          <w:noProof w:val="0"/>
          <w:color w:val="auto"/>
          <w:kern w:val="0"/>
          <w:sz w:val="22"/>
          <w:szCs w:val="22"/>
          <w:lang w:val="en-US" w:eastAsia="en-ZA"/>
          <w14:ligatures w14:val="none"/>
        </w:rPr>
        <w:t>Data management and analysis</w:t>
      </w:r>
    </w:p>
    <w:p w14:paraId="1B26F610" w14:textId="68A749C9" w:rsidR="00496C13" w:rsidRPr="006A6222" w:rsidRDefault="0074476C" w:rsidP="00451967">
      <w:pPr>
        <w:spacing w:line="480" w:lineRule="auto"/>
        <w:jc w:val="both"/>
        <w:rPr>
          <w:rFonts w:ascii="Arial" w:hAnsi="Arial" w:cs="Arial"/>
          <w:sz w:val="20"/>
          <w:szCs w:val="20"/>
        </w:rPr>
      </w:pPr>
      <w:r w:rsidRPr="006A6222">
        <w:rPr>
          <w:rFonts w:ascii="Arial" w:hAnsi="Arial" w:cs="Arial"/>
          <w:sz w:val="20"/>
          <w:szCs w:val="20"/>
        </w:rPr>
        <w:t>The spectra obtained were compared with the online database created by Sorbonne University and dedicated to the identification of yeasts and filamentous fungi: MSI2 (</w:t>
      </w:r>
      <w:hyperlink r:id="rId21" w:history="1">
        <w:r w:rsidRPr="006A6222">
          <w:rPr>
            <w:rStyle w:val="Hyperlink"/>
            <w:rFonts w:ascii="Arial" w:hAnsi="Arial" w:cs="Arial"/>
            <w:sz w:val="20"/>
            <w:szCs w:val="20"/>
          </w:rPr>
          <w:t>https://msi.happy-dev.fr/</w:t>
        </w:r>
      </w:hyperlink>
      <w:r w:rsidRPr="006A6222">
        <w:rPr>
          <w:rFonts w:ascii="Arial" w:hAnsi="Arial" w:cs="Arial"/>
          <w:sz w:val="20"/>
          <w:szCs w:val="20"/>
        </w:rPr>
        <w:t xml:space="preserve">). </w:t>
      </w:r>
      <w:r w:rsidR="004C555B" w:rsidRPr="006A6222">
        <w:rPr>
          <w:rFonts w:ascii="Arial" w:hAnsi="Arial" w:cs="Arial"/>
          <w:sz w:val="20"/>
          <w:szCs w:val="20"/>
        </w:rPr>
        <w:t xml:space="preserve">MSI-2 platform scores </w:t>
      </w:r>
      <w:r w:rsidR="00695587" w:rsidRPr="006A6222">
        <w:rPr>
          <w:rFonts w:ascii="Arial" w:hAnsi="Arial" w:cs="Arial"/>
          <w:sz w:val="20"/>
          <w:szCs w:val="20"/>
        </w:rPr>
        <w:t>were</w:t>
      </w:r>
      <w:r w:rsidRPr="006A6222">
        <w:rPr>
          <w:rFonts w:ascii="Arial" w:hAnsi="Arial" w:cs="Arial"/>
          <w:sz w:val="20"/>
          <w:szCs w:val="20"/>
        </w:rPr>
        <w:t xml:space="preserve"> used to</w:t>
      </w:r>
      <w:r w:rsidR="004C555B" w:rsidRPr="006A6222">
        <w:rPr>
          <w:rFonts w:ascii="Arial" w:hAnsi="Arial" w:cs="Arial"/>
          <w:sz w:val="20"/>
          <w:szCs w:val="20"/>
        </w:rPr>
        <w:t xml:space="preserve"> assess the reliability of SM identification</w:t>
      </w:r>
      <w:r w:rsidR="001968F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Investigation","id":"ITEM-1","issue":"3","issued":{"date-parts":[["2019"]]},"page":"471-474","title":"Identification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2019)","plainTextFormattedCitation":"(Becker et al., 2019)","previouslyFormattedCitation":"(Becker et al., 2019)"},"properties":{"noteIndex":0},"schema":"https://github.com/citation-style-language/schema/raw/master/csl-citation.json"}</w:instrText>
      </w:r>
      <w:r w:rsidR="001968F8" w:rsidRPr="006A6222">
        <w:rPr>
          <w:rFonts w:ascii="Arial" w:hAnsi="Arial" w:cs="Arial"/>
          <w:sz w:val="20"/>
          <w:szCs w:val="20"/>
        </w:rPr>
        <w:fldChar w:fldCharType="separate"/>
      </w:r>
      <w:r w:rsidR="00DA7D66" w:rsidRPr="006A6222">
        <w:rPr>
          <w:rFonts w:ascii="Arial" w:hAnsi="Arial" w:cs="Arial"/>
          <w:sz w:val="20"/>
          <w:szCs w:val="20"/>
        </w:rPr>
        <w:t xml:space="preserve">(Becker </w:t>
      </w:r>
      <w:r w:rsidR="00DA7D66" w:rsidRPr="00282A5B">
        <w:rPr>
          <w:rFonts w:ascii="Arial" w:hAnsi="Arial" w:cs="Arial"/>
          <w:i/>
          <w:iCs/>
          <w:sz w:val="20"/>
          <w:szCs w:val="20"/>
        </w:rPr>
        <w:t>et al.,</w:t>
      </w:r>
      <w:r w:rsidR="00DA7D66" w:rsidRPr="006A6222">
        <w:rPr>
          <w:rFonts w:ascii="Arial" w:hAnsi="Arial" w:cs="Arial"/>
          <w:sz w:val="20"/>
          <w:szCs w:val="20"/>
        </w:rPr>
        <w:t xml:space="preserve"> 2019)</w:t>
      </w:r>
      <w:r w:rsidR="001968F8" w:rsidRPr="006A6222">
        <w:rPr>
          <w:rFonts w:ascii="Arial" w:hAnsi="Arial" w:cs="Arial"/>
          <w:sz w:val="20"/>
          <w:szCs w:val="20"/>
        </w:rPr>
        <w:fldChar w:fldCharType="end"/>
      </w:r>
      <w:r w:rsidR="004C555B" w:rsidRPr="006A6222">
        <w:rPr>
          <w:rFonts w:ascii="Arial" w:hAnsi="Arial" w:cs="Arial"/>
          <w:sz w:val="20"/>
          <w:szCs w:val="20"/>
        </w:rPr>
        <w:t xml:space="preserve"> According to the criteria established by the MSI-2 platform, a score of 20 or higher indicates a satisfactory level of confidence in fungal identification. This threshold ensures that the identification is reliable and minimizes the risk of misclassification, providing a robust basis for further analysis and interpretation</w:t>
      </w:r>
      <w:r w:rsidR="0023755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237558" w:rsidRPr="006A6222">
        <w:rPr>
          <w:rFonts w:ascii="Arial" w:hAnsi="Arial" w:cs="Arial"/>
          <w:sz w:val="20"/>
          <w:szCs w:val="20"/>
        </w:rPr>
        <w:fldChar w:fldCharType="separate"/>
      </w:r>
      <w:r w:rsidR="00DA7D66" w:rsidRPr="006A6222">
        <w:rPr>
          <w:rFonts w:ascii="Arial" w:hAnsi="Arial" w:cs="Arial"/>
          <w:sz w:val="20"/>
          <w:szCs w:val="20"/>
        </w:rPr>
        <w:t>(Simon, 2021)</w:t>
      </w:r>
      <w:r w:rsidR="00237558" w:rsidRPr="006A6222">
        <w:rPr>
          <w:rFonts w:ascii="Arial" w:hAnsi="Arial" w:cs="Arial"/>
          <w:sz w:val="20"/>
          <w:szCs w:val="20"/>
        </w:rPr>
        <w:fldChar w:fldCharType="end"/>
      </w:r>
      <w:r w:rsidR="00806D12" w:rsidRPr="006A6222">
        <w:rPr>
          <w:rFonts w:ascii="Arial" w:hAnsi="Arial" w:cs="Arial"/>
          <w:sz w:val="20"/>
          <w:szCs w:val="20"/>
        </w:rPr>
        <w:t>.</w:t>
      </w:r>
    </w:p>
    <w:p w14:paraId="4DD5342A" w14:textId="15688C84" w:rsidR="00496C13" w:rsidRPr="00E85FF3" w:rsidRDefault="00C54D3C" w:rsidP="00E85FF3">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E85FF3">
        <w:rPr>
          <w:rFonts w:ascii="Arial" w:eastAsia="Times New Roman" w:hAnsi="Arial" w:cs="Arial"/>
          <w:b/>
          <w:bCs/>
          <w:noProof w:val="0"/>
          <w:color w:val="auto"/>
          <w:kern w:val="0"/>
          <w:sz w:val="22"/>
          <w:szCs w:val="22"/>
          <w:lang w:val="en-US" w:eastAsia="en-ZA"/>
          <w14:ligatures w14:val="none"/>
        </w:rPr>
        <w:t>Statistical</w:t>
      </w:r>
      <w:r w:rsidR="00496C13" w:rsidRPr="00E85FF3">
        <w:rPr>
          <w:rFonts w:ascii="Arial" w:eastAsia="Times New Roman" w:hAnsi="Arial" w:cs="Arial"/>
          <w:b/>
          <w:bCs/>
          <w:noProof w:val="0"/>
          <w:color w:val="auto"/>
          <w:kern w:val="0"/>
          <w:sz w:val="22"/>
          <w:szCs w:val="22"/>
          <w:lang w:val="en-US" w:eastAsia="en-ZA"/>
          <w14:ligatures w14:val="none"/>
        </w:rPr>
        <w:t xml:space="preserve"> analysis</w:t>
      </w:r>
    </w:p>
    <w:p w14:paraId="0BEF4D84" w14:textId="4FFD54FF" w:rsidR="00806D12" w:rsidRDefault="00C54D3C" w:rsidP="00451967">
      <w:pPr>
        <w:spacing w:line="480" w:lineRule="auto"/>
        <w:jc w:val="both"/>
        <w:rPr>
          <w:rFonts w:ascii="Arial" w:hAnsi="Arial" w:cs="Arial"/>
          <w:sz w:val="20"/>
          <w:szCs w:val="20"/>
        </w:rPr>
      </w:pPr>
      <w:r w:rsidRPr="006A6222">
        <w:rPr>
          <w:rFonts w:ascii="Arial" w:hAnsi="Arial" w:cs="Arial"/>
          <w:sz w:val="20"/>
          <w:szCs w:val="20"/>
        </w:rPr>
        <w:t xml:space="preserve">All data were meticulously entered into Microsoft Excel (version 2016) and subsequently analyzed using Epi Info software (version 7.2.2.6). To evaluate the consistency and reliability of the results obtained from the two methods, the rate of agreement was calculated, providing a quantitative measure of </w:t>
      </w:r>
      <w:r w:rsidRPr="006A6222">
        <w:rPr>
          <w:rFonts w:ascii="Arial" w:hAnsi="Arial" w:cs="Arial"/>
          <w:sz w:val="20"/>
          <w:szCs w:val="20"/>
        </w:rPr>
        <w:lastRenderedPageBreak/>
        <w:t>concordance. This assessment aimed to determine the level of alignment between the two approaches, ensuring the validity of the findings</w:t>
      </w:r>
      <w:r w:rsidR="004231BA" w:rsidRPr="006A6222">
        <w:rPr>
          <w:rFonts w:ascii="Arial" w:hAnsi="Arial" w:cs="Arial"/>
          <w:sz w:val="20"/>
          <w:szCs w:val="20"/>
        </w:rPr>
        <w:t>.</w:t>
      </w:r>
    </w:p>
    <w:p w14:paraId="3C89B5A5" w14:textId="77777777" w:rsidR="00845307" w:rsidRPr="006A6222" w:rsidRDefault="00845307" w:rsidP="00451967">
      <w:pPr>
        <w:spacing w:line="480" w:lineRule="auto"/>
        <w:jc w:val="both"/>
        <w:rPr>
          <w:rFonts w:ascii="Arial" w:hAnsi="Arial" w:cs="Arial"/>
          <w:sz w:val="20"/>
          <w:szCs w:val="20"/>
        </w:rPr>
      </w:pPr>
    </w:p>
    <w:p w14:paraId="6BEC5ECF" w14:textId="4B5A3E96" w:rsidR="00806D12" w:rsidRPr="006A6222" w:rsidRDefault="006A6222" w:rsidP="00E85FF3">
      <w:pPr>
        <w:pStyle w:val="Heading1"/>
        <w:numPr>
          <w:ilvl w:val="0"/>
          <w:numId w:val="4"/>
        </w:numPr>
        <w:spacing w:before="240" w:line="480" w:lineRule="auto"/>
        <w:jc w:val="left"/>
        <w:rPr>
          <w:sz w:val="22"/>
          <w:szCs w:val="22"/>
        </w:rPr>
      </w:pPr>
      <w:bookmarkStart w:id="21" w:name="_Hlk193404692"/>
      <w:bookmarkEnd w:id="20"/>
      <w:r w:rsidRPr="006A6222">
        <w:rPr>
          <w:sz w:val="22"/>
          <w:szCs w:val="22"/>
        </w:rPr>
        <w:t>RESULTS</w:t>
      </w:r>
    </w:p>
    <w:p w14:paraId="62E7C34E" w14:textId="73A76B3E" w:rsidR="008C2ADE" w:rsidRPr="00E85FF3" w:rsidRDefault="0005250B" w:rsidP="00E85FF3">
      <w:pPr>
        <w:pStyle w:val="Heading1"/>
        <w:numPr>
          <w:ilvl w:val="1"/>
          <w:numId w:val="4"/>
        </w:numPr>
        <w:spacing w:before="240" w:line="480" w:lineRule="auto"/>
        <w:jc w:val="left"/>
        <w:rPr>
          <w:sz w:val="22"/>
          <w:szCs w:val="22"/>
        </w:rPr>
      </w:pPr>
      <w:r w:rsidRPr="006A6222">
        <w:rPr>
          <w:sz w:val="22"/>
          <w:szCs w:val="22"/>
        </w:rPr>
        <w:t xml:space="preserve">General </w:t>
      </w:r>
      <w:r w:rsidR="00664C0E" w:rsidRPr="006A6222">
        <w:rPr>
          <w:sz w:val="22"/>
          <w:szCs w:val="22"/>
        </w:rPr>
        <w:t>characteristics</w:t>
      </w:r>
      <w:r w:rsidRPr="006A6222">
        <w:rPr>
          <w:sz w:val="22"/>
          <w:szCs w:val="22"/>
        </w:rPr>
        <w:t xml:space="preserve"> of the </w:t>
      </w:r>
      <w:r w:rsidR="00343C89" w:rsidRPr="006A6222">
        <w:rPr>
          <w:sz w:val="22"/>
          <w:szCs w:val="22"/>
        </w:rPr>
        <w:t>clinical fungi isolates</w:t>
      </w:r>
    </w:p>
    <w:p w14:paraId="15425C6A" w14:textId="209BCE06" w:rsidR="00994FB2" w:rsidRPr="006A6222" w:rsidRDefault="00994FB2" w:rsidP="00451967">
      <w:pPr>
        <w:spacing w:line="480" w:lineRule="auto"/>
        <w:jc w:val="both"/>
        <w:rPr>
          <w:rFonts w:ascii="Arial" w:hAnsi="Arial" w:cs="Arial"/>
          <w:sz w:val="20"/>
          <w:szCs w:val="18"/>
        </w:rPr>
      </w:pPr>
      <w:r w:rsidRPr="006A6222">
        <w:rPr>
          <w:rFonts w:ascii="Arial" w:hAnsi="Arial" w:cs="Arial"/>
          <w:sz w:val="20"/>
          <w:szCs w:val="18"/>
        </w:rPr>
        <w:t xml:space="preserve">A total of 538 samples were collected, including 114 </w:t>
      </w:r>
      <w:r w:rsidRPr="006A6222">
        <w:rPr>
          <w:rStyle w:val="Emphasis"/>
          <w:rFonts w:ascii="Arial" w:hAnsi="Arial" w:cs="Arial"/>
          <w:sz w:val="20"/>
          <w:szCs w:val="18"/>
        </w:rPr>
        <w:t>Malassezia</w:t>
      </w:r>
      <w:r w:rsidRPr="006A6222">
        <w:rPr>
          <w:rFonts w:ascii="Arial" w:hAnsi="Arial" w:cs="Arial"/>
          <w:sz w:val="20"/>
          <w:szCs w:val="18"/>
        </w:rPr>
        <w:t xml:space="preserve"> samples identified directly through tape stripping, along with 154 negative cultures (Figure 3). Of these, 270 isolates were sent to </w:t>
      </w:r>
      <w:r w:rsidRPr="00111982">
        <w:rPr>
          <w:rStyle w:val="Strong"/>
          <w:rFonts w:ascii="Arial" w:hAnsi="Arial" w:cs="Arial"/>
          <w:b w:val="0"/>
          <w:bCs w:val="0"/>
          <w:sz w:val="20"/>
          <w:szCs w:val="18"/>
        </w:rPr>
        <w:t>Hôpital Pitié-Salpêtrière</w:t>
      </w:r>
      <w:r w:rsidRPr="00111982">
        <w:rPr>
          <w:rFonts w:ascii="Arial" w:hAnsi="Arial" w:cs="Arial"/>
          <w:b/>
          <w:bCs/>
          <w:sz w:val="20"/>
          <w:szCs w:val="18"/>
        </w:rPr>
        <w:t xml:space="preserve"> </w:t>
      </w:r>
      <w:r w:rsidRPr="006A6222">
        <w:rPr>
          <w:rFonts w:ascii="Arial" w:hAnsi="Arial" w:cs="Arial"/>
          <w:sz w:val="20"/>
          <w:szCs w:val="18"/>
        </w:rPr>
        <w:t>for MALDI-TOF MS analysis. During transportation, 21 isolates (7.77</w:t>
      </w:r>
      <w:r w:rsidR="00B629F5" w:rsidRPr="006A6222">
        <w:rPr>
          <w:rFonts w:ascii="Arial" w:hAnsi="Arial" w:cs="Arial"/>
          <w:sz w:val="20"/>
          <w:szCs w:val="18"/>
        </w:rPr>
        <w:t xml:space="preserve"> </w:t>
      </w:r>
      <w:r w:rsidRPr="006A6222">
        <w:rPr>
          <w:rFonts w:ascii="Arial" w:hAnsi="Arial" w:cs="Arial"/>
          <w:sz w:val="20"/>
          <w:szCs w:val="18"/>
        </w:rPr>
        <w:t>%) became contaminated between their initial identification in Lomé and their arrival in France for characterization. These contaminated samples had initially been identified using routine methods as dermatophytes (</w:t>
      </w:r>
      <w:r w:rsidRPr="006A6222">
        <w:rPr>
          <w:rStyle w:val="Emphasis"/>
          <w:rFonts w:ascii="Arial" w:hAnsi="Arial" w:cs="Arial"/>
          <w:sz w:val="20"/>
          <w:szCs w:val="18"/>
        </w:rPr>
        <w:t>n</w:t>
      </w:r>
      <w:r w:rsidRPr="006A6222">
        <w:rPr>
          <w:rFonts w:ascii="Arial" w:hAnsi="Arial" w:cs="Arial"/>
          <w:sz w:val="20"/>
          <w:szCs w:val="18"/>
        </w:rPr>
        <w:t xml:space="preserve"> = 14), yeasts (</w:t>
      </w:r>
      <w:r w:rsidRPr="006A6222">
        <w:rPr>
          <w:rStyle w:val="Emphasis"/>
          <w:rFonts w:ascii="Arial" w:hAnsi="Arial" w:cs="Arial"/>
          <w:sz w:val="20"/>
          <w:szCs w:val="18"/>
        </w:rPr>
        <w:t>n</w:t>
      </w:r>
      <w:r w:rsidRPr="006A6222">
        <w:rPr>
          <w:rFonts w:ascii="Arial" w:hAnsi="Arial" w:cs="Arial"/>
          <w:sz w:val="20"/>
          <w:szCs w:val="18"/>
        </w:rPr>
        <w:t xml:space="preserve"> = 4), </w:t>
      </w:r>
      <w:r w:rsidRPr="006A6222">
        <w:rPr>
          <w:rStyle w:val="Emphasis"/>
          <w:rFonts w:ascii="Arial" w:hAnsi="Arial" w:cs="Arial"/>
          <w:sz w:val="20"/>
          <w:szCs w:val="18"/>
        </w:rPr>
        <w:t>Fusarium spp.</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w:t>
      </w:r>
      <w:r w:rsidR="005366C5" w:rsidRPr="006A6222">
        <w:rPr>
          <w:rFonts w:ascii="Arial" w:hAnsi="Arial" w:cs="Arial"/>
          <w:sz w:val="20"/>
          <w:szCs w:val="18"/>
        </w:rPr>
        <w:t>=</w:t>
      </w:r>
      <w:r w:rsidRPr="006A6222">
        <w:rPr>
          <w:rFonts w:ascii="Arial" w:hAnsi="Arial" w:cs="Arial"/>
          <w:sz w:val="20"/>
          <w:szCs w:val="18"/>
        </w:rPr>
        <w:t xml:space="preserve">1), </w:t>
      </w:r>
      <w:commentRangeStart w:id="22"/>
      <w:r w:rsidRPr="006A6222">
        <w:rPr>
          <w:rFonts w:ascii="Arial" w:hAnsi="Arial" w:cs="Arial"/>
          <w:sz w:val="20"/>
          <w:szCs w:val="18"/>
        </w:rPr>
        <w:t>mucorale</w:t>
      </w:r>
      <w:commentRangeEnd w:id="22"/>
      <w:r w:rsidR="009B2E7E">
        <w:rPr>
          <w:rStyle w:val="CommentReference"/>
        </w:rPr>
        <w:commentReference w:id="22"/>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 1), and a mold of the genus </w:t>
      </w:r>
      <w:r w:rsidRPr="006A6222">
        <w:rPr>
          <w:rStyle w:val="Emphasis"/>
          <w:rFonts w:ascii="Arial" w:hAnsi="Arial" w:cs="Arial"/>
          <w:sz w:val="20"/>
          <w:szCs w:val="18"/>
        </w:rPr>
        <w:t>Neoscytalidium</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 1). However, MALDI-TOF MS analysis revealed that these isolates belonged to the genus </w:t>
      </w:r>
      <w:r w:rsidRPr="006A6222">
        <w:rPr>
          <w:rStyle w:val="Emphasis"/>
          <w:rFonts w:ascii="Arial" w:hAnsi="Arial" w:cs="Arial"/>
          <w:sz w:val="20"/>
          <w:szCs w:val="18"/>
        </w:rPr>
        <w:t>Aspergillus</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 18) and </w:t>
      </w:r>
      <w:r w:rsidRPr="006A6222">
        <w:rPr>
          <w:rStyle w:val="Emphasis"/>
          <w:rFonts w:ascii="Arial" w:hAnsi="Arial" w:cs="Arial"/>
          <w:sz w:val="20"/>
          <w:szCs w:val="18"/>
        </w:rPr>
        <w:t>Penicillium/Talaromyces</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 3)</w:t>
      </w:r>
      <w:r w:rsidR="008B6AD6" w:rsidRPr="006A6222">
        <w:rPr>
          <w:rFonts w:ascii="Arial" w:hAnsi="Arial" w:cs="Arial"/>
          <w:sz w:val="20"/>
          <w:szCs w:val="18"/>
        </w:rPr>
        <w:t xml:space="preserve"> </w:t>
      </w:r>
      <w:r w:rsidR="0035237E" w:rsidRPr="006A6222">
        <w:rPr>
          <w:rFonts w:ascii="Arial" w:hAnsi="Arial" w:cs="Arial"/>
          <w:sz w:val="20"/>
          <w:szCs w:val="18"/>
        </w:rPr>
        <w:t>.</w:t>
      </w:r>
    </w:p>
    <w:bookmarkStart w:id="23" w:name="_Hlk193405738"/>
    <w:bookmarkEnd w:id="21"/>
    <w:p w14:paraId="4F2392F4" w14:textId="2BCD477D" w:rsidR="00737017" w:rsidRPr="006A6222" w:rsidRDefault="00737017" w:rsidP="00451967">
      <w:pPr>
        <w:spacing w:line="480" w:lineRule="auto"/>
        <w:jc w:val="both"/>
        <w:rPr>
          <w:rFonts w:ascii="Arial" w:hAnsi="Arial" w:cs="Arial"/>
          <w:sz w:val="24"/>
          <w:szCs w:val="24"/>
        </w:rPr>
      </w:pPr>
      <w:r w:rsidRPr="006A6222">
        <w:rPr>
          <w:rFonts w:ascii="Arial" w:hAnsi="Arial" w:cs="Arial"/>
          <w:bCs/>
          <w:sz w:val="20"/>
          <w:szCs w:val="20"/>
          <w:lang w:val="en-US"/>
        </w:rPr>
        <mc:AlternateContent>
          <mc:Choice Requires="wpg">
            <w:drawing>
              <wp:anchor distT="0" distB="0" distL="114300" distR="114300" simplePos="0" relativeHeight="251672576" behindDoc="0" locked="0" layoutInCell="1" allowOverlap="1" wp14:anchorId="0FE47EE6" wp14:editId="4BE4F3A7">
                <wp:simplePos x="0" y="0"/>
                <wp:positionH relativeFrom="column">
                  <wp:posOffset>71755</wp:posOffset>
                </wp:positionH>
                <wp:positionV relativeFrom="paragraph">
                  <wp:posOffset>164465</wp:posOffset>
                </wp:positionV>
                <wp:extent cx="4895850" cy="3395345"/>
                <wp:effectExtent l="0" t="0" r="19050" b="14605"/>
                <wp:wrapNone/>
                <wp:docPr id="1670601859" name="Groupe 18"/>
                <wp:cNvGraphicFramePr/>
                <a:graphic xmlns:a="http://schemas.openxmlformats.org/drawingml/2006/main">
                  <a:graphicData uri="http://schemas.microsoft.com/office/word/2010/wordprocessingGroup">
                    <wpg:wgp>
                      <wpg:cNvGrpSpPr/>
                      <wpg:grpSpPr>
                        <a:xfrm>
                          <a:off x="0" y="0"/>
                          <a:ext cx="4895850" cy="3395345"/>
                          <a:chOff x="0" y="180975"/>
                          <a:chExt cx="5019675" cy="3687417"/>
                        </a:xfrm>
                      </wpg:grpSpPr>
                      <wps:wsp>
                        <wps:cNvPr id="1530812027" name="Connecteur droit avec flèche 13"/>
                        <wps:cNvCnPr/>
                        <wps:spPr>
                          <a:xfrm>
                            <a:off x="1362075" y="8953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55845983" name="Groupe 17"/>
                        <wpg:cNvGrpSpPr/>
                        <wpg:grpSpPr>
                          <a:xfrm>
                            <a:off x="0" y="180975"/>
                            <a:ext cx="5019675" cy="3687417"/>
                            <a:chOff x="0" y="180975"/>
                            <a:chExt cx="5019675" cy="3687417"/>
                          </a:xfrm>
                        </wpg:grpSpPr>
                        <wps:wsp>
                          <wps:cNvPr id="1151822316" name="Connecteur droit avec flèche 3"/>
                          <wps:cNvCnPr/>
                          <wps:spPr>
                            <a:xfrm>
                              <a:off x="1352550" y="619125"/>
                              <a:ext cx="0" cy="5956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48153331" name="Groupe 14"/>
                          <wpg:cNvGrpSpPr/>
                          <wpg:grpSpPr>
                            <a:xfrm>
                              <a:off x="0" y="180975"/>
                              <a:ext cx="5019675" cy="3687417"/>
                              <a:chOff x="0" y="180975"/>
                              <a:chExt cx="5019675" cy="3687417"/>
                            </a:xfrm>
                          </wpg:grpSpPr>
                          <wps:wsp>
                            <wps:cNvPr id="921757525" name="Connecteur droit avec flèche 13"/>
                            <wps:cNvCnPr/>
                            <wps:spPr>
                              <a:xfrm>
                                <a:off x="1381126" y="3138876"/>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8316907" name="Rectangle 1"/>
                            <wps:cNvSpPr/>
                            <wps:spPr>
                              <a:xfrm>
                                <a:off x="0" y="3438902"/>
                                <a:ext cx="3286125" cy="4294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585325" name="Zone de texte 6"/>
                            <wps:cNvSpPr txBox="1"/>
                            <wps:spPr>
                              <a:xfrm>
                                <a:off x="2447926" y="2978407"/>
                                <a:ext cx="2381250" cy="419100"/>
                              </a:xfrm>
                              <a:prstGeom prst="rect">
                                <a:avLst/>
                              </a:prstGeom>
                              <a:solidFill>
                                <a:schemeClr val="lt1"/>
                              </a:solidFill>
                              <a:ln w="9525">
                                <a:solidFill>
                                  <a:schemeClr val="tx1"/>
                                </a:solidFill>
                              </a:ln>
                            </wps:spPr>
                            <wps:txbx>
                              <w:txbxContent>
                                <w:p w14:paraId="1B6DC855" w14:textId="77777777" w:rsidR="00737017" w:rsidRPr="00E6253D" w:rsidRDefault="00737017" w:rsidP="00737017">
                                  <w:pPr>
                                    <w:rPr>
                                      <w:rFonts w:ascii="Arial" w:hAnsi="Arial" w:cs="Arial"/>
                                      <w:sz w:val="18"/>
                                      <w:szCs w:val="18"/>
                                    </w:rPr>
                                  </w:pPr>
                                  <w:r w:rsidRPr="00E6253D">
                                    <w:rPr>
                                      <w:rFonts w:ascii="Arial" w:hAnsi="Arial" w:cs="Arial"/>
                                      <w:bCs/>
                                      <w:sz w:val="20"/>
                                    </w:rPr>
                                    <w:t>21 contaminated crops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03321936" name="Groupe 13"/>
                            <wpg:cNvGrpSpPr/>
                            <wpg:grpSpPr>
                              <a:xfrm>
                                <a:off x="0" y="180975"/>
                                <a:ext cx="5019675" cy="3257927"/>
                                <a:chOff x="0" y="180975"/>
                                <a:chExt cx="5019675" cy="3257927"/>
                              </a:xfrm>
                            </wpg:grpSpPr>
                            <wps:wsp>
                              <wps:cNvPr id="652300435" name="Rectangle 1"/>
                              <wps:cNvSpPr/>
                              <wps:spPr>
                                <a:xfrm>
                                  <a:off x="0" y="2343015"/>
                                  <a:ext cx="3286125" cy="56194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431443" name="Connecteur droit avec flèche 3"/>
                              <wps:cNvCnPr/>
                              <wps:spPr>
                                <a:xfrm>
                                  <a:off x="1352550" y="1752600"/>
                                  <a:ext cx="0" cy="595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3093176" name="Zone de texte 6"/>
                              <wps:cNvSpPr txBox="1"/>
                              <wps:spPr>
                                <a:xfrm>
                                  <a:off x="2419350" y="1838325"/>
                                  <a:ext cx="1885950" cy="370495"/>
                                </a:xfrm>
                                <a:prstGeom prst="rect">
                                  <a:avLst/>
                                </a:prstGeom>
                                <a:solidFill>
                                  <a:schemeClr val="lt1"/>
                                </a:solidFill>
                                <a:ln w="9525">
                                  <a:solidFill>
                                    <a:schemeClr val="tx1"/>
                                  </a:solidFill>
                                </a:ln>
                              </wps:spPr>
                              <wps:txb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612107" name="Connecteur droit avec flèche 13"/>
                              <wps:cNvCnPr/>
                              <wps:spPr>
                                <a:xfrm>
                                  <a:off x="1362075" y="20002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8180815" name="Connecteur droit avec flèche 3"/>
                              <wps:cNvCnPr/>
                              <wps:spPr>
                                <a:xfrm>
                                  <a:off x="1352550" y="2904962"/>
                                  <a:ext cx="0" cy="5339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5250209" name="Rectangle 1"/>
                              <wps:cNvSpPr/>
                              <wps:spPr>
                                <a:xfrm>
                                  <a:off x="0" y="1219200"/>
                                  <a:ext cx="3295650" cy="50863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967192" name="Groupe 12"/>
                              <wpg:cNvGrpSpPr/>
                              <wpg:grpSpPr>
                                <a:xfrm>
                                  <a:off x="0" y="180975"/>
                                  <a:ext cx="5019675" cy="1033608"/>
                                  <a:chOff x="0" y="180975"/>
                                  <a:chExt cx="5019675" cy="1033608"/>
                                </a:xfrm>
                              </wpg:grpSpPr>
                              <wps:wsp>
                                <wps:cNvPr id="584301112" name="Rectangle 1"/>
                                <wps:cNvSpPr/>
                                <wps:spPr>
                                  <a:xfrm>
                                    <a:off x="0" y="180975"/>
                                    <a:ext cx="3295650" cy="42855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122497" name="Zone de texte 5"/>
                                <wps:cNvSpPr txBox="1"/>
                                <wps:spPr>
                                  <a:xfrm>
                                    <a:off x="2409825" y="728956"/>
                                    <a:ext cx="2609850" cy="485627"/>
                                  </a:xfrm>
                                  <a:prstGeom prst="rect">
                                    <a:avLst/>
                                  </a:prstGeom>
                                  <a:solidFill>
                                    <a:schemeClr val="lt1"/>
                                  </a:solidFill>
                                  <a:ln w="9525">
                                    <a:solidFill>
                                      <a:schemeClr val="tx1"/>
                                    </a:solidFill>
                                  </a:ln>
                                </wps:spPr>
                                <wps:txb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FE47EE6" id="Groupe 18" o:spid="_x0000_s1038" style="position:absolute;left:0;text-align:left;margin-left:5.65pt;margin-top:12.95pt;width:385.5pt;height:267.35pt;z-index:251672576;mso-width-relative:margin;mso-height-relative:margin" coordorigin=",1809" coordsize="50196,3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">
                <v:shapetype id="_x0000_t32" coordsize="21600,21600" o:spt="32" o:oned="t" path="m,l21600,21600e" filled="f">
                  <v:path arrowok="t" fillok="f" o:connecttype="none"/>
                  <o:lock v:ext="edit" shapetype="t"/>
                </v:shapetype>
                <v:shape id="Connecteur droit avec flèche 13" o:spid="_x0000_s1039" type="#_x0000_t32" style="position:absolute;left:13620;top:8953;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" strokecolor="black [3213]">
                  <v:stroke endarrow="block" joinstyle="miter"/>
                </v:shape>
                <v:group id="Groupe 17" o:spid="_x0000_s1040"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">
                  <v:shape id="Connecteur droit avec flèche 3" o:spid="_x0000_s1041" type="#_x0000_t32" style="position:absolute;left:13525;top:6191;width:0;height:5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" strokecolor="black [3213]" strokeweight="1.5pt">
                    <v:stroke endarrow="block" joinstyle="miter"/>
                  </v:shape>
                  <v:group id="Groupe 14" o:spid="_x0000_s1042"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">
                    <v:shape id="Connecteur droit avec flèche 13" o:spid="_x0000_s1043" type="#_x0000_t32" style="position:absolute;left:13811;top:31388;width:10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" strokecolor="black [3213]">
                      <v:stroke endarrow="block" joinstyle="miter"/>
                    </v:shape>
                    <v:rect id="Rectangle 1" o:spid="_x0000_s1044" style="position:absolute;top:34389;width:32861;height:4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" fillcolor="white [3201]" strokecolor="black [3213]" strokeweight="1.5pt">
                      <v:textbo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v:textbox>
                    </v:rect>
                    <v:shape id="Zone de texte 6" o:spid="_x0000_s1045" type="#_x0000_t202" style="position:absolute;left:24479;top:29784;width:2381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" fillcolor="white [3201]" strokecolor="black [3213]">
                      <v:textbox>
                        <w:txbxContent>
                          <w:p w14:paraId="1B6DC855" w14:textId="77777777" w:rsidR="00737017" w:rsidRPr="00E6253D" w:rsidRDefault="00737017" w:rsidP="00737017">
                            <w:pPr>
                              <w:rPr>
                                <w:rFonts w:ascii="Arial" w:hAnsi="Arial" w:cs="Arial"/>
                                <w:sz w:val="18"/>
                                <w:szCs w:val="18"/>
                              </w:rPr>
                            </w:pPr>
                            <w:r w:rsidRPr="00E6253D">
                              <w:rPr>
                                <w:rFonts w:ascii="Arial" w:hAnsi="Arial" w:cs="Arial"/>
                                <w:bCs/>
                                <w:sz w:val="20"/>
                              </w:rPr>
                              <w:t>21 contaminated crops</w:t>
                            </w:r>
                          </w:p>
                        </w:txbxContent>
                      </v:textbox>
                    </v:shape>
                    <v:group id="Groupe 13" o:spid="_x0000_s1046" style="position:absolute;top:1809;width:50196;height:32580" coordorigin=",1809" coordsize="50196,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">
                      <v:rect id="Rectangle 1" o:spid="_x0000_s1047" style="position:absolute;top:23430;width:3286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" fillcolor="white [3201]" strokecolor="black [3213]" strokeweight="1.5pt">
                        <v:textbo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v:textbox>
                      </v:rect>
                      <v:shape id="Connecteur droit avec flèche 3" o:spid="_x0000_s1048" type="#_x0000_t32" style="position:absolute;left:13525;top:17526;width:0;height:5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" strokecolor="black [3213]" strokeweight="1.5pt">
                        <v:stroke endarrow="block" joinstyle="miter"/>
                      </v:shape>
                      <v:shape id="Zone de texte 6" o:spid="_x0000_s1049" type="#_x0000_t202" style="position:absolute;left:24193;top:18383;width:18860;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" fillcolor="white [3201]" strokecolor="black [3213]">
                        <v:textbo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v:textbox>
                      </v:shape>
                      <v:shape id="Connecteur droit avec flèche 13" o:spid="_x0000_s1050" type="#_x0000_t32" style="position:absolute;left:13620;top:20002;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" strokecolor="black [3213]">
                        <v:stroke endarrow="block" joinstyle="miter"/>
                      </v:shape>
                      <v:shape id="Connecteur droit avec flèche 3" o:spid="_x0000_s1051" type="#_x0000_t32" style="position:absolute;left:13525;top:29049;width:0;height:5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" strokecolor="black [3213]" strokeweight="1.5pt">
                        <v:stroke endarrow="block" joinstyle="miter"/>
                      </v:shape>
                      <v:rect id="Rectangle 1" o:spid="_x0000_s1052" style="position:absolute;top:12192;width:32956;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" fillcolor="white [3201]" strokecolor="black [3213]" strokeweight="1.5pt">
                        <v:textbo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v:textbox>
                      </v:rect>
                      <v:group id="Groupe 12" o:spid="_x0000_s1053" style="position:absolute;top:1809;width:50196;height:10336" coordorigin=",1809" coordsize="50196,1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">
                        <v:rect id="Rectangle 1" o:spid="_x0000_s1054" style="position:absolute;top:1809;width:3295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" fillcolor="white [3201]" strokecolor="black [3213]" strokeweight="1.5pt">
                          <v:textbo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v:textbox>
                        </v:rect>
                        <v:shape id="Zone de texte 5" o:spid="_x0000_s1055" type="#_x0000_t202" style="position:absolute;left:24098;top:7289;width:26098;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" fillcolor="white [3201]" strokecolor="black [3213]">
                          <v:textbo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v:textbox>
                        </v:shape>
                      </v:group>
                    </v:group>
                  </v:group>
                </v:group>
              </v:group>
            </w:pict>
          </mc:Fallback>
        </mc:AlternateContent>
      </w:r>
    </w:p>
    <w:p w14:paraId="22C9833E" w14:textId="77777777" w:rsidR="00737017" w:rsidRPr="006A6222" w:rsidRDefault="00737017" w:rsidP="00451967">
      <w:pPr>
        <w:spacing w:line="480" w:lineRule="auto"/>
        <w:jc w:val="both"/>
        <w:rPr>
          <w:rFonts w:ascii="Arial" w:hAnsi="Arial" w:cs="Arial"/>
          <w:sz w:val="24"/>
          <w:szCs w:val="24"/>
        </w:rPr>
      </w:pPr>
    </w:p>
    <w:p w14:paraId="27BCAAE1" w14:textId="77777777" w:rsidR="00737017" w:rsidRPr="006A6222" w:rsidRDefault="00737017" w:rsidP="00451967">
      <w:pPr>
        <w:spacing w:line="480" w:lineRule="auto"/>
        <w:jc w:val="both"/>
        <w:rPr>
          <w:rFonts w:ascii="Arial" w:hAnsi="Arial" w:cs="Arial"/>
          <w:sz w:val="24"/>
          <w:szCs w:val="24"/>
        </w:rPr>
      </w:pPr>
    </w:p>
    <w:p w14:paraId="0BF44CEA" w14:textId="77777777" w:rsidR="00737017" w:rsidRPr="006A6222" w:rsidRDefault="00737017" w:rsidP="00451967">
      <w:pPr>
        <w:spacing w:line="480" w:lineRule="auto"/>
        <w:jc w:val="both"/>
        <w:rPr>
          <w:rFonts w:ascii="Arial" w:hAnsi="Arial" w:cs="Arial"/>
          <w:sz w:val="24"/>
          <w:szCs w:val="24"/>
        </w:rPr>
      </w:pPr>
    </w:p>
    <w:p w14:paraId="363751F3" w14:textId="77777777" w:rsidR="00737017" w:rsidRPr="006A6222" w:rsidRDefault="00737017" w:rsidP="00451967">
      <w:pPr>
        <w:spacing w:line="480" w:lineRule="auto"/>
        <w:jc w:val="both"/>
        <w:rPr>
          <w:rFonts w:ascii="Arial" w:hAnsi="Arial" w:cs="Arial"/>
          <w:sz w:val="24"/>
          <w:szCs w:val="24"/>
        </w:rPr>
      </w:pPr>
    </w:p>
    <w:p w14:paraId="034F9FD0" w14:textId="77777777" w:rsidR="00737017" w:rsidRPr="006A6222" w:rsidRDefault="00737017" w:rsidP="00451967">
      <w:pPr>
        <w:spacing w:line="480" w:lineRule="auto"/>
        <w:jc w:val="both"/>
        <w:rPr>
          <w:rFonts w:ascii="Arial" w:hAnsi="Arial" w:cs="Arial"/>
          <w:sz w:val="24"/>
          <w:szCs w:val="24"/>
        </w:rPr>
      </w:pPr>
    </w:p>
    <w:p w14:paraId="20B29B72" w14:textId="77777777" w:rsidR="00737017" w:rsidRPr="006A6222" w:rsidRDefault="00737017" w:rsidP="00451967">
      <w:pPr>
        <w:pStyle w:val="Caption"/>
        <w:spacing w:line="480" w:lineRule="auto"/>
        <w:ind w:left="0" w:firstLine="0"/>
        <w:rPr>
          <w:rFonts w:ascii="Arial" w:eastAsiaTheme="minorHAnsi" w:hAnsi="Arial" w:cs="Arial"/>
          <w:i w:val="0"/>
          <w:iCs w:val="0"/>
          <w:noProof/>
          <w:color w:val="auto"/>
          <w:kern w:val="2"/>
          <w:sz w:val="24"/>
          <w:szCs w:val="24"/>
          <w:lang w:val="en-GB"/>
          <w14:ligatures w14:val="standardContextual"/>
        </w:rPr>
      </w:pPr>
    </w:p>
    <w:p w14:paraId="7F0236AF" w14:textId="77777777" w:rsidR="00737017" w:rsidRPr="006A6222" w:rsidRDefault="00737017" w:rsidP="00451967">
      <w:pPr>
        <w:pStyle w:val="Caption"/>
        <w:spacing w:line="480" w:lineRule="auto"/>
        <w:rPr>
          <w:rFonts w:ascii="Arial" w:hAnsi="Arial" w:cs="Arial"/>
          <w:i w:val="0"/>
          <w:iCs w:val="0"/>
          <w:color w:val="000000" w:themeColor="text1"/>
          <w:sz w:val="24"/>
          <w:szCs w:val="24"/>
          <w:lang w:val="en-GB"/>
        </w:rPr>
      </w:pPr>
    </w:p>
    <w:p w14:paraId="12F8D95A" w14:textId="77777777" w:rsidR="00737017" w:rsidRPr="00EF28E1" w:rsidRDefault="00737017" w:rsidP="00451967">
      <w:pPr>
        <w:pStyle w:val="Caption"/>
        <w:spacing w:line="480" w:lineRule="auto"/>
        <w:rPr>
          <w:rFonts w:ascii="Arial" w:hAnsi="Arial" w:cs="Arial"/>
          <w:b/>
          <w:bCs/>
          <w:i w:val="0"/>
          <w:iCs w:val="0"/>
          <w:sz w:val="20"/>
          <w:szCs w:val="20"/>
          <w:lang w:val="en-GB"/>
        </w:rPr>
      </w:pPr>
      <w:r w:rsidRPr="00EF28E1">
        <w:rPr>
          <w:rFonts w:ascii="Arial" w:hAnsi="Arial" w:cs="Arial"/>
          <w:b/>
          <w:bCs/>
          <w:i w:val="0"/>
          <w:iCs w:val="0"/>
          <w:color w:val="000000" w:themeColor="text1"/>
          <w:sz w:val="20"/>
          <w:szCs w:val="20"/>
          <w:lang w:val="en-GB"/>
        </w:rPr>
        <w:t xml:space="preserve">Figure </w:t>
      </w:r>
      <w:r w:rsidRPr="00EF28E1">
        <w:rPr>
          <w:rFonts w:ascii="Arial" w:hAnsi="Arial" w:cs="Arial"/>
          <w:b/>
          <w:bCs/>
          <w:i w:val="0"/>
          <w:iCs w:val="0"/>
          <w:color w:val="000000" w:themeColor="text1"/>
          <w:sz w:val="20"/>
          <w:szCs w:val="20"/>
          <w:lang w:val="en-GB"/>
        </w:rPr>
        <w:fldChar w:fldCharType="begin"/>
      </w:r>
      <w:r w:rsidRPr="00EF28E1">
        <w:rPr>
          <w:rFonts w:ascii="Arial" w:hAnsi="Arial" w:cs="Arial"/>
          <w:b/>
          <w:bCs/>
          <w:i w:val="0"/>
          <w:iCs w:val="0"/>
          <w:color w:val="000000" w:themeColor="text1"/>
          <w:sz w:val="20"/>
          <w:szCs w:val="20"/>
          <w:lang w:val="en-GB"/>
        </w:rPr>
        <w:instrText xml:space="preserve"> SEQ Figure \* ARABIC </w:instrText>
      </w:r>
      <w:r w:rsidRPr="00EF28E1">
        <w:rPr>
          <w:rFonts w:ascii="Arial" w:hAnsi="Arial" w:cs="Arial"/>
          <w:b/>
          <w:bCs/>
          <w:i w:val="0"/>
          <w:iCs w:val="0"/>
          <w:color w:val="000000" w:themeColor="text1"/>
          <w:sz w:val="20"/>
          <w:szCs w:val="20"/>
          <w:lang w:val="en-GB"/>
        </w:rPr>
        <w:fldChar w:fldCharType="separate"/>
      </w:r>
      <w:r w:rsidRPr="00EF28E1">
        <w:rPr>
          <w:rFonts w:ascii="Arial" w:hAnsi="Arial" w:cs="Arial"/>
          <w:b/>
          <w:bCs/>
          <w:i w:val="0"/>
          <w:iCs w:val="0"/>
          <w:noProof/>
          <w:color w:val="000000" w:themeColor="text1"/>
          <w:sz w:val="20"/>
          <w:szCs w:val="20"/>
          <w:lang w:val="en-GB"/>
        </w:rPr>
        <w:t>3</w:t>
      </w:r>
      <w:r w:rsidRPr="00EF28E1">
        <w:rPr>
          <w:rFonts w:ascii="Arial" w:hAnsi="Arial" w:cs="Arial"/>
          <w:b/>
          <w:bCs/>
          <w:i w:val="0"/>
          <w:iCs w:val="0"/>
          <w:color w:val="000000" w:themeColor="text1"/>
          <w:sz w:val="20"/>
          <w:szCs w:val="20"/>
          <w:lang w:val="en-GB"/>
        </w:rPr>
        <w:fldChar w:fldCharType="end"/>
      </w:r>
      <w:r w:rsidRPr="00EF28E1">
        <w:rPr>
          <w:rFonts w:ascii="Arial" w:hAnsi="Arial" w:cs="Arial"/>
          <w:b/>
          <w:bCs/>
          <w:i w:val="0"/>
          <w:iCs w:val="0"/>
          <w:color w:val="000000" w:themeColor="text1"/>
          <w:sz w:val="20"/>
          <w:szCs w:val="20"/>
          <w:lang w:val="en-GB"/>
        </w:rPr>
        <w:t>: Overview of sample selection</w:t>
      </w:r>
    </w:p>
    <w:p w14:paraId="73D2E2AF" w14:textId="1BD84318" w:rsidR="00266238" w:rsidRPr="00E85FF3" w:rsidRDefault="00B95427" w:rsidP="00E85FF3">
      <w:pPr>
        <w:pStyle w:val="Heading1"/>
        <w:numPr>
          <w:ilvl w:val="1"/>
          <w:numId w:val="4"/>
        </w:numPr>
        <w:spacing w:before="240" w:line="480" w:lineRule="auto"/>
        <w:jc w:val="left"/>
        <w:rPr>
          <w:sz w:val="22"/>
          <w:szCs w:val="22"/>
        </w:rPr>
      </w:pPr>
      <w:bookmarkStart w:id="24" w:name="_Hlk193404826"/>
      <w:bookmarkEnd w:id="23"/>
      <w:r w:rsidRPr="00E6253D">
        <w:rPr>
          <w:sz w:val="22"/>
          <w:szCs w:val="22"/>
        </w:rPr>
        <w:lastRenderedPageBreak/>
        <w:t>Comparison</w:t>
      </w:r>
      <w:r w:rsidR="00961320" w:rsidRPr="00E6253D">
        <w:rPr>
          <w:sz w:val="22"/>
          <w:szCs w:val="22"/>
        </w:rPr>
        <w:t xml:space="preserve"> between </w:t>
      </w:r>
      <w:r w:rsidRPr="00E6253D">
        <w:rPr>
          <w:sz w:val="22"/>
          <w:szCs w:val="22"/>
        </w:rPr>
        <w:t xml:space="preserve">routine </w:t>
      </w:r>
      <w:r w:rsidR="00961320" w:rsidRPr="00E6253D">
        <w:rPr>
          <w:sz w:val="22"/>
          <w:szCs w:val="22"/>
        </w:rPr>
        <w:t>morphological identification method and M</w:t>
      </w:r>
      <w:r w:rsidR="008A2DA8" w:rsidRPr="00E6253D">
        <w:rPr>
          <w:sz w:val="22"/>
          <w:szCs w:val="22"/>
        </w:rPr>
        <w:t xml:space="preserve">ass </w:t>
      </w:r>
      <w:r w:rsidR="00961320" w:rsidRPr="00E6253D">
        <w:rPr>
          <w:sz w:val="22"/>
          <w:szCs w:val="22"/>
        </w:rPr>
        <w:t>S</w:t>
      </w:r>
      <w:r w:rsidR="008A2DA8" w:rsidRPr="00E6253D">
        <w:rPr>
          <w:sz w:val="22"/>
          <w:szCs w:val="22"/>
        </w:rPr>
        <w:t>pectrometry</w:t>
      </w:r>
    </w:p>
    <w:p w14:paraId="163C3BAB" w14:textId="7BF999F5" w:rsidR="003F37CD" w:rsidRDefault="00750E84" w:rsidP="00451967">
      <w:pPr>
        <w:spacing w:line="480" w:lineRule="auto"/>
        <w:jc w:val="both"/>
        <w:rPr>
          <w:rFonts w:ascii="Arial" w:hAnsi="Arial" w:cs="Arial"/>
          <w:bCs/>
          <w:sz w:val="20"/>
          <w:szCs w:val="20"/>
        </w:rPr>
      </w:pPr>
      <w:r w:rsidRPr="00BA1D43">
        <w:rPr>
          <w:rFonts w:ascii="Arial" w:hAnsi="Arial" w:cs="Arial"/>
          <w:bCs/>
          <w:sz w:val="20"/>
          <w:szCs w:val="20"/>
        </w:rPr>
        <w:t>Of the 249 isolates analyzed, complete concordance between the two identification methods was observed in 51.81</w:t>
      </w:r>
      <w:r w:rsidR="00B629F5" w:rsidRPr="00BA1D43">
        <w:rPr>
          <w:rFonts w:ascii="Arial" w:hAnsi="Arial" w:cs="Arial"/>
          <w:bCs/>
          <w:sz w:val="20"/>
          <w:szCs w:val="20"/>
        </w:rPr>
        <w:t xml:space="preserve"> </w:t>
      </w:r>
      <w:r w:rsidRPr="00BA1D43">
        <w:rPr>
          <w:rFonts w:ascii="Arial" w:hAnsi="Arial" w:cs="Arial"/>
          <w:bCs/>
          <w:sz w:val="20"/>
          <w:szCs w:val="20"/>
        </w:rPr>
        <w:t>% (129/249) of cases</w:t>
      </w:r>
      <w:r w:rsidR="008B6AD6" w:rsidRPr="00BA1D43">
        <w:rPr>
          <w:rFonts w:ascii="Arial" w:hAnsi="Arial" w:cs="Arial"/>
          <w:bCs/>
          <w:sz w:val="20"/>
          <w:szCs w:val="20"/>
        </w:rPr>
        <w:t xml:space="preserve"> (Table 1)</w:t>
      </w:r>
      <w:r w:rsidRPr="00BA1D43">
        <w:rPr>
          <w:rFonts w:ascii="Arial" w:hAnsi="Arial" w:cs="Arial"/>
          <w:bCs/>
          <w:sz w:val="20"/>
          <w:szCs w:val="20"/>
        </w:rPr>
        <w:t>. MALDI-TOF MS provided additional insights, successfully identifying 9 isolates (3.61</w:t>
      </w:r>
      <w:r w:rsidR="00B629F5" w:rsidRPr="00BA1D43">
        <w:rPr>
          <w:rFonts w:ascii="Arial" w:hAnsi="Arial" w:cs="Arial"/>
          <w:bCs/>
          <w:sz w:val="20"/>
          <w:szCs w:val="20"/>
        </w:rPr>
        <w:t xml:space="preserve"> </w:t>
      </w:r>
      <w:r w:rsidRPr="00BA1D43">
        <w:rPr>
          <w:rFonts w:ascii="Arial" w:hAnsi="Arial" w:cs="Arial"/>
          <w:bCs/>
          <w:sz w:val="20"/>
          <w:szCs w:val="20"/>
        </w:rPr>
        <w:t>%) that could not be identified in Lomé and further specifying the species of 6</w:t>
      </w:r>
      <w:r w:rsidR="009F6367" w:rsidRPr="00BA1D43">
        <w:rPr>
          <w:rFonts w:ascii="Arial" w:hAnsi="Arial" w:cs="Arial"/>
          <w:bCs/>
          <w:sz w:val="20"/>
          <w:szCs w:val="20"/>
        </w:rPr>
        <w:t>5</w:t>
      </w:r>
      <w:r w:rsidRPr="00BA1D43">
        <w:rPr>
          <w:rFonts w:ascii="Arial" w:hAnsi="Arial" w:cs="Arial"/>
          <w:bCs/>
          <w:sz w:val="20"/>
          <w:szCs w:val="20"/>
        </w:rPr>
        <w:t xml:space="preserve"> isolates (26.1</w:t>
      </w:r>
      <w:r w:rsidR="009F6367" w:rsidRPr="00BA1D43">
        <w:rPr>
          <w:rFonts w:ascii="Arial" w:hAnsi="Arial" w:cs="Arial"/>
          <w:bCs/>
          <w:sz w:val="20"/>
          <w:szCs w:val="20"/>
        </w:rPr>
        <w:t>0</w:t>
      </w:r>
      <w:r w:rsidR="00B629F5" w:rsidRPr="00BA1D43">
        <w:rPr>
          <w:rFonts w:ascii="Arial" w:hAnsi="Arial" w:cs="Arial"/>
          <w:bCs/>
          <w:sz w:val="20"/>
          <w:szCs w:val="20"/>
        </w:rPr>
        <w:t xml:space="preserve"> </w:t>
      </w:r>
      <w:r w:rsidRPr="00BA1D43">
        <w:rPr>
          <w:rFonts w:ascii="Arial" w:hAnsi="Arial" w:cs="Arial"/>
          <w:bCs/>
          <w:sz w:val="20"/>
          <w:szCs w:val="20"/>
        </w:rPr>
        <w:t xml:space="preserve">%) initially classified under broader taxonomic categories, including </w:t>
      </w:r>
      <w:commentRangeStart w:id="25"/>
      <w:commentRangeStart w:id="26"/>
      <w:r w:rsidRPr="00BA1D43">
        <w:rPr>
          <w:rFonts w:ascii="Arial" w:hAnsi="Arial" w:cs="Arial"/>
          <w:bCs/>
          <w:sz w:val="20"/>
          <w:szCs w:val="20"/>
        </w:rPr>
        <w:t>Candida, Trichosporon, Trichophyton, Aspergillus, Penicillium/Talaromyces, Fusarium, Exophiala, Cladosporium, Rhizopus</w:t>
      </w:r>
      <w:commentRangeEnd w:id="25"/>
      <w:r w:rsidR="008447C1">
        <w:rPr>
          <w:rStyle w:val="CommentReference"/>
        </w:rPr>
        <w:commentReference w:id="25"/>
      </w:r>
      <w:commentRangeEnd w:id="26"/>
      <w:r w:rsidR="006961A3">
        <w:rPr>
          <w:rStyle w:val="CommentReference"/>
        </w:rPr>
        <w:commentReference w:id="26"/>
      </w:r>
      <w:r w:rsidRPr="00BA1D43">
        <w:rPr>
          <w:rFonts w:ascii="Arial" w:hAnsi="Arial" w:cs="Arial"/>
          <w:bCs/>
          <w:sz w:val="20"/>
          <w:szCs w:val="20"/>
        </w:rPr>
        <w:t xml:space="preserve">, and </w:t>
      </w:r>
      <w:commentRangeStart w:id="27"/>
      <w:commentRangeStart w:id="28"/>
      <w:r w:rsidRPr="00BA1D43">
        <w:rPr>
          <w:rFonts w:ascii="Arial" w:hAnsi="Arial" w:cs="Arial"/>
          <w:bCs/>
          <w:sz w:val="20"/>
          <w:szCs w:val="20"/>
        </w:rPr>
        <w:t>Trichoderma</w:t>
      </w:r>
      <w:commentRangeEnd w:id="27"/>
      <w:r w:rsidR="008447C1">
        <w:rPr>
          <w:rStyle w:val="CommentReference"/>
        </w:rPr>
        <w:commentReference w:id="27"/>
      </w:r>
      <w:r w:rsidRPr="00BA1D43">
        <w:rPr>
          <w:rFonts w:ascii="Arial" w:hAnsi="Arial" w:cs="Arial"/>
          <w:bCs/>
          <w:sz w:val="20"/>
          <w:szCs w:val="20"/>
        </w:rPr>
        <w:t>,</w:t>
      </w:r>
      <w:commentRangeEnd w:id="28"/>
      <w:r w:rsidR="006961A3">
        <w:rPr>
          <w:rStyle w:val="CommentReference"/>
        </w:rPr>
        <w:commentReference w:id="28"/>
      </w:r>
      <w:r w:rsidRPr="00BA1D43">
        <w:rPr>
          <w:rFonts w:ascii="Arial" w:hAnsi="Arial" w:cs="Arial"/>
          <w:bCs/>
          <w:sz w:val="20"/>
          <w:szCs w:val="20"/>
        </w:rPr>
        <w:t xml:space="preserve"> as well as groups such as Dematiaceae and Mucorales. The analysis conducted at Hôpital Pitié-Salpêtrière in Paris corrected the identification of 4</w:t>
      </w:r>
      <w:r w:rsidR="009F6367" w:rsidRPr="00BA1D43">
        <w:rPr>
          <w:rFonts w:ascii="Arial" w:hAnsi="Arial" w:cs="Arial"/>
          <w:bCs/>
          <w:sz w:val="20"/>
          <w:szCs w:val="20"/>
        </w:rPr>
        <w:t>3</w:t>
      </w:r>
      <w:r w:rsidRPr="00BA1D43">
        <w:rPr>
          <w:rFonts w:ascii="Arial" w:hAnsi="Arial" w:cs="Arial"/>
          <w:bCs/>
          <w:sz w:val="20"/>
          <w:szCs w:val="20"/>
        </w:rPr>
        <w:t xml:space="preserve"> isolates (</w:t>
      </w:r>
      <w:r w:rsidR="009F6367" w:rsidRPr="00BA1D43">
        <w:rPr>
          <w:rFonts w:ascii="Arial" w:hAnsi="Arial" w:cs="Arial"/>
          <w:bCs/>
          <w:sz w:val="20"/>
          <w:szCs w:val="20"/>
        </w:rPr>
        <w:t>17,27</w:t>
      </w:r>
      <w:r w:rsidR="00B629F5" w:rsidRPr="00BA1D43">
        <w:rPr>
          <w:rFonts w:ascii="Arial" w:hAnsi="Arial" w:cs="Arial"/>
          <w:bCs/>
          <w:sz w:val="20"/>
          <w:szCs w:val="20"/>
        </w:rPr>
        <w:t xml:space="preserve"> </w:t>
      </w:r>
      <w:r w:rsidRPr="00BA1D43">
        <w:rPr>
          <w:rFonts w:ascii="Arial" w:hAnsi="Arial" w:cs="Arial"/>
          <w:bCs/>
          <w:sz w:val="20"/>
          <w:szCs w:val="20"/>
        </w:rPr>
        <w:t>%)</w:t>
      </w:r>
      <w:r w:rsidR="008B6AD6" w:rsidRPr="00BA1D43">
        <w:rPr>
          <w:rFonts w:ascii="Arial" w:hAnsi="Arial" w:cs="Arial"/>
          <w:bCs/>
          <w:sz w:val="20"/>
          <w:szCs w:val="20"/>
        </w:rPr>
        <w:t xml:space="preserve"> (Table </w:t>
      </w:r>
      <w:r w:rsidR="000E1EA7" w:rsidRPr="00BA1D43">
        <w:rPr>
          <w:rFonts w:ascii="Arial" w:hAnsi="Arial" w:cs="Arial"/>
          <w:bCs/>
          <w:sz w:val="20"/>
          <w:szCs w:val="20"/>
        </w:rPr>
        <w:t>2</w:t>
      </w:r>
      <w:r w:rsidR="008B6AD6" w:rsidRPr="00BA1D43">
        <w:rPr>
          <w:rFonts w:ascii="Arial" w:hAnsi="Arial" w:cs="Arial"/>
          <w:bCs/>
          <w:sz w:val="20"/>
          <w:szCs w:val="20"/>
        </w:rPr>
        <w:t>)</w:t>
      </w:r>
      <w:r w:rsidR="00481197" w:rsidRPr="00BA1D43">
        <w:rPr>
          <w:rFonts w:ascii="Arial" w:hAnsi="Arial" w:cs="Arial"/>
          <w:bCs/>
          <w:sz w:val="20"/>
          <w:szCs w:val="20"/>
        </w:rPr>
        <w:t>.</w:t>
      </w:r>
    </w:p>
    <w:p w14:paraId="79E3887A" w14:textId="1B716215" w:rsidR="00B73A14" w:rsidRPr="00BA1D43" w:rsidRDefault="00EA6522" w:rsidP="00EA6522">
      <w:pPr>
        <w:tabs>
          <w:tab w:val="left" w:pos="1263"/>
        </w:tabs>
        <w:spacing w:line="480" w:lineRule="auto"/>
        <w:jc w:val="both"/>
        <w:rPr>
          <w:rFonts w:ascii="Arial" w:hAnsi="Arial" w:cs="Arial"/>
          <w:b/>
          <w:bCs/>
          <w:i/>
          <w:iCs/>
          <w:color w:val="000000" w:themeColor="text1"/>
          <w:sz w:val="36"/>
          <w:szCs w:val="36"/>
          <w:lang w:val="en-US"/>
        </w:rPr>
      </w:pPr>
      <w:r w:rsidRPr="006A6222">
        <w:rPr>
          <w:rFonts w:ascii="Arial" w:hAnsi="Arial" w:cs="Arial"/>
          <w:bCs/>
          <w:sz w:val="24"/>
          <w:szCs w:val="24"/>
        </w:rPr>
        <w:tab/>
      </w:r>
      <w:r w:rsidR="00B73A14" w:rsidRPr="00BA1D43">
        <w:rPr>
          <w:rFonts w:ascii="Arial" w:hAnsi="Arial" w:cs="Arial"/>
          <w:b/>
          <w:bCs/>
          <w:color w:val="000000" w:themeColor="text1"/>
          <w:sz w:val="20"/>
          <w:szCs w:val="20"/>
          <w:lang w:val="en-US"/>
        </w:rPr>
        <w:t xml:space="preserve">Table </w:t>
      </w:r>
      <w:r w:rsidR="00451967" w:rsidRPr="00BA1D43">
        <w:rPr>
          <w:rFonts w:ascii="Arial" w:hAnsi="Arial" w:cs="Arial"/>
          <w:b/>
          <w:bCs/>
          <w:color w:val="000000" w:themeColor="text1"/>
          <w:sz w:val="20"/>
          <w:szCs w:val="20"/>
          <w:lang w:val="en-US"/>
        </w:rPr>
        <w:t>1</w:t>
      </w:r>
      <w:r w:rsidR="00B73A14" w:rsidRPr="00BA1D43">
        <w:rPr>
          <w:rFonts w:ascii="Arial" w:hAnsi="Arial" w:cs="Arial"/>
          <w:b/>
          <w:bCs/>
          <w:color w:val="000000" w:themeColor="text1"/>
          <w:sz w:val="20"/>
          <w:szCs w:val="20"/>
          <w:lang w:val="en-US"/>
        </w:rPr>
        <w:t>: List of fungi species correctly identified by both techniques</w:t>
      </w:r>
    </w:p>
    <w:tbl>
      <w:tblPr>
        <w:tblW w:w="963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02"/>
        <w:gridCol w:w="3119"/>
        <w:gridCol w:w="1134"/>
        <w:gridCol w:w="1984"/>
      </w:tblGrid>
      <w:tr w:rsidR="00B73A14" w:rsidRPr="00BA1D43" w14:paraId="6C261FF1" w14:textId="77777777" w:rsidTr="0082103B">
        <w:trPr>
          <w:trHeight w:val="300"/>
        </w:trPr>
        <w:tc>
          <w:tcPr>
            <w:tcW w:w="3402" w:type="dxa"/>
            <w:tcBorders>
              <w:top w:val="single" w:sz="4" w:space="0" w:color="auto"/>
              <w:bottom w:val="single" w:sz="4" w:space="0" w:color="auto"/>
            </w:tcBorders>
            <w:shd w:val="clear" w:color="auto" w:fill="auto"/>
            <w:noWrap/>
            <w:vAlign w:val="bottom"/>
            <w:hideMark/>
          </w:tcPr>
          <w:p w14:paraId="28F7AB94" w14:textId="4282605D"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RM</w:t>
            </w:r>
            <w:r w:rsidR="00740EE0" w:rsidRPr="00C770DD">
              <w:rPr>
                <w:rStyle w:val="FootnoteReference"/>
              </w:rPr>
              <w:footnoteReference w:customMarkFollows="1" w:id="1"/>
              <w:t>a</w:t>
            </w:r>
          </w:p>
        </w:tc>
        <w:tc>
          <w:tcPr>
            <w:tcW w:w="3119" w:type="dxa"/>
            <w:tcBorders>
              <w:top w:val="single" w:sz="4" w:space="0" w:color="auto"/>
              <w:bottom w:val="single" w:sz="4" w:space="0" w:color="auto"/>
            </w:tcBorders>
            <w:shd w:val="clear" w:color="auto" w:fill="auto"/>
            <w:noWrap/>
            <w:vAlign w:val="bottom"/>
            <w:hideMark/>
          </w:tcPr>
          <w:p w14:paraId="407E1EF6" w14:textId="270F5241"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MS</w:t>
            </w:r>
            <w:r w:rsidR="00740EE0" w:rsidRPr="00C770DD">
              <w:rPr>
                <w:rStyle w:val="FootnoteReference"/>
              </w:rPr>
              <w:footnoteReference w:customMarkFollows="1" w:id="2"/>
              <w:t>b</w:t>
            </w:r>
          </w:p>
        </w:tc>
        <w:tc>
          <w:tcPr>
            <w:tcW w:w="1134" w:type="dxa"/>
            <w:tcBorders>
              <w:top w:val="single" w:sz="4" w:space="0" w:color="auto"/>
              <w:bottom w:val="single" w:sz="4" w:space="0" w:color="auto"/>
            </w:tcBorders>
            <w:shd w:val="clear" w:color="auto" w:fill="auto"/>
            <w:noWrap/>
            <w:vAlign w:val="bottom"/>
            <w:hideMark/>
          </w:tcPr>
          <w:p w14:paraId="4176A72C"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Number</w:t>
            </w:r>
          </w:p>
        </w:tc>
        <w:tc>
          <w:tcPr>
            <w:tcW w:w="1984" w:type="dxa"/>
            <w:tcBorders>
              <w:top w:val="single" w:sz="4" w:space="0" w:color="auto"/>
              <w:bottom w:val="single" w:sz="4" w:space="0" w:color="auto"/>
            </w:tcBorders>
            <w:shd w:val="clear" w:color="auto" w:fill="auto"/>
            <w:noWrap/>
            <w:vAlign w:val="bottom"/>
            <w:hideMark/>
          </w:tcPr>
          <w:p w14:paraId="7FF81AB9"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Proportion (%)</w:t>
            </w:r>
          </w:p>
        </w:tc>
      </w:tr>
      <w:tr w:rsidR="00B73A14" w:rsidRPr="00BA1D43" w14:paraId="7A670335" w14:textId="77777777" w:rsidTr="0082103B">
        <w:trPr>
          <w:trHeight w:val="300"/>
        </w:trPr>
        <w:tc>
          <w:tcPr>
            <w:tcW w:w="3402" w:type="dxa"/>
            <w:tcBorders>
              <w:top w:val="single" w:sz="4" w:space="0" w:color="auto"/>
            </w:tcBorders>
            <w:shd w:val="clear" w:color="auto" w:fill="auto"/>
            <w:noWrap/>
            <w:vAlign w:val="center"/>
            <w:hideMark/>
          </w:tcPr>
          <w:p w14:paraId="0DA460C2"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3119" w:type="dxa"/>
            <w:tcBorders>
              <w:top w:val="single" w:sz="4" w:space="0" w:color="auto"/>
            </w:tcBorders>
            <w:shd w:val="clear" w:color="auto" w:fill="auto"/>
            <w:noWrap/>
            <w:vAlign w:val="center"/>
            <w:hideMark/>
          </w:tcPr>
          <w:p w14:paraId="76209DD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1134" w:type="dxa"/>
            <w:tcBorders>
              <w:top w:val="single" w:sz="4" w:space="0" w:color="auto"/>
            </w:tcBorders>
            <w:shd w:val="clear" w:color="auto" w:fill="auto"/>
            <w:noWrap/>
            <w:vAlign w:val="bottom"/>
            <w:hideMark/>
          </w:tcPr>
          <w:p w14:paraId="5C54E147" w14:textId="77777777" w:rsidR="00B73A14" w:rsidRPr="00BA1D43" w:rsidRDefault="00B73A14" w:rsidP="00451967">
            <w:pPr>
              <w:spacing w:after="0" w:line="480" w:lineRule="auto"/>
              <w:jc w:val="center"/>
              <w:rPr>
                <w:rFonts w:ascii="Arial" w:eastAsia="Times New Roman" w:hAnsi="Arial" w:cs="Arial"/>
                <w:color w:val="FF0000"/>
                <w:sz w:val="20"/>
                <w:szCs w:val="20"/>
                <w:lang w:eastAsia="fr-FR"/>
                <w14:ligatures w14:val="none"/>
              </w:rPr>
            </w:pPr>
            <w:r w:rsidRPr="00BA1D43">
              <w:rPr>
                <w:rFonts w:ascii="Arial" w:eastAsia="Times New Roman" w:hAnsi="Arial" w:cs="Arial"/>
                <w:sz w:val="20"/>
                <w:szCs w:val="20"/>
                <w:lang w:eastAsia="fr-FR"/>
                <w14:ligatures w14:val="none"/>
              </w:rPr>
              <w:t>85</w:t>
            </w:r>
          </w:p>
        </w:tc>
        <w:tc>
          <w:tcPr>
            <w:tcW w:w="1984" w:type="dxa"/>
            <w:tcBorders>
              <w:top w:val="single" w:sz="4" w:space="0" w:color="auto"/>
            </w:tcBorders>
            <w:shd w:val="clear" w:color="auto" w:fill="auto"/>
            <w:noWrap/>
            <w:vAlign w:val="bottom"/>
            <w:hideMark/>
          </w:tcPr>
          <w:p w14:paraId="3F53516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65.89</w:t>
            </w:r>
          </w:p>
        </w:tc>
      </w:tr>
      <w:tr w:rsidR="00B73A14" w:rsidRPr="00BA1D43" w14:paraId="34B1E13A" w14:textId="77777777" w:rsidTr="0082103B">
        <w:trPr>
          <w:trHeight w:val="131"/>
        </w:trPr>
        <w:tc>
          <w:tcPr>
            <w:tcW w:w="3402" w:type="dxa"/>
            <w:shd w:val="clear" w:color="auto" w:fill="auto"/>
            <w:noWrap/>
            <w:vAlign w:val="bottom"/>
            <w:hideMark/>
          </w:tcPr>
          <w:p w14:paraId="5CF2EED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3119" w:type="dxa"/>
            <w:shd w:val="clear" w:color="auto" w:fill="auto"/>
            <w:noWrap/>
            <w:vAlign w:val="bottom"/>
            <w:hideMark/>
          </w:tcPr>
          <w:p w14:paraId="6EC12E7A"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1134" w:type="dxa"/>
            <w:shd w:val="clear" w:color="auto" w:fill="auto"/>
            <w:noWrap/>
            <w:vAlign w:val="bottom"/>
            <w:hideMark/>
          </w:tcPr>
          <w:p w14:paraId="0420FB0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19</w:t>
            </w:r>
          </w:p>
        </w:tc>
        <w:tc>
          <w:tcPr>
            <w:tcW w:w="1984" w:type="dxa"/>
            <w:shd w:val="clear" w:color="auto" w:fill="auto"/>
            <w:noWrap/>
            <w:vAlign w:val="bottom"/>
            <w:hideMark/>
          </w:tcPr>
          <w:p w14:paraId="004A126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14.73</w:t>
            </w:r>
          </w:p>
        </w:tc>
      </w:tr>
      <w:tr w:rsidR="00B73A14" w:rsidRPr="00BA1D43" w14:paraId="498BCFF1" w14:textId="77777777" w:rsidTr="0082103B">
        <w:trPr>
          <w:trHeight w:val="300"/>
        </w:trPr>
        <w:tc>
          <w:tcPr>
            <w:tcW w:w="3402" w:type="dxa"/>
            <w:shd w:val="clear" w:color="auto" w:fill="auto"/>
            <w:noWrap/>
            <w:vAlign w:val="bottom"/>
            <w:hideMark/>
          </w:tcPr>
          <w:p w14:paraId="271A2AB1"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3119" w:type="dxa"/>
            <w:shd w:val="clear" w:color="auto" w:fill="auto"/>
            <w:noWrap/>
            <w:hideMark/>
          </w:tcPr>
          <w:p w14:paraId="31E4882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1134" w:type="dxa"/>
            <w:shd w:val="clear" w:color="auto" w:fill="auto"/>
            <w:noWrap/>
            <w:vAlign w:val="bottom"/>
            <w:hideMark/>
          </w:tcPr>
          <w:p w14:paraId="27479DA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w:t>
            </w:r>
          </w:p>
        </w:tc>
        <w:tc>
          <w:tcPr>
            <w:tcW w:w="1984" w:type="dxa"/>
            <w:shd w:val="clear" w:color="auto" w:fill="auto"/>
            <w:noWrap/>
            <w:vAlign w:val="bottom"/>
            <w:hideMark/>
          </w:tcPr>
          <w:p w14:paraId="0176E715"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3.10</w:t>
            </w:r>
          </w:p>
        </w:tc>
      </w:tr>
      <w:tr w:rsidR="00B73A14" w:rsidRPr="00BA1D43" w14:paraId="64D7903D" w14:textId="77777777" w:rsidTr="0082103B">
        <w:trPr>
          <w:trHeight w:val="315"/>
        </w:trPr>
        <w:tc>
          <w:tcPr>
            <w:tcW w:w="3402" w:type="dxa"/>
            <w:shd w:val="clear" w:color="auto" w:fill="auto"/>
            <w:noWrap/>
            <w:vAlign w:val="bottom"/>
            <w:hideMark/>
          </w:tcPr>
          <w:p w14:paraId="13B53D0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T. rubrum</w:t>
            </w:r>
          </w:p>
        </w:tc>
        <w:tc>
          <w:tcPr>
            <w:tcW w:w="3119" w:type="dxa"/>
            <w:shd w:val="clear" w:color="auto" w:fill="auto"/>
            <w:noWrap/>
            <w:vAlign w:val="bottom"/>
            <w:hideMark/>
          </w:tcPr>
          <w:p w14:paraId="2AF3DB43"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T. rubrum</w:t>
            </w:r>
          </w:p>
        </w:tc>
        <w:tc>
          <w:tcPr>
            <w:tcW w:w="1134" w:type="dxa"/>
            <w:shd w:val="clear" w:color="auto" w:fill="auto"/>
            <w:noWrap/>
            <w:vAlign w:val="bottom"/>
            <w:hideMark/>
          </w:tcPr>
          <w:p w14:paraId="682F746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w:t>
            </w:r>
          </w:p>
        </w:tc>
        <w:tc>
          <w:tcPr>
            <w:tcW w:w="1984" w:type="dxa"/>
            <w:shd w:val="clear" w:color="auto" w:fill="auto"/>
            <w:noWrap/>
            <w:vAlign w:val="bottom"/>
            <w:hideMark/>
          </w:tcPr>
          <w:p w14:paraId="7F907B4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3.88</w:t>
            </w:r>
          </w:p>
        </w:tc>
      </w:tr>
      <w:tr w:rsidR="00B73A14" w:rsidRPr="00BA1D43" w14:paraId="36FE5831" w14:textId="77777777" w:rsidTr="0082103B">
        <w:trPr>
          <w:trHeight w:val="315"/>
        </w:trPr>
        <w:tc>
          <w:tcPr>
            <w:tcW w:w="3402" w:type="dxa"/>
            <w:shd w:val="clear" w:color="auto" w:fill="auto"/>
            <w:noWrap/>
            <w:vAlign w:val="bottom"/>
            <w:hideMark/>
          </w:tcPr>
          <w:p w14:paraId="3CC56ED1"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3119" w:type="dxa"/>
            <w:shd w:val="clear" w:color="auto" w:fill="auto"/>
            <w:noWrap/>
            <w:vAlign w:val="bottom"/>
            <w:hideMark/>
          </w:tcPr>
          <w:p w14:paraId="7D392F06"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1134" w:type="dxa"/>
            <w:shd w:val="clear" w:color="auto" w:fill="auto"/>
            <w:noWrap/>
            <w:vAlign w:val="bottom"/>
            <w:hideMark/>
          </w:tcPr>
          <w:p w14:paraId="15CDF6F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1988FA7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FEA0310" w14:textId="77777777" w:rsidTr="0082103B">
        <w:trPr>
          <w:trHeight w:val="315"/>
        </w:trPr>
        <w:tc>
          <w:tcPr>
            <w:tcW w:w="3402" w:type="dxa"/>
            <w:shd w:val="clear" w:color="auto" w:fill="auto"/>
            <w:noWrap/>
            <w:vAlign w:val="bottom"/>
            <w:hideMark/>
          </w:tcPr>
          <w:p w14:paraId="568A0DE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3119" w:type="dxa"/>
            <w:shd w:val="clear" w:color="auto" w:fill="auto"/>
            <w:noWrap/>
            <w:vAlign w:val="bottom"/>
            <w:hideMark/>
          </w:tcPr>
          <w:p w14:paraId="0944BA1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1134" w:type="dxa"/>
            <w:shd w:val="clear" w:color="auto" w:fill="auto"/>
            <w:noWrap/>
            <w:vAlign w:val="bottom"/>
            <w:hideMark/>
          </w:tcPr>
          <w:p w14:paraId="2CA4471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354840C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DAC81DA" w14:textId="77777777" w:rsidTr="0082103B">
        <w:trPr>
          <w:trHeight w:val="300"/>
        </w:trPr>
        <w:tc>
          <w:tcPr>
            <w:tcW w:w="3402" w:type="dxa"/>
            <w:shd w:val="clear" w:color="auto" w:fill="auto"/>
            <w:noWrap/>
            <w:vAlign w:val="bottom"/>
            <w:hideMark/>
          </w:tcPr>
          <w:p w14:paraId="3F843E73"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3119" w:type="dxa"/>
            <w:shd w:val="clear" w:color="auto" w:fill="auto"/>
            <w:noWrap/>
            <w:vAlign w:val="bottom"/>
            <w:hideMark/>
          </w:tcPr>
          <w:p w14:paraId="4F5CA01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1134" w:type="dxa"/>
            <w:shd w:val="clear" w:color="auto" w:fill="auto"/>
            <w:noWrap/>
            <w:vAlign w:val="bottom"/>
            <w:hideMark/>
          </w:tcPr>
          <w:p w14:paraId="2F77465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w:t>
            </w:r>
          </w:p>
        </w:tc>
        <w:tc>
          <w:tcPr>
            <w:tcW w:w="1984" w:type="dxa"/>
            <w:shd w:val="clear" w:color="auto" w:fill="auto"/>
            <w:noWrap/>
            <w:vAlign w:val="bottom"/>
            <w:hideMark/>
          </w:tcPr>
          <w:p w14:paraId="0DD1335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9.30</w:t>
            </w:r>
          </w:p>
        </w:tc>
      </w:tr>
      <w:tr w:rsidR="00B73A14" w:rsidRPr="00BA1D43" w14:paraId="6C49CEA9" w14:textId="77777777" w:rsidTr="0082103B">
        <w:trPr>
          <w:trHeight w:val="300"/>
        </w:trPr>
        <w:tc>
          <w:tcPr>
            <w:tcW w:w="3402" w:type="dxa"/>
            <w:shd w:val="clear" w:color="auto" w:fill="auto"/>
            <w:noWrap/>
            <w:vAlign w:val="bottom"/>
            <w:hideMark/>
          </w:tcPr>
          <w:p w14:paraId="4DFE66D4"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3119" w:type="dxa"/>
            <w:shd w:val="clear" w:color="auto" w:fill="auto"/>
            <w:noWrap/>
            <w:vAlign w:val="bottom"/>
            <w:hideMark/>
          </w:tcPr>
          <w:p w14:paraId="33BBBCA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1134" w:type="dxa"/>
            <w:shd w:val="clear" w:color="auto" w:fill="auto"/>
            <w:noWrap/>
            <w:vAlign w:val="bottom"/>
            <w:hideMark/>
          </w:tcPr>
          <w:p w14:paraId="4441A3F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984" w:type="dxa"/>
            <w:shd w:val="clear" w:color="auto" w:fill="auto"/>
            <w:noWrap/>
            <w:vAlign w:val="bottom"/>
            <w:hideMark/>
          </w:tcPr>
          <w:p w14:paraId="253B3AC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1.55</w:t>
            </w:r>
          </w:p>
        </w:tc>
      </w:tr>
      <w:tr w:rsidR="00B73A14" w:rsidRPr="00BA1D43" w14:paraId="093849FB" w14:textId="77777777" w:rsidTr="0082103B">
        <w:trPr>
          <w:trHeight w:val="300"/>
        </w:trPr>
        <w:tc>
          <w:tcPr>
            <w:tcW w:w="3402" w:type="dxa"/>
            <w:shd w:val="clear" w:color="auto" w:fill="auto"/>
            <w:noWrap/>
            <w:vAlign w:val="bottom"/>
            <w:hideMark/>
          </w:tcPr>
          <w:p w14:paraId="668A0D5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3119" w:type="dxa"/>
            <w:shd w:val="clear" w:color="auto" w:fill="auto"/>
            <w:noWrap/>
            <w:vAlign w:val="bottom"/>
            <w:hideMark/>
          </w:tcPr>
          <w:p w14:paraId="592EF52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c>
          <w:tcPr>
            <w:tcW w:w="1134" w:type="dxa"/>
            <w:shd w:val="clear" w:color="auto" w:fill="auto"/>
            <w:noWrap/>
            <w:vAlign w:val="bottom"/>
            <w:hideMark/>
          </w:tcPr>
          <w:p w14:paraId="797FF9F6"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984" w:type="dxa"/>
            <w:shd w:val="clear" w:color="auto" w:fill="auto"/>
            <w:noWrap/>
            <w:vAlign w:val="bottom"/>
            <w:hideMark/>
          </w:tcPr>
          <w:p w14:paraId="3DA54AE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r>
    </w:tbl>
    <w:p w14:paraId="242DA2DB" w14:textId="77777777" w:rsidR="00BA1D43" w:rsidRPr="006A6222" w:rsidRDefault="00BA1D43" w:rsidP="00451967">
      <w:pPr>
        <w:spacing w:line="480" w:lineRule="auto"/>
        <w:jc w:val="both"/>
        <w:rPr>
          <w:rFonts w:ascii="Arial" w:hAnsi="Arial" w:cs="Arial"/>
          <w:sz w:val="24"/>
          <w:szCs w:val="24"/>
        </w:rPr>
      </w:pPr>
    </w:p>
    <w:p w14:paraId="5F44D8DE" w14:textId="67CC7E57" w:rsidR="00B73A14" w:rsidRPr="00BA1D43" w:rsidRDefault="00B73A14" w:rsidP="00451967">
      <w:pPr>
        <w:spacing w:line="480" w:lineRule="auto"/>
        <w:jc w:val="both"/>
        <w:rPr>
          <w:rFonts w:ascii="Arial" w:hAnsi="Arial" w:cs="Arial"/>
          <w:b/>
          <w:bCs/>
          <w:i/>
          <w:iCs/>
          <w:color w:val="000000" w:themeColor="text1"/>
          <w:sz w:val="28"/>
          <w:szCs w:val="28"/>
          <w:lang w:val="en-US"/>
        </w:rPr>
      </w:pPr>
      <w:r w:rsidRPr="00BA1D43">
        <w:rPr>
          <w:rFonts w:ascii="Arial" w:hAnsi="Arial" w:cs="Arial"/>
          <w:b/>
          <w:bCs/>
          <w:sz w:val="20"/>
          <w:szCs w:val="20"/>
        </w:rPr>
        <w:t xml:space="preserve">Table </w:t>
      </w:r>
      <w:r w:rsidR="00451967" w:rsidRPr="00BA1D43">
        <w:rPr>
          <w:rFonts w:ascii="Arial" w:hAnsi="Arial" w:cs="Arial"/>
          <w:b/>
          <w:bCs/>
          <w:sz w:val="20"/>
          <w:szCs w:val="20"/>
        </w:rPr>
        <w:t>2</w:t>
      </w:r>
      <w:r w:rsidRPr="00BA1D43">
        <w:rPr>
          <w:rFonts w:ascii="Arial" w:hAnsi="Arial" w:cs="Arial"/>
          <w:b/>
          <w:bCs/>
          <w:sz w:val="20"/>
          <w:szCs w:val="20"/>
        </w:rPr>
        <w:t xml:space="preserve"> : Routine methods mass spectrometry identification (n=249</w:t>
      </w:r>
      <w:r w:rsidRPr="00BA1D43">
        <w:rPr>
          <w:rFonts w:ascii="Arial" w:hAnsi="Arial" w:cs="Arial"/>
          <w:b/>
          <w:bCs/>
          <w:color w:val="000000" w:themeColor="text1"/>
          <w:sz w:val="20"/>
          <w:szCs w:val="20"/>
          <w:lang w:val="en-US"/>
        </w:rPr>
        <w:t>).</w:t>
      </w:r>
    </w:p>
    <w:tbl>
      <w:tblPr>
        <w:tblW w:w="9639" w:type="dxa"/>
        <w:tblCellMar>
          <w:left w:w="70" w:type="dxa"/>
          <w:right w:w="70" w:type="dxa"/>
        </w:tblCellMar>
        <w:tblLook w:val="04A0" w:firstRow="1" w:lastRow="0" w:firstColumn="1" w:lastColumn="0" w:noHBand="0" w:noVBand="1"/>
      </w:tblPr>
      <w:tblGrid>
        <w:gridCol w:w="6603"/>
        <w:gridCol w:w="1047"/>
        <w:gridCol w:w="1843"/>
        <w:gridCol w:w="101"/>
        <w:gridCol w:w="45"/>
      </w:tblGrid>
      <w:tr w:rsidR="00B73A14" w:rsidRPr="00BA1D43" w14:paraId="2EB6F848" w14:textId="77777777" w:rsidTr="0082103B">
        <w:trPr>
          <w:gridAfter w:val="1"/>
          <w:wAfter w:w="45" w:type="dxa"/>
          <w:trHeight w:val="330"/>
        </w:trPr>
        <w:tc>
          <w:tcPr>
            <w:tcW w:w="6603" w:type="dxa"/>
            <w:tcBorders>
              <w:top w:val="single" w:sz="8" w:space="0" w:color="auto"/>
              <w:left w:val="nil"/>
              <w:bottom w:val="single" w:sz="8" w:space="0" w:color="auto"/>
              <w:right w:val="nil"/>
            </w:tcBorders>
            <w:shd w:val="clear" w:color="auto" w:fill="auto"/>
            <w:noWrap/>
            <w:vAlign w:val="center"/>
            <w:hideMark/>
          </w:tcPr>
          <w:p w14:paraId="6F40A3F9" w14:textId="77777777" w:rsidR="00B73A14" w:rsidRPr="00BA1D43" w:rsidRDefault="00B73A14" w:rsidP="00451967">
            <w:pPr>
              <w:spacing w:after="0" w:line="480" w:lineRule="auto"/>
              <w:jc w:val="both"/>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Désignation</w:t>
            </w:r>
          </w:p>
        </w:tc>
        <w:tc>
          <w:tcPr>
            <w:tcW w:w="1047" w:type="dxa"/>
            <w:tcBorders>
              <w:top w:val="single" w:sz="8" w:space="0" w:color="auto"/>
              <w:left w:val="nil"/>
              <w:bottom w:val="single" w:sz="8" w:space="0" w:color="auto"/>
              <w:right w:val="nil"/>
            </w:tcBorders>
            <w:shd w:val="clear" w:color="auto" w:fill="auto"/>
            <w:noWrap/>
            <w:vAlign w:val="center"/>
            <w:hideMark/>
          </w:tcPr>
          <w:p w14:paraId="1DDF73CE"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Number</w:t>
            </w:r>
          </w:p>
        </w:tc>
        <w:tc>
          <w:tcPr>
            <w:tcW w:w="1944" w:type="dxa"/>
            <w:gridSpan w:val="2"/>
            <w:tcBorders>
              <w:top w:val="single" w:sz="8" w:space="0" w:color="auto"/>
              <w:left w:val="nil"/>
              <w:bottom w:val="single" w:sz="8" w:space="0" w:color="auto"/>
              <w:right w:val="nil"/>
            </w:tcBorders>
            <w:shd w:val="clear" w:color="auto" w:fill="auto"/>
            <w:noWrap/>
            <w:vAlign w:val="center"/>
            <w:hideMark/>
          </w:tcPr>
          <w:p w14:paraId="206A727D"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Proportion (%)</w:t>
            </w:r>
          </w:p>
        </w:tc>
      </w:tr>
      <w:tr w:rsidR="00B73A14" w:rsidRPr="00BA1D43" w14:paraId="7092F4F4" w14:textId="77777777" w:rsidTr="0082103B">
        <w:trPr>
          <w:trHeight w:val="300"/>
        </w:trPr>
        <w:tc>
          <w:tcPr>
            <w:tcW w:w="6603" w:type="dxa"/>
            <w:tcBorders>
              <w:top w:val="nil"/>
              <w:left w:val="nil"/>
              <w:bottom w:val="nil"/>
              <w:right w:val="nil"/>
            </w:tcBorders>
            <w:shd w:val="clear" w:color="auto" w:fill="auto"/>
            <w:noWrap/>
            <w:vAlign w:val="center"/>
            <w:hideMark/>
          </w:tcPr>
          <w:p w14:paraId="3C5FB7F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Strictly concordant identifications between RM and MS</w:t>
            </w:r>
          </w:p>
        </w:tc>
        <w:tc>
          <w:tcPr>
            <w:tcW w:w="1047" w:type="dxa"/>
            <w:tcBorders>
              <w:top w:val="nil"/>
              <w:left w:val="nil"/>
              <w:bottom w:val="nil"/>
              <w:right w:val="nil"/>
            </w:tcBorders>
            <w:shd w:val="clear" w:color="auto" w:fill="auto"/>
            <w:noWrap/>
            <w:vAlign w:val="center"/>
            <w:hideMark/>
          </w:tcPr>
          <w:p w14:paraId="3F20BE4B"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843" w:type="dxa"/>
            <w:tcBorders>
              <w:top w:val="nil"/>
              <w:left w:val="nil"/>
              <w:bottom w:val="nil"/>
              <w:right w:val="nil"/>
            </w:tcBorders>
            <w:shd w:val="clear" w:color="auto" w:fill="auto"/>
            <w:noWrap/>
            <w:vAlign w:val="center"/>
            <w:hideMark/>
          </w:tcPr>
          <w:p w14:paraId="663114FE"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51.81</w:t>
            </w:r>
          </w:p>
        </w:tc>
        <w:tc>
          <w:tcPr>
            <w:tcW w:w="146" w:type="dxa"/>
            <w:gridSpan w:val="2"/>
            <w:tcBorders>
              <w:top w:val="nil"/>
              <w:left w:val="nil"/>
              <w:bottom w:val="nil"/>
              <w:right w:val="nil"/>
            </w:tcBorders>
            <w:shd w:val="clear" w:color="auto" w:fill="auto"/>
            <w:noWrap/>
            <w:vAlign w:val="bottom"/>
            <w:hideMark/>
          </w:tcPr>
          <w:p w14:paraId="03FF34A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A546684" w14:textId="77777777" w:rsidTr="0082103B">
        <w:trPr>
          <w:trHeight w:val="300"/>
        </w:trPr>
        <w:tc>
          <w:tcPr>
            <w:tcW w:w="6603" w:type="dxa"/>
            <w:tcBorders>
              <w:top w:val="nil"/>
              <w:left w:val="nil"/>
              <w:bottom w:val="nil"/>
              <w:right w:val="nil"/>
            </w:tcBorders>
            <w:shd w:val="clear" w:color="auto" w:fill="auto"/>
            <w:noWrap/>
            <w:vAlign w:val="center"/>
            <w:hideMark/>
          </w:tcPr>
          <w:p w14:paraId="50CC272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not identified with RM but with MS</w:t>
            </w:r>
          </w:p>
        </w:tc>
        <w:tc>
          <w:tcPr>
            <w:tcW w:w="1047" w:type="dxa"/>
            <w:tcBorders>
              <w:top w:val="nil"/>
              <w:left w:val="nil"/>
              <w:bottom w:val="nil"/>
              <w:right w:val="nil"/>
            </w:tcBorders>
            <w:shd w:val="clear" w:color="auto" w:fill="auto"/>
            <w:noWrap/>
            <w:vAlign w:val="center"/>
            <w:hideMark/>
          </w:tcPr>
          <w:p w14:paraId="43060BC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w:t>
            </w:r>
          </w:p>
        </w:tc>
        <w:tc>
          <w:tcPr>
            <w:tcW w:w="1843" w:type="dxa"/>
            <w:tcBorders>
              <w:top w:val="nil"/>
              <w:left w:val="nil"/>
              <w:bottom w:val="nil"/>
              <w:right w:val="nil"/>
            </w:tcBorders>
            <w:shd w:val="clear" w:color="auto" w:fill="auto"/>
            <w:noWrap/>
            <w:vAlign w:val="center"/>
            <w:hideMark/>
          </w:tcPr>
          <w:p w14:paraId="59FFD07A"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3.61</w:t>
            </w:r>
          </w:p>
        </w:tc>
        <w:tc>
          <w:tcPr>
            <w:tcW w:w="146" w:type="dxa"/>
            <w:gridSpan w:val="2"/>
            <w:tcBorders>
              <w:top w:val="nil"/>
              <w:left w:val="nil"/>
              <w:bottom w:val="nil"/>
              <w:right w:val="nil"/>
            </w:tcBorders>
            <w:shd w:val="clear" w:color="auto" w:fill="auto"/>
            <w:noWrap/>
            <w:vAlign w:val="bottom"/>
            <w:hideMark/>
          </w:tcPr>
          <w:p w14:paraId="45EDAEB6"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3E5D3725" w14:textId="77777777" w:rsidTr="0082103B">
        <w:trPr>
          <w:trHeight w:val="300"/>
        </w:trPr>
        <w:tc>
          <w:tcPr>
            <w:tcW w:w="6603" w:type="dxa"/>
            <w:tcBorders>
              <w:top w:val="nil"/>
              <w:left w:val="nil"/>
              <w:bottom w:val="nil"/>
              <w:right w:val="nil"/>
            </w:tcBorders>
            <w:shd w:val="clear" w:color="auto" w:fill="auto"/>
            <w:noWrap/>
            <w:vAlign w:val="center"/>
            <w:hideMark/>
          </w:tcPr>
          <w:p w14:paraId="22EDAD1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lastRenderedPageBreak/>
              <w:t>Isolates identified at genus level in RM and confirmed at species level in MS</w:t>
            </w:r>
          </w:p>
        </w:tc>
        <w:tc>
          <w:tcPr>
            <w:tcW w:w="1047" w:type="dxa"/>
            <w:tcBorders>
              <w:top w:val="nil"/>
              <w:left w:val="nil"/>
              <w:bottom w:val="nil"/>
              <w:right w:val="nil"/>
            </w:tcBorders>
            <w:shd w:val="clear" w:color="auto" w:fill="auto"/>
            <w:noWrap/>
            <w:vAlign w:val="center"/>
            <w:hideMark/>
          </w:tcPr>
          <w:p w14:paraId="1316551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w:t>
            </w:r>
          </w:p>
        </w:tc>
        <w:tc>
          <w:tcPr>
            <w:tcW w:w="1843" w:type="dxa"/>
            <w:tcBorders>
              <w:top w:val="nil"/>
              <w:left w:val="nil"/>
              <w:bottom w:val="nil"/>
              <w:right w:val="nil"/>
            </w:tcBorders>
            <w:shd w:val="clear" w:color="auto" w:fill="auto"/>
            <w:noWrap/>
            <w:vAlign w:val="center"/>
            <w:hideMark/>
          </w:tcPr>
          <w:p w14:paraId="5ACA8E3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26.10</w:t>
            </w:r>
          </w:p>
        </w:tc>
        <w:tc>
          <w:tcPr>
            <w:tcW w:w="146" w:type="dxa"/>
            <w:gridSpan w:val="2"/>
            <w:tcBorders>
              <w:top w:val="nil"/>
              <w:left w:val="nil"/>
              <w:bottom w:val="nil"/>
              <w:right w:val="nil"/>
            </w:tcBorders>
            <w:shd w:val="clear" w:color="auto" w:fill="auto"/>
            <w:noWrap/>
            <w:vAlign w:val="bottom"/>
            <w:hideMark/>
          </w:tcPr>
          <w:p w14:paraId="27BDFB44"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6A9DF1C1" w14:textId="77777777" w:rsidTr="0082103B">
        <w:trPr>
          <w:trHeight w:val="300"/>
        </w:trPr>
        <w:tc>
          <w:tcPr>
            <w:tcW w:w="6603" w:type="dxa"/>
            <w:tcBorders>
              <w:top w:val="nil"/>
              <w:left w:val="nil"/>
              <w:bottom w:val="nil"/>
              <w:right w:val="nil"/>
            </w:tcBorders>
            <w:shd w:val="clear" w:color="auto" w:fill="auto"/>
            <w:noWrap/>
            <w:vAlign w:val="center"/>
            <w:hideMark/>
          </w:tcPr>
          <w:p w14:paraId="19195F4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unidentified in RM or MS</w:t>
            </w:r>
          </w:p>
        </w:tc>
        <w:tc>
          <w:tcPr>
            <w:tcW w:w="1047" w:type="dxa"/>
            <w:tcBorders>
              <w:top w:val="nil"/>
              <w:left w:val="nil"/>
              <w:bottom w:val="nil"/>
              <w:right w:val="nil"/>
            </w:tcBorders>
            <w:shd w:val="clear" w:color="auto" w:fill="auto"/>
            <w:noWrap/>
            <w:vAlign w:val="center"/>
            <w:hideMark/>
          </w:tcPr>
          <w:p w14:paraId="7D6A1D8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843" w:type="dxa"/>
            <w:tcBorders>
              <w:top w:val="nil"/>
              <w:left w:val="nil"/>
              <w:bottom w:val="nil"/>
              <w:right w:val="nil"/>
            </w:tcBorders>
            <w:shd w:val="clear" w:color="auto" w:fill="auto"/>
            <w:noWrap/>
            <w:vAlign w:val="center"/>
            <w:hideMark/>
          </w:tcPr>
          <w:p w14:paraId="6AFAECD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0.80</w:t>
            </w:r>
          </w:p>
        </w:tc>
        <w:tc>
          <w:tcPr>
            <w:tcW w:w="146" w:type="dxa"/>
            <w:gridSpan w:val="2"/>
            <w:tcBorders>
              <w:top w:val="nil"/>
              <w:left w:val="nil"/>
              <w:bottom w:val="nil"/>
              <w:right w:val="nil"/>
            </w:tcBorders>
            <w:shd w:val="clear" w:color="auto" w:fill="auto"/>
            <w:noWrap/>
            <w:vAlign w:val="bottom"/>
            <w:hideMark/>
          </w:tcPr>
          <w:p w14:paraId="375C4A5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801F88F" w14:textId="77777777" w:rsidTr="0082103B">
        <w:trPr>
          <w:trHeight w:val="300"/>
        </w:trPr>
        <w:tc>
          <w:tcPr>
            <w:tcW w:w="6603" w:type="dxa"/>
            <w:tcBorders>
              <w:top w:val="nil"/>
              <w:left w:val="nil"/>
              <w:bottom w:val="nil"/>
              <w:right w:val="nil"/>
            </w:tcBorders>
            <w:shd w:val="clear" w:color="auto" w:fill="auto"/>
            <w:noWrap/>
            <w:vAlign w:val="center"/>
            <w:hideMark/>
          </w:tcPr>
          <w:p w14:paraId="485071B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identified with RM but not with MS</w:t>
            </w:r>
          </w:p>
        </w:tc>
        <w:tc>
          <w:tcPr>
            <w:tcW w:w="1047" w:type="dxa"/>
            <w:tcBorders>
              <w:top w:val="nil"/>
              <w:left w:val="nil"/>
              <w:bottom w:val="nil"/>
              <w:right w:val="nil"/>
            </w:tcBorders>
            <w:shd w:val="clear" w:color="auto" w:fill="auto"/>
            <w:noWrap/>
            <w:vAlign w:val="center"/>
            <w:hideMark/>
          </w:tcPr>
          <w:p w14:paraId="5128972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843" w:type="dxa"/>
            <w:tcBorders>
              <w:top w:val="nil"/>
              <w:left w:val="nil"/>
              <w:bottom w:val="nil"/>
              <w:right w:val="nil"/>
            </w:tcBorders>
            <w:shd w:val="clear" w:color="auto" w:fill="auto"/>
            <w:noWrap/>
            <w:vAlign w:val="center"/>
            <w:hideMark/>
          </w:tcPr>
          <w:p w14:paraId="1D3BD38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0.40</w:t>
            </w:r>
          </w:p>
        </w:tc>
        <w:tc>
          <w:tcPr>
            <w:tcW w:w="146" w:type="dxa"/>
            <w:gridSpan w:val="2"/>
            <w:tcBorders>
              <w:top w:val="nil"/>
              <w:left w:val="nil"/>
              <w:bottom w:val="nil"/>
              <w:right w:val="nil"/>
            </w:tcBorders>
            <w:shd w:val="clear" w:color="auto" w:fill="auto"/>
            <w:noWrap/>
            <w:vAlign w:val="bottom"/>
            <w:hideMark/>
          </w:tcPr>
          <w:p w14:paraId="1B2E3DB5"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BF4FD35" w14:textId="77777777" w:rsidTr="0082103B">
        <w:trPr>
          <w:trHeight w:val="300"/>
        </w:trPr>
        <w:tc>
          <w:tcPr>
            <w:tcW w:w="6603" w:type="dxa"/>
            <w:tcBorders>
              <w:top w:val="nil"/>
              <w:left w:val="nil"/>
              <w:bottom w:val="nil"/>
              <w:right w:val="nil"/>
            </w:tcBorders>
            <w:shd w:val="clear" w:color="auto" w:fill="auto"/>
            <w:noWrap/>
            <w:vAlign w:val="center"/>
            <w:hideMark/>
          </w:tcPr>
          <w:p w14:paraId="5EA95B7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Rectification of RM results by MS</w:t>
            </w:r>
          </w:p>
        </w:tc>
        <w:tc>
          <w:tcPr>
            <w:tcW w:w="1047" w:type="dxa"/>
            <w:tcBorders>
              <w:top w:val="nil"/>
              <w:left w:val="nil"/>
              <w:right w:val="nil"/>
            </w:tcBorders>
            <w:shd w:val="clear" w:color="auto" w:fill="auto"/>
            <w:noWrap/>
            <w:vAlign w:val="center"/>
            <w:hideMark/>
          </w:tcPr>
          <w:p w14:paraId="2225E18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43</w:t>
            </w:r>
          </w:p>
        </w:tc>
        <w:tc>
          <w:tcPr>
            <w:tcW w:w="1843" w:type="dxa"/>
            <w:tcBorders>
              <w:top w:val="nil"/>
              <w:left w:val="nil"/>
              <w:right w:val="nil"/>
            </w:tcBorders>
            <w:shd w:val="clear" w:color="auto" w:fill="auto"/>
            <w:noWrap/>
            <w:vAlign w:val="center"/>
            <w:hideMark/>
          </w:tcPr>
          <w:p w14:paraId="224AE6D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17.27</w:t>
            </w:r>
          </w:p>
        </w:tc>
        <w:tc>
          <w:tcPr>
            <w:tcW w:w="146" w:type="dxa"/>
            <w:gridSpan w:val="2"/>
            <w:tcBorders>
              <w:top w:val="nil"/>
              <w:left w:val="nil"/>
              <w:bottom w:val="nil"/>
              <w:right w:val="nil"/>
            </w:tcBorders>
            <w:shd w:val="clear" w:color="auto" w:fill="auto"/>
            <w:noWrap/>
            <w:vAlign w:val="bottom"/>
            <w:hideMark/>
          </w:tcPr>
          <w:p w14:paraId="2E85BEC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713B6BC" w14:textId="77777777" w:rsidTr="0082103B">
        <w:trPr>
          <w:trHeight w:val="315"/>
        </w:trPr>
        <w:tc>
          <w:tcPr>
            <w:tcW w:w="6603" w:type="dxa"/>
            <w:tcBorders>
              <w:top w:val="nil"/>
              <w:left w:val="nil"/>
              <w:bottom w:val="single" w:sz="8" w:space="0" w:color="auto"/>
              <w:right w:val="nil"/>
            </w:tcBorders>
            <w:shd w:val="clear" w:color="auto" w:fill="auto"/>
            <w:noWrap/>
            <w:vAlign w:val="center"/>
            <w:hideMark/>
          </w:tcPr>
          <w:p w14:paraId="60A2D270"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1047" w:type="dxa"/>
            <w:tcBorders>
              <w:top w:val="nil"/>
              <w:left w:val="nil"/>
              <w:bottom w:val="single" w:sz="4" w:space="0" w:color="auto"/>
              <w:right w:val="nil"/>
            </w:tcBorders>
            <w:shd w:val="clear" w:color="auto" w:fill="auto"/>
            <w:noWrap/>
            <w:vAlign w:val="center"/>
            <w:hideMark/>
          </w:tcPr>
          <w:p w14:paraId="616FFA0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249</w:t>
            </w:r>
          </w:p>
        </w:tc>
        <w:tc>
          <w:tcPr>
            <w:tcW w:w="1843" w:type="dxa"/>
            <w:tcBorders>
              <w:top w:val="nil"/>
              <w:left w:val="nil"/>
              <w:bottom w:val="single" w:sz="4" w:space="0" w:color="auto"/>
              <w:right w:val="nil"/>
            </w:tcBorders>
            <w:shd w:val="clear" w:color="auto" w:fill="auto"/>
            <w:noWrap/>
            <w:vAlign w:val="center"/>
            <w:hideMark/>
          </w:tcPr>
          <w:p w14:paraId="1FD7317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c>
          <w:tcPr>
            <w:tcW w:w="146" w:type="dxa"/>
            <w:gridSpan w:val="2"/>
            <w:tcBorders>
              <w:top w:val="nil"/>
              <w:left w:val="nil"/>
              <w:bottom w:val="nil"/>
              <w:right w:val="nil"/>
            </w:tcBorders>
            <w:shd w:val="clear" w:color="auto" w:fill="auto"/>
            <w:noWrap/>
            <w:vAlign w:val="bottom"/>
            <w:hideMark/>
          </w:tcPr>
          <w:p w14:paraId="1D90623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bl>
    <w:p w14:paraId="4E6B8445" w14:textId="77777777" w:rsidR="00F843BA" w:rsidRDefault="00F843BA" w:rsidP="00F843BA">
      <w:bookmarkStart w:id="29" w:name="_Hlk193404965"/>
      <w:bookmarkEnd w:id="24"/>
    </w:p>
    <w:p w14:paraId="548ED56B" w14:textId="5A1E107D" w:rsidR="00672C7A" w:rsidRPr="00BA1D43" w:rsidRDefault="00BA1D43" w:rsidP="00E85FF3">
      <w:pPr>
        <w:pStyle w:val="Heading1"/>
        <w:numPr>
          <w:ilvl w:val="0"/>
          <w:numId w:val="4"/>
        </w:numPr>
        <w:spacing w:before="240" w:line="480" w:lineRule="auto"/>
        <w:jc w:val="left"/>
        <w:rPr>
          <w:sz w:val="22"/>
          <w:szCs w:val="22"/>
        </w:rPr>
      </w:pPr>
      <w:r w:rsidRPr="00BA1D43">
        <w:rPr>
          <w:sz w:val="22"/>
          <w:szCs w:val="22"/>
        </w:rPr>
        <w:t>DISCUSSIONS</w:t>
      </w:r>
    </w:p>
    <w:p w14:paraId="7644871F" w14:textId="68267A4A" w:rsidR="00672C7A" w:rsidRPr="006C6010" w:rsidRDefault="00672C7A" w:rsidP="00451967">
      <w:pPr>
        <w:spacing w:after="0" w:line="480" w:lineRule="auto"/>
        <w:jc w:val="both"/>
        <w:rPr>
          <w:rFonts w:ascii="Arial" w:hAnsi="Arial" w:cs="Arial"/>
          <w:sz w:val="20"/>
          <w:szCs w:val="20"/>
        </w:rPr>
      </w:pPr>
      <w:r w:rsidRPr="006C6010">
        <w:rPr>
          <w:rFonts w:ascii="Arial" w:hAnsi="Arial" w:cs="Arial"/>
          <w:sz w:val="20"/>
          <w:szCs w:val="20"/>
        </w:rPr>
        <w:t xml:space="preserve">Mass spectrometry remains one of the </w:t>
      </w:r>
      <w:r w:rsidR="00B31403" w:rsidRPr="006C6010">
        <w:rPr>
          <w:rFonts w:ascii="Arial" w:hAnsi="Arial" w:cs="Arial"/>
          <w:sz w:val="20"/>
          <w:szCs w:val="20"/>
        </w:rPr>
        <w:t xml:space="preserve">most reliable </w:t>
      </w:r>
      <w:r w:rsidRPr="006C6010">
        <w:rPr>
          <w:rFonts w:ascii="Arial" w:hAnsi="Arial" w:cs="Arial"/>
          <w:sz w:val="20"/>
          <w:szCs w:val="20"/>
        </w:rPr>
        <w:t>techniques that has revolutionized the identification of microorganisms, including fungi, and several studies have highlighted its performance, ranging from the substantial reduction in identification time to the accuracy of identification and the minimization of the cost of the technique</w:t>
      </w:r>
      <w:r w:rsidR="00D867D2" w:rsidRPr="006C6010">
        <w:rPr>
          <w:rFonts w:ascii="Arial" w:hAnsi="Arial" w:cs="Arial"/>
          <w:sz w:val="20"/>
          <w:szCs w:val="20"/>
        </w:rPr>
        <w:fldChar w:fldCharType="begin" w:fldLock="1"/>
      </w:r>
      <w:r w:rsidR="00F04718">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diagnosis","type":"article-journal","volume":"6"},"uris":["http://www.mendeley.com/documents/?uuid=335d62c7-2c73-4576-a77f-0154ec2fa9a6"]},{"id":"ITEM-3","itemData":{"DOI":"10.3390/molecules25204775.","author":[{"dropping-particle":"","family":"Tsuchida S, Umemura H","given":"Nakayama T.","non-dropping-particle":"","parse-names":false,"suffix":""}],"container-title":"Molecules","id":"ITEM-3","issue":"25(20)","issued":{"date-parts":[["2023"]]},"page":"4775","title":"Current Status of Matrix-Assisted Laser Desorption/Ionization-Time-of-Flight Mass Spectrometry (MALDI-TOF MS) in Clinical Diagnostic Microbiology","type":"article-journal","volume":"17"},"uris":["http://www.mendeley.com/documents/?uuid=1745608f-4c66-470c-b4ac-498c727cbb0e"]},{"id":"ITEM-4","itemData":{"DOI":"10.3390/tropicalmed6030112","ISSN":"24146366","abstract":"Identification of the causative pathogen in infectious diseases is important for surveillance and to guide treatment. In low-and middle-income countries (LMIC), conventional culture and identification methods, including biochemical methods, are reference-standard. Biochemical methods can lack sensitivity and specificity and have slow turnaround times, causing delays in definitive therapy. Matrix-assisted laser desorption/ionization time of flight mass spectrometry (MALDI–TOF MS) is a rapid and accurate diagnostic method. Most studies comparing MALDI–TOF MS and biochemical methods are from high-income countries, with few reports from LMIC with tropical climates. The aim of this study was to assess the performance of MALDI–TOF MS compared to conventional methods in the Philippines. Clinical bacterial or fungal isolates were identified by both MALDI–TOF MS and automated (VITEK2) or manual biochemical methods in the San Lazaro Hospital, Metro Manila, the Philippines. The concordance between MALDI–TOF MS and automated (VITEK2) or manual biochemical methods was analyzed at the species and genus levels. In total, 3530 bacterial or fungal isolates were analyzed. The concordance rate between MALDI–TOF MS and biochemical methods was 96.2% at the species level and 99.9% at the genus level. Twenty-three isolates could not be identified by MALDI–TOF MS. In this setting, MALDI–TOF MS was accurate compared with biochemical methods, at both the genus and the species level. Additionally, MALDI– TOF MS improved the turnaround time for results. These advantages could lead to improved infection management and infection control in low-and middle-income countries, even though the initial cost is high.","author":[{"dropping-particle":"","family":"Osa","given":"Morichika","non-dropping-particle":"","parse-names":false,"suffix":""},{"dropping-particle":"","family":"Belo","given":"Maria Cecilia","non-dropping-particle":"","parse-names":false,"suffix":""},{"dropping-particle":"","family":"Merced","given":"Zita","non-dropping-particle":"Dela","parse-names":false,"suffix":""},{"dropping-particle":"","family":"Villanueva","given":"Annavi Marie G.","non-dropping-particle":"","parse-names":false,"suffix":""},{"dropping-particle":"","family":"Mauhay","given":"Jaira","non-dropping-particle":"","parse-names":false,"suffix":""},{"dropping-particle":"","family":"Celis","given":"Alyannah","non-dropping-particle":"","parse-names":false,"suffix":""},{"dropping-particle":"","family":"Catli","given":"Melissa","non-dropping-particle":"","parse-names":false,"suffix":""},{"dropping-particle":"","family":"Suzuki","given":"Shuichi","non-dropping-particle":"","parse-names":false,"suffix":""},{"dropping-particle":"","family":"Ukawa","given":"Tatsuya","non-dropping-particle":"","parse-names":false,"suffix":""},{"dropping-particle":"","family":"Tamaki","given":"Shingo","non-dropping-particle":"","parse-names":false,"suffix":""},{"dropping-particle":"","family":"Dhoubhadel","given":"Bhim Gopal","non-dropping-particle":"","parse-names":false,"suffix":""},{"dropping-particle":"","family":"Ariyoshi","given":"Koya","non-dropping-particle":"","parse-names":false,"suffix":""},{"dropping-particle":"","family":"Telan","given":"Elizabeth Freda O.","non-dropping-particle":"","parse-names":false,"suffix":""},{"dropping-particle":"","family":"Umipig","given":"Dorcas Valencia","non-dropping-particle":"","parse-names":false,"suffix":""},{"dropping-particle":"","family":"Parry","given":"Christopher M.","non-dropping-particle":"","parse-names":false,"suffix":""},{"dropping-particle":"","family":"Saito","given":"Nobu","non-dropping-particle":"","parse-names":false,"suffix":""},{"dropping-particle":"","family":"Smith","given":"Chris","non-dropping-particle":"","parse-names":false,"suffix":""}],"container-title":"Tropical Medicine and Infectious Disease","id":"ITEM-4","issue":"3","issued":{"date-parts":[["2021"]]},"page":"1-9","title":"Performance of maldi–tof mass spectrometry in the philippines","type":"article-journal","volume":"6"},"uris":["http://www.mendeley.com/documents/?uuid=46424931-bf34-4a8b-a85c-7513a04eb6ce"]},{"id":"ITEM-5","itemData":{"DOI":"10.1177/1040638719835577","ISSN":"19434936","PMID":"30943879","abstract":"Matrix-assisted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Investigation","id":"ITEM-5","issue":"3","issued":{"date-parts":[["2019"]]},"page":"471-474","title":"Identification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 Blaize et al., 2021; Osa et al., 2021; Singhal et al., 2015; Tsuchida S, Umemura H, 2023)","manualFormatting":"(Becker et al., 2019; Blaize et al., 2021; Osa et al., 2021; Singhal et al., 2015; Tsuchida S et al., 2023)","plainTextFormattedCitation":"(Becker et al., 2019; Blaize et al., 2021; Osa et al., 2021; Singhal et al., 2015; Tsuchida S, Umemura H, 2023)","previouslyFormattedCitation":"(Becker et al., 2019; Blaize et al., 2021; Osa et al., 2021; Singhal et al., 2015; Tsuchida S, Umemura H, 2023)"},"properties":{"noteIndex":0},"schema":"https://github.com/citation-style-language/schema/raw/master/csl-citation.json"}</w:instrText>
      </w:r>
      <w:r w:rsidR="00D867D2" w:rsidRPr="006C6010">
        <w:rPr>
          <w:rFonts w:ascii="Arial" w:hAnsi="Arial" w:cs="Arial"/>
          <w:sz w:val="20"/>
          <w:szCs w:val="20"/>
        </w:rPr>
        <w:fldChar w:fldCharType="separate"/>
      </w:r>
      <w:r w:rsidR="001F0A70" w:rsidRPr="001F0A70">
        <w:rPr>
          <w:rFonts w:ascii="Arial" w:hAnsi="Arial" w:cs="Arial"/>
          <w:sz w:val="20"/>
          <w:szCs w:val="20"/>
        </w:rPr>
        <w:t xml:space="preserve">(Becker </w:t>
      </w:r>
      <w:r w:rsidR="001F0A70" w:rsidRPr="004A5D86">
        <w:rPr>
          <w:rFonts w:ascii="Arial" w:hAnsi="Arial" w:cs="Arial"/>
          <w:i/>
          <w:iCs/>
          <w:sz w:val="20"/>
          <w:szCs w:val="20"/>
        </w:rPr>
        <w:t>et al.</w:t>
      </w:r>
      <w:r w:rsidR="001F0A70" w:rsidRPr="001F0A70">
        <w:rPr>
          <w:rFonts w:ascii="Arial" w:hAnsi="Arial" w:cs="Arial"/>
          <w:sz w:val="20"/>
          <w:szCs w:val="20"/>
        </w:rPr>
        <w:t xml:space="preserve">, 2019; Blaize </w:t>
      </w:r>
      <w:r w:rsidR="001F0A70" w:rsidRPr="004A5D86">
        <w:rPr>
          <w:rFonts w:ascii="Arial" w:hAnsi="Arial" w:cs="Arial"/>
          <w:i/>
          <w:iCs/>
          <w:sz w:val="20"/>
          <w:szCs w:val="20"/>
        </w:rPr>
        <w:t>et al</w:t>
      </w:r>
      <w:r w:rsidR="001F0A70" w:rsidRPr="001F0A70">
        <w:rPr>
          <w:rFonts w:ascii="Arial" w:hAnsi="Arial" w:cs="Arial"/>
          <w:sz w:val="20"/>
          <w:szCs w:val="20"/>
        </w:rPr>
        <w:t xml:space="preserve">., 2021; Osa </w:t>
      </w:r>
      <w:r w:rsidR="001F0A70" w:rsidRPr="004A5D86">
        <w:rPr>
          <w:rFonts w:ascii="Arial" w:hAnsi="Arial" w:cs="Arial"/>
          <w:i/>
          <w:iCs/>
          <w:sz w:val="20"/>
          <w:szCs w:val="20"/>
        </w:rPr>
        <w:t>et al.</w:t>
      </w:r>
      <w:r w:rsidR="001F0A70" w:rsidRPr="001F0A70">
        <w:rPr>
          <w:rFonts w:ascii="Arial" w:hAnsi="Arial" w:cs="Arial"/>
          <w:sz w:val="20"/>
          <w:szCs w:val="20"/>
        </w:rPr>
        <w:t xml:space="preserve">, 2021; Singhal </w:t>
      </w:r>
      <w:r w:rsidR="001F0A70" w:rsidRPr="004A5D86">
        <w:rPr>
          <w:rFonts w:ascii="Arial" w:hAnsi="Arial" w:cs="Arial"/>
          <w:i/>
          <w:iCs/>
          <w:sz w:val="20"/>
          <w:szCs w:val="20"/>
        </w:rPr>
        <w:t>et al.</w:t>
      </w:r>
      <w:r w:rsidR="001F0A70" w:rsidRPr="001F0A70">
        <w:rPr>
          <w:rFonts w:ascii="Arial" w:hAnsi="Arial" w:cs="Arial"/>
          <w:sz w:val="20"/>
          <w:szCs w:val="20"/>
        </w:rPr>
        <w:t>, 2015; Tsuchida S</w:t>
      </w:r>
      <w:r w:rsidR="004A5D86">
        <w:rPr>
          <w:rFonts w:ascii="Arial" w:hAnsi="Arial" w:cs="Arial"/>
          <w:sz w:val="20"/>
          <w:szCs w:val="20"/>
        </w:rPr>
        <w:t xml:space="preserve"> </w:t>
      </w:r>
      <w:r w:rsidR="004A5D86" w:rsidRPr="004A5D86">
        <w:rPr>
          <w:rFonts w:ascii="Arial" w:hAnsi="Arial" w:cs="Arial"/>
          <w:i/>
          <w:iCs/>
          <w:sz w:val="20"/>
          <w:szCs w:val="20"/>
        </w:rPr>
        <w:t>et al</w:t>
      </w:r>
      <w:r w:rsidR="004A5D86">
        <w:rPr>
          <w:rFonts w:ascii="Arial" w:hAnsi="Arial" w:cs="Arial"/>
          <w:sz w:val="20"/>
          <w:szCs w:val="20"/>
        </w:rPr>
        <w:t>.</w:t>
      </w:r>
      <w:r w:rsidR="001F0A70" w:rsidRPr="001F0A70">
        <w:rPr>
          <w:rFonts w:ascii="Arial" w:hAnsi="Arial" w:cs="Arial"/>
          <w:sz w:val="20"/>
          <w:szCs w:val="20"/>
        </w:rPr>
        <w:t>, 2023)</w:t>
      </w:r>
      <w:r w:rsidR="00D867D2" w:rsidRPr="006C6010">
        <w:rPr>
          <w:rFonts w:ascii="Arial" w:hAnsi="Arial" w:cs="Arial"/>
          <w:sz w:val="20"/>
          <w:szCs w:val="20"/>
        </w:rPr>
        <w:fldChar w:fldCharType="end"/>
      </w:r>
      <w:r w:rsidRPr="006C6010">
        <w:rPr>
          <w:rFonts w:ascii="Arial" w:hAnsi="Arial" w:cs="Arial"/>
          <w:sz w:val="20"/>
          <w:szCs w:val="20"/>
        </w:rPr>
        <w:t xml:space="preserve">. The aim </w:t>
      </w:r>
      <w:r w:rsidR="005C43F5" w:rsidRPr="006C6010">
        <w:rPr>
          <w:rFonts w:ascii="Arial" w:hAnsi="Arial" w:cs="Arial"/>
          <w:sz w:val="20"/>
          <w:szCs w:val="20"/>
        </w:rPr>
        <w:t>this</w:t>
      </w:r>
      <w:r w:rsidRPr="006C6010">
        <w:rPr>
          <w:rFonts w:ascii="Arial" w:hAnsi="Arial" w:cs="Arial"/>
          <w:sz w:val="20"/>
          <w:szCs w:val="20"/>
        </w:rPr>
        <w:t xml:space="preserve"> our study is to improve the identification of fungi isolated from samples received and analyzed by the routine method in two medical mycology laboratories in Togo and to </w:t>
      </w:r>
      <w:r w:rsidR="008125AB" w:rsidRPr="006C6010">
        <w:rPr>
          <w:rFonts w:ascii="Arial" w:hAnsi="Arial" w:cs="Arial"/>
          <w:sz w:val="20"/>
          <w:szCs w:val="20"/>
        </w:rPr>
        <w:t>enable capacity building</w:t>
      </w:r>
      <w:r w:rsidRPr="006C6010">
        <w:rPr>
          <w:rFonts w:ascii="Arial" w:hAnsi="Arial" w:cs="Arial"/>
          <w:sz w:val="20"/>
          <w:szCs w:val="20"/>
        </w:rPr>
        <w:t xml:space="preserve"> through this North-South collaboration.</w:t>
      </w:r>
    </w:p>
    <w:p w14:paraId="3007585B" w14:textId="3B174C77" w:rsidR="00672C7A" w:rsidRPr="00CD3FA8" w:rsidRDefault="00672C7A" w:rsidP="00451967">
      <w:pPr>
        <w:spacing w:line="480" w:lineRule="auto"/>
        <w:jc w:val="both"/>
        <w:rPr>
          <w:rFonts w:ascii="Arial" w:hAnsi="Arial" w:cs="Arial"/>
          <w:sz w:val="20"/>
          <w:szCs w:val="20"/>
          <w:lang w:val="en-US"/>
        </w:rPr>
      </w:pPr>
      <w:r w:rsidRPr="006C6010">
        <w:rPr>
          <w:rFonts w:ascii="Arial" w:hAnsi="Arial" w:cs="Arial"/>
          <w:sz w:val="20"/>
          <w:szCs w:val="20"/>
        </w:rPr>
        <w:t>Indeed, the identification concordance rate of 51.81</w:t>
      </w:r>
      <w:r w:rsidR="00B629F5" w:rsidRPr="006C6010">
        <w:rPr>
          <w:rFonts w:ascii="Arial" w:hAnsi="Arial" w:cs="Arial"/>
          <w:sz w:val="20"/>
          <w:szCs w:val="20"/>
        </w:rPr>
        <w:t xml:space="preserve"> </w:t>
      </w:r>
      <w:r w:rsidRPr="006C6010">
        <w:rPr>
          <w:rFonts w:ascii="Arial" w:hAnsi="Arial" w:cs="Arial"/>
          <w:sz w:val="20"/>
          <w:szCs w:val="20"/>
        </w:rPr>
        <w:t xml:space="preserve">% between the results of the MS analysis and those of the two laboratories shows the inadequacy of the identification of the fungi responsible for superficial mycoses in Togo: in one case out of two, the fungal pathogen is not correctly identified. This inadequacy calls for a strong </w:t>
      </w:r>
      <w:r w:rsidR="00610745" w:rsidRPr="006C6010">
        <w:rPr>
          <w:rFonts w:ascii="Arial" w:hAnsi="Arial" w:cs="Arial"/>
          <w:sz w:val="20"/>
          <w:szCs w:val="20"/>
        </w:rPr>
        <w:t xml:space="preserve">advocacy </w:t>
      </w:r>
      <w:r w:rsidRPr="006C6010">
        <w:rPr>
          <w:rFonts w:ascii="Arial" w:hAnsi="Arial" w:cs="Arial"/>
          <w:sz w:val="20"/>
          <w:szCs w:val="20"/>
        </w:rPr>
        <w:t xml:space="preserve">for mycology laboratories in </w:t>
      </w:r>
      <w:r w:rsidR="006A6A07" w:rsidRPr="006C6010">
        <w:rPr>
          <w:rFonts w:ascii="Arial" w:hAnsi="Arial" w:cs="Arial"/>
          <w:sz w:val="20"/>
          <w:szCs w:val="20"/>
        </w:rPr>
        <w:t>low incomes</w:t>
      </w:r>
      <w:r w:rsidRPr="006C6010">
        <w:rPr>
          <w:rFonts w:ascii="Arial" w:hAnsi="Arial" w:cs="Arial"/>
          <w:sz w:val="20"/>
          <w:szCs w:val="20"/>
        </w:rPr>
        <w:t xml:space="preserve"> countries to be supported by adequate equipment to bring them into line with current requirements for fungal pathogen identification. Several authors have already looked at this comparison, including Boualem </w:t>
      </w:r>
      <w:r w:rsidRPr="001F0A70">
        <w:rPr>
          <w:rFonts w:ascii="Arial" w:hAnsi="Arial" w:cs="Arial"/>
          <w:i/>
          <w:iCs/>
          <w:sz w:val="20"/>
          <w:szCs w:val="20"/>
        </w:rPr>
        <w:t>et al</w:t>
      </w:r>
      <w:r w:rsidRPr="006C6010">
        <w:rPr>
          <w:rFonts w:ascii="Arial" w:hAnsi="Arial" w:cs="Arial"/>
          <w:sz w:val="20"/>
          <w:szCs w:val="20"/>
        </w:rPr>
        <w:t>, 2013, who in France found a 91.5</w:t>
      </w:r>
      <w:r w:rsidR="00B629F5" w:rsidRPr="006C6010">
        <w:rPr>
          <w:rFonts w:ascii="Arial" w:hAnsi="Arial" w:cs="Arial"/>
          <w:sz w:val="20"/>
          <w:szCs w:val="20"/>
        </w:rPr>
        <w:t xml:space="preserve"> </w:t>
      </w:r>
      <w:r w:rsidRPr="006C6010">
        <w:rPr>
          <w:rFonts w:ascii="Arial" w:hAnsi="Arial" w:cs="Arial"/>
          <w:sz w:val="20"/>
          <w:szCs w:val="20"/>
        </w:rPr>
        <w:t>% species concordance between the two methods for yeast isolates identified in the clinical laboratories of Dijon and Lille</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{"citationItems":[{"id":"ITEM-1","itemData":{"DOI":"10.3109/13693786.2012.693631","ISSN":"14602709","PMID":"22703164","abstract":"Conventional identification (CI) of yeasts is based on morphological, biochemical and/or immunological methods. Matrix-assisted laser desorption/ionization - time of flight (MALDI-TOF or MT-MS) mass spectrometry has been proposed as a new method for the identification of microorganisms. This prospective study compared the performance of MT-MS and CI for the identification of yeasts isolated from clinical samples. Sequencing of the internal transcribed spacer (ITS) regions of ribosomal DNA was used as the reference method in the analysis of a total of 1207 yeast isolates. Concordance between MT-MS and CI was observed for 1105 isolates (91.5%), while 74 isolates (6.1%) were misidentified. Molecular identification revealed that 73 of these 74 isolates were identified correctly by MT-MS and CI correctly identified the last one. Concordance between the two techniques was excellent for the medically-important species (98 - 100%), including the identification of closely-related species (Candida albicans/C. dubliniensis; C. inconspicua/C. norvegensis; C. parapsilosis/C. metapsilosis/C. orthopsilosis). Only 2.3% of isolates belonging to C. famata, C. lambica and C. magnoliae or to Geotrichum spp. and Trichosporon spp. were not identified by MT-MS. This investigation highlights the potential of MT-MS-based yeast identification as a reliable, time and cost-efficient alternative to CI. © 2013 ISHAM.","author":[{"dropping-particle":"","family":"Sendid","given":"Boualem","non-dropping-particle":"","parse-names":false,"suffix":""},{"dropping-particle":"","family":"Ducoroy","given":"Patrick","non-dropping-particle":"","parse-names":false,"suffix":""},{"dropping-particle":"","family":"François","given":"Nadine","non-dropping-particle":"","parse-names":false,"suffix":""},{"dropping-particle":"","family":"Lucchi","given":"Geraldine","non-dropping-particle":"","parse-names":false,"suffix":""},{"dropping-particle":"","family":"Spinali","given":"Sebastien","non-dropping-particle":"","parse-names":false,"suffix":""},{"dropping-particle":"","family":"Vagner","given":"Odile","non-dropping-particle":"","parse-names":false,"suffix":""},{"dropping-particle":"","family":"Damiens","given":"Sebastien","non-dropping-particle":"","parse-names":false,"suffix":""},{"dropping-particle":"","family":"Bonnin","given":"Alain","non-dropping-particle":"","parse-names":false,"suffix":""},{"dropping-particle":"","family":"Poulain","given":"Daniel","non-dropping-particle":"","parse-names":false,"suffix":""},{"dropping-particle":"","family":"Dalle","given":"Frederic","non-dropping-particle":"","parse-names":false,"suffix":""}],"container-title":"Medical Mycology","id":"ITEM-1","issue":"1","issued":{"date-parts":[["2013"]]},"page":"25-32","title":"Evaluation of MALDI-TOF mass spectrometry for the identification of medically-important yeasts in the clinical laboratories of Dijon and Lille hospitals","type":"article-journal","volume":"51"},"uris":["http://www.mendeley.com/documents/?uuid=5e1b45d3-8fa2-4e8e-b68e-54b1b0165343"]}],"mendeley":{"formattedCitation":"(Sendid et al., 2013)","plainTextFormattedCitation":"(Sendid et al., 2013)","previouslyFormattedCitation":"(Sendid et al., 2013)"},"properties":{"noteIndex":0},"schema":"https://github.com/citation-style-language/schema/raw/master/csl-citation.json"}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(Sendid </w:t>
      </w:r>
      <w:r w:rsidR="00DA7D66" w:rsidRPr="001F0A70">
        <w:rPr>
          <w:rFonts w:ascii="Arial" w:hAnsi="Arial" w:cs="Arial"/>
          <w:i/>
          <w:iCs/>
          <w:sz w:val="20"/>
          <w:szCs w:val="20"/>
        </w:rPr>
        <w:t>et al</w:t>
      </w:r>
      <w:r w:rsidR="00DA7D66" w:rsidRPr="006C6010">
        <w:rPr>
          <w:rFonts w:ascii="Arial" w:hAnsi="Arial" w:cs="Arial"/>
          <w:sz w:val="20"/>
          <w:szCs w:val="20"/>
        </w:rPr>
        <w:t>., 2013)</w:t>
      </w:r>
      <w:r w:rsidR="00237558" w:rsidRPr="006C6010">
        <w:rPr>
          <w:rFonts w:ascii="Arial" w:hAnsi="Arial" w:cs="Arial"/>
          <w:sz w:val="20"/>
          <w:szCs w:val="20"/>
        </w:rPr>
        <w:fldChar w:fldCharType="end"/>
      </w:r>
      <w:r w:rsidRPr="006C6010">
        <w:rPr>
          <w:rFonts w:ascii="Arial" w:hAnsi="Arial" w:cs="Arial"/>
          <w:sz w:val="20"/>
          <w:szCs w:val="20"/>
        </w:rPr>
        <w:t xml:space="preserve"> and Lacroix et al, who in 2014 noted a 98.3% species concordance for Candida isolates isolated in 8 hospital laboratories in France</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{"citationItems":[{"id":"ITEM-1","itemData":{"DOI":"10.1111/1469-0691.12210","ISSN":"14690691","PMID":"23594150","abstract":"Candida spp. are responsible for severe infections in immunocompromised patients and those undergoing invasive procedures. The accurate identification of Candida species is important because emerging species can be associated with various antifungal susceptibility spectra. Conventional methods have been developed to identify the most common pathogens, but have often failed to identify uncommon species. Several studies have reported the efficiency of matrix-assisted laser desorption ionization-time of flight mass spectrometry (MALDI-TOF MS) for the identification of clinically relevant Candida species. In this study, we evaluated two commercially available MALDI-TOF systems, Andromas™ and Bruker Biotyper™, for Candida identification in routine diagnosis. For this purpose, we investigated 1383 Candida isolates prospectively collected in eight hospital laboratories during routine practice. MALDI-TOF MS results were compared with those obtained using conventional phenotypic methods. Analysis of rDNA gene sequences with internal transcribed regions or D1-D2 regions is considered the reference standard for identification. Both MALDI-TOF MS systems could accurately identify 98.3% of the isolates at the species level (1359/1383 for Andromas™; 1360/1383 for Bruker Biotyper™) vs. 96.5% for conventional techniques. Furthermore, whereas conventional methods failed to identify rare or emerging species, these were correctly identified by MALDI-TOF MS. Both MALDI-TOF MS systems are accurate and cost-effective alternatives to conventional methods for mycological identification of clinically relevant Candida species and should improve the diagnosis of fungal infections as well as patient management. © 2013 European Society of Clinical Microbiology and Infectious Diseases.","author":[{"dropping-particle":"","family":"Lacroix","given":"C.","non-dropping-particle":"","parse-names":false,"suffix":""},{"dropping-particle":"","family":"Gicquel","given":"A.","non-dropping-particle":"","parse-names":false,"suffix":""},{"dropping-particle":"","family":"Sendid","given":"B.","non-dropping-particle":"","parse-names":false,"suffix":""},{"dropping-particle":"","family":"Meyer","given":"J.","non-dropping-particle":"","parse-names":false,"suffix":""},{"dropping-particle":"","family":"Accoceberry","given":"I.","non-dropping-particle":"","parse-names":false,"suffix":""},{"dropping-particle":"","family":"François","given":"N.","non-dropping-particle":"","parse-names":false,"suffix":""},{"dropping-particle":"","family":"Morio","given":"F.","non-dropping-particle":"","parse-names":false,"suffix":""},{"dropping-particle":"","family":"Desoubeaux","given":"G.","non-dropping-particle":"","parse-names":false,"suffix":""},{"dropping-particle":"","family":"Chandenier","given":"J.","non-dropping-particle":"","parse-names":false,"suffix":""},{"dropping-particle":"","family":"Kauffmann-Lacroix","given":"C.","non-dropping-particle":"","parse-names":false,"suffix":""},{"dropping-particle":"","family":"Hennequin","given":"C.","non-dropping-particle":"","parse-names":false,"suffix":""},{"dropping-particle":"","family":"Guitard","given":"J.","non-dropping-particle":"","parse-names":false,"suffix":""},{"dropping-particle":"","family":"Nassif","given":"X.","non-dropping-particle":"","parse-names":false,"suffix":""},{"dropping-particle":"","family":"Bougnoux","given":"M. E.","non-dropping-particle":"","parse-names":false,"suffix":""}],"container-title":"Clinical Microbiology and Infection","id":"ITEM-1","issue":"2","issued":{"date-parts":[["2014"]]},"page":"153-158","title":"Evaluation of two matrix-assisted laser desorption ionization-time of flight mass spectrometry (MALDI-TOF MS) systems for the identification of Candida species","type":"article-journal","volume":"20"},"uris":["http://www.mendeley.com/documents/?uuid=359c67d2-b27e-4f9c-a435-8f02f658374e"]}],"mendeley":{"formattedCitation":"(Lacroix et al., 2014)","plainTextFormattedCitation":"(Lacroix et al., 2014)","previouslyFormattedCitation":"(Lacroix et al., 2014)"},"properties":{"noteIndex":0},"schema":"https://github.com/citation-style-language/schema/raw/master/csl-citation.json"}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(Lacroix </w:t>
      </w:r>
      <w:r w:rsidR="00DA7D66" w:rsidRPr="001F0A70">
        <w:rPr>
          <w:rFonts w:ascii="Arial" w:hAnsi="Arial" w:cs="Arial"/>
          <w:i/>
          <w:iCs/>
          <w:sz w:val="20"/>
          <w:szCs w:val="20"/>
        </w:rPr>
        <w:t>et al</w:t>
      </w:r>
      <w:r w:rsidR="00DA7D66" w:rsidRPr="006C6010">
        <w:rPr>
          <w:rFonts w:ascii="Arial" w:hAnsi="Arial" w:cs="Arial"/>
          <w:sz w:val="20"/>
          <w:szCs w:val="20"/>
        </w:rPr>
        <w:t>., 2014)</w:t>
      </w:r>
      <w:r w:rsidR="00237558" w:rsidRPr="006C6010">
        <w:rPr>
          <w:rFonts w:ascii="Arial" w:hAnsi="Arial" w:cs="Arial"/>
          <w:sz w:val="20"/>
          <w:szCs w:val="20"/>
        </w:rPr>
        <w:fldChar w:fldCharType="end"/>
      </w:r>
      <w:r w:rsidRPr="006C6010">
        <w:rPr>
          <w:rFonts w:ascii="Arial" w:hAnsi="Arial" w:cs="Arial"/>
          <w:sz w:val="20"/>
          <w:szCs w:val="20"/>
        </w:rPr>
        <w:t xml:space="preserve">. This concordance drops slightly in terms of performance when it comes to filamentous fungus isolates. Indeed, in </w:t>
      </w:r>
      <w:r w:rsidR="00B95FDB" w:rsidRPr="006C6010">
        <w:rPr>
          <w:rFonts w:ascii="Arial" w:hAnsi="Arial" w:cs="Arial"/>
          <w:sz w:val="20"/>
          <w:szCs w:val="20"/>
        </w:rPr>
        <w:t xml:space="preserve">study </w:t>
      </w:r>
      <w:r w:rsidR="0072233B" w:rsidRPr="006C6010">
        <w:rPr>
          <w:rFonts w:ascii="Arial" w:hAnsi="Arial" w:cs="Arial"/>
          <w:sz w:val="20"/>
          <w:szCs w:val="20"/>
        </w:rPr>
        <w:t xml:space="preserve">of </w:t>
      </w:r>
      <w:r w:rsidRPr="006C6010">
        <w:rPr>
          <w:rFonts w:ascii="Arial" w:hAnsi="Arial" w:cs="Arial"/>
          <w:sz w:val="20"/>
          <w:szCs w:val="20"/>
        </w:rPr>
        <w:t xml:space="preserve">Ranque </w:t>
      </w:r>
      <w:r w:rsidRPr="006C6010">
        <w:rPr>
          <w:rFonts w:ascii="Arial" w:hAnsi="Arial" w:cs="Arial"/>
          <w:i/>
          <w:iCs/>
          <w:sz w:val="20"/>
          <w:szCs w:val="20"/>
        </w:rPr>
        <w:t>et al.</w:t>
      </w:r>
      <w:r w:rsidRPr="006C6010">
        <w:rPr>
          <w:rFonts w:ascii="Arial" w:hAnsi="Arial" w:cs="Arial"/>
          <w:sz w:val="20"/>
          <w:szCs w:val="20"/>
        </w:rPr>
        <w:t xml:space="preserve">, aimed at validating the effectiveness of a standardized MALDI-TOF mass spectrometry (MS) identification procedure on a large sample of filamentous fungi routinely identified in university hospital laboratories, a correct filamentous fungus identification performance of </w:t>
      </w:r>
      <w:commentRangeStart w:id="30"/>
      <w:r w:rsidRPr="006C6010">
        <w:rPr>
          <w:rFonts w:ascii="Arial" w:hAnsi="Arial" w:cs="Arial"/>
          <w:sz w:val="20"/>
          <w:szCs w:val="20"/>
        </w:rPr>
        <w:t>89</w:t>
      </w:r>
      <w:r w:rsidR="00B629F5" w:rsidRPr="006C6010">
        <w:rPr>
          <w:rFonts w:ascii="Arial" w:hAnsi="Arial" w:cs="Arial"/>
          <w:sz w:val="20"/>
          <w:szCs w:val="20"/>
        </w:rPr>
        <w:t xml:space="preserve"> </w:t>
      </w:r>
      <w:r w:rsidRPr="006C6010">
        <w:rPr>
          <w:rFonts w:ascii="Arial" w:hAnsi="Arial" w:cs="Arial"/>
          <w:sz w:val="20"/>
          <w:szCs w:val="20"/>
        </w:rPr>
        <w:t>% was</w:t>
      </w:r>
      <w:r w:rsidR="00EA6522" w:rsidRPr="006C6010">
        <w:rPr>
          <w:rFonts w:ascii="Arial" w:hAnsi="Arial" w:cs="Arial"/>
          <w:sz w:val="20"/>
          <w:szCs w:val="20"/>
        </w:rPr>
        <w:t xml:space="preserve"> </w:t>
      </w:r>
      <w:r w:rsidR="002F18E1" w:rsidRPr="006C6010">
        <w:rPr>
          <w:rFonts w:ascii="Arial" w:hAnsi="Arial" w:cs="Arial"/>
          <w:sz w:val="20"/>
          <w:szCs w:val="20"/>
        </w:rPr>
        <w:fldChar w:fldCharType="begin" w:fldLock="1"/>
      </w:r>
      <w:r w:rsidR="001F0A70">
        <w:rPr>
          <w:rFonts w:ascii="Arial" w:hAnsi="Arial" w:cs="Arial"/>
          <w:sz w:val="20"/>
          <w:szCs w:val="20"/>
        </w:rPr>
        <w:instrText>ADDIN CSL_CITATION {"citationItems":[{"id":"ITEM-1","itemData":{"DOI":"10.1111/myc.12115","abstract":"Cette étude visait à valider l'efficacité d'une procédure standardisée d'identification par spectrométrie de masse (MS) MALDI-TOF sur un large échantillon de champignons filamenteux identifiés en routine dans les laboratoires des hôpitaux universitaires. Les champignons filamenteux non dermatophytes isolés de manière prospective dans l'activité de routine de cinq hôpitaux universitaires en France ont d'abord été identifiés par des méthodes conventionnelles dans chaque laboratoire, puis par MS dans un centre. L'identification basée sur la séquence d'ADN a résolu les divergences entre les deux méthodes. Dans cette étude, sur les 625 champignons filamenteux analysés de 58 espèces, 501 (80 %) et 556 (89 %) ont été correctement identifiés respectivement par les méthodes conventionnelles et par MS. Par rapport à la méthode conventionnelle, la MS a considérablement amélioré les performances d'identification des champignons filamenteux non Aspergillus avec une augmentation de 31 à 61 % du taux d'identification correcte. En conclusion, cette étude sur un large échantillon de taxons cliniques de champignons filamenteux démontre que l'identification des espèces est significativement améliorée par la MS par rapport à la méthode conventionnelle. La principale limitation est que l'identification par MS n'est possible que si l'espèce est incluse dans la bibliothèque de spectres de référence. Néanmoins, pour le laboratoire clinique de routine, la MS offre les moyens d'obtenir des résultats remarquablement précis dans l'identification des champignons filamenteux, qui était auparavant limitée à quelques laboratoires de référence seulement.","author":[{"dropping-particle":"","family":"Stéphane Ranque, Anne-Cécile Normand, Carole Cassagne, Jean-Benjamin Murat, Nathalie Bourgeois, Frédéric Dalle, Martine Gari-Toussaint, Patrick Fourquet, Marijke Hendrickx","given":"Renaud Piarroux","non-dropping-particle":"","parse-names":false,"suffix":""}],"container-title":"Mycoses","id":"ITEM-1","issue":"3","issued":{"date-parts":[["2014"]]},"page":"135-140","title":"Identification of filamentous fungi by MALDI-TOF mass spectrometry in clinical laboratories","type":"article-journal","volume":"57"},"uris":["http://www.mendeley.com/documents/?uuid=a015d8b1-0699-49d8-8c6a-2c5f7820a7b4"]}],"mendeley":{"formattedCitation":"(Stéphane Ranque, Anne-Cécile Normand, Carole Cassagne, Jean-Benjamin Murat, Nathalie Bourgeois, Frédéric Dalle, Martine Gari-Toussaint, Patrick Fourquet, Marijke Hendrickx, 2014)","manualFormatting":"(Stéphane Ranque et al., 2014)","plainTextFormattedCitation":"(Stéphane Ranque, Anne-Cécile Normand, Carole Cassagne, Jean-Benjamin Murat, Nathalie Bourgeois, Frédéric Dalle, Martine Gari-Toussaint, Patrick Fourquet, Marijke Hendrickx, 2014)","previouslyFormattedCitation":"(Stéphane Ranque, Anne-Cécile Normand, Carole Cassagne, Jean-Benjamin Murat, Nathalie Bourgeois, Frédéric Dalle, Martine Gari-Toussaint, Patrick Fourquet, Marijke Hendrickx, 2014)"},"properties":{"noteIndex":0},"schema":"https://github.com/citation-style-language/schema/raw/master/csl-citation.json"}</w:instrText>
      </w:r>
      <w:r w:rsidR="002F18E1" w:rsidRPr="006C6010">
        <w:rPr>
          <w:rFonts w:ascii="Arial" w:hAnsi="Arial" w:cs="Arial"/>
          <w:sz w:val="20"/>
          <w:szCs w:val="20"/>
        </w:rPr>
        <w:fldChar w:fldCharType="separate"/>
      </w:r>
      <w:r w:rsidR="00DA7D66" w:rsidRPr="00CD3FA8">
        <w:rPr>
          <w:rFonts w:ascii="Arial" w:hAnsi="Arial" w:cs="Arial"/>
          <w:sz w:val="20"/>
          <w:szCs w:val="20"/>
          <w:lang w:val="en-US"/>
        </w:rPr>
        <w:t>(Stéphane Ranque</w:t>
      </w:r>
      <w:r w:rsidR="001F0A70" w:rsidRPr="00CD3FA8">
        <w:rPr>
          <w:rFonts w:ascii="Arial" w:hAnsi="Arial" w:cs="Arial"/>
          <w:sz w:val="20"/>
          <w:szCs w:val="20"/>
          <w:lang w:val="en-US"/>
        </w:rPr>
        <w:t xml:space="preserve"> </w:t>
      </w:r>
      <w:r w:rsidR="001F0A70" w:rsidRPr="00CD3FA8">
        <w:rPr>
          <w:rFonts w:ascii="Arial" w:hAnsi="Arial" w:cs="Arial"/>
          <w:i/>
          <w:iCs/>
          <w:sz w:val="20"/>
          <w:szCs w:val="20"/>
          <w:lang w:val="en-US"/>
        </w:rPr>
        <w:t>et al.</w:t>
      </w:r>
      <w:r w:rsidR="00DA7D66" w:rsidRPr="00CD3FA8">
        <w:rPr>
          <w:rFonts w:ascii="Arial" w:hAnsi="Arial" w:cs="Arial"/>
          <w:sz w:val="20"/>
          <w:szCs w:val="20"/>
          <w:lang w:val="en-US"/>
        </w:rPr>
        <w:t>, 2014)</w:t>
      </w:r>
      <w:r w:rsidR="002F18E1" w:rsidRPr="006C6010">
        <w:rPr>
          <w:rFonts w:ascii="Arial" w:hAnsi="Arial" w:cs="Arial"/>
          <w:sz w:val="20"/>
          <w:szCs w:val="20"/>
        </w:rPr>
        <w:fldChar w:fldCharType="end"/>
      </w:r>
      <w:commentRangeEnd w:id="30"/>
      <w:r w:rsidR="006961A3">
        <w:rPr>
          <w:rStyle w:val="CommentReference"/>
        </w:rPr>
        <w:commentReference w:id="30"/>
      </w:r>
      <w:r w:rsidRPr="00CD3FA8">
        <w:rPr>
          <w:rFonts w:ascii="Arial" w:hAnsi="Arial" w:cs="Arial"/>
          <w:sz w:val="20"/>
          <w:szCs w:val="20"/>
          <w:lang w:val="en-US"/>
        </w:rPr>
        <w:t>.</w:t>
      </w:r>
    </w:p>
    <w:p w14:paraId="0789EC69" w14:textId="691DB457"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lastRenderedPageBreak/>
        <w:t xml:space="preserve">This relatively low concordance found in our series could be explained in </w:t>
      </w:r>
      <w:r w:rsidR="0072233B" w:rsidRPr="006C6010">
        <w:rPr>
          <w:rFonts w:ascii="Arial" w:hAnsi="Arial" w:cs="Arial"/>
          <w:sz w:val="20"/>
          <w:szCs w:val="20"/>
        </w:rPr>
        <w:t xml:space="preserve">one hand </w:t>
      </w:r>
      <w:r w:rsidRPr="006C6010">
        <w:rPr>
          <w:rFonts w:ascii="Arial" w:hAnsi="Arial" w:cs="Arial"/>
          <w:sz w:val="20"/>
          <w:szCs w:val="20"/>
        </w:rPr>
        <w:t xml:space="preserve">by the always </w:t>
      </w:r>
      <w:r w:rsidR="0072233B" w:rsidRPr="006C6010">
        <w:rPr>
          <w:rFonts w:ascii="Arial" w:hAnsi="Arial" w:cs="Arial"/>
          <w:sz w:val="20"/>
          <w:szCs w:val="20"/>
        </w:rPr>
        <w:t>in</w:t>
      </w:r>
      <w:r w:rsidRPr="006C6010">
        <w:rPr>
          <w:rFonts w:ascii="Arial" w:hAnsi="Arial" w:cs="Arial"/>
          <w:sz w:val="20"/>
          <w:szCs w:val="20"/>
        </w:rPr>
        <w:t>adequate technical conditions in the laboratory, but above all by the storage and transport of isolates, arguments supported by the 7.77</w:t>
      </w:r>
      <w:r w:rsidR="00B629F5" w:rsidRPr="006C6010">
        <w:rPr>
          <w:rFonts w:ascii="Arial" w:hAnsi="Arial" w:cs="Arial"/>
          <w:sz w:val="20"/>
          <w:szCs w:val="20"/>
        </w:rPr>
        <w:t xml:space="preserve"> </w:t>
      </w:r>
      <w:r w:rsidRPr="006C6010">
        <w:rPr>
          <w:rFonts w:ascii="Arial" w:hAnsi="Arial" w:cs="Arial"/>
          <w:sz w:val="20"/>
          <w:szCs w:val="20"/>
        </w:rPr>
        <w:t>%</w:t>
      </w:r>
      <w:r w:rsidR="007C6138" w:rsidRPr="006C6010">
        <w:rPr>
          <w:rFonts w:ascii="Arial" w:hAnsi="Arial" w:cs="Arial"/>
          <w:sz w:val="20"/>
          <w:szCs w:val="20"/>
        </w:rPr>
        <w:t xml:space="preserve"> (21/270) </w:t>
      </w:r>
      <w:r w:rsidR="00743866" w:rsidRPr="006C6010">
        <w:rPr>
          <w:rFonts w:ascii="Arial" w:hAnsi="Arial" w:cs="Arial"/>
          <w:sz w:val="20"/>
          <w:szCs w:val="20"/>
        </w:rPr>
        <w:t xml:space="preserve"> </w:t>
      </w:r>
      <w:r w:rsidRPr="006C6010">
        <w:rPr>
          <w:rFonts w:ascii="Arial" w:hAnsi="Arial" w:cs="Arial"/>
          <w:sz w:val="20"/>
          <w:szCs w:val="20"/>
        </w:rPr>
        <w:t xml:space="preserve">of cases of contamination by </w:t>
      </w:r>
      <w:commentRangeStart w:id="31"/>
      <w:commentRangeStart w:id="32"/>
      <w:r w:rsidRPr="006C6010">
        <w:rPr>
          <w:rFonts w:ascii="Arial" w:hAnsi="Arial" w:cs="Arial"/>
          <w:sz w:val="20"/>
          <w:szCs w:val="20"/>
        </w:rPr>
        <w:t>Aspergillus</w:t>
      </w:r>
      <w:commentRangeEnd w:id="31"/>
      <w:r w:rsidR="008447C1">
        <w:rPr>
          <w:rStyle w:val="CommentReference"/>
        </w:rPr>
        <w:commentReference w:id="31"/>
      </w:r>
      <w:commentRangeEnd w:id="32"/>
      <w:r w:rsidR="006961A3">
        <w:rPr>
          <w:rStyle w:val="CommentReference"/>
        </w:rPr>
        <w:commentReference w:id="32"/>
      </w:r>
      <w:r w:rsidRPr="006C6010">
        <w:rPr>
          <w:rFonts w:ascii="Arial" w:hAnsi="Arial" w:cs="Arial"/>
          <w:sz w:val="20"/>
          <w:szCs w:val="20"/>
        </w:rPr>
        <w:t xml:space="preserve"> and </w:t>
      </w:r>
      <w:commentRangeStart w:id="33"/>
      <w:commentRangeStart w:id="34"/>
      <w:r w:rsidRPr="006C6010">
        <w:rPr>
          <w:rFonts w:ascii="Arial" w:hAnsi="Arial" w:cs="Arial"/>
          <w:sz w:val="20"/>
          <w:szCs w:val="20"/>
        </w:rPr>
        <w:t>Penicillium</w:t>
      </w:r>
      <w:commentRangeEnd w:id="33"/>
      <w:r w:rsidR="006961A3">
        <w:rPr>
          <w:rStyle w:val="CommentReference"/>
        </w:rPr>
        <w:commentReference w:id="33"/>
      </w:r>
      <w:r w:rsidRPr="006C6010">
        <w:rPr>
          <w:rFonts w:ascii="Arial" w:hAnsi="Arial" w:cs="Arial"/>
          <w:sz w:val="20"/>
          <w:szCs w:val="20"/>
        </w:rPr>
        <w:t xml:space="preserve"> </w:t>
      </w:r>
      <w:commentRangeEnd w:id="34"/>
      <w:r w:rsidR="008447C1">
        <w:rPr>
          <w:rStyle w:val="CommentReference"/>
        </w:rPr>
        <w:commentReference w:id="34"/>
      </w:r>
      <w:r w:rsidRPr="006C6010">
        <w:rPr>
          <w:rFonts w:ascii="Arial" w:hAnsi="Arial" w:cs="Arial"/>
          <w:sz w:val="20"/>
          <w:szCs w:val="20"/>
        </w:rPr>
        <w:t>noted in our study (</w:t>
      </w:r>
      <w:r w:rsidR="007521BA" w:rsidRPr="006C6010">
        <w:rPr>
          <w:rFonts w:ascii="Arial" w:hAnsi="Arial" w:cs="Arial"/>
          <w:sz w:val="20"/>
          <w:szCs w:val="20"/>
        </w:rPr>
        <w:t>Fig</w:t>
      </w:r>
      <w:r w:rsidR="00F863CA" w:rsidRPr="006C6010">
        <w:rPr>
          <w:rFonts w:ascii="Arial" w:hAnsi="Arial" w:cs="Arial"/>
          <w:sz w:val="20"/>
          <w:szCs w:val="20"/>
        </w:rPr>
        <w:t xml:space="preserve">ure </w:t>
      </w:r>
      <w:r w:rsidR="00AF5EE4" w:rsidRPr="006C6010">
        <w:rPr>
          <w:rFonts w:ascii="Arial" w:hAnsi="Arial" w:cs="Arial"/>
          <w:sz w:val="20"/>
          <w:szCs w:val="20"/>
        </w:rPr>
        <w:t>3</w:t>
      </w:r>
      <w:r w:rsidR="007521BA" w:rsidRPr="006C6010">
        <w:rPr>
          <w:rFonts w:ascii="Arial" w:hAnsi="Arial" w:cs="Arial"/>
          <w:sz w:val="20"/>
          <w:szCs w:val="20"/>
        </w:rPr>
        <w:t>)</w:t>
      </w:r>
      <w:r w:rsidRPr="006C6010">
        <w:rPr>
          <w:rFonts w:ascii="Arial" w:hAnsi="Arial" w:cs="Arial"/>
          <w:sz w:val="20"/>
          <w:szCs w:val="20"/>
        </w:rPr>
        <w:t xml:space="preserve">. </w:t>
      </w:r>
      <w:r w:rsidR="00991823" w:rsidRPr="006C6010">
        <w:rPr>
          <w:rFonts w:ascii="Arial" w:hAnsi="Arial" w:cs="Arial"/>
          <w:sz w:val="20"/>
          <w:szCs w:val="20"/>
        </w:rPr>
        <w:t xml:space="preserve">In </w:t>
      </w:r>
      <w:r w:rsidR="005D005C" w:rsidRPr="006C6010">
        <w:rPr>
          <w:rFonts w:ascii="Arial" w:hAnsi="Arial" w:cs="Arial"/>
          <w:sz w:val="20"/>
          <w:szCs w:val="20"/>
        </w:rPr>
        <w:t>other hand, i</w:t>
      </w:r>
      <w:r w:rsidRPr="006C6010">
        <w:rPr>
          <w:rFonts w:ascii="Arial" w:hAnsi="Arial" w:cs="Arial"/>
          <w:sz w:val="20"/>
          <w:szCs w:val="20"/>
        </w:rPr>
        <w:t xml:space="preserve">t is also recognized that the accuracy of identification by MS depends on the quality of the spectra, which in turn is closely linked to, among other </w:t>
      </w:r>
      <w:r w:rsidR="00CF09D0" w:rsidRPr="006C6010">
        <w:rPr>
          <w:rFonts w:ascii="Arial" w:hAnsi="Arial" w:cs="Arial"/>
          <w:sz w:val="20"/>
          <w:szCs w:val="20"/>
        </w:rPr>
        <w:t>factors</w:t>
      </w:r>
      <w:r w:rsidRPr="006C6010">
        <w:rPr>
          <w:rFonts w:ascii="Arial" w:hAnsi="Arial" w:cs="Arial"/>
          <w:sz w:val="20"/>
          <w:szCs w:val="20"/>
        </w:rPr>
        <w:t>, the culture conditions, the protein extraction method, the method of sample deposition on the target and the nature of the matrix</w:t>
      </w:r>
      <w:r w:rsidR="000215D1"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{"citationItems":[{"id":"ITEM-1","itemData":{"DOI":"10.1002/mas.21739","ISSN":"10982787","PMID":"34642960","abstract":"Matrix-assisted laser desorption/ionization time-of-flight mass spectrometry (MALDI-TOF MS) is an excellent tool for bacterial identification. It allows high throughput, sensitive and specific applications in clinical diagnostics and environmental research. Currently, there is no optimal standardized protocol for sample preparation and culture conditions to profile bacteria. The performance of MALDI-TOF MS is affected by several variables, such as sample preparation, culture media and culture conditions, incubation time/growth stage, incubation temperature, high salt content, blood in the culture media, and others. This review thus aims to clarify why a uniformed protocol is not plausible, to assess the effects these factors have on MALDI-TOF MS identification score, and discuss possible optimizations for its methodology, in relation to specific bacterial representatives and strain requirements.","author":[{"dropping-particle":"","family":"Topić Popović","given":"Natalija","non-dropping-particle":"","parse-names":false,"suffix":""},{"dropping-particle":"","family":"Kazazić","given":"Snježana P.","non-dropping-particle":"","parse-names":false,"suffix":""},{"dropping-particle":"","family":"Bojanić","given":"Krunoslav","non-dropping-particle":"","parse-names":false,"suffix":""},{"dropping-particle":"","family":"Strunjak-Perović","given":"Ivančica","non-dropping-particle":"","parse-names":false,"suffix":""},{"dropping-particle":"","family":"Čož-Rakovac","given":"Rozelindra","non-dropping-particle":"","parse-names":false,"suffix":""}],"container-title":"Mass Spectrometry Reviews","id":"ITEM-1","issue":"5","issued":{"date-parts":[["2023"]]},"page":"1589-1603","title":"Sample preparation and culture condition effects on MALDI-TOF MS identification of bacteria: A review","type":"article-journal","volume":"42"},"uris":["http://www.mendeley.com/documents/?uuid=32f0ba58-67fe-4de2-90cc-bb43fd5be9ba"]},{"id":"ITEM-2","itemData":{"DOI":"10.1002/mas.21542","ISSN":"10982787","PMID":"28758227","abstract":"Mass spectrometry-based approaches have enabled important breakthroughs in quantitative proteomics in the last decades. This development is reflected in the better quantitative assessment of protein levels as well as to understand post-translational modifications and protein complexes and networks. Nowadays, the focus of quantitative proteomics shifted from the relative determination of proteins (ie, differential expression between two or more cellular states) to absolute quantity determination, required for a more-thorough characterization of biological models and comprehension of the proteome dynamism, as well as for the search and validation of novel protein biomarkers. However, the physico-chemical environment of the analyte species affects strongly the ionization efficiency in most mass spectrometry (MS) types, which thereby require the use of specially designed standardization approaches to provide absolute quantifications. Most common of such approaches nowadays include (i) the use of stable isotope-labeled peptide standards, isotopologues to the target proteotypic peptides expected after tryptic digestion of the target protein; (ii) use of stable isotope-labeled protein standards to compensate for sample preparation, sample loss, and proteolysis steps; (iii) isobaric reagents, which after fragmentation in the MS/MS analysis provide a final detectable mass shift, can be used to tag both analyte and standard samples; (iv) label-free approaches in which the absolute quantitative data are not obtained through the use of any kind of labeling, but from computational normalization of the raw data and adequate standards; (v) elemental mass spectrometry-based workflows able to provide directly absolute quantification of peptides/proteins that contain an ICP-detectable element. A critical insight from the Analytical Chemistry perspective of the different standardization approaches and their combinations used so far for absolute quantitative MS-based (molecular and elemental) proteomics is provided in this review.","author":[{"dropping-particle":"","family":"Calderón-Celis","given":"Francisco","non-dropping-particle":"","parse-names":false,"suffix":""},{"dropping-particle":"","family":"Encinar","given":"Jorge Ruiz","non-dropping-particle":"","parse-names":false,"suffix":""},{"dropping-particle":"","family":"Sanz-Medel","given":"Alfredo","non-dropping-particle":"","parse-names":false,"suffix":""}],"container-title":"Mass Spectrometry Reviews","id":"ITEM-2","issue":"6","issued":{"date-parts":[["2018"]]},"page":"715-737","title":"Standardization approaches in absolute quantitative proteomics with mass spectrometry","type":"article-journal","volume":"37"},"uris":["http://www.mendeley.com/documents/?uuid=3eb285d3-392b-4a16-ad5f-feec0d505d88"]}],"mendeley":{"formattedCitation":"(Calderón-Celis et al., 2018; Topić Popović et al., 2023)","plainTextFormattedCitation":"(Calderón-Celis et al., 2018; Topić Popović et al., 2023)","previouslyFormattedCitation":"(Calderón-Celis et al., 2018; Topić Popović et al., 2023)"},"properties":{"noteIndex":0},"schema":"https://github.com/citation-style-language/schema/raw/master/csl-citation.json"}</w:instrText>
      </w:r>
      <w:r w:rsidR="000215D1" w:rsidRPr="006C6010">
        <w:rPr>
          <w:rFonts w:ascii="Arial" w:hAnsi="Arial" w:cs="Arial"/>
          <w:sz w:val="20"/>
          <w:szCs w:val="20"/>
        </w:rPr>
        <w:fldChar w:fldCharType="separate"/>
      </w:r>
      <w:r w:rsidR="00DA7D66" w:rsidRPr="006C6010">
        <w:rPr>
          <w:rFonts w:ascii="Arial" w:hAnsi="Arial" w:cs="Arial"/>
          <w:sz w:val="20"/>
          <w:szCs w:val="20"/>
        </w:rPr>
        <w:t xml:space="preserve">(Calderón-Celis </w:t>
      </w:r>
      <w:r w:rsidR="00DA7D66" w:rsidRPr="004A5D86">
        <w:rPr>
          <w:rFonts w:ascii="Arial" w:hAnsi="Arial" w:cs="Arial"/>
          <w:i/>
          <w:iCs/>
          <w:sz w:val="20"/>
          <w:szCs w:val="20"/>
        </w:rPr>
        <w:t>et al.</w:t>
      </w:r>
      <w:r w:rsidR="00DA7D66" w:rsidRPr="006C6010">
        <w:rPr>
          <w:rFonts w:ascii="Arial" w:hAnsi="Arial" w:cs="Arial"/>
          <w:sz w:val="20"/>
          <w:szCs w:val="20"/>
        </w:rPr>
        <w:t xml:space="preserve">, 2018; Topić Popović </w:t>
      </w:r>
      <w:r w:rsidR="00DA7D66" w:rsidRPr="004A5D86">
        <w:rPr>
          <w:rFonts w:ascii="Arial" w:hAnsi="Arial" w:cs="Arial"/>
          <w:i/>
          <w:iCs/>
          <w:sz w:val="20"/>
          <w:szCs w:val="20"/>
        </w:rPr>
        <w:t>et al.</w:t>
      </w:r>
      <w:r w:rsidR="00DA7D66" w:rsidRPr="006C6010">
        <w:rPr>
          <w:rFonts w:ascii="Arial" w:hAnsi="Arial" w:cs="Arial"/>
          <w:sz w:val="20"/>
          <w:szCs w:val="20"/>
        </w:rPr>
        <w:t>, 2023)</w:t>
      </w:r>
      <w:r w:rsidR="000215D1" w:rsidRPr="006C6010">
        <w:rPr>
          <w:rFonts w:ascii="Arial" w:hAnsi="Arial" w:cs="Arial"/>
          <w:sz w:val="20"/>
          <w:szCs w:val="20"/>
        </w:rPr>
        <w:fldChar w:fldCharType="end"/>
      </w:r>
      <w:r w:rsidRPr="006C6010">
        <w:rPr>
          <w:rFonts w:ascii="Arial" w:hAnsi="Arial" w:cs="Arial"/>
          <w:sz w:val="20"/>
          <w:szCs w:val="20"/>
        </w:rPr>
        <w:t>, all parameters that can modify the reliability of the spectra obtained, which could also explain our concordance rate.</w:t>
      </w:r>
    </w:p>
    <w:p w14:paraId="66943465" w14:textId="3FF2E3B2"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t xml:space="preserve">The added value of MS in substantially improving the identification of fungi has been demonstrated by several studies, including that of </w:t>
      </w:r>
      <w:r w:rsidR="004A5D86">
        <w:rPr>
          <w:rFonts w:ascii="Arial" w:hAnsi="Arial" w:cs="Arial"/>
          <w:sz w:val="20"/>
          <w:szCs w:val="20"/>
        </w:rPr>
        <w:t xml:space="preserve">Stephane </w:t>
      </w:r>
      <w:r w:rsidRPr="006C6010">
        <w:rPr>
          <w:rFonts w:ascii="Arial" w:hAnsi="Arial" w:cs="Arial"/>
          <w:sz w:val="20"/>
          <w:szCs w:val="20"/>
        </w:rPr>
        <w:t xml:space="preserve">Ranque </w:t>
      </w:r>
      <w:r w:rsidRPr="004A5D86">
        <w:rPr>
          <w:rFonts w:ascii="Arial" w:hAnsi="Arial" w:cs="Arial"/>
          <w:i/>
          <w:iCs/>
          <w:sz w:val="20"/>
          <w:szCs w:val="20"/>
        </w:rPr>
        <w:t>et al.</w:t>
      </w:r>
      <w:r w:rsidRPr="006C6010">
        <w:rPr>
          <w:rFonts w:ascii="Arial" w:hAnsi="Arial" w:cs="Arial"/>
          <w:sz w:val="20"/>
          <w:szCs w:val="20"/>
        </w:rPr>
        <w:t xml:space="preserve"> in 2014, who noted an increase in reliability from 31</w:t>
      </w:r>
      <w:r w:rsidR="00B629F5" w:rsidRPr="006C6010">
        <w:rPr>
          <w:rFonts w:ascii="Arial" w:hAnsi="Arial" w:cs="Arial"/>
          <w:sz w:val="20"/>
          <w:szCs w:val="20"/>
        </w:rPr>
        <w:t xml:space="preserve"> </w:t>
      </w:r>
      <w:r w:rsidRPr="006C6010">
        <w:rPr>
          <w:rFonts w:ascii="Arial" w:hAnsi="Arial" w:cs="Arial"/>
          <w:sz w:val="20"/>
          <w:szCs w:val="20"/>
        </w:rPr>
        <w:t>% to 61</w:t>
      </w:r>
      <w:r w:rsidR="00B629F5" w:rsidRPr="006C6010">
        <w:rPr>
          <w:rFonts w:ascii="Arial" w:hAnsi="Arial" w:cs="Arial"/>
          <w:sz w:val="20"/>
          <w:szCs w:val="20"/>
        </w:rPr>
        <w:t xml:space="preserve"> </w:t>
      </w:r>
      <w:r w:rsidRPr="006C6010">
        <w:rPr>
          <w:rFonts w:ascii="Arial" w:hAnsi="Arial" w:cs="Arial"/>
          <w:sz w:val="20"/>
          <w:szCs w:val="20"/>
        </w:rPr>
        <w:t xml:space="preserve">% </w:t>
      </w:r>
      <w:r w:rsidR="00795A7A" w:rsidRPr="006C6010">
        <w:rPr>
          <w:rFonts w:ascii="Arial" w:hAnsi="Arial" w:cs="Arial"/>
          <w:sz w:val="20"/>
          <w:szCs w:val="20"/>
        </w:rPr>
        <w:t xml:space="preserve">due </w:t>
      </w:r>
      <w:r w:rsidRPr="006C6010">
        <w:rPr>
          <w:rFonts w:ascii="Arial" w:hAnsi="Arial" w:cs="Arial"/>
          <w:sz w:val="20"/>
          <w:szCs w:val="20"/>
        </w:rPr>
        <w:t>to the contribution of MS</w:t>
      </w:r>
      <w:r w:rsidR="00547EA7"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10.1016/j.mycmed.2010.10.003","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 ","type":"article-journal"},"uris":["http://www.mendeley.com/documents/?uuid=32083989-17cf-4611-967f-0f91505e71d2"]},{"id":"ITEM-2","itemData":{"DOI":"10.1111/myc.12115","ISSN":"09337407","PMID":"23895114","abstract":"This study aimed to validate the effectiveness of a standardised procedure for the MALDI-TOF mass spectrometry (MS)-based identification on a large sample of filamentous fungi routinely identified in university hospitals' laboratories. Non-dermatophyte filamentous fungi prospectively isolated in the routine activity of five teaching hospitals in France were first identified by conventional methods in each laboratory and then by MS in one centre. DNA sequence-based identification resolved discrepancies between both methods. In this study, of the 625 analysed filamentous fungi of 58 species, 501 (80%) and 556 (89%) were correctly identified by conventional methods and MS respectively. Compared with the conventional method, MS dramatically enhanced the performance of the identification of the non-Aspergillus filamentous fungi with a 31-61% increase in correct identification rate. In conclusion, this study on a large sample of clinical filamentous fungi taxa demonstrates that species identification is significantly improved by MS compared with the conventional method. The main limitation is that MS identification is possible only if the species is included in the reference spectra library. Nevertheless, for the routine clinical laboratory, MS provides the means to attain markedly accurat</w:instrText>
      </w:r>
      <w:r w:rsidR="00D7462F" w:rsidRPr="00E8506B">
        <w:rPr>
          <w:rFonts w:ascii="Arial" w:hAnsi="Arial" w:cs="Arial"/>
          <w:sz w:val="20"/>
          <w:szCs w:val="20"/>
          <w:lang w:val="en-US"/>
        </w:rPr>
        <w:instrText>e results in filamentous fungi identification, which was previously restricted to only a few reference laboratories. © 2013 Blackwell Verlag GmbH.","author":[{"dropping-particle":"","family":"Stéphane R</w:instrText>
      </w:r>
      <w:r w:rsidR="00D7462F" w:rsidRPr="00CD3FA8">
        <w:rPr>
          <w:rFonts w:ascii="Arial" w:hAnsi="Arial" w:cs="Arial"/>
          <w:sz w:val="20"/>
          <w:szCs w:val="20"/>
          <w:lang w:val="fr-FR"/>
        </w:rPr>
        <w:instrText>anque","given":"","non-dropping-particle":"","parse-names":false,"suffix":""},{"dropping-particle":"","family":"Normand","given":"Anne Cécile","non-dropping-particle":"","parse-names":false,"suffix":""},{"dropping-particle":"","family":"Cassagne","given":"Carole","non-dropping-particle":"","parse-names":false,"suffix":""},{"dropping-particle":"","family":"Murat","given":"Jean Benjamin","non-dropping-particle":"","parse-names":false,"suffix":""},{"dropping-particle":"","family":"Al.","given":"Bourgeois et","non-dropping-particle":"","parse-names":false,"suffix":""}],"container-title":"Mycoses","id":"ITEM-2","issue":"3","issued":{"date-parts":[["2014"]]},"page":"135-140","title":"MALDI-TOF mass spectrometry identification of filamentous fungi in the clinical laboratory","type":"article-journal","volume":"57"},"uris":["http://www.mendeley.com/documents/?uuid=816f613d-c723-4729-ab7d-350278fd6a12"]}],"mendeley":{"formattedCitation":"(Desoubeaux et al., 2010a; Stéphane Ranque et al., 2014)","plainTextFormattedCitation":"(Desoubeaux et al., 2010a; Stéphane Ranque et al., 2014)","previouslyFormattedCitation":"(Desoubeaux et al., 2010a; Stéphane Ranque et al., 2014)"},"properties":{"noteIndex":0},"schema":"https://github.com/citation-style-language/schema/raw/master/csl-citation.json"}</w:instrText>
      </w:r>
      <w:r w:rsidR="00547EA7" w:rsidRPr="006C6010">
        <w:rPr>
          <w:rFonts w:ascii="Arial" w:hAnsi="Arial" w:cs="Arial"/>
          <w:sz w:val="20"/>
          <w:szCs w:val="20"/>
        </w:rPr>
        <w:fldChar w:fldCharType="separate"/>
      </w:r>
      <w:r w:rsidR="00DA7D66" w:rsidRPr="006C6010">
        <w:rPr>
          <w:rFonts w:ascii="Arial" w:hAnsi="Arial" w:cs="Arial"/>
          <w:sz w:val="20"/>
          <w:szCs w:val="20"/>
          <w:lang w:val="fr-FR"/>
        </w:rPr>
        <w:t xml:space="preserve">(Desoubeaux et al., 2010a; Stéphane Ranque </w:t>
      </w:r>
      <w:r w:rsidR="00DA7D66" w:rsidRPr="004A5D86">
        <w:rPr>
          <w:rFonts w:ascii="Arial" w:hAnsi="Arial" w:cs="Arial"/>
          <w:i/>
          <w:iCs/>
          <w:sz w:val="20"/>
          <w:szCs w:val="20"/>
          <w:lang w:val="fr-FR"/>
        </w:rPr>
        <w:t>et al.</w:t>
      </w:r>
      <w:r w:rsidR="00DA7D66" w:rsidRPr="006C6010">
        <w:rPr>
          <w:rFonts w:ascii="Arial" w:hAnsi="Arial" w:cs="Arial"/>
          <w:sz w:val="20"/>
          <w:szCs w:val="20"/>
          <w:lang w:val="fr-FR"/>
        </w:rPr>
        <w:t>, 2014)</w:t>
      </w:r>
      <w:r w:rsidR="00547EA7" w:rsidRPr="006C6010">
        <w:rPr>
          <w:rFonts w:ascii="Arial" w:hAnsi="Arial" w:cs="Arial"/>
          <w:sz w:val="20"/>
          <w:szCs w:val="20"/>
        </w:rPr>
        <w:fldChar w:fldCharType="end"/>
      </w:r>
      <w:r w:rsidR="00547EA7" w:rsidRPr="006C6010">
        <w:rPr>
          <w:rFonts w:ascii="Arial" w:hAnsi="Arial" w:cs="Arial"/>
          <w:sz w:val="20"/>
          <w:szCs w:val="20"/>
          <w:lang w:val="fr-FR"/>
        </w:rPr>
        <w:t xml:space="preserve"> </w:t>
      </w:r>
      <w:r w:rsidR="002F18E1" w:rsidRPr="006C6010">
        <w:rPr>
          <w:rFonts w:ascii="Arial" w:hAnsi="Arial" w:cs="Arial"/>
          <w:sz w:val="20"/>
          <w:szCs w:val="20"/>
        </w:rPr>
        <w:fldChar w:fldCharType="begin" w:fldLock="1"/>
      </w:r>
      <w:r w:rsidR="00D7462F" w:rsidRPr="006C6010">
        <w:rPr>
          <w:rFonts w:ascii="Arial" w:hAnsi="Arial" w:cs="Arial"/>
          <w:sz w:val="20"/>
          <w:szCs w:val="20"/>
          <w:lang w:val="fr-FR"/>
        </w:rPr>
        <w:instrText>ADDIN CSL_CITATION {"citationItems":[{"id":"ITEM-1","itemData":{"DOI":"10.1016/j.mycmed.2010.10.003","abstract":"Dans cette courte note, nous présentons la spectrométrie de masse MALDI-TOF et ses applications, en la situant par rapport aux autres méthodes d’identification des levures dans un laboratoire de mycologie clinique. Comme illustration, nous rapportons les résultats préliminaires d’une étude prospective qui a concerné pendant une courte période l’identification de l’ensemble des levures isolées en mycologie clinique au CHRU de Lille par méthodes conventionnelles, conjointement à la spectrométrie de masse MALDI-TOF. Sur les 750 souches analysées, les résultats étaient satisfaisants avec des corrélations de 90 à 99 %, le second score étant obtenu avec une seconde étape d’identification par l’une ou l’autre des méthodes. Peu de discordances ont été observées pour les complexes Candida albicans/C. dubliniensis, C. inconspicua/C. norvegensis, et C. parapsilosis et ses génotypes proches (C. metapsilosis et C. orthopsilosis). À chaque fois, les résultats étaient exclusivement en faveur de la spectrométrie de masse tant au niveau de la rapidité qu’en termes de fiabilité d’identification.","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container-title":"Journal de Mycologie Médicale","id":"ITEM-1","issued":{"date-parts":[["2010"]]},"page":"263-267","title":"Spectrométrie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University","type":"article-journal","volume":"20"},"uris":["http://www.mendeley.com/documents/?uuid=bd03dd3b-75a3-4d60-8388-af695534955b"]}],"mendeley":{"formattedCitation":"(Desoubeaux et al., 2010b)","manualFormatting":" ","plainTextFormattedCitation":"(Desoubeaux et al., 2010b)","previouslyFormattedCitation":"(Desoubeaux et al., 2010b)"},"properties":{"noteIndex":0},"schema":"https://github.com/citation-style-language/schema/raw/master/csl-citation.json"}</w:instrText>
      </w:r>
      <w:r w:rsidR="002F18E1" w:rsidRPr="006C6010">
        <w:rPr>
          <w:rFonts w:ascii="Arial" w:hAnsi="Arial" w:cs="Arial"/>
          <w:sz w:val="20"/>
          <w:szCs w:val="20"/>
        </w:rPr>
        <w:fldChar w:fldCharType="separate"/>
      </w:r>
      <w:r w:rsidR="000215D1" w:rsidRPr="006C6010">
        <w:rPr>
          <w:rFonts w:ascii="Arial" w:hAnsi="Arial" w:cs="Arial"/>
          <w:sz w:val="20"/>
          <w:szCs w:val="20"/>
          <w:lang w:val="fr-FR"/>
        </w:rPr>
        <w:t xml:space="preserve"> </w:t>
      </w:r>
      <w:r w:rsidR="002F18E1" w:rsidRPr="006C6010">
        <w:rPr>
          <w:rFonts w:ascii="Arial" w:hAnsi="Arial" w:cs="Arial"/>
          <w:sz w:val="20"/>
          <w:szCs w:val="20"/>
        </w:rPr>
        <w:fldChar w:fldCharType="end"/>
      </w:r>
      <w:r w:rsidRPr="006C6010">
        <w:rPr>
          <w:rFonts w:ascii="Arial" w:hAnsi="Arial" w:cs="Arial"/>
          <w:sz w:val="20"/>
          <w:szCs w:val="20"/>
          <w:lang w:val="fr-FR"/>
        </w:rPr>
        <w:t xml:space="preserve">. </w:t>
      </w:r>
      <w:r w:rsidR="00ED3CD3" w:rsidRPr="00E8506B">
        <w:rPr>
          <w:rFonts w:ascii="Arial" w:hAnsi="Arial" w:cs="Arial"/>
          <w:sz w:val="20"/>
          <w:szCs w:val="20"/>
          <w:lang w:val="en-US"/>
        </w:rPr>
        <w:t>M</w:t>
      </w:r>
      <w:r w:rsidRPr="00E8506B">
        <w:rPr>
          <w:rFonts w:ascii="Arial" w:hAnsi="Arial" w:cs="Arial"/>
          <w:sz w:val="20"/>
          <w:szCs w:val="20"/>
          <w:lang w:val="en-US"/>
        </w:rPr>
        <w:t xml:space="preserve">S also contributed to a better characterization of isolates from samples </w:t>
      </w:r>
      <w:r w:rsidR="002E4EC0" w:rsidRPr="00E8506B">
        <w:rPr>
          <w:rFonts w:ascii="Arial" w:hAnsi="Arial" w:cs="Arial"/>
          <w:sz w:val="20"/>
          <w:szCs w:val="20"/>
          <w:lang w:val="en-US"/>
        </w:rPr>
        <w:t>of</w:t>
      </w:r>
      <w:r w:rsidRPr="00E8506B">
        <w:rPr>
          <w:rFonts w:ascii="Arial" w:hAnsi="Arial" w:cs="Arial"/>
          <w:sz w:val="20"/>
          <w:szCs w:val="20"/>
          <w:lang w:val="en-US"/>
        </w:rPr>
        <w:t xml:space="preserve"> superficial </w:t>
      </w:r>
      <w:r w:rsidR="002E4EC0" w:rsidRPr="00E8506B">
        <w:rPr>
          <w:rFonts w:ascii="Arial" w:hAnsi="Arial" w:cs="Arial"/>
          <w:sz w:val="20"/>
          <w:szCs w:val="20"/>
          <w:lang w:val="en-US"/>
        </w:rPr>
        <w:t xml:space="preserve">fungal </w:t>
      </w:r>
      <w:r w:rsidR="00B56EDC" w:rsidRPr="00E8506B">
        <w:rPr>
          <w:rFonts w:ascii="Arial" w:hAnsi="Arial" w:cs="Arial"/>
          <w:sz w:val="20"/>
          <w:szCs w:val="20"/>
          <w:lang w:val="en-US"/>
        </w:rPr>
        <w:t>diseases</w:t>
      </w:r>
      <w:r w:rsidRPr="00E8506B">
        <w:rPr>
          <w:rFonts w:ascii="Arial" w:hAnsi="Arial" w:cs="Arial"/>
          <w:sz w:val="20"/>
          <w:szCs w:val="20"/>
          <w:lang w:val="en-US"/>
        </w:rPr>
        <w:t xml:space="preserve"> in our study. </w:t>
      </w:r>
      <w:r w:rsidRPr="006C6010">
        <w:rPr>
          <w:rFonts w:ascii="Arial" w:hAnsi="Arial" w:cs="Arial"/>
          <w:sz w:val="20"/>
          <w:szCs w:val="20"/>
        </w:rPr>
        <w:t>Indeed, 3.61</w:t>
      </w:r>
      <w:r w:rsidR="00B629F5" w:rsidRPr="006C6010">
        <w:rPr>
          <w:rFonts w:ascii="Arial" w:hAnsi="Arial" w:cs="Arial"/>
          <w:sz w:val="20"/>
          <w:szCs w:val="20"/>
        </w:rPr>
        <w:t xml:space="preserve"> </w:t>
      </w:r>
      <w:r w:rsidRPr="006C6010">
        <w:rPr>
          <w:rFonts w:ascii="Arial" w:hAnsi="Arial" w:cs="Arial"/>
          <w:sz w:val="20"/>
          <w:szCs w:val="20"/>
        </w:rPr>
        <w:t xml:space="preserve">% (9 isolates) of </w:t>
      </w:r>
      <w:r w:rsidR="006B0E4F" w:rsidRPr="006C6010">
        <w:rPr>
          <w:rFonts w:ascii="Arial" w:hAnsi="Arial" w:cs="Arial"/>
          <w:sz w:val="20"/>
          <w:szCs w:val="20"/>
        </w:rPr>
        <w:t xml:space="preserve">fungi </w:t>
      </w:r>
      <w:r w:rsidRPr="006C6010">
        <w:rPr>
          <w:rFonts w:ascii="Arial" w:hAnsi="Arial" w:cs="Arial"/>
          <w:sz w:val="20"/>
          <w:szCs w:val="20"/>
        </w:rPr>
        <w:t xml:space="preserve">not identified by </w:t>
      </w:r>
      <w:r w:rsidR="00646BE1" w:rsidRPr="006C6010">
        <w:rPr>
          <w:rFonts w:ascii="Arial" w:hAnsi="Arial" w:cs="Arial"/>
          <w:sz w:val="20"/>
          <w:szCs w:val="20"/>
        </w:rPr>
        <w:t>R</w:t>
      </w:r>
      <w:r w:rsidRPr="006C6010">
        <w:rPr>
          <w:rFonts w:ascii="Arial" w:hAnsi="Arial" w:cs="Arial"/>
          <w:sz w:val="20"/>
          <w:szCs w:val="20"/>
        </w:rPr>
        <w:t xml:space="preserve">M were identified by </w:t>
      </w:r>
      <w:r w:rsidR="00646BE1" w:rsidRPr="006C6010">
        <w:rPr>
          <w:rFonts w:ascii="Arial" w:hAnsi="Arial" w:cs="Arial"/>
          <w:sz w:val="20"/>
          <w:szCs w:val="20"/>
        </w:rPr>
        <w:t>M</w:t>
      </w:r>
      <w:r w:rsidRPr="006C6010">
        <w:rPr>
          <w:rFonts w:ascii="Arial" w:hAnsi="Arial" w:cs="Arial"/>
          <w:sz w:val="20"/>
          <w:szCs w:val="20"/>
        </w:rPr>
        <w:t xml:space="preserve">S; similarly, </w:t>
      </w:r>
      <w:r w:rsidR="00852128" w:rsidRPr="006C6010">
        <w:rPr>
          <w:rFonts w:ascii="Arial" w:hAnsi="Arial" w:cs="Arial"/>
          <w:sz w:val="20"/>
          <w:szCs w:val="20"/>
        </w:rPr>
        <w:t xml:space="preserve">with </w:t>
      </w:r>
      <w:r w:rsidR="00646BE1" w:rsidRPr="006C6010">
        <w:rPr>
          <w:rFonts w:ascii="Arial" w:hAnsi="Arial" w:cs="Arial"/>
          <w:sz w:val="20"/>
          <w:szCs w:val="20"/>
        </w:rPr>
        <w:t>M</w:t>
      </w:r>
      <w:r w:rsidRPr="006C6010">
        <w:rPr>
          <w:rFonts w:ascii="Arial" w:hAnsi="Arial" w:cs="Arial"/>
          <w:sz w:val="20"/>
          <w:szCs w:val="20"/>
        </w:rPr>
        <w:t>S</w:t>
      </w:r>
      <w:r w:rsidR="00646BE1" w:rsidRPr="006C6010">
        <w:rPr>
          <w:rFonts w:ascii="Arial" w:hAnsi="Arial" w:cs="Arial"/>
          <w:sz w:val="20"/>
          <w:szCs w:val="20"/>
        </w:rPr>
        <w:t xml:space="preserve"> plus-value</w:t>
      </w:r>
      <w:r w:rsidRPr="006C6010">
        <w:rPr>
          <w:rFonts w:ascii="Arial" w:hAnsi="Arial" w:cs="Arial"/>
          <w:sz w:val="20"/>
          <w:szCs w:val="20"/>
        </w:rPr>
        <w:t>, the</w:t>
      </w:r>
      <w:r w:rsidR="000F4FE8" w:rsidRPr="006C6010">
        <w:rPr>
          <w:rFonts w:ascii="Arial" w:hAnsi="Arial" w:cs="Arial"/>
          <w:sz w:val="20"/>
          <w:szCs w:val="20"/>
        </w:rPr>
        <w:t xml:space="preserve"> isolates</w:t>
      </w:r>
      <w:r w:rsidRPr="006C6010">
        <w:rPr>
          <w:rFonts w:ascii="Arial" w:hAnsi="Arial" w:cs="Arial"/>
          <w:sz w:val="20"/>
          <w:szCs w:val="20"/>
        </w:rPr>
        <w:t xml:space="preserve"> identification was rectified </w:t>
      </w:r>
      <w:r w:rsidR="000F4FE8" w:rsidRPr="006C6010">
        <w:rPr>
          <w:rFonts w:ascii="Arial" w:hAnsi="Arial" w:cs="Arial"/>
          <w:sz w:val="20"/>
          <w:szCs w:val="20"/>
        </w:rPr>
        <w:t xml:space="preserve">in </w:t>
      </w:r>
      <w:r w:rsidRPr="006C6010">
        <w:rPr>
          <w:rFonts w:ascii="Arial" w:hAnsi="Arial" w:cs="Arial"/>
          <w:sz w:val="20"/>
          <w:szCs w:val="20"/>
        </w:rPr>
        <w:t>17.27</w:t>
      </w:r>
      <w:r w:rsidR="00B629F5" w:rsidRPr="006C6010">
        <w:rPr>
          <w:rFonts w:ascii="Arial" w:hAnsi="Arial" w:cs="Arial"/>
          <w:sz w:val="20"/>
          <w:szCs w:val="20"/>
        </w:rPr>
        <w:t xml:space="preserve"> </w:t>
      </w:r>
      <w:r w:rsidRPr="006C6010">
        <w:rPr>
          <w:rFonts w:ascii="Arial" w:hAnsi="Arial" w:cs="Arial"/>
          <w:sz w:val="20"/>
          <w:szCs w:val="20"/>
        </w:rPr>
        <w:t>% (43/249)</w:t>
      </w:r>
      <w:r w:rsidR="00FA2073" w:rsidRPr="006C6010">
        <w:rPr>
          <w:rFonts w:ascii="Arial" w:hAnsi="Arial" w:cs="Arial"/>
          <w:sz w:val="20"/>
          <w:szCs w:val="20"/>
        </w:rPr>
        <w:t>,</w:t>
      </w:r>
      <w:r w:rsidRPr="006C6010">
        <w:rPr>
          <w:rFonts w:ascii="Arial" w:hAnsi="Arial" w:cs="Arial"/>
          <w:sz w:val="20"/>
          <w:szCs w:val="20"/>
        </w:rPr>
        <w:t xml:space="preserve"> and species </w:t>
      </w:r>
      <w:r w:rsidR="00FD7375" w:rsidRPr="006C6010">
        <w:rPr>
          <w:rFonts w:ascii="Arial" w:hAnsi="Arial" w:cs="Arial"/>
          <w:sz w:val="20"/>
          <w:szCs w:val="20"/>
        </w:rPr>
        <w:t xml:space="preserve">were </w:t>
      </w:r>
      <w:r w:rsidR="00A719EE" w:rsidRPr="006C6010">
        <w:rPr>
          <w:rFonts w:ascii="Arial" w:hAnsi="Arial" w:cs="Arial"/>
          <w:sz w:val="20"/>
          <w:szCs w:val="20"/>
        </w:rPr>
        <w:t>specified</w:t>
      </w:r>
      <w:r w:rsidR="00831D46" w:rsidRPr="006C6010">
        <w:rPr>
          <w:rFonts w:ascii="Arial" w:hAnsi="Arial" w:cs="Arial"/>
          <w:sz w:val="20"/>
          <w:szCs w:val="20"/>
        </w:rPr>
        <w:t xml:space="preserve"> in</w:t>
      </w:r>
      <w:r w:rsidRPr="006C6010">
        <w:rPr>
          <w:rFonts w:ascii="Arial" w:hAnsi="Arial" w:cs="Arial"/>
          <w:sz w:val="20"/>
          <w:szCs w:val="20"/>
        </w:rPr>
        <w:t xml:space="preserve"> 26.10</w:t>
      </w:r>
      <w:r w:rsidR="00B629F5" w:rsidRPr="006C6010">
        <w:rPr>
          <w:rFonts w:ascii="Arial" w:hAnsi="Arial" w:cs="Arial"/>
          <w:sz w:val="20"/>
          <w:szCs w:val="20"/>
        </w:rPr>
        <w:t xml:space="preserve"> </w:t>
      </w:r>
      <w:r w:rsidRPr="006C6010">
        <w:rPr>
          <w:rFonts w:ascii="Arial" w:hAnsi="Arial" w:cs="Arial"/>
          <w:sz w:val="20"/>
          <w:szCs w:val="20"/>
        </w:rPr>
        <w:t xml:space="preserve">% (65/249) of isolates </w:t>
      </w:r>
      <w:r w:rsidR="00831D46" w:rsidRPr="006C6010">
        <w:rPr>
          <w:rFonts w:ascii="Arial" w:hAnsi="Arial" w:cs="Arial"/>
          <w:sz w:val="20"/>
          <w:szCs w:val="20"/>
        </w:rPr>
        <w:t xml:space="preserve">which had genus </w:t>
      </w:r>
      <w:r w:rsidRPr="006C6010">
        <w:rPr>
          <w:rFonts w:ascii="Arial" w:hAnsi="Arial" w:cs="Arial"/>
          <w:sz w:val="20"/>
          <w:szCs w:val="20"/>
        </w:rPr>
        <w:t xml:space="preserve">previously identified by </w:t>
      </w:r>
      <w:r w:rsidR="00646BE1" w:rsidRPr="006C6010">
        <w:rPr>
          <w:rFonts w:ascii="Arial" w:hAnsi="Arial" w:cs="Arial"/>
          <w:sz w:val="20"/>
          <w:szCs w:val="20"/>
        </w:rPr>
        <w:t>R</w:t>
      </w:r>
      <w:r w:rsidRPr="006C6010">
        <w:rPr>
          <w:rFonts w:ascii="Arial" w:hAnsi="Arial" w:cs="Arial"/>
          <w:sz w:val="20"/>
          <w:szCs w:val="20"/>
        </w:rPr>
        <w:t xml:space="preserve">M (Table </w:t>
      </w:r>
      <w:r w:rsidR="00A60A5A">
        <w:rPr>
          <w:rFonts w:ascii="Arial" w:hAnsi="Arial" w:cs="Arial"/>
          <w:sz w:val="20"/>
          <w:szCs w:val="20"/>
        </w:rPr>
        <w:t>3</w:t>
      </w:r>
      <w:r w:rsidRPr="006C6010">
        <w:rPr>
          <w:rFonts w:ascii="Arial" w:hAnsi="Arial" w:cs="Arial"/>
          <w:sz w:val="20"/>
          <w:szCs w:val="20"/>
        </w:rPr>
        <w:t xml:space="preserve">). </w:t>
      </w:r>
      <w:r w:rsidR="00672BD2" w:rsidRPr="006C6010">
        <w:rPr>
          <w:rFonts w:ascii="Arial" w:hAnsi="Arial" w:cs="Arial"/>
          <w:sz w:val="20"/>
          <w:szCs w:val="20"/>
        </w:rPr>
        <w:t>M</w:t>
      </w:r>
      <w:r w:rsidRPr="006C6010">
        <w:rPr>
          <w:rFonts w:ascii="Arial" w:hAnsi="Arial" w:cs="Arial"/>
          <w:sz w:val="20"/>
          <w:szCs w:val="20"/>
        </w:rPr>
        <w:t xml:space="preserve">S therefore increased the reliability of identification of the isolates </w:t>
      </w:r>
      <w:r w:rsidR="00B24202" w:rsidRPr="006C6010">
        <w:rPr>
          <w:rFonts w:ascii="Arial" w:hAnsi="Arial" w:cs="Arial"/>
          <w:sz w:val="20"/>
          <w:szCs w:val="20"/>
        </w:rPr>
        <w:t>in our study</w:t>
      </w:r>
      <w:r w:rsidRPr="006C6010">
        <w:rPr>
          <w:rFonts w:ascii="Arial" w:hAnsi="Arial" w:cs="Arial"/>
          <w:sz w:val="20"/>
          <w:szCs w:val="20"/>
        </w:rPr>
        <w:t xml:space="preserve"> by 46.98</w:t>
      </w:r>
      <w:r w:rsidR="00B629F5" w:rsidRPr="006C6010">
        <w:rPr>
          <w:rFonts w:ascii="Arial" w:hAnsi="Arial" w:cs="Arial"/>
          <w:sz w:val="20"/>
          <w:szCs w:val="20"/>
        </w:rPr>
        <w:t xml:space="preserve"> </w:t>
      </w:r>
      <w:r w:rsidRPr="006C6010">
        <w:rPr>
          <w:rFonts w:ascii="Arial" w:hAnsi="Arial" w:cs="Arial"/>
          <w:sz w:val="20"/>
          <w:szCs w:val="20"/>
        </w:rPr>
        <w:t xml:space="preserve">%, corroborating the data of Ranque </w:t>
      </w:r>
      <w:r w:rsidRPr="004A5D86">
        <w:rPr>
          <w:rFonts w:ascii="Arial" w:hAnsi="Arial" w:cs="Arial"/>
          <w:i/>
          <w:iCs/>
          <w:sz w:val="20"/>
          <w:szCs w:val="20"/>
        </w:rPr>
        <w:t>et al,</w:t>
      </w:r>
      <w:r w:rsidRPr="006C6010">
        <w:rPr>
          <w:rFonts w:ascii="Arial" w:hAnsi="Arial" w:cs="Arial"/>
          <w:sz w:val="20"/>
          <w:szCs w:val="20"/>
        </w:rPr>
        <w:t xml:space="preserve"> 2014. This approach also enabled the technical staff of these laboratories to review the macroscopic and microscopic aspects of the identified </w:t>
      </w:r>
      <w:r w:rsidR="008B4792" w:rsidRPr="006C6010">
        <w:rPr>
          <w:rFonts w:ascii="Arial" w:hAnsi="Arial" w:cs="Arial"/>
          <w:sz w:val="20"/>
          <w:szCs w:val="20"/>
        </w:rPr>
        <w:t xml:space="preserve">fungi </w:t>
      </w:r>
      <w:r w:rsidRPr="006C6010">
        <w:rPr>
          <w:rFonts w:ascii="Arial" w:hAnsi="Arial" w:cs="Arial"/>
          <w:sz w:val="20"/>
          <w:szCs w:val="20"/>
        </w:rPr>
        <w:t xml:space="preserve">by MS in order to assimilate them so as to put them to use in the diagnostic approach </w:t>
      </w:r>
      <w:r w:rsidR="00E00274" w:rsidRPr="006C6010">
        <w:rPr>
          <w:rFonts w:ascii="Arial" w:hAnsi="Arial" w:cs="Arial"/>
          <w:sz w:val="20"/>
          <w:szCs w:val="20"/>
        </w:rPr>
        <w:t>in</w:t>
      </w:r>
      <w:r w:rsidRPr="006C6010">
        <w:rPr>
          <w:rFonts w:ascii="Arial" w:hAnsi="Arial" w:cs="Arial"/>
          <w:sz w:val="20"/>
          <w:szCs w:val="20"/>
        </w:rPr>
        <w:t xml:space="preserve"> routine </w:t>
      </w:r>
      <w:r w:rsidR="001D6290" w:rsidRPr="006C6010">
        <w:rPr>
          <w:rFonts w:ascii="Arial" w:hAnsi="Arial" w:cs="Arial"/>
          <w:sz w:val="20"/>
          <w:szCs w:val="20"/>
        </w:rPr>
        <w:t>procedure</w:t>
      </w:r>
      <w:r w:rsidRPr="006C6010">
        <w:rPr>
          <w:rFonts w:ascii="Arial" w:hAnsi="Arial" w:cs="Arial"/>
          <w:sz w:val="20"/>
          <w:szCs w:val="20"/>
        </w:rPr>
        <w:t>.</w:t>
      </w:r>
    </w:p>
    <w:p w14:paraId="4AEC0E62" w14:textId="55F70FE6" w:rsidR="002C3189" w:rsidRPr="006C6010" w:rsidRDefault="002C3189" w:rsidP="00451967">
      <w:pPr>
        <w:spacing w:line="480" w:lineRule="auto"/>
        <w:jc w:val="both"/>
        <w:rPr>
          <w:rFonts w:ascii="Arial" w:hAnsi="Arial" w:cs="Arial"/>
          <w:sz w:val="20"/>
          <w:szCs w:val="20"/>
        </w:rPr>
      </w:pPr>
      <w:r w:rsidRPr="006C6010">
        <w:rPr>
          <w:rFonts w:ascii="Arial" w:hAnsi="Arial" w:cs="Arial"/>
          <w:sz w:val="20"/>
          <w:szCs w:val="20"/>
        </w:rPr>
        <w:t>In our study, 0.80</w:t>
      </w:r>
      <w:r w:rsidR="00B629F5" w:rsidRPr="006C6010">
        <w:rPr>
          <w:rFonts w:ascii="Arial" w:hAnsi="Arial" w:cs="Arial"/>
          <w:sz w:val="20"/>
          <w:szCs w:val="20"/>
        </w:rPr>
        <w:t xml:space="preserve"> </w:t>
      </w:r>
      <w:r w:rsidRPr="006C6010">
        <w:rPr>
          <w:rFonts w:ascii="Arial" w:hAnsi="Arial" w:cs="Arial"/>
          <w:sz w:val="20"/>
          <w:szCs w:val="20"/>
        </w:rPr>
        <w:t xml:space="preserve">% (2/249) of isolates could not be identified by either </w:t>
      </w:r>
      <w:r w:rsidR="00F3760C" w:rsidRPr="006C6010">
        <w:rPr>
          <w:rFonts w:ascii="Arial" w:hAnsi="Arial" w:cs="Arial"/>
          <w:sz w:val="20"/>
          <w:szCs w:val="20"/>
        </w:rPr>
        <w:t>R</w:t>
      </w:r>
      <w:r w:rsidRPr="006C6010">
        <w:rPr>
          <w:rFonts w:ascii="Arial" w:hAnsi="Arial" w:cs="Arial"/>
          <w:sz w:val="20"/>
          <w:szCs w:val="20"/>
        </w:rPr>
        <w:t xml:space="preserve">M </w:t>
      </w:r>
      <w:r w:rsidR="00E46090" w:rsidRPr="006C6010">
        <w:rPr>
          <w:rFonts w:ascii="Arial" w:hAnsi="Arial" w:cs="Arial"/>
          <w:sz w:val="20"/>
          <w:szCs w:val="20"/>
        </w:rPr>
        <w:t xml:space="preserve">neither </w:t>
      </w:r>
      <w:r w:rsidR="00F3760C" w:rsidRPr="006C6010">
        <w:rPr>
          <w:rFonts w:ascii="Arial" w:hAnsi="Arial" w:cs="Arial"/>
          <w:sz w:val="20"/>
          <w:szCs w:val="20"/>
        </w:rPr>
        <w:t>M</w:t>
      </w:r>
      <w:r w:rsidRPr="006C6010">
        <w:rPr>
          <w:rFonts w:ascii="Arial" w:hAnsi="Arial" w:cs="Arial"/>
          <w:sz w:val="20"/>
          <w:szCs w:val="20"/>
        </w:rPr>
        <w:t xml:space="preserve">S, </w:t>
      </w:r>
      <w:r w:rsidR="00B73213" w:rsidRPr="006C6010">
        <w:rPr>
          <w:rFonts w:ascii="Arial" w:hAnsi="Arial" w:cs="Arial"/>
          <w:sz w:val="20"/>
          <w:szCs w:val="20"/>
        </w:rPr>
        <w:t>nor</w:t>
      </w:r>
      <w:r w:rsidRPr="006C6010">
        <w:rPr>
          <w:rFonts w:ascii="Arial" w:hAnsi="Arial" w:cs="Arial"/>
          <w:sz w:val="20"/>
          <w:szCs w:val="20"/>
        </w:rPr>
        <w:t xml:space="preserve"> a further 0.40</w:t>
      </w:r>
      <w:r w:rsidR="00B629F5" w:rsidRPr="006C6010">
        <w:rPr>
          <w:rFonts w:ascii="Arial" w:hAnsi="Arial" w:cs="Arial"/>
          <w:sz w:val="20"/>
          <w:szCs w:val="20"/>
        </w:rPr>
        <w:t xml:space="preserve"> </w:t>
      </w:r>
      <w:r w:rsidRPr="006C6010">
        <w:rPr>
          <w:rFonts w:ascii="Arial" w:hAnsi="Arial" w:cs="Arial"/>
          <w:sz w:val="20"/>
          <w:szCs w:val="20"/>
        </w:rPr>
        <w:t xml:space="preserve">% (1/249) could not be identified by </w:t>
      </w:r>
      <w:r w:rsidR="00AB6B80" w:rsidRPr="006C6010">
        <w:rPr>
          <w:rFonts w:ascii="Arial" w:hAnsi="Arial" w:cs="Arial"/>
          <w:sz w:val="20"/>
          <w:szCs w:val="20"/>
        </w:rPr>
        <w:t>M</w:t>
      </w:r>
      <w:r w:rsidRPr="006C6010">
        <w:rPr>
          <w:rFonts w:ascii="Arial" w:hAnsi="Arial" w:cs="Arial"/>
          <w:sz w:val="20"/>
          <w:szCs w:val="20"/>
        </w:rPr>
        <w:t xml:space="preserve">S. Most of these were filamentous fungi of the mold type. This may be due, on the one hand, to the limitations of </w:t>
      </w:r>
      <w:r w:rsidR="00FE73E9" w:rsidRPr="006C6010">
        <w:rPr>
          <w:rFonts w:ascii="Arial" w:hAnsi="Arial" w:cs="Arial"/>
          <w:sz w:val="20"/>
          <w:szCs w:val="20"/>
        </w:rPr>
        <w:t>R</w:t>
      </w:r>
      <w:r w:rsidRPr="006C6010">
        <w:rPr>
          <w:rFonts w:ascii="Arial" w:hAnsi="Arial" w:cs="Arial"/>
          <w:sz w:val="20"/>
          <w:szCs w:val="20"/>
        </w:rPr>
        <w:t xml:space="preserve">M </w:t>
      </w:r>
      <w:r w:rsidR="00FE73E9" w:rsidRPr="006C6010">
        <w:rPr>
          <w:rFonts w:ascii="Arial" w:hAnsi="Arial" w:cs="Arial"/>
          <w:sz w:val="20"/>
          <w:szCs w:val="20"/>
        </w:rPr>
        <w:t>to identify</w:t>
      </w:r>
      <w:r w:rsidRPr="006C6010">
        <w:rPr>
          <w:rFonts w:ascii="Arial" w:hAnsi="Arial" w:cs="Arial"/>
          <w:sz w:val="20"/>
          <w:szCs w:val="20"/>
        </w:rPr>
        <w:t xml:space="preserve"> certain rare or emerging fungal species</w:t>
      </w:r>
      <w:r w:rsidR="00D44163"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Simon, 2021)","plainTextFormattedCitation":"(Bastides, 2010; Simon, 2021)","previouslyFormattedCitation":"(Bastides, 2010; Simon, 2021)"},"properties":{"noteIndex":0},"schema":"https://github.com/citation-style-language/schema/raw/master/csl-citation.json"}</w:instrText>
      </w:r>
      <w:r w:rsidR="00D44163" w:rsidRPr="006C6010">
        <w:rPr>
          <w:rFonts w:ascii="Arial" w:hAnsi="Arial" w:cs="Arial"/>
          <w:sz w:val="20"/>
          <w:szCs w:val="20"/>
        </w:rPr>
        <w:fldChar w:fldCharType="separate"/>
      </w:r>
      <w:r w:rsidR="00DA7D66" w:rsidRPr="006C6010">
        <w:rPr>
          <w:rFonts w:ascii="Arial" w:hAnsi="Arial" w:cs="Arial"/>
          <w:sz w:val="20"/>
          <w:szCs w:val="20"/>
        </w:rPr>
        <w:t>(Bastides, 2010; Simon, 2021)</w:t>
      </w:r>
      <w:r w:rsidR="00D44163" w:rsidRPr="006C6010">
        <w:rPr>
          <w:rFonts w:ascii="Arial" w:hAnsi="Arial" w:cs="Arial"/>
          <w:sz w:val="20"/>
          <w:szCs w:val="20"/>
        </w:rPr>
        <w:fldChar w:fldCharType="end"/>
      </w:r>
      <w:r w:rsidR="00D44163" w:rsidRPr="006C6010">
        <w:rPr>
          <w:rFonts w:ascii="Arial" w:hAnsi="Arial" w:cs="Arial"/>
          <w:sz w:val="20"/>
          <w:szCs w:val="20"/>
        </w:rPr>
        <w:t xml:space="preserve"> </w:t>
      </w:r>
      <w:r w:rsidRPr="006C6010">
        <w:rPr>
          <w:rFonts w:ascii="Arial" w:hAnsi="Arial" w:cs="Arial"/>
          <w:sz w:val="20"/>
          <w:szCs w:val="20"/>
        </w:rPr>
        <w:t xml:space="preserve">and, on the other hand, to the lack of completeness of the spectral library for these types of fungi as discussed by Stein </w:t>
      </w:r>
      <w:r w:rsidRPr="006C6010">
        <w:rPr>
          <w:rFonts w:ascii="Arial" w:hAnsi="Arial" w:cs="Arial"/>
          <w:i/>
          <w:iCs/>
          <w:sz w:val="20"/>
          <w:szCs w:val="20"/>
        </w:rPr>
        <w:t>et al.</w:t>
      </w:r>
      <w:r w:rsidRPr="006C6010">
        <w:rPr>
          <w:rFonts w:ascii="Arial" w:hAnsi="Arial" w:cs="Arial"/>
          <w:sz w:val="20"/>
          <w:szCs w:val="20"/>
        </w:rPr>
        <w:t>, 2018</w:t>
      </w:r>
      <w:r w:rsidR="005A4297" w:rsidRPr="006C6010">
        <w:rPr>
          <w:rFonts w:ascii="Arial" w:hAnsi="Arial" w:cs="Arial"/>
          <w:sz w:val="20"/>
          <w:szCs w:val="20"/>
        </w:rPr>
        <w:t xml:space="preserve">, </w:t>
      </w:r>
      <w:r w:rsidRPr="006C6010">
        <w:rPr>
          <w:rFonts w:ascii="Arial" w:hAnsi="Arial" w:cs="Arial"/>
          <w:sz w:val="20"/>
          <w:szCs w:val="20"/>
        </w:rPr>
        <w:t>who compared the performance of 3 spectral libraries: Bruker, “National Institutes of Health” (NIH) and Mass Spectrometry Identification (MSI), to routine and molecular method</w:t>
      </w:r>
      <w:r w:rsidR="000E3D0E" w:rsidRPr="006C6010">
        <w:rPr>
          <w:rFonts w:ascii="Arial" w:hAnsi="Arial" w:cs="Arial"/>
          <w:sz w:val="20"/>
          <w:szCs w:val="20"/>
        </w:rPr>
        <w:t>s</w:t>
      </w:r>
      <w:r w:rsidRPr="006C6010">
        <w:rPr>
          <w:rFonts w:ascii="Arial" w:hAnsi="Arial" w:cs="Arial"/>
          <w:sz w:val="20"/>
          <w:szCs w:val="20"/>
        </w:rPr>
        <w:t>. The failure of these three libraries to identify 20</w:t>
      </w:r>
      <w:r w:rsidR="00B629F5" w:rsidRPr="006C6010">
        <w:rPr>
          <w:rFonts w:ascii="Arial" w:hAnsi="Arial" w:cs="Arial"/>
          <w:sz w:val="20"/>
          <w:szCs w:val="20"/>
        </w:rPr>
        <w:t xml:space="preserve"> </w:t>
      </w:r>
      <w:r w:rsidRPr="006C6010">
        <w:rPr>
          <w:rFonts w:ascii="Arial" w:hAnsi="Arial" w:cs="Arial"/>
          <w:sz w:val="20"/>
          <w:szCs w:val="20"/>
        </w:rPr>
        <w:t xml:space="preserve">% of molds was attributed to their limitations and the imperfect nature of their spectra. Another determinant of fungal strain identification performance is the purity of the isolates. Indeed, to obtain optimal identification by MS, one of the conditions remains the purity of the culture to be identified, as performance in identifying </w:t>
      </w:r>
      <w:r w:rsidRPr="006C6010">
        <w:rPr>
          <w:rFonts w:ascii="Arial" w:hAnsi="Arial" w:cs="Arial"/>
          <w:sz w:val="20"/>
          <w:szCs w:val="20"/>
        </w:rPr>
        <w:lastRenderedPageBreak/>
        <w:t>fungal species by MS requires a pure culture</w:t>
      </w:r>
      <w:r w:rsidR="005A4297" w:rsidRPr="006C6010">
        <w:rPr>
          <w:rFonts w:ascii="Arial" w:hAnsi="Arial" w:cs="Arial"/>
          <w:sz w:val="20"/>
          <w:szCs w:val="20"/>
        </w:rPr>
        <w:t xml:space="preserve"> </w:t>
      </w:r>
      <w:r w:rsidR="005A4297" w:rsidRPr="006C6010">
        <w:rPr>
          <w:rFonts w:ascii="Arial" w:hAnsi="Arial" w:cs="Arial"/>
          <w:sz w:val="20"/>
          <w:szCs w:val="20"/>
        </w:rPr>
        <w:fldChar w:fldCharType="begin" w:fldLock="1"/>
      </w:r>
      <w:r w:rsidR="004A5D86">
        <w:rPr>
          <w:rFonts w:ascii="Arial" w:hAnsi="Arial" w:cs="Arial"/>
          <w:sz w:val="20"/>
          <w:szCs w:val="20"/>
        </w:rPr>
        <w:instrText>ADDIN CSL_CITATION {"citationItems":[{"id":"ITEM-1","itemData":{"DOI":"10.1111/myc.12800","ISBN":"0000000191","abstract":"La spectrométrie de masse à temps de vol et désorption-ionisation laser assistée par matrice (MALDI-TOF MS) est couramment utilisée par les laboratoires de microbiologie clinique pour identifier les agents pathogènes bactériens et les levures, mais pas pour l'identification des moisissures. Les progrès récents dans les protocoles d'extraction et la composition des bibliothèques comparatives soutiennent l'application potentielle de la spectrométrie de masse MALDI-TOF pour l'identification des moisissures dans les laboratoires de microbiologie clinique. Nous avons évalué les performances de l'instrument Bruker Microflex™ MALDI-TOF MS (Billerica, MA, États-Unis) pour identifier les isolats cliniques et les souches de référence de moisissures à l'aide de 3 bibliothèques, la bibliothèque de moisissures Bruker, la bibliothèque des National Institutes of Health (NIH) et la bibliothèque en ligne Mass Spectrometry Identification (MSI), et avons comparé ces résultats aux méthodes d'identification conventionnelles (morphologiques) et moléculaires (18S/ITS ; référence absolue). Les 3 bibliothèques ont démontré une plus grande précision dans l'identification du genre (≥ 94,9 %) que les méthodes conventionnelles (86,4 %). La spectrométrie de masse MALDI-TOF a permis d'identifier 73,3 % des isolats au niveau de l'espèce, contre seulement 31,7 % par les méthodes conventionnelles. La bibliothèque MSI a démontré le taux le plus élevé d'identification au niveau de l'espèce (72,0 %) par rapport aux bibliothèques NIH (19,5 %) et Bruker (13,6 %). Plus de 20 % des moisissures sont restées non identifiées au niveau de l'espèce par les 3 bibliothèques MALDI-TOF MS, principalement en raison des limitations de la bibliothèque ou de spectres imparfaits. Le taux d'identification global de chaque bibliothèque MALDI-TOF MS dépendait du nombre d'espèces et du nombre de spectres représentant chaque espèce dans la bibliothèque.","author":[{"dropping-particle":"","family":"Stein Markus, Vanessa Tran, A. Nichol, Philippe Lagacé-Wiens, Peter Pieroni, Heather J. Adam, Christine Turenne, Andrew J. Walkty, Anne-Cécile Normand, Marijike Hendrickx","given":"Renaud Piarroux and A. Karlowsky","non-dropping-particle":"","parse-names":false,"suffix":""}],"container-title":"Mycoses","id":"ITEM-1","issue":"10","issued":{"date-parts":[["2018"]]},"page":"1-26","title":"Evaluation of Three MALDI-TOF Mass Spectrometry Librairies for Identification of Filamentous Fungi in Three Clinical Microbiology Laboratories in Manitoba, Canada","type":"article-journal","volume":"61"},"uris":["http://www.mendeley.com/documents/?uuid=0a76709a-17ca-474f-82a2-0212fdcab044"]},{"id":"ITEM-2","itemData":{"DOI":"10.3168/jds.2018-15424","ISSN":"0022-0302","author":[{"dropping-particle":"","family":"Nonnemann","given":"Bettina","non-dropping-particle":"","parse-names":false,"suffix":""},{"dropping-particle":"","family":"Lyhs","given":"Ulrike","non-dropping-particle":"","parse-names":false,"suffix":""},{"dropping-particle":"","family":"Svennesen","given":"Line","non-dropping-particle":"","parse-names":false,"suffix":""},{"dropping-particle":"","family":"Kristensen","given":"Katja Ann","non-dropping-particle":"","parse-names":false,"suffix":""},{"dropping-particle":"","family":"Klaas","given":"Ilka C","non-dropping-particle":"","parse-names":false,"suffix":""},{"dropping-particle":"","family":"Pedersen","given":"Karl","non-dropping-particle":"","parse-names":false,"suffix":""}],"container-title":"Journal of Dairy Science","id":"ITEM-2","issued":{"date-parts":[["2019"]]},"page":"1-10","publisher":"American Dairy Science Association","title":"Bovine mastitis bacteria resolved by MALDI-TOF mass spectrometry","type":"article-journal"},"uris":["http://www.mendeley.com/documents/?uuid=8001f89e-12f4-4fbd-bf47-4c0a8349065e"]}],"mendeley":{"formattedCitation":"(Nonnemann et al., 2019; Stein Markus, Vanessa Tran, A. Nichol, Philippe Lagacé-Wiens, Peter Pieroni, Heather J. Adam, Christine Turenne, Andrew J. Walkty, Anne-Cécile Normand, Marijike Hendrickx, 2018)","manualFormatting":"(Nonnemann et al., 2019; Stein Markus et al., 2018)","plainTextFormattedCitation":"(Nonnemann et al., 2019; Stein Markus, Vanessa Tran, A. Nichol, Philippe Lagacé-Wiens, Peter Pieroni, Heather J. Adam, Christine Turenne, Andrew J. Walkty, Anne-Cécile Normand, Marijike Hendrickx, 2018)","previouslyFormattedCitation":"(Nonnemann et al., 2019; Stein Markus, Vanessa Tran, A. Nichol, Philippe Lagacé-Wiens, Peter Pieroni, Heather J. Adam, Christine Turenne, Andrew J. Walkty, Anne-Cécile Normand, Marijike Hendrickx, 2018)"},"properties":{"noteIndex":0},"schema":"https://github.com/citation-style-language/schema/raw/master/csl-citation.json"}</w:instrText>
      </w:r>
      <w:r w:rsidR="005A4297" w:rsidRPr="006C6010">
        <w:rPr>
          <w:rFonts w:ascii="Arial" w:hAnsi="Arial" w:cs="Arial"/>
          <w:sz w:val="20"/>
          <w:szCs w:val="20"/>
        </w:rPr>
        <w:fldChar w:fldCharType="separate"/>
      </w:r>
      <w:r w:rsidR="00DA7D66" w:rsidRPr="006C6010">
        <w:rPr>
          <w:rFonts w:ascii="Arial" w:hAnsi="Arial" w:cs="Arial"/>
          <w:sz w:val="20"/>
          <w:szCs w:val="20"/>
        </w:rPr>
        <w:t xml:space="preserve">(Nonnemann </w:t>
      </w:r>
      <w:r w:rsidR="00DA7D66" w:rsidRPr="004A5D86">
        <w:rPr>
          <w:rFonts w:ascii="Arial" w:hAnsi="Arial" w:cs="Arial"/>
          <w:i/>
          <w:iCs/>
          <w:sz w:val="20"/>
          <w:szCs w:val="20"/>
        </w:rPr>
        <w:t>et al</w:t>
      </w:r>
      <w:r w:rsidR="00DA7D66" w:rsidRPr="006C6010">
        <w:rPr>
          <w:rFonts w:ascii="Arial" w:hAnsi="Arial" w:cs="Arial"/>
          <w:sz w:val="20"/>
          <w:szCs w:val="20"/>
        </w:rPr>
        <w:t>., 2019; Stein Markus</w:t>
      </w:r>
      <w:r w:rsidR="004A5D86">
        <w:rPr>
          <w:rFonts w:ascii="Arial" w:hAnsi="Arial" w:cs="Arial"/>
          <w:sz w:val="20"/>
          <w:szCs w:val="20"/>
        </w:rPr>
        <w:t xml:space="preserve"> </w:t>
      </w:r>
      <w:r w:rsidR="004A5D86" w:rsidRPr="004A5D86">
        <w:rPr>
          <w:rFonts w:ascii="Arial" w:hAnsi="Arial" w:cs="Arial"/>
          <w:i/>
          <w:iCs/>
          <w:sz w:val="20"/>
          <w:szCs w:val="20"/>
        </w:rPr>
        <w:t>et al.</w:t>
      </w:r>
      <w:r w:rsidR="00DA7D66" w:rsidRPr="006C6010">
        <w:rPr>
          <w:rFonts w:ascii="Arial" w:hAnsi="Arial" w:cs="Arial"/>
          <w:sz w:val="20"/>
          <w:szCs w:val="20"/>
        </w:rPr>
        <w:t>, 2018)</w:t>
      </w:r>
      <w:r w:rsidR="005A4297" w:rsidRPr="006C6010">
        <w:rPr>
          <w:rFonts w:ascii="Arial" w:hAnsi="Arial" w:cs="Arial"/>
          <w:sz w:val="20"/>
          <w:szCs w:val="20"/>
        </w:rPr>
        <w:fldChar w:fldCharType="end"/>
      </w:r>
      <w:r w:rsidRPr="006C6010">
        <w:rPr>
          <w:rFonts w:ascii="Arial" w:hAnsi="Arial" w:cs="Arial"/>
          <w:sz w:val="20"/>
          <w:szCs w:val="20"/>
        </w:rPr>
        <w:t>, which may have been lacking in our various cultures submitted for analysis by MS.</w:t>
      </w:r>
    </w:p>
    <w:p w14:paraId="593BC4CB" w14:textId="37A25C8C" w:rsidR="002C3189" w:rsidRPr="008A0A7D" w:rsidRDefault="008A0A7D" w:rsidP="00E85FF3">
      <w:pPr>
        <w:pStyle w:val="Heading1"/>
        <w:numPr>
          <w:ilvl w:val="0"/>
          <w:numId w:val="4"/>
        </w:numPr>
        <w:spacing w:before="240" w:line="480" w:lineRule="auto"/>
        <w:jc w:val="left"/>
        <w:rPr>
          <w:sz w:val="22"/>
          <w:szCs w:val="22"/>
        </w:rPr>
      </w:pPr>
      <w:bookmarkStart w:id="35" w:name="_Hlk193405073"/>
      <w:bookmarkEnd w:id="29"/>
      <w:r w:rsidRPr="008A0A7D">
        <w:rPr>
          <w:sz w:val="22"/>
          <w:szCs w:val="22"/>
        </w:rPr>
        <w:t>CONCLUSION</w:t>
      </w:r>
    </w:p>
    <w:p w14:paraId="42A2E9F3" w14:textId="1974DFA5" w:rsidR="00EC5B2F" w:rsidRPr="008A0A7D" w:rsidRDefault="00100ED2" w:rsidP="00451967">
      <w:pPr>
        <w:spacing w:line="480" w:lineRule="auto"/>
        <w:jc w:val="both"/>
        <w:rPr>
          <w:rFonts w:ascii="Arial" w:hAnsi="Arial" w:cs="Arial"/>
          <w:sz w:val="20"/>
          <w:szCs w:val="20"/>
        </w:rPr>
      </w:pPr>
      <w:r w:rsidRPr="008A0A7D">
        <w:rPr>
          <w:rFonts w:ascii="Arial" w:hAnsi="Arial" w:cs="Arial"/>
          <w:sz w:val="20"/>
          <w:szCs w:val="20"/>
        </w:rPr>
        <w:t>T</w:t>
      </w:r>
      <w:r w:rsidR="002C3189" w:rsidRPr="008A0A7D">
        <w:rPr>
          <w:rFonts w:ascii="Arial" w:hAnsi="Arial" w:cs="Arial"/>
          <w:sz w:val="20"/>
          <w:szCs w:val="20"/>
        </w:rPr>
        <w:t>his study</w:t>
      </w:r>
      <w:r w:rsidR="0015766A" w:rsidRPr="008A0A7D">
        <w:rPr>
          <w:rFonts w:ascii="Arial" w:hAnsi="Arial" w:cs="Arial"/>
          <w:sz w:val="20"/>
          <w:szCs w:val="20"/>
        </w:rPr>
        <w:t xml:space="preserve"> </w:t>
      </w:r>
      <w:r w:rsidRPr="008A0A7D">
        <w:rPr>
          <w:rFonts w:ascii="Arial" w:hAnsi="Arial" w:cs="Arial"/>
          <w:sz w:val="20"/>
          <w:szCs w:val="20"/>
        </w:rPr>
        <w:t xml:space="preserve">showed </w:t>
      </w:r>
      <w:r w:rsidR="0015766A" w:rsidRPr="008A0A7D">
        <w:rPr>
          <w:rFonts w:ascii="Arial" w:hAnsi="Arial" w:cs="Arial"/>
          <w:sz w:val="20"/>
          <w:szCs w:val="20"/>
        </w:rPr>
        <w:t>that</w:t>
      </w:r>
      <w:r w:rsidR="00D2612B" w:rsidRPr="008A0A7D">
        <w:rPr>
          <w:rFonts w:ascii="Arial" w:hAnsi="Arial" w:cs="Arial"/>
          <w:sz w:val="20"/>
          <w:szCs w:val="20"/>
        </w:rPr>
        <w:t xml:space="preserve"> the</w:t>
      </w:r>
      <w:r w:rsidR="002C3189" w:rsidRPr="008A0A7D">
        <w:rPr>
          <w:rFonts w:ascii="Arial" w:hAnsi="Arial" w:cs="Arial"/>
          <w:sz w:val="20"/>
          <w:szCs w:val="20"/>
        </w:rPr>
        <w:t xml:space="preserve"> identification of fungal strains isolated by MR in the two medical mycology laboratories in Lomé was less than 52</w:t>
      </w:r>
      <w:r w:rsidR="003841CF" w:rsidRPr="008A0A7D">
        <w:rPr>
          <w:rFonts w:ascii="Arial" w:hAnsi="Arial" w:cs="Arial"/>
          <w:sz w:val="20"/>
          <w:szCs w:val="20"/>
        </w:rPr>
        <w:t xml:space="preserve"> </w:t>
      </w:r>
      <w:r w:rsidR="002C3189" w:rsidRPr="008A0A7D">
        <w:rPr>
          <w:rFonts w:ascii="Arial" w:hAnsi="Arial" w:cs="Arial"/>
          <w:sz w:val="20"/>
          <w:szCs w:val="20"/>
        </w:rPr>
        <w:t xml:space="preserve">% concordant with MS. </w:t>
      </w:r>
      <w:r w:rsidR="002B1F04" w:rsidRPr="008A0A7D">
        <w:rPr>
          <w:rFonts w:ascii="Arial" w:hAnsi="Arial" w:cs="Arial"/>
          <w:sz w:val="20"/>
          <w:szCs w:val="20"/>
        </w:rPr>
        <w:t xml:space="preserve">This last technique </w:t>
      </w:r>
      <w:r w:rsidR="002C3189" w:rsidRPr="008A0A7D">
        <w:rPr>
          <w:rFonts w:ascii="Arial" w:hAnsi="Arial" w:cs="Arial"/>
          <w:sz w:val="20"/>
          <w:szCs w:val="20"/>
        </w:rPr>
        <w:t>improved this identification by increasing the level of reliability by almost 47</w:t>
      </w:r>
      <w:r w:rsidR="003841CF" w:rsidRPr="008A0A7D">
        <w:rPr>
          <w:rFonts w:ascii="Arial" w:hAnsi="Arial" w:cs="Arial"/>
          <w:sz w:val="20"/>
          <w:szCs w:val="20"/>
        </w:rPr>
        <w:t xml:space="preserve"> </w:t>
      </w:r>
      <w:r w:rsidR="002C3189" w:rsidRPr="008A0A7D">
        <w:rPr>
          <w:rFonts w:ascii="Arial" w:hAnsi="Arial" w:cs="Arial"/>
          <w:sz w:val="20"/>
          <w:szCs w:val="20"/>
        </w:rPr>
        <w:t xml:space="preserve">%.  </w:t>
      </w:r>
      <w:commentRangeStart w:id="36"/>
      <w:r w:rsidR="002C3189" w:rsidRPr="008A0A7D">
        <w:rPr>
          <w:rFonts w:ascii="Arial" w:hAnsi="Arial" w:cs="Arial"/>
          <w:sz w:val="20"/>
          <w:szCs w:val="20"/>
        </w:rPr>
        <w:t>To enable mycology laboratories</w:t>
      </w:r>
      <w:r w:rsidR="00894BAE" w:rsidRPr="008A0A7D">
        <w:rPr>
          <w:rFonts w:ascii="Arial" w:hAnsi="Arial" w:cs="Arial"/>
          <w:sz w:val="20"/>
          <w:szCs w:val="20"/>
        </w:rPr>
        <w:t xml:space="preserve"> in Togo </w:t>
      </w:r>
      <w:r w:rsidR="0004569C" w:rsidRPr="008A0A7D">
        <w:rPr>
          <w:rFonts w:ascii="Arial" w:hAnsi="Arial" w:cs="Arial"/>
          <w:sz w:val="20"/>
          <w:szCs w:val="20"/>
        </w:rPr>
        <w:t>t</w:t>
      </w:r>
      <w:r w:rsidR="002C3189" w:rsidRPr="008A0A7D">
        <w:rPr>
          <w:rFonts w:ascii="Arial" w:hAnsi="Arial" w:cs="Arial"/>
          <w:sz w:val="20"/>
          <w:szCs w:val="20"/>
        </w:rPr>
        <w:t xml:space="preserve">o provide </w:t>
      </w:r>
      <w:r w:rsidR="0004569C" w:rsidRPr="008A0A7D">
        <w:rPr>
          <w:rFonts w:ascii="Arial" w:hAnsi="Arial" w:cs="Arial"/>
          <w:sz w:val="20"/>
          <w:szCs w:val="20"/>
        </w:rPr>
        <w:t xml:space="preserve">to the </w:t>
      </w:r>
      <w:r w:rsidR="002C3189" w:rsidRPr="008A0A7D">
        <w:rPr>
          <w:rFonts w:ascii="Arial" w:hAnsi="Arial" w:cs="Arial"/>
          <w:sz w:val="20"/>
          <w:szCs w:val="20"/>
        </w:rPr>
        <w:t xml:space="preserve">clinicians </w:t>
      </w:r>
      <w:r w:rsidR="0004569C" w:rsidRPr="008A0A7D">
        <w:rPr>
          <w:rFonts w:ascii="Arial" w:hAnsi="Arial" w:cs="Arial"/>
          <w:sz w:val="20"/>
          <w:szCs w:val="20"/>
        </w:rPr>
        <w:t xml:space="preserve">the </w:t>
      </w:r>
      <w:r w:rsidR="00EA2213" w:rsidRPr="008A0A7D">
        <w:rPr>
          <w:rFonts w:ascii="Arial" w:hAnsi="Arial" w:cs="Arial"/>
          <w:sz w:val="20"/>
          <w:szCs w:val="20"/>
        </w:rPr>
        <w:t>better</w:t>
      </w:r>
      <w:r w:rsidR="00F1231E" w:rsidRPr="008A0A7D">
        <w:rPr>
          <w:rFonts w:ascii="Arial" w:hAnsi="Arial" w:cs="Arial"/>
          <w:sz w:val="20"/>
          <w:szCs w:val="20"/>
        </w:rPr>
        <w:t xml:space="preserve"> </w:t>
      </w:r>
      <w:r w:rsidR="0004569C" w:rsidRPr="008A0A7D">
        <w:rPr>
          <w:rFonts w:ascii="Arial" w:hAnsi="Arial" w:cs="Arial"/>
          <w:sz w:val="20"/>
          <w:szCs w:val="20"/>
        </w:rPr>
        <w:t>diagno</w:t>
      </w:r>
      <w:r w:rsidR="00EA2213" w:rsidRPr="008A0A7D">
        <w:rPr>
          <w:rFonts w:ascii="Arial" w:hAnsi="Arial" w:cs="Arial"/>
          <w:sz w:val="20"/>
          <w:szCs w:val="20"/>
        </w:rPr>
        <w:t>se of the pathogens involved in</w:t>
      </w:r>
      <w:r w:rsidR="002C3189" w:rsidRPr="008A0A7D">
        <w:rPr>
          <w:rFonts w:ascii="Arial" w:hAnsi="Arial" w:cs="Arial"/>
          <w:sz w:val="20"/>
          <w:szCs w:val="20"/>
        </w:rPr>
        <w:t xml:space="preserve"> superficial mycoses</w:t>
      </w:r>
      <w:commentRangeEnd w:id="36"/>
      <w:r w:rsidR="0044541C">
        <w:rPr>
          <w:rStyle w:val="CommentReference"/>
        </w:rPr>
        <w:commentReference w:id="36"/>
      </w:r>
      <w:r w:rsidR="002C3189" w:rsidRPr="008A0A7D">
        <w:rPr>
          <w:rFonts w:ascii="Arial" w:hAnsi="Arial" w:cs="Arial"/>
          <w:sz w:val="20"/>
          <w:szCs w:val="20"/>
        </w:rPr>
        <w:t xml:space="preserve">, a plan needs to be put in place to upgrade the technical facilities of existing laboratories in order to improve mycological identifications. This could be done in the following </w:t>
      </w:r>
      <w:r w:rsidR="00C433B3" w:rsidRPr="008A0A7D">
        <w:rPr>
          <w:rFonts w:ascii="Arial" w:hAnsi="Arial" w:cs="Arial"/>
          <w:sz w:val="20"/>
          <w:szCs w:val="20"/>
        </w:rPr>
        <w:t>points</w:t>
      </w:r>
      <w:r w:rsidR="002C3189" w:rsidRPr="008A0A7D">
        <w:rPr>
          <w:rFonts w:ascii="Arial" w:hAnsi="Arial" w:cs="Arial"/>
          <w:sz w:val="20"/>
          <w:szCs w:val="20"/>
        </w:rPr>
        <w:t xml:space="preserve">: i) In the short term, continue the mycological confirmation of strains </w:t>
      </w:r>
      <w:r w:rsidR="00CB0F33" w:rsidRPr="008A0A7D">
        <w:rPr>
          <w:rFonts w:ascii="Arial" w:hAnsi="Arial" w:cs="Arial"/>
          <w:sz w:val="20"/>
          <w:szCs w:val="20"/>
        </w:rPr>
        <w:t>isola</w:t>
      </w:r>
      <w:r w:rsidR="009A58FD" w:rsidRPr="008A0A7D">
        <w:rPr>
          <w:rFonts w:ascii="Arial" w:hAnsi="Arial" w:cs="Arial"/>
          <w:sz w:val="20"/>
          <w:szCs w:val="20"/>
        </w:rPr>
        <w:t>t</w:t>
      </w:r>
      <w:r w:rsidR="00CB0F33" w:rsidRPr="008A0A7D">
        <w:rPr>
          <w:rFonts w:ascii="Arial" w:hAnsi="Arial" w:cs="Arial"/>
          <w:sz w:val="20"/>
          <w:szCs w:val="20"/>
        </w:rPr>
        <w:t xml:space="preserve">ed </w:t>
      </w:r>
      <w:r w:rsidR="009A58FD" w:rsidRPr="008A0A7D">
        <w:rPr>
          <w:rFonts w:ascii="Arial" w:hAnsi="Arial" w:cs="Arial"/>
          <w:sz w:val="20"/>
          <w:szCs w:val="20"/>
        </w:rPr>
        <w:t>by</w:t>
      </w:r>
      <w:r w:rsidR="002C3189" w:rsidRPr="008A0A7D">
        <w:rPr>
          <w:rFonts w:ascii="Arial" w:hAnsi="Arial" w:cs="Arial"/>
          <w:sz w:val="20"/>
          <w:szCs w:val="20"/>
        </w:rPr>
        <w:t xml:space="preserve"> MR</w:t>
      </w:r>
      <w:r w:rsidR="009A58FD" w:rsidRPr="008A0A7D">
        <w:rPr>
          <w:rFonts w:ascii="Arial" w:hAnsi="Arial" w:cs="Arial"/>
          <w:sz w:val="20"/>
          <w:szCs w:val="20"/>
        </w:rPr>
        <w:t>,</w:t>
      </w:r>
      <w:r w:rsidR="002C3189" w:rsidRPr="008A0A7D">
        <w:rPr>
          <w:rFonts w:ascii="Arial" w:hAnsi="Arial" w:cs="Arial"/>
          <w:sz w:val="20"/>
          <w:szCs w:val="20"/>
        </w:rPr>
        <w:t xml:space="preserve"> </w:t>
      </w:r>
      <w:r w:rsidR="009A58FD" w:rsidRPr="008A0A7D">
        <w:rPr>
          <w:rFonts w:ascii="Arial" w:hAnsi="Arial" w:cs="Arial"/>
          <w:sz w:val="20"/>
          <w:szCs w:val="20"/>
        </w:rPr>
        <w:t>with</w:t>
      </w:r>
      <w:r w:rsidR="002C3189" w:rsidRPr="008A0A7D">
        <w:rPr>
          <w:rFonts w:ascii="Arial" w:hAnsi="Arial" w:cs="Arial"/>
          <w:sz w:val="20"/>
          <w:szCs w:val="20"/>
        </w:rPr>
        <w:t xml:space="preserve"> SM through the preparation of targets sent by post to Paris for identification, thanks to collaboration with the Parasitology and Mycology laboratory at the Pitié Salpêtrière Hospital in Paris (France); ii) In the medium term, to increase the number of diagnostic facilities offering mycological services, and to continuously build the capacity of the technical staff of these laboratories through the ongoing transfer of skills via this collaborative North-South approach; iii) In the long term, to acquire a mass spectrometer in order to optimize on-the-spot identification of mycoses and improve the care of patients suffering from mycosis</w:t>
      </w:r>
      <w:r w:rsidR="00EC5B2F" w:rsidRPr="008A0A7D">
        <w:rPr>
          <w:rFonts w:ascii="Arial" w:hAnsi="Arial" w:cs="Arial"/>
          <w:sz w:val="20"/>
          <w:szCs w:val="20"/>
        </w:rPr>
        <w:t xml:space="preserve"> in Togo.</w:t>
      </w:r>
    </w:p>
    <w:p w14:paraId="2FCB0E7A" w14:textId="63CA664D" w:rsidR="00AD47C8" w:rsidRPr="008A0A7D" w:rsidRDefault="008A0A7D" w:rsidP="008A0A7D">
      <w:pPr>
        <w:pStyle w:val="Heading1"/>
        <w:spacing w:before="240" w:line="480" w:lineRule="auto"/>
        <w:jc w:val="left"/>
        <w:rPr>
          <w:sz w:val="22"/>
          <w:szCs w:val="22"/>
        </w:rPr>
      </w:pPr>
      <w:bookmarkStart w:id="38" w:name="_Hlk193383867"/>
      <w:bookmarkEnd w:id="35"/>
      <w:r w:rsidRPr="008A0A7D">
        <w:rPr>
          <w:sz w:val="22"/>
          <w:szCs w:val="22"/>
        </w:rPr>
        <w:t>DISCLAIMER (ARTIFICIAL INTELLIGENCE)</w:t>
      </w:r>
    </w:p>
    <w:p w14:paraId="3A2C9EE4" w14:textId="5EA5E01E" w:rsidR="00AD47C8" w:rsidRPr="008A0A7D" w:rsidRDefault="00AD47C8" w:rsidP="00451967">
      <w:pPr>
        <w:spacing w:line="480" w:lineRule="auto"/>
        <w:jc w:val="both"/>
        <w:rPr>
          <w:rFonts w:ascii="Arial" w:hAnsi="Arial" w:cs="Arial"/>
          <w:sz w:val="20"/>
          <w:szCs w:val="20"/>
        </w:rPr>
      </w:pPr>
      <w:r w:rsidRPr="008A0A7D">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bookmarkEnd w:id="38"/>
    <w:p w14:paraId="755FF727" w14:textId="012853F2" w:rsidR="00EC1EE6" w:rsidRDefault="00EF28E1" w:rsidP="00E64617">
      <w:pPr>
        <w:pStyle w:val="Heading1"/>
        <w:spacing w:before="240" w:line="480" w:lineRule="auto"/>
        <w:jc w:val="both"/>
        <w:rPr>
          <w:sz w:val="22"/>
          <w:szCs w:val="22"/>
        </w:rPr>
      </w:pPr>
      <w:r w:rsidRPr="00E64617">
        <w:rPr>
          <w:sz w:val="22"/>
          <w:szCs w:val="22"/>
        </w:rPr>
        <w:t>CONSENT</w:t>
      </w:r>
    </w:p>
    <w:p w14:paraId="7D0A998E" w14:textId="659B77D1" w:rsidR="006D34B4" w:rsidRPr="006D34B4" w:rsidRDefault="006D34B4" w:rsidP="006D34B4">
      <w:pPr>
        <w:spacing w:line="480" w:lineRule="auto"/>
        <w:rPr>
          <w:rFonts w:ascii="Arial" w:hAnsi="Arial" w:cs="Arial"/>
          <w:sz w:val="20"/>
          <w:szCs w:val="20"/>
          <w:lang w:val="en-ZA" w:eastAsia="en-ZA"/>
        </w:rPr>
      </w:pPr>
      <w:r w:rsidRPr="006D34B4">
        <w:rPr>
          <w:rFonts w:ascii="Arial" w:hAnsi="Arial" w:cs="Arial"/>
          <w:sz w:val="20"/>
          <w:szCs w:val="20"/>
          <w:lang w:eastAsia="en-ZA"/>
        </w:rPr>
        <w:t>All authors declare that ‘written informed consent was obtained from the patient (or other approved parties)    for publication    of    this    study    and accompanying  images.  A  copy  of  the  written consent  is  available  for  review  by  the  Editorial office/Chief  Editor/Editorial  Board  members  of this journal.</w:t>
      </w:r>
    </w:p>
    <w:p w14:paraId="539B6BDA" w14:textId="5450BE75" w:rsidR="00EC1EE6" w:rsidRPr="00EF28E1" w:rsidRDefault="00EF28E1" w:rsidP="00EC1EE6">
      <w:pPr>
        <w:pStyle w:val="Heading1"/>
        <w:spacing w:before="240" w:line="480" w:lineRule="auto"/>
        <w:jc w:val="both"/>
        <w:rPr>
          <w:sz w:val="22"/>
          <w:szCs w:val="22"/>
        </w:rPr>
      </w:pPr>
      <w:r w:rsidRPr="00EF28E1">
        <w:rPr>
          <w:sz w:val="22"/>
          <w:szCs w:val="22"/>
        </w:rPr>
        <w:t>ETHICAL APPROVAL</w:t>
      </w:r>
    </w:p>
    <w:p w14:paraId="0C855A4C" w14:textId="69BC6C65" w:rsidR="00EC1EE6" w:rsidRPr="00EF28E1" w:rsidRDefault="00EC1EE6" w:rsidP="00EC1EE6">
      <w:pPr>
        <w:spacing w:line="480" w:lineRule="auto"/>
        <w:jc w:val="both"/>
        <w:rPr>
          <w:rFonts w:ascii="Arial" w:hAnsi="Arial" w:cs="Arial"/>
          <w:b/>
          <w:bCs/>
          <w:sz w:val="20"/>
          <w:szCs w:val="20"/>
        </w:rPr>
      </w:pPr>
      <w:r w:rsidRPr="00EF28E1">
        <w:rPr>
          <w:rFonts w:ascii="Arial" w:hAnsi="Arial" w:cs="Arial"/>
          <w:sz w:val="20"/>
          <w:szCs w:val="20"/>
        </w:rPr>
        <w:t xml:space="preserve">This study obtained ethical approval from the Bioethics Committee for Health Research of the Ministry of Health of Togo (CBRS) (N° 017/2022/ CBRS dated May 24, 2022) before its implementation. In </w:t>
      </w:r>
      <w:r w:rsidRPr="00EF28E1">
        <w:rPr>
          <w:rFonts w:ascii="Arial" w:hAnsi="Arial" w:cs="Arial"/>
          <w:sz w:val="20"/>
          <w:szCs w:val="20"/>
        </w:rPr>
        <w:lastRenderedPageBreak/>
        <w:t>addition, written informed consent was obtained from each enrolled adult and the parent or guardian of each child participating in the study prior to their inclusion. The data collected is stored in a secure, password-protected environment and evaluated only by the survey team</w:t>
      </w:r>
      <w:r w:rsidR="00440413">
        <w:rPr>
          <w:rFonts w:ascii="Arial" w:hAnsi="Arial" w:cs="Arial"/>
          <w:sz w:val="20"/>
          <w:szCs w:val="20"/>
        </w:rPr>
        <w:t>.</w:t>
      </w:r>
    </w:p>
    <w:p w14:paraId="553DAAC4" w14:textId="7FBD9EC0" w:rsidR="00EC5B2F" w:rsidRPr="00C770DD" w:rsidRDefault="00EF28E1" w:rsidP="00451967">
      <w:pPr>
        <w:pStyle w:val="Heading1"/>
        <w:spacing w:before="240" w:line="480" w:lineRule="auto"/>
        <w:jc w:val="both"/>
        <w:rPr>
          <w:sz w:val="22"/>
          <w:szCs w:val="22"/>
          <w:lang w:val="fr-FR"/>
        </w:rPr>
      </w:pPr>
      <w:r w:rsidRPr="00C770DD">
        <w:rPr>
          <w:sz w:val="22"/>
          <w:szCs w:val="22"/>
          <w:lang w:val="fr-FR"/>
        </w:rPr>
        <w:t>REFERENCES</w:t>
      </w:r>
    </w:p>
    <w:bookmarkStart w:id="39" w:name="_Hlk193406804"/>
    <w:p w14:paraId="7C31D974" w14:textId="600AC26A" w:rsidR="00422B90" w:rsidRPr="00C770DD" w:rsidRDefault="00846342" w:rsidP="00422B90">
      <w:pPr>
        <w:widowControl w:val="0"/>
        <w:autoSpaceDE w:val="0"/>
        <w:autoSpaceDN w:val="0"/>
        <w:adjustRightInd w:val="0"/>
        <w:spacing w:before="240" w:line="480" w:lineRule="auto"/>
        <w:ind w:left="480" w:hanging="480"/>
        <w:rPr>
          <w:rFonts w:ascii="Arial" w:hAnsi="Arial" w:cs="Arial"/>
          <w:kern w:val="0"/>
          <w:sz w:val="20"/>
          <w:lang w:val="fr-FR"/>
        </w:rPr>
      </w:pPr>
      <w:r w:rsidRPr="00070FED">
        <w:rPr>
          <w:rFonts w:ascii="Arial" w:hAnsi="Arial" w:cs="Arial"/>
          <w:b/>
          <w:bCs/>
          <w:sz w:val="20"/>
          <w:szCs w:val="20"/>
          <w:lang w:val="fr-FR"/>
        </w:rPr>
        <w:fldChar w:fldCharType="begin" w:fldLock="1"/>
      </w:r>
      <w:r w:rsidRPr="00C770DD">
        <w:rPr>
          <w:rFonts w:ascii="Arial" w:hAnsi="Arial" w:cs="Arial"/>
          <w:b/>
          <w:bCs/>
          <w:sz w:val="20"/>
          <w:szCs w:val="20"/>
          <w:lang w:val="fr-FR"/>
        </w:rPr>
        <w:instrText xml:space="preserve">ADDIN Mendeley Bibliography CSL_BIBLIOGRAPHY </w:instrText>
      </w:r>
      <w:r w:rsidRPr="00070FED">
        <w:rPr>
          <w:rFonts w:ascii="Arial" w:hAnsi="Arial" w:cs="Arial"/>
          <w:b/>
          <w:bCs/>
          <w:sz w:val="20"/>
          <w:szCs w:val="20"/>
          <w:lang w:val="fr-FR"/>
        </w:rPr>
        <w:fldChar w:fldCharType="separate"/>
      </w:r>
      <w:r w:rsidR="00422B90" w:rsidRPr="00C770DD">
        <w:rPr>
          <w:rFonts w:ascii="Arial" w:hAnsi="Arial" w:cs="Arial"/>
          <w:kern w:val="0"/>
          <w:sz w:val="20"/>
          <w:lang w:val="fr-FR"/>
        </w:rPr>
        <w:t>Bastides, F., 2010. trichosporonoses : les nouvelles mycoses émergentes Zygomycosis , fusariosis , scedosporiosis , trichosporonosis : The new. Société réanimation Lang. française 319–326. https://doi.org/10.1016/j.reaurg.2010.03.019</w:t>
      </w:r>
    </w:p>
    <w:p w14:paraId="1F703AA4"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Becker, P., Normand, A.C., Vanantwerpen, G., Vanrobaeys, M., Haesendonck, R., Vercammen, F., Stubbe, D., Piarroux, R., Hendrickx, M., 2019. </w:t>
      </w:r>
      <w:r w:rsidRPr="00422B90">
        <w:rPr>
          <w:rFonts w:ascii="Arial" w:hAnsi="Arial" w:cs="Arial"/>
          <w:kern w:val="0"/>
          <w:sz w:val="20"/>
        </w:rPr>
        <w:t>Identification of fungal isolates by MALDI-TOF mass spectrometry in veterinary practice: validation of a web application. J. Vet. Diagnostic Investig. 31, 471–474. https://doi.org/10.1177/1040638719835577</w:t>
      </w:r>
    </w:p>
    <w:p w14:paraId="2F867707"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Birhanu, A.G., 2023. Mass spectrometry-based proteomics as an emerging tool in clinical laboratories. </w:t>
      </w:r>
      <w:r w:rsidRPr="00C770DD">
        <w:rPr>
          <w:rFonts w:ascii="Arial" w:hAnsi="Arial" w:cs="Arial"/>
          <w:kern w:val="0"/>
          <w:sz w:val="20"/>
          <w:lang w:val="fr-FR"/>
        </w:rPr>
        <w:t>Clin. Proteomics 20, 1–20. https://doi.org/10.1186/s12014-023-09424-x</w:t>
      </w:r>
    </w:p>
    <w:p w14:paraId="73641A41"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lang w:val="fr-FR"/>
        </w:rPr>
      </w:pPr>
      <w:r w:rsidRPr="00B2288B">
        <w:rPr>
          <w:rFonts w:ascii="Arial" w:hAnsi="Arial" w:cs="Arial"/>
          <w:kern w:val="0"/>
          <w:sz w:val="20"/>
          <w:lang w:val="fr-FR"/>
        </w:rPr>
        <w:t>Blaize, M., Normand, A.-C., Fekkar, A., Piarroux, R., 2021. Identification of molds in the routine hospital laboratory. Rev. Francoph. des Lab. 2021, 58–65. https://doi.org/10.1016/s1773-035x(21)00039-3</w:t>
      </w:r>
    </w:p>
    <w:p w14:paraId="5B874321" w14:textId="5B9EBA76"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Calderón-Celis, F., Encinar, J.R., Sanz-Medel, A., 2018. Standardization approaches in absolute quantitative proteomics with mass spectrometry. Mass Spectrom. Rev. 37, 715–737. https://doi.org/10.1002/mas.21542</w:t>
      </w:r>
    </w:p>
    <w:p w14:paraId="6F2739F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Cassagne, C., Cella, A.L., Suchon, P., Normand, A.C., Ranque, S., Piarroux, R., 2013. </w:t>
      </w:r>
      <w:r w:rsidRPr="00422B90">
        <w:rPr>
          <w:rFonts w:ascii="Arial" w:hAnsi="Arial" w:cs="Arial"/>
          <w:kern w:val="0"/>
          <w:sz w:val="20"/>
        </w:rPr>
        <w:t>Evaluation of four pretreatment procedures for MALDI-TOF MS yeast identification in the routine clinical laboratory. Med. Mycol. 51, 371–377. https://doi.org/10.3109/13693786.2012.720720</w:t>
      </w:r>
    </w:p>
    <w:p w14:paraId="7E261DE9"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rPr>
      </w:pPr>
      <w:r w:rsidRPr="00B2288B">
        <w:rPr>
          <w:rFonts w:ascii="Arial" w:hAnsi="Arial" w:cs="Arial"/>
          <w:kern w:val="0"/>
          <w:sz w:val="20"/>
        </w:rPr>
        <w:t>Desoubeaux, G., Poulain, D., Courcol, R., Chandenier, J., Sendid, B., 2010a. MALDI-TOF mass spectrometry, a new tool that medical mycology cannot bypass. Preliminary exploration of an application concerning the identification of yeasts isolated in a French University Hospital 263–267. https://doi.org/10.1016/j.mycmed.2010.10.003</w:t>
      </w:r>
    </w:p>
    <w:p w14:paraId="35023844" w14:textId="7A287BE6"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lastRenderedPageBreak/>
        <w:t>Efoé S</w:t>
      </w:r>
      <w:r w:rsidR="006B0C8F" w:rsidRPr="00C770DD">
        <w:rPr>
          <w:rFonts w:ascii="Arial" w:hAnsi="Arial" w:cs="Arial"/>
          <w:kern w:val="0"/>
          <w:sz w:val="20"/>
          <w:lang w:val="fr-FR"/>
        </w:rPr>
        <w:t>ossou</w:t>
      </w:r>
      <w:r w:rsidRPr="00C770DD">
        <w:rPr>
          <w:rFonts w:ascii="Arial" w:hAnsi="Arial" w:cs="Arial"/>
          <w:kern w:val="0"/>
          <w:sz w:val="20"/>
          <w:lang w:val="fr-FR"/>
        </w:rPr>
        <w:t>, Ameyo D</w:t>
      </w:r>
      <w:r w:rsidR="006B0C8F" w:rsidRPr="00C770DD">
        <w:rPr>
          <w:rFonts w:ascii="Arial" w:hAnsi="Arial" w:cs="Arial"/>
          <w:kern w:val="0"/>
          <w:sz w:val="20"/>
          <w:lang w:val="fr-FR"/>
        </w:rPr>
        <w:t>orkenoo</w:t>
      </w:r>
      <w:r w:rsidRPr="00C770DD">
        <w:rPr>
          <w:rFonts w:ascii="Arial" w:hAnsi="Arial" w:cs="Arial"/>
          <w:kern w:val="0"/>
          <w:sz w:val="20"/>
          <w:lang w:val="fr-FR"/>
        </w:rPr>
        <w:t>, A.K.A.-T., 2024. Profil des espèces fongiques isolées lors de consultations dermatologiques à Lomé (Togo). MÉDECINE Trop. SANTÉ Int. 1–13. https://doi.org/DOI : 10.48327/mtsi.v4i3.2024.545</w:t>
      </w:r>
    </w:p>
    <w:p w14:paraId="313568B0"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Kiki-Barro, P.C.M., Konaté, A., Angora, E.K., Kassi, F.K., Bosson-Vanga, H., Bedia-Tanoh, A. V., Djohan, V., Yavo, W., Menan, E.I.H., 2017. </w:t>
      </w:r>
      <w:r w:rsidRPr="00422B90">
        <w:rPr>
          <w:rFonts w:ascii="Arial" w:hAnsi="Arial" w:cs="Arial"/>
          <w:kern w:val="0"/>
          <w:sz w:val="20"/>
        </w:rPr>
        <w:t>Fungal aetiologies and contributing factors of interdigital tinea pedis among policemen in Abidjan (Ivory Coast). J. Mycol. Med. 27, 561–566. https://doi.org/10.1016/j.mycmed.2017.07.011</w:t>
      </w:r>
    </w:p>
    <w:p w14:paraId="68FDF590"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Lacroix, C., Gicquel, A., Sendid, B., Meyer, J., Accoceberry, I., François, N., Morio, F., Desoubeaux, G., Chandenier, J., Kauffmann-Lacroix, C., Hennequin, C., Guitard, J., Nassif, X., Bougnoux, M.E., 2014. Evaluation of two matrix-assisted laser desorption ionization-time of flight mass spectrometry (MALDI-TOF MS) systems for the identification of Candida species. Clin. Microbiol. Infect. 20, 153–158. https://doi.org/10.1111/1469-0691.12210</w:t>
      </w:r>
    </w:p>
    <w:p w14:paraId="71C2760B"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Lipner, S.R., Scher, R.K., 2019. Onychomycosis: Treatment and prevention of recurrence. J. Am. Acad. Dermatol. 80, 853–867. https://doi.org/10.1016/j.jaad.2018.05.1260</w:t>
      </w:r>
    </w:p>
    <w:p w14:paraId="4C3770F1"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Lombardi, G., Lo Cascio, G., Andreoni, S., Blasi, E., Conte, M., Farina, C., Fazii, P., Sanna, S., Trovato, L., 2020. Superficial and subcutaneous mycoses. Microbiol. Medica 35. https://doi.org/10.4081/mm.2020.9156</w:t>
      </w:r>
    </w:p>
    <w:p w14:paraId="05F4AB97"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sv-SE"/>
        </w:rPr>
        <w:t xml:space="preserve">Nonnemann, B., Lyhs, U., Svennesen, L., Kristensen, K.A., Klaas, I.C., Pedersen, K., 2019. </w:t>
      </w:r>
      <w:r w:rsidRPr="00422B90">
        <w:rPr>
          <w:rFonts w:ascii="Arial" w:hAnsi="Arial" w:cs="Arial"/>
          <w:kern w:val="0"/>
          <w:sz w:val="20"/>
        </w:rPr>
        <w:t>Bovine mastitis bacteria resolved by MALDI-TOF mass spectrometry. J. Dairy Sci. 1–10. https://doi.org/10.3168/jds.2018-15424</w:t>
      </w:r>
    </w:p>
    <w:p w14:paraId="166771C3"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Normand AC, Blaize M, Imbert S, Packeu A, Becker P, Fekkar A, Stubbe D, P.R., 2021. Identification of Molds with Matrix-Assisted Laser Desorption Ionization-Time of Flight Mass Spectrometry: Performance of the Newly Developed MSI-2 Application in Comparison with the Bruker Filamentous Fungi Database and MSI-1. J Clin Microbiol. 20;59, e0129921. https://doi.org/10.1128/JCM.01299-21.</w:t>
      </w:r>
    </w:p>
    <w:p w14:paraId="1983F845"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 xml:space="preserve">Osa, M., Belo, M.C., Dela Merced, Z., Villanueva, A.M.G., Mauhay, J., Celis, A., Catli, M., Suzuki, S., Ukawa, T., Tamaki, S., Dhoubhadel, B.G., Ariyoshi, K., Telan, E.F.O., Umipig, D.V., Parry, C.M., </w:t>
      </w:r>
      <w:r w:rsidRPr="00422B90">
        <w:rPr>
          <w:rFonts w:ascii="Arial" w:hAnsi="Arial" w:cs="Arial"/>
          <w:kern w:val="0"/>
          <w:sz w:val="20"/>
        </w:rPr>
        <w:lastRenderedPageBreak/>
        <w:t>Saito, N., Smith, C., 2021. Performance of maldi–tof mass spectrometry in the philippines. Trop. Med. Infect. Dis. 6, 1–9. https://doi.org/10.3390/tropicalmed6030112</w:t>
      </w:r>
    </w:p>
    <w:p w14:paraId="76D82BE8"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Pham, D., Sivalingam, V., Tang, H.M., Montgomery, J.M., Chen, S.C., Halliday, C.L., 2024. Molecular Diagnostics for Invasive Fungal Diseases : Current and Future Approaches. </w:t>
      </w:r>
      <w:r w:rsidRPr="00C770DD">
        <w:rPr>
          <w:rFonts w:ascii="Arial" w:hAnsi="Arial" w:cs="Arial"/>
          <w:kern w:val="0"/>
          <w:sz w:val="20"/>
          <w:lang w:val="fr-FR"/>
        </w:rPr>
        <w:t>J. Fungi 1–31. https://doi.org/https://doi.org/10.3390/jof10070447</w:t>
      </w:r>
    </w:p>
    <w:p w14:paraId="5E195000"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 xml:space="preserve">Sendid, B., Ducoroy, P., François, N., Lucchi, G., Spinali, S., Vagner, O., Damiens, S., Bonnin, A., Poulain, D., Dalle, F., 2013. </w:t>
      </w:r>
      <w:r w:rsidRPr="00422B90">
        <w:rPr>
          <w:rFonts w:ascii="Arial" w:hAnsi="Arial" w:cs="Arial"/>
          <w:kern w:val="0"/>
          <w:sz w:val="20"/>
        </w:rPr>
        <w:t xml:space="preserve">Evaluation of MALDI-TOF mass spectrometry for the identification of medically-important yeasts in the clinical laboratories of Dijon and Lille hospitals. </w:t>
      </w:r>
      <w:r w:rsidRPr="00C770DD">
        <w:rPr>
          <w:rFonts w:ascii="Arial" w:hAnsi="Arial" w:cs="Arial"/>
          <w:kern w:val="0"/>
          <w:sz w:val="20"/>
          <w:lang w:val="fr-FR"/>
        </w:rPr>
        <w:t>Med. Mycol. 51, 25–32. https://doi.org/10.3109/13693786.2012.693631</w:t>
      </w:r>
    </w:p>
    <w:p w14:paraId="7E721AD3"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lang w:val="fr-FR"/>
        </w:rPr>
      </w:pPr>
      <w:r w:rsidRPr="00B2288B">
        <w:rPr>
          <w:rFonts w:ascii="Arial" w:hAnsi="Arial" w:cs="Arial"/>
          <w:kern w:val="0"/>
          <w:sz w:val="20"/>
          <w:lang w:val="fr-FR"/>
        </w:rPr>
        <w:t>Simon, É., 2021. Development of a sequencing technique for fungal identification To cite this version: HAL Id: dumas-03213063 University of Rouen Normandy UFR Health – Pharmacy Department, HAL Id dumas-03213063.</w:t>
      </w:r>
    </w:p>
    <w:p w14:paraId="1C398989" w14:textId="6F17C875"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sv-SE"/>
        </w:rPr>
        <w:t xml:space="preserve">Singhal, N., Kumar, M., Kanaujia, P.K., Virdi, J.S., 2015. </w:t>
      </w:r>
      <w:r w:rsidRPr="00422B90">
        <w:rPr>
          <w:rFonts w:ascii="Arial" w:hAnsi="Arial" w:cs="Arial"/>
          <w:kern w:val="0"/>
          <w:sz w:val="20"/>
        </w:rPr>
        <w:t>MALDI-TOF mass spectrometry: An emerging technology for microbial identification and diagnosis. Front. Microbiol. 6, 1–16. https://doi.org/10.3389/fmicb.2015.00791</w:t>
      </w:r>
    </w:p>
    <w:p w14:paraId="665E0231"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Stein Markus, Vanessa Tran, A. Nichol, Philippe Lagacé-Wiens, Peter Pieroni, Heather J. Adam, Christine Turenne, Andrew J. Walkty, Anne-Cécile Normand, Marijike Hendrickx, R.P. and A.K., 2018. Evaluation of Three MALDI-TOF Mass Spectrometry Librairies for Identification of Filamentous Fungi in Three Clinical Microbiology Laboratories in Manitoba, Canada. </w:t>
      </w:r>
      <w:r w:rsidRPr="00C770DD">
        <w:rPr>
          <w:rFonts w:ascii="Arial" w:hAnsi="Arial" w:cs="Arial"/>
          <w:kern w:val="0"/>
          <w:sz w:val="20"/>
          <w:lang w:val="fr-FR"/>
        </w:rPr>
        <w:t>Mycoses 61, 1–26. https://doi.org/10.1111/myc.12800</w:t>
      </w:r>
    </w:p>
    <w:p w14:paraId="3F86FF32"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 xml:space="preserve">Stéphane Ranque, Anne-Cécile Normand, Carole Cassagne, Jean-Benjamin Murat, Nathalie Bourgeois, Frédéric Dalle, Martine Gari-Toussaint, Patrick Fourquet, Marijke Hendrickx, R.P., 2014. </w:t>
      </w:r>
      <w:r w:rsidRPr="00422B90">
        <w:rPr>
          <w:rFonts w:ascii="Arial" w:hAnsi="Arial" w:cs="Arial"/>
          <w:kern w:val="0"/>
          <w:sz w:val="20"/>
        </w:rPr>
        <w:t xml:space="preserve">Identification of filamentous fungi by MALDI-TOF mass spectrometry in clinical laboratories. </w:t>
      </w:r>
      <w:r w:rsidRPr="00C770DD">
        <w:rPr>
          <w:rFonts w:ascii="Arial" w:hAnsi="Arial" w:cs="Arial"/>
          <w:kern w:val="0"/>
          <w:sz w:val="20"/>
          <w:lang w:val="fr-FR"/>
        </w:rPr>
        <w:t>Mycoses 57, 135–140. https://doi.org/10.1111/myc.12115</w:t>
      </w:r>
    </w:p>
    <w:p w14:paraId="38F9027F"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Stéphane Ranque, Normand, A.C., Cassagne, C., Murat, J.B., Al., B. et, 2014. </w:t>
      </w:r>
      <w:r w:rsidRPr="00422B90">
        <w:rPr>
          <w:rFonts w:ascii="Arial" w:hAnsi="Arial" w:cs="Arial"/>
          <w:kern w:val="0"/>
          <w:sz w:val="20"/>
        </w:rPr>
        <w:t>MALDI-TOF mass spectrometry identification of filamentous fungi in the clinical laboratory. Mycoses 57, 135–140. https://doi.org/10.1111/myc.12115</w:t>
      </w:r>
    </w:p>
    <w:p w14:paraId="43E19A1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lastRenderedPageBreak/>
        <w:t>Topić Popović, N., Kazazić, S.P., Bojanić, K., Strunjak-Perović, I., Čož-Rakovac, R., 2023. Sample preparation and culture condition effects on MALDI-TOF MS identification of bacteria: A review. Mass Spectrom. Rev. 42, 1589–1603. https://doi.org/10.1002/mas.21739</w:t>
      </w:r>
    </w:p>
    <w:p w14:paraId="40E1BAB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sz w:val="20"/>
        </w:rPr>
      </w:pPr>
      <w:r w:rsidRPr="00422B90">
        <w:rPr>
          <w:rFonts w:ascii="Arial" w:hAnsi="Arial" w:cs="Arial"/>
          <w:kern w:val="0"/>
          <w:sz w:val="20"/>
        </w:rPr>
        <w:t>Tsuchida S, Umemura H, N.T., 2023. Current Status of Matrix-Assisted Laser Desorption/Ionization-Time-of-Flight Mass Spectrometry (MALDI-TOF MS) in Clinical Diagnostic Microbiology. Molecules 17, 4775. https://doi.org/10.3390/molecules25204775.</w:t>
      </w:r>
    </w:p>
    <w:p w14:paraId="3172C8D2" w14:textId="704F73D5" w:rsidR="00B65807" w:rsidRPr="006A6222" w:rsidRDefault="00846342" w:rsidP="006B0C8F">
      <w:pPr>
        <w:widowControl w:val="0"/>
        <w:autoSpaceDE w:val="0"/>
        <w:autoSpaceDN w:val="0"/>
        <w:adjustRightInd w:val="0"/>
        <w:spacing w:before="240" w:line="480" w:lineRule="auto"/>
        <w:jc w:val="both"/>
        <w:rPr>
          <w:rFonts w:ascii="Arial" w:hAnsi="Arial" w:cs="Arial"/>
          <w:b/>
          <w:bCs/>
          <w:sz w:val="24"/>
          <w:szCs w:val="24"/>
        </w:rPr>
      </w:pPr>
      <w:r w:rsidRPr="00070FED">
        <w:rPr>
          <w:rFonts w:ascii="Arial" w:hAnsi="Arial" w:cs="Arial"/>
          <w:b/>
          <w:bCs/>
          <w:sz w:val="20"/>
          <w:szCs w:val="20"/>
          <w:lang w:val="fr-FR"/>
        </w:rPr>
        <w:fldChar w:fldCharType="end"/>
      </w:r>
      <w:bookmarkEnd w:id="39"/>
    </w:p>
    <w:sectPr w:rsidR="00B65807" w:rsidRPr="006A6222" w:rsidSect="00D25F96">
      <w:headerReference w:type="even" r:id="rId22"/>
      <w:headerReference w:type="default" r:id="rId23"/>
      <w:footerReference w:type="even" r:id="rId24"/>
      <w:footerReference w:type="default" r:id="rId25"/>
      <w:headerReference w:type="first" r:id="rId26"/>
      <w:footerReference w:type="first" r:id="rId27"/>
      <w:footnotePr>
        <w:numFmt w:val="lowerLetter"/>
      </w:footnotePr>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user" w:date="2025-05-08T11:20:00Z" w:initials="u">
    <w:p w14:paraId="1E2DBD00" w14:textId="6DACF373" w:rsidR="00B44316" w:rsidRDefault="00B44316">
      <w:pPr>
        <w:pStyle w:val="CommentText"/>
      </w:pPr>
      <w:r>
        <w:rPr>
          <w:rStyle w:val="CommentReference"/>
        </w:rPr>
        <w:annotationRef/>
      </w:r>
      <w:r>
        <w:t xml:space="preserve">Italics </w:t>
      </w:r>
    </w:p>
  </w:comment>
  <w:comment w:id="7" w:author="user" w:date="2025-05-08T11:20:00Z" w:initials="u">
    <w:p w14:paraId="5D438DE3" w14:textId="7570FF61" w:rsidR="00B44316" w:rsidRDefault="00B44316">
      <w:pPr>
        <w:pStyle w:val="CommentText"/>
      </w:pPr>
      <w:r>
        <w:rPr>
          <w:rStyle w:val="CommentReference"/>
        </w:rPr>
        <w:annotationRef/>
      </w:r>
      <w:r>
        <w:t>italics</w:t>
      </w:r>
    </w:p>
  </w:comment>
  <w:comment w:id="8" w:author="user" w:date="2025-05-08T11:24:00Z" w:initials="u">
    <w:p w14:paraId="2601C44E" w14:textId="1F07EE56" w:rsidR="00B44316" w:rsidRDefault="00B44316">
      <w:pPr>
        <w:pStyle w:val="CommentText"/>
      </w:pPr>
      <w:r>
        <w:rPr>
          <w:rStyle w:val="CommentReference"/>
        </w:rPr>
        <w:annotationRef/>
      </w:r>
      <w:r>
        <w:t>italics</w:t>
      </w:r>
    </w:p>
  </w:comment>
  <w:comment w:id="11" w:author="user" w:date="2025-05-08T11:37:00Z" w:initials="u">
    <w:p w14:paraId="7789253A" w14:textId="49F813CC" w:rsidR="008F36BF" w:rsidRDefault="008F36BF">
      <w:pPr>
        <w:pStyle w:val="CommentText"/>
      </w:pPr>
      <w:r>
        <w:rPr>
          <w:rStyle w:val="CommentReference"/>
        </w:rPr>
        <w:annotationRef/>
      </w:r>
      <w:r>
        <w:t>italics</w:t>
      </w:r>
    </w:p>
  </w:comment>
  <w:comment w:id="12" w:author="user" w:date="2025-05-08T11:38:00Z" w:initials="u">
    <w:p w14:paraId="5AC2558C" w14:textId="5DAC2128" w:rsidR="008F36BF" w:rsidRDefault="008F36BF">
      <w:pPr>
        <w:pStyle w:val="CommentText"/>
      </w:pPr>
      <w:r>
        <w:rPr>
          <w:rStyle w:val="CommentReference"/>
        </w:rPr>
        <w:annotationRef/>
      </w:r>
      <w:r>
        <w:t>italics</w:t>
      </w:r>
    </w:p>
  </w:comment>
  <w:comment w:id="13" w:author="user" w:date="2025-05-08T11:38:00Z" w:initials="u">
    <w:p w14:paraId="3B252E2C" w14:textId="54976197" w:rsidR="008F36BF" w:rsidRDefault="008F36BF">
      <w:pPr>
        <w:pStyle w:val="CommentText"/>
      </w:pPr>
      <w:r>
        <w:rPr>
          <w:rStyle w:val="CommentReference"/>
        </w:rPr>
        <w:annotationRef/>
      </w:r>
      <w:r>
        <w:t>italics</w:t>
      </w:r>
    </w:p>
  </w:comment>
  <w:comment w:id="14" w:author="user" w:date="2025-05-08T11:38:00Z" w:initials="u">
    <w:p w14:paraId="715BCBB0" w14:textId="788308CA" w:rsidR="008F36BF" w:rsidRDefault="008F36BF">
      <w:pPr>
        <w:pStyle w:val="CommentText"/>
      </w:pPr>
      <w:r>
        <w:rPr>
          <w:rStyle w:val="CommentReference"/>
        </w:rPr>
        <w:annotationRef/>
      </w:r>
      <w:r>
        <w:t>italics</w:t>
      </w:r>
    </w:p>
  </w:comment>
  <w:comment w:id="15" w:author="user" w:date="2025-05-08T11:39:00Z" w:initials="u">
    <w:p w14:paraId="5344F71C" w14:textId="0DACCD0D" w:rsidR="008F36BF" w:rsidRDefault="008F36BF">
      <w:pPr>
        <w:pStyle w:val="CommentText"/>
      </w:pPr>
      <w:r>
        <w:rPr>
          <w:rStyle w:val="CommentReference"/>
        </w:rPr>
        <w:annotationRef/>
      </w:r>
      <w:r>
        <w:t>italics</w:t>
      </w:r>
    </w:p>
  </w:comment>
  <w:comment w:id="16" w:author="user" w:date="2025-05-08T11:39:00Z" w:initials="u">
    <w:p w14:paraId="47596157" w14:textId="52FF650D" w:rsidR="008F36BF" w:rsidRDefault="008F36BF">
      <w:pPr>
        <w:pStyle w:val="CommentText"/>
      </w:pPr>
      <w:r>
        <w:rPr>
          <w:rStyle w:val="CommentReference"/>
        </w:rPr>
        <w:annotationRef/>
      </w:r>
      <w:r>
        <w:t>italics</w:t>
      </w:r>
    </w:p>
  </w:comment>
  <w:comment w:id="18" w:author="user" w:date="2025-05-08T11:40:00Z" w:initials="u">
    <w:p w14:paraId="783EAF30" w14:textId="7D62AFC4" w:rsidR="008F36BF" w:rsidRDefault="008F36BF">
      <w:pPr>
        <w:pStyle w:val="CommentText"/>
      </w:pPr>
      <w:r>
        <w:rPr>
          <w:rStyle w:val="CommentReference"/>
        </w:rPr>
        <w:annotationRef/>
      </w:r>
      <w:r w:rsidR="009B2E7E">
        <w:t>italics</w:t>
      </w:r>
    </w:p>
  </w:comment>
  <w:comment w:id="22" w:author="user" w:date="2025-05-08T11:50:00Z" w:initials="u">
    <w:p w14:paraId="3902538D" w14:textId="07D4FF84" w:rsidR="009B2E7E" w:rsidRDefault="009B2E7E">
      <w:pPr>
        <w:pStyle w:val="CommentText"/>
      </w:pPr>
      <w:r>
        <w:rPr>
          <w:rStyle w:val="CommentReference"/>
        </w:rPr>
        <w:annotationRef/>
      </w:r>
      <w:r>
        <w:t>?</w:t>
      </w:r>
    </w:p>
  </w:comment>
  <w:comment w:id="25" w:author="user" w:date="2025-05-08T11:51:00Z" w:initials="u">
    <w:p w14:paraId="232B5F3F" w14:textId="3E9DD19E" w:rsidR="008447C1" w:rsidRDefault="008447C1">
      <w:pPr>
        <w:pStyle w:val="CommentText"/>
      </w:pPr>
      <w:r>
        <w:rPr>
          <w:rStyle w:val="CommentReference"/>
        </w:rPr>
        <w:annotationRef/>
      </w:r>
      <w:r>
        <w:t>italics</w:t>
      </w:r>
    </w:p>
  </w:comment>
  <w:comment w:id="26" w:author="user" w:date="2025-05-08T13:44:00Z" w:initials="u">
    <w:p w14:paraId="73AD94A5" w14:textId="2A4CFE79" w:rsidR="006961A3" w:rsidRDefault="006961A3">
      <w:pPr>
        <w:pStyle w:val="CommentText"/>
      </w:pPr>
      <w:r>
        <w:rPr>
          <w:rStyle w:val="CommentReference"/>
        </w:rPr>
        <w:annotationRef/>
      </w:r>
      <w:r>
        <w:t>italics</w:t>
      </w:r>
    </w:p>
  </w:comment>
  <w:comment w:id="27" w:author="user" w:date="2025-05-08T11:51:00Z" w:initials="u">
    <w:p w14:paraId="70E1287F" w14:textId="656B3EA6" w:rsidR="008447C1" w:rsidRDefault="008447C1">
      <w:pPr>
        <w:pStyle w:val="CommentText"/>
      </w:pPr>
      <w:r>
        <w:rPr>
          <w:rStyle w:val="CommentReference"/>
        </w:rPr>
        <w:annotationRef/>
      </w:r>
      <w:r>
        <w:t>italics</w:t>
      </w:r>
    </w:p>
  </w:comment>
  <w:comment w:id="28" w:author="user" w:date="2025-05-08T13:44:00Z" w:initials="u">
    <w:p w14:paraId="780508E1" w14:textId="66A87541" w:rsidR="006961A3" w:rsidRDefault="006961A3">
      <w:pPr>
        <w:pStyle w:val="CommentText"/>
      </w:pPr>
      <w:r>
        <w:rPr>
          <w:rStyle w:val="CommentReference"/>
        </w:rPr>
        <w:annotationRef/>
      </w:r>
      <w:r>
        <w:t>italics</w:t>
      </w:r>
    </w:p>
  </w:comment>
  <w:comment w:id="30" w:author="user" w:date="2025-05-08T13:48:00Z" w:initials="u">
    <w:p w14:paraId="13912BD7" w14:textId="46739631" w:rsidR="006961A3" w:rsidRDefault="006961A3">
      <w:pPr>
        <w:pStyle w:val="CommentText"/>
      </w:pPr>
      <w:r>
        <w:rPr>
          <w:rStyle w:val="CommentReference"/>
        </w:rPr>
        <w:annotationRef/>
      </w:r>
      <w:r>
        <w:t>incomplete sentence</w:t>
      </w:r>
    </w:p>
  </w:comment>
  <w:comment w:id="31" w:author="user" w:date="2025-05-08T11:51:00Z" w:initials="u">
    <w:p w14:paraId="59DAC438" w14:textId="6571D12A" w:rsidR="008447C1" w:rsidRDefault="008447C1">
      <w:pPr>
        <w:pStyle w:val="CommentText"/>
      </w:pPr>
      <w:r>
        <w:rPr>
          <w:rStyle w:val="CommentReference"/>
        </w:rPr>
        <w:annotationRef/>
      </w:r>
      <w:r>
        <w:t>italics</w:t>
      </w:r>
    </w:p>
  </w:comment>
  <w:comment w:id="32" w:author="user" w:date="2025-05-08T13:48:00Z" w:initials="u">
    <w:p w14:paraId="527C0F7B" w14:textId="5D1D3B26" w:rsidR="006961A3" w:rsidRDefault="006961A3">
      <w:pPr>
        <w:pStyle w:val="CommentText"/>
      </w:pPr>
      <w:r>
        <w:rPr>
          <w:rStyle w:val="CommentReference"/>
        </w:rPr>
        <w:annotationRef/>
      </w:r>
      <w:r>
        <w:t>italics</w:t>
      </w:r>
    </w:p>
  </w:comment>
  <w:comment w:id="33" w:author="user" w:date="2025-05-08T13:48:00Z" w:initials="u">
    <w:p w14:paraId="1B96687E" w14:textId="5EC2E642" w:rsidR="006961A3" w:rsidRDefault="006961A3">
      <w:pPr>
        <w:pStyle w:val="CommentText"/>
      </w:pPr>
      <w:r>
        <w:rPr>
          <w:rStyle w:val="CommentReference"/>
        </w:rPr>
        <w:annotationRef/>
      </w:r>
      <w:r>
        <w:t>italics</w:t>
      </w:r>
    </w:p>
  </w:comment>
  <w:comment w:id="34" w:author="user" w:date="2025-05-08T11:52:00Z" w:initials="u">
    <w:p w14:paraId="6A7DAD39" w14:textId="7D115EBA" w:rsidR="008447C1" w:rsidRDefault="008447C1">
      <w:pPr>
        <w:pStyle w:val="CommentText"/>
      </w:pPr>
      <w:r>
        <w:rPr>
          <w:rStyle w:val="CommentReference"/>
        </w:rPr>
        <w:annotationRef/>
      </w:r>
      <w:r>
        <w:t>italics</w:t>
      </w:r>
    </w:p>
  </w:comment>
  <w:comment w:id="36" w:author="user" w:date="2025-05-08T14:04:00Z" w:initials="u">
    <w:p w14:paraId="0EEC62BF" w14:textId="4B3EAA22" w:rsidR="0044541C" w:rsidRDefault="0044541C">
      <w:pPr>
        <w:pStyle w:val="CommentText"/>
      </w:pPr>
      <w:r>
        <w:rPr>
          <w:rStyle w:val="CommentReference"/>
        </w:rPr>
        <w:annotationRef/>
      </w:r>
      <w:r>
        <w:t xml:space="preserve">correct </w:t>
      </w:r>
      <w:r>
        <w:t>grammer</w:t>
      </w:r>
      <w:bookmarkStart w:id="37" w:name="_GoBack"/>
      <w:bookmarkEnd w:id="3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2DBD00" w15:done="0"/>
  <w15:commentEx w15:paraId="5D438DE3" w15:done="0"/>
  <w15:commentEx w15:paraId="2601C44E" w15:done="0"/>
  <w15:commentEx w15:paraId="7789253A" w15:done="0"/>
  <w15:commentEx w15:paraId="5AC2558C" w15:done="0"/>
  <w15:commentEx w15:paraId="3B252E2C" w15:done="0"/>
  <w15:commentEx w15:paraId="715BCBB0" w15:done="0"/>
  <w15:commentEx w15:paraId="5344F71C" w15:done="0"/>
  <w15:commentEx w15:paraId="47596157" w15:done="0"/>
  <w15:commentEx w15:paraId="783EAF30" w15:done="0"/>
  <w15:commentEx w15:paraId="3902538D" w15:done="0"/>
  <w15:commentEx w15:paraId="232B5F3F" w15:done="0"/>
  <w15:commentEx w15:paraId="73AD94A5" w15:done="0"/>
  <w15:commentEx w15:paraId="70E1287F" w15:done="0"/>
  <w15:commentEx w15:paraId="780508E1" w15:done="0"/>
  <w15:commentEx w15:paraId="13912BD7" w15:done="0"/>
  <w15:commentEx w15:paraId="59DAC438" w15:done="0"/>
  <w15:commentEx w15:paraId="527C0F7B" w15:done="0"/>
  <w15:commentEx w15:paraId="1B96687E" w15:done="0"/>
  <w15:commentEx w15:paraId="6A7DAD39" w15:done="0"/>
  <w15:commentEx w15:paraId="0EEC62B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6805" w14:textId="77777777" w:rsidR="00125CA3" w:rsidRPr="004C630E" w:rsidRDefault="00125CA3" w:rsidP="007C4EA8">
      <w:pPr>
        <w:spacing w:after="0" w:line="240" w:lineRule="auto"/>
      </w:pPr>
      <w:r w:rsidRPr="004C630E">
        <w:separator/>
      </w:r>
    </w:p>
  </w:endnote>
  <w:endnote w:type="continuationSeparator" w:id="0">
    <w:p w14:paraId="0C7E9C3A" w14:textId="77777777" w:rsidR="00125CA3" w:rsidRPr="004C630E" w:rsidRDefault="00125CA3" w:rsidP="007C4EA8">
      <w:pPr>
        <w:spacing w:after="0" w:line="240" w:lineRule="auto"/>
      </w:pPr>
      <w:r w:rsidRPr="004C63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05C9" w14:textId="77777777" w:rsidR="00D25F96" w:rsidRDefault="00D25F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281799"/>
      <w:docPartObj>
        <w:docPartGallery w:val="Page Numbers (Bottom of Page)"/>
        <w:docPartUnique/>
      </w:docPartObj>
    </w:sdtPr>
    <w:sdtEndPr/>
    <w:sdtContent>
      <w:p w14:paraId="1992B42C" w14:textId="70CB519E" w:rsidR="00972B28" w:rsidRDefault="00972B28">
        <w:pPr>
          <w:pStyle w:val="Footer"/>
          <w:jc w:val="center"/>
        </w:pPr>
        <w:r>
          <w:fldChar w:fldCharType="begin"/>
        </w:r>
        <w:r>
          <w:instrText>PAGE   \* MERGEFORMAT</w:instrText>
        </w:r>
        <w:r>
          <w:fldChar w:fldCharType="separate"/>
        </w:r>
        <w:r w:rsidR="0044541C" w:rsidRPr="0044541C">
          <w:rPr>
            <w:lang w:val="fr-FR"/>
          </w:rPr>
          <w:t>12</w:t>
        </w:r>
        <w:r>
          <w:fldChar w:fldCharType="end"/>
        </w:r>
      </w:p>
    </w:sdtContent>
  </w:sdt>
  <w:p w14:paraId="03D19240" w14:textId="77777777" w:rsidR="002467DA" w:rsidRPr="004C630E" w:rsidRDefault="002467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95C4" w14:textId="77777777" w:rsidR="00D25F96" w:rsidRDefault="00D25F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284C3" w14:textId="77777777" w:rsidR="00125CA3" w:rsidRPr="004C630E" w:rsidRDefault="00125CA3" w:rsidP="007C4EA8">
      <w:pPr>
        <w:spacing w:after="0" w:line="240" w:lineRule="auto"/>
      </w:pPr>
      <w:r w:rsidRPr="004C630E">
        <w:separator/>
      </w:r>
    </w:p>
  </w:footnote>
  <w:footnote w:type="continuationSeparator" w:id="0">
    <w:p w14:paraId="09972BC6" w14:textId="77777777" w:rsidR="00125CA3" w:rsidRPr="004C630E" w:rsidRDefault="00125CA3" w:rsidP="007C4EA8">
      <w:pPr>
        <w:spacing w:after="0" w:line="240" w:lineRule="auto"/>
      </w:pPr>
      <w:r w:rsidRPr="004C630E">
        <w:continuationSeparator/>
      </w:r>
    </w:p>
  </w:footnote>
  <w:footnote w:id="1">
    <w:p w14:paraId="093EF111" w14:textId="6AC8DA27" w:rsidR="00740EE0" w:rsidRPr="008A35CD" w:rsidRDefault="00740EE0">
      <w:pPr>
        <w:pStyle w:val="FootnoteText"/>
        <w:rPr>
          <w:rFonts w:ascii="Arial" w:hAnsi="Arial" w:cs="Arial"/>
          <w:lang w:val="en-US"/>
        </w:rPr>
      </w:pPr>
      <w:r w:rsidRPr="00C770DD">
        <w:rPr>
          <w:rStyle w:val="FootnoteReference"/>
        </w:rPr>
        <w:t>a</w:t>
      </w:r>
      <w:r>
        <w:t xml:space="preserve"> </w:t>
      </w:r>
      <w:r w:rsidRPr="008A35CD">
        <w:rPr>
          <w:rFonts w:ascii="Arial" w:hAnsi="Arial" w:cs="Arial"/>
        </w:rPr>
        <w:t>Routine Method</w:t>
      </w:r>
    </w:p>
  </w:footnote>
  <w:footnote w:id="2">
    <w:p w14:paraId="61B97EA9" w14:textId="64A84942" w:rsidR="00740EE0" w:rsidRPr="00740EE0" w:rsidRDefault="00740EE0">
      <w:pPr>
        <w:pStyle w:val="FootnoteText"/>
      </w:pPr>
      <w:r w:rsidRPr="00C770DD">
        <w:rPr>
          <w:rStyle w:val="FootnoteReference"/>
        </w:rPr>
        <w:t>b</w:t>
      </w:r>
      <w:r w:rsidRPr="008A35CD">
        <w:rPr>
          <w:rFonts w:ascii="Arial" w:hAnsi="Arial" w:cs="Arial"/>
        </w:rPr>
        <w:t xml:space="preserve"> </w:t>
      </w:r>
      <w:r w:rsidRPr="008A35CD">
        <w:rPr>
          <w:rFonts w:ascii="Arial" w:hAnsi="Arial" w:cs="Arial"/>
          <w:lang w:val="en-US"/>
        </w:rPr>
        <w:t>Mass Spectrometry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F294" w14:textId="30A494E5" w:rsidR="00D25F96" w:rsidRDefault="00125CA3">
    <w:pPr>
      <w:pStyle w:val="Header"/>
    </w:pPr>
    <w:r>
      <w:pict w14:anchorId="3DC7A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55D3" w14:textId="2BE02546" w:rsidR="002467DA" w:rsidRPr="004C630E" w:rsidRDefault="00125CA3">
    <w:pPr>
      <w:pStyle w:val="Header"/>
      <w:jc w:val="right"/>
    </w:pPr>
    <w:r>
      <w:pict w14:anchorId="43ABA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70"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02C8D0B" w14:textId="77777777" w:rsidR="002467DA" w:rsidRPr="004C630E" w:rsidRDefault="002467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078E" w14:textId="4BB1C2AA" w:rsidR="00D25F96" w:rsidRDefault="00125CA3">
    <w:pPr>
      <w:pStyle w:val="Header"/>
    </w:pPr>
    <w:r>
      <w:pict w14:anchorId="2EAA0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7DB2"/>
    <w:multiLevelType w:val="hybridMultilevel"/>
    <w:tmpl w:val="AA82CE76"/>
    <w:lvl w:ilvl="0" w:tplc="6C36DD42">
      <w:start w:val="3"/>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21770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070EA4"/>
    <w:multiLevelType w:val="multilevel"/>
    <w:tmpl w:val="A3C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D081F"/>
    <w:multiLevelType w:val="hybridMultilevel"/>
    <w:tmpl w:val="A8F8AC60"/>
    <w:lvl w:ilvl="0" w:tplc="2DD2400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A0"/>
    <w:rsid w:val="000010B9"/>
    <w:rsid w:val="00002227"/>
    <w:rsid w:val="000043DF"/>
    <w:rsid w:val="0001211A"/>
    <w:rsid w:val="000215D1"/>
    <w:rsid w:val="000226A4"/>
    <w:rsid w:val="00023129"/>
    <w:rsid w:val="00032BFD"/>
    <w:rsid w:val="0003344E"/>
    <w:rsid w:val="00037463"/>
    <w:rsid w:val="0004569C"/>
    <w:rsid w:val="00050B7D"/>
    <w:rsid w:val="0005250B"/>
    <w:rsid w:val="00067FCC"/>
    <w:rsid w:val="00070FED"/>
    <w:rsid w:val="000716AB"/>
    <w:rsid w:val="00075971"/>
    <w:rsid w:val="0007614C"/>
    <w:rsid w:val="00076B29"/>
    <w:rsid w:val="0007797A"/>
    <w:rsid w:val="00081FFF"/>
    <w:rsid w:val="00083606"/>
    <w:rsid w:val="00085E82"/>
    <w:rsid w:val="0008783A"/>
    <w:rsid w:val="00090C79"/>
    <w:rsid w:val="000930BE"/>
    <w:rsid w:val="00095384"/>
    <w:rsid w:val="000A3C71"/>
    <w:rsid w:val="000A3D6B"/>
    <w:rsid w:val="000A5101"/>
    <w:rsid w:val="000A79FF"/>
    <w:rsid w:val="000B0780"/>
    <w:rsid w:val="000B315A"/>
    <w:rsid w:val="000B715C"/>
    <w:rsid w:val="000C29EE"/>
    <w:rsid w:val="000C3CFB"/>
    <w:rsid w:val="000D0DF9"/>
    <w:rsid w:val="000D1E89"/>
    <w:rsid w:val="000D2363"/>
    <w:rsid w:val="000D28CD"/>
    <w:rsid w:val="000D36E5"/>
    <w:rsid w:val="000E18A0"/>
    <w:rsid w:val="000E1E87"/>
    <w:rsid w:val="000E1EA7"/>
    <w:rsid w:val="000E3D0E"/>
    <w:rsid w:val="000E3E19"/>
    <w:rsid w:val="000E6A17"/>
    <w:rsid w:val="000F2E4B"/>
    <w:rsid w:val="000F4B78"/>
    <w:rsid w:val="000F4FE8"/>
    <w:rsid w:val="00100ED2"/>
    <w:rsid w:val="00104AB3"/>
    <w:rsid w:val="001065C1"/>
    <w:rsid w:val="00106D83"/>
    <w:rsid w:val="00107107"/>
    <w:rsid w:val="00111982"/>
    <w:rsid w:val="00114BA2"/>
    <w:rsid w:val="00114DB4"/>
    <w:rsid w:val="00117CED"/>
    <w:rsid w:val="0012263D"/>
    <w:rsid w:val="00125CA3"/>
    <w:rsid w:val="00126673"/>
    <w:rsid w:val="001377F4"/>
    <w:rsid w:val="00142346"/>
    <w:rsid w:val="00150089"/>
    <w:rsid w:val="0015704A"/>
    <w:rsid w:val="001575A9"/>
    <w:rsid w:val="0015766A"/>
    <w:rsid w:val="001624F6"/>
    <w:rsid w:val="001643A3"/>
    <w:rsid w:val="00180384"/>
    <w:rsid w:val="001807EA"/>
    <w:rsid w:val="00181BE3"/>
    <w:rsid w:val="00185769"/>
    <w:rsid w:val="00186C39"/>
    <w:rsid w:val="00194FE2"/>
    <w:rsid w:val="001968F8"/>
    <w:rsid w:val="001A30FE"/>
    <w:rsid w:val="001B7996"/>
    <w:rsid w:val="001C0BC0"/>
    <w:rsid w:val="001C3075"/>
    <w:rsid w:val="001C33DB"/>
    <w:rsid w:val="001C5D11"/>
    <w:rsid w:val="001C6D7E"/>
    <w:rsid w:val="001D228D"/>
    <w:rsid w:val="001D2B4F"/>
    <w:rsid w:val="001D49FE"/>
    <w:rsid w:val="001D6290"/>
    <w:rsid w:val="001D7D15"/>
    <w:rsid w:val="001E02ED"/>
    <w:rsid w:val="001E7035"/>
    <w:rsid w:val="001F07B3"/>
    <w:rsid w:val="001F0A70"/>
    <w:rsid w:val="001F2EAD"/>
    <w:rsid w:val="001F3E4B"/>
    <w:rsid w:val="001F5453"/>
    <w:rsid w:val="001F6BB0"/>
    <w:rsid w:val="002030E2"/>
    <w:rsid w:val="00205051"/>
    <w:rsid w:val="002066BE"/>
    <w:rsid w:val="00207E29"/>
    <w:rsid w:val="002128A3"/>
    <w:rsid w:val="00212E3D"/>
    <w:rsid w:val="00215F92"/>
    <w:rsid w:val="00220272"/>
    <w:rsid w:val="00224937"/>
    <w:rsid w:val="00237558"/>
    <w:rsid w:val="00240341"/>
    <w:rsid w:val="00242C93"/>
    <w:rsid w:val="00242E5F"/>
    <w:rsid w:val="002467DA"/>
    <w:rsid w:val="00250909"/>
    <w:rsid w:val="00251ACF"/>
    <w:rsid w:val="00263847"/>
    <w:rsid w:val="00263991"/>
    <w:rsid w:val="00263EF6"/>
    <w:rsid w:val="00264C84"/>
    <w:rsid w:val="00266238"/>
    <w:rsid w:val="00273E61"/>
    <w:rsid w:val="002809CA"/>
    <w:rsid w:val="00282A5B"/>
    <w:rsid w:val="00285635"/>
    <w:rsid w:val="002869E7"/>
    <w:rsid w:val="00287457"/>
    <w:rsid w:val="0029497B"/>
    <w:rsid w:val="002A0C8D"/>
    <w:rsid w:val="002B000A"/>
    <w:rsid w:val="002B1AA0"/>
    <w:rsid w:val="002B1F04"/>
    <w:rsid w:val="002B2C15"/>
    <w:rsid w:val="002C0F7B"/>
    <w:rsid w:val="002C3189"/>
    <w:rsid w:val="002C4417"/>
    <w:rsid w:val="002C5E6B"/>
    <w:rsid w:val="002C6E2F"/>
    <w:rsid w:val="002D11F4"/>
    <w:rsid w:val="002D1EDB"/>
    <w:rsid w:val="002D2C23"/>
    <w:rsid w:val="002D42C7"/>
    <w:rsid w:val="002D7FCA"/>
    <w:rsid w:val="002E0EA3"/>
    <w:rsid w:val="002E1C06"/>
    <w:rsid w:val="002E43F3"/>
    <w:rsid w:val="002E4EC0"/>
    <w:rsid w:val="002E6FE9"/>
    <w:rsid w:val="002F149F"/>
    <w:rsid w:val="002F18E1"/>
    <w:rsid w:val="002F37E4"/>
    <w:rsid w:val="002F3BEC"/>
    <w:rsid w:val="002F4649"/>
    <w:rsid w:val="002F5C2A"/>
    <w:rsid w:val="002F6374"/>
    <w:rsid w:val="002F67ED"/>
    <w:rsid w:val="002F794E"/>
    <w:rsid w:val="003009C6"/>
    <w:rsid w:val="00300F34"/>
    <w:rsid w:val="00305114"/>
    <w:rsid w:val="00305208"/>
    <w:rsid w:val="0030620B"/>
    <w:rsid w:val="00310025"/>
    <w:rsid w:val="003106CB"/>
    <w:rsid w:val="00310DAE"/>
    <w:rsid w:val="0031143F"/>
    <w:rsid w:val="00311FA7"/>
    <w:rsid w:val="00312796"/>
    <w:rsid w:val="0031461F"/>
    <w:rsid w:val="00321F6C"/>
    <w:rsid w:val="00323C1B"/>
    <w:rsid w:val="00327336"/>
    <w:rsid w:val="00330425"/>
    <w:rsid w:val="003307D2"/>
    <w:rsid w:val="00333294"/>
    <w:rsid w:val="003376E4"/>
    <w:rsid w:val="0034196B"/>
    <w:rsid w:val="00343C89"/>
    <w:rsid w:val="0034673A"/>
    <w:rsid w:val="0035237E"/>
    <w:rsid w:val="00355246"/>
    <w:rsid w:val="003557F6"/>
    <w:rsid w:val="0035720E"/>
    <w:rsid w:val="00361487"/>
    <w:rsid w:val="0036162A"/>
    <w:rsid w:val="00362118"/>
    <w:rsid w:val="00364882"/>
    <w:rsid w:val="003712E8"/>
    <w:rsid w:val="00371EB9"/>
    <w:rsid w:val="00383ED0"/>
    <w:rsid w:val="003841CF"/>
    <w:rsid w:val="00384FC0"/>
    <w:rsid w:val="00386113"/>
    <w:rsid w:val="0038617D"/>
    <w:rsid w:val="003922BC"/>
    <w:rsid w:val="003979EF"/>
    <w:rsid w:val="003A009F"/>
    <w:rsid w:val="003A1E8C"/>
    <w:rsid w:val="003A23F4"/>
    <w:rsid w:val="003A3034"/>
    <w:rsid w:val="003A4A33"/>
    <w:rsid w:val="003A5075"/>
    <w:rsid w:val="003A54A8"/>
    <w:rsid w:val="003C4FC0"/>
    <w:rsid w:val="003C657F"/>
    <w:rsid w:val="003D0B64"/>
    <w:rsid w:val="003D0EDD"/>
    <w:rsid w:val="003D691C"/>
    <w:rsid w:val="003D7A65"/>
    <w:rsid w:val="003E10F5"/>
    <w:rsid w:val="003E168D"/>
    <w:rsid w:val="003E4F9D"/>
    <w:rsid w:val="003E5C8C"/>
    <w:rsid w:val="003F216B"/>
    <w:rsid w:val="003F22DB"/>
    <w:rsid w:val="003F37CD"/>
    <w:rsid w:val="003F409E"/>
    <w:rsid w:val="003F5672"/>
    <w:rsid w:val="00406D41"/>
    <w:rsid w:val="004116AF"/>
    <w:rsid w:val="004130D4"/>
    <w:rsid w:val="00420C34"/>
    <w:rsid w:val="00422B90"/>
    <w:rsid w:val="004231BA"/>
    <w:rsid w:val="00424ECD"/>
    <w:rsid w:val="00431C27"/>
    <w:rsid w:val="0043256E"/>
    <w:rsid w:val="00432598"/>
    <w:rsid w:val="00434569"/>
    <w:rsid w:val="00434DF2"/>
    <w:rsid w:val="0043582A"/>
    <w:rsid w:val="0043670F"/>
    <w:rsid w:val="004370E5"/>
    <w:rsid w:val="00440413"/>
    <w:rsid w:val="0044541C"/>
    <w:rsid w:val="004467CB"/>
    <w:rsid w:val="00451967"/>
    <w:rsid w:val="00451D3E"/>
    <w:rsid w:val="00460382"/>
    <w:rsid w:val="0046255A"/>
    <w:rsid w:val="00463A02"/>
    <w:rsid w:val="004655F5"/>
    <w:rsid w:val="004658C3"/>
    <w:rsid w:val="0047743B"/>
    <w:rsid w:val="00481197"/>
    <w:rsid w:val="004811FD"/>
    <w:rsid w:val="0048501F"/>
    <w:rsid w:val="00496C13"/>
    <w:rsid w:val="004A4921"/>
    <w:rsid w:val="004A5D86"/>
    <w:rsid w:val="004B059E"/>
    <w:rsid w:val="004B304A"/>
    <w:rsid w:val="004B5844"/>
    <w:rsid w:val="004C0693"/>
    <w:rsid w:val="004C0C05"/>
    <w:rsid w:val="004C4657"/>
    <w:rsid w:val="004C555B"/>
    <w:rsid w:val="004C630E"/>
    <w:rsid w:val="004D6B07"/>
    <w:rsid w:val="004E1336"/>
    <w:rsid w:val="004E2BF6"/>
    <w:rsid w:val="004E4921"/>
    <w:rsid w:val="004E615A"/>
    <w:rsid w:val="004E761A"/>
    <w:rsid w:val="004F04FA"/>
    <w:rsid w:val="004F16BD"/>
    <w:rsid w:val="004F2681"/>
    <w:rsid w:val="004F4AC3"/>
    <w:rsid w:val="00500776"/>
    <w:rsid w:val="00503860"/>
    <w:rsid w:val="005076CB"/>
    <w:rsid w:val="00510F9B"/>
    <w:rsid w:val="00515731"/>
    <w:rsid w:val="00515A7E"/>
    <w:rsid w:val="00515F33"/>
    <w:rsid w:val="005221BD"/>
    <w:rsid w:val="005231C5"/>
    <w:rsid w:val="00531B6F"/>
    <w:rsid w:val="005329B2"/>
    <w:rsid w:val="005366C5"/>
    <w:rsid w:val="00536A89"/>
    <w:rsid w:val="005403E0"/>
    <w:rsid w:val="00540EB3"/>
    <w:rsid w:val="00541A3F"/>
    <w:rsid w:val="00543B3E"/>
    <w:rsid w:val="0054449B"/>
    <w:rsid w:val="00547EA7"/>
    <w:rsid w:val="005513AD"/>
    <w:rsid w:val="00552806"/>
    <w:rsid w:val="00555B68"/>
    <w:rsid w:val="00562A27"/>
    <w:rsid w:val="0056656F"/>
    <w:rsid w:val="00576006"/>
    <w:rsid w:val="00576965"/>
    <w:rsid w:val="005775B0"/>
    <w:rsid w:val="00581909"/>
    <w:rsid w:val="0058334E"/>
    <w:rsid w:val="00583719"/>
    <w:rsid w:val="005A058E"/>
    <w:rsid w:val="005A0701"/>
    <w:rsid w:val="005A0F83"/>
    <w:rsid w:val="005A1A24"/>
    <w:rsid w:val="005A1C68"/>
    <w:rsid w:val="005A203C"/>
    <w:rsid w:val="005A316B"/>
    <w:rsid w:val="005A4297"/>
    <w:rsid w:val="005A7555"/>
    <w:rsid w:val="005B2158"/>
    <w:rsid w:val="005C03C7"/>
    <w:rsid w:val="005C43F5"/>
    <w:rsid w:val="005C5070"/>
    <w:rsid w:val="005D005C"/>
    <w:rsid w:val="005D787B"/>
    <w:rsid w:val="005E1E6A"/>
    <w:rsid w:val="005E2016"/>
    <w:rsid w:val="005E4655"/>
    <w:rsid w:val="005E4AA6"/>
    <w:rsid w:val="005E4C7E"/>
    <w:rsid w:val="005E4DF5"/>
    <w:rsid w:val="005F0874"/>
    <w:rsid w:val="006000E8"/>
    <w:rsid w:val="006006B4"/>
    <w:rsid w:val="00606A91"/>
    <w:rsid w:val="00610745"/>
    <w:rsid w:val="006112DD"/>
    <w:rsid w:val="006121E7"/>
    <w:rsid w:val="00616270"/>
    <w:rsid w:val="00616AFD"/>
    <w:rsid w:val="00616B18"/>
    <w:rsid w:val="00621D96"/>
    <w:rsid w:val="00621F7F"/>
    <w:rsid w:val="00622F1F"/>
    <w:rsid w:val="00623FB9"/>
    <w:rsid w:val="006245F4"/>
    <w:rsid w:val="00624CAE"/>
    <w:rsid w:val="00626A9B"/>
    <w:rsid w:val="0063044D"/>
    <w:rsid w:val="00631920"/>
    <w:rsid w:val="006324AB"/>
    <w:rsid w:val="00632B6D"/>
    <w:rsid w:val="00632D97"/>
    <w:rsid w:val="00634E6C"/>
    <w:rsid w:val="00640081"/>
    <w:rsid w:val="00640BA7"/>
    <w:rsid w:val="006464AC"/>
    <w:rsid w:val="00646BE1"/>
    <w:rsid w:val="006527A3"/>
    <w:rsid w:val="00652D90"/>
    <w:rsid w:val="006565E6"/>
    <w:rsid w:val="00657A85"/>
    <w:rsid w:val="00662610"/>
    <w:rsid w:val="00664C0E"/>
    <w:rsid w:val="00666B73"/>
    <w:rsid w:val="00667BD0"/>
    <w:rsid w:val="00672BD2"/>
    <w:rsid w:val="00672C7A"/>
    <w:rsid w:val="00682070"/>
    <w:rsid w:val="00682665"/>
    <w:rsid w:val="00695587"/>
    <w:rsid w:val="006961A3"/>
    <w:rsid w:val="006A0BC6"/>
    <w:rsid w:val="006A6222"/>
    <w:rsid w:val="006A6A07"/>
    <w:rsid w:val="006B0C8F"/>
    <w:rsid w:val="006B0E4F"/>
    <w:rsid w:val="006C2970"/>
    <w:rsid w:val="006C6010"/>
    <w:rsid w:val="006D34B4"/>
    <w:rsid w:val="006D6966"/>
    <w:rsid w:val="006E197C"/>
    <w:rsid w:val="006F15CA"/>
    <w:rsid w:val="006F1FDE"/>
    <w:rsid w:val="00704641"/>
    <w:rsid w:val="0071439D"/>
    <w:rsid w:val="007158B2"/>
    <w:rsid w:val="0072233B"/>
    <w:rsid w:val="00722F0D"/>
    <w:rsid w:val="00724095"/>
    <w:rsid w:val="00724F6B"/>
    <w:rsid w:val="00725D77"/>
    <w:rsid w:val="00726723"/>
    <w:rsid w:val="00730814"/>
    <w:rsid w:val="007312B3"/>
    <w:rsid w:val="00733623"/>
    <w:rsid w:val="00737017"/>
    <w:rsid w:val="00740EE0"/>
    <w:rsid w:val="00743866"/>
    <w:rsid w:val="007444B3"/>
    <w:rsid w:val="0074476C"/>
    <w:rsid w:val="00744A42"/>
    <w:rsid w:val="00750E84"/>
    <w:rsid w:val="00751BA1"/>
    <w:rsid w:val="007521BA"/>
    <w:rsid w:val="00754285"/>
    <w:rsid w:val="00754A8F"/>
    <w:rsid w:val="0075513F"/>
    <w:rsid w:val="00757068"/>
    <w:rsid w:val="00760DFB"/>
    <w:rsid w:val="007617DD"/>
    <w:rsid w:val="00763562"/>
    <w:rsid w:val="00770776"/>
    <w:rsid w:val="00770DBD"/>
    <w:rsid w:val="00771ADD"/>
    <w:rsid w:val="00773693"/>
    <w:rsid w:val="00774F30"/>
    <w:rsid w:val="00777F34"/>
    <w:rsid w:val="007845BB"/>
    <w:rsid w:val="00790977"/>
    <w:rsid w:val="0079289D"/>
    <w:rsid w:val="00795A7A"/>
    <w:rsid w:val="00795B3B"/>
    <w:rsid w:val="007A26F1"/>
    <w:rsid w:val="007A2BEC"/>
    <w:rsid w:val="007A44BF"/>
    <w:rsid w:val="007A45D2"/>
    <w:rsid w:val="007A5B03"/>
    <w:rsid w:val="007A7F25"/>
    <w:rsid w:val="007B042C"/>
    <w:rsid w:val="007B1DCD"/>
    <w:rsid w:val="007B3A54"/>
    <w:rsid w:val="007B591B"/>
    <w:rsid w:val="007B5E59"/>
    <w:rsid w:val="007B78B3"/>
    <w:rsid w:val="007C105D"/>
    <w:rsid w:val="007C1ED2"/>
    <w:rsid w:val="007C282C"/>
    <w:rsid w:val="007C35F7"/>
    <w:rsid w:val="007C445A"/>
    <w:rsid w:val="007C4EA8"/>
    <w:rsid w:val="007C59CA"/>
    <w:rsid w:val="007C6138"/>
    <w:rsid w:val="007D25A5"/>
    <w:rsid w:val="007D3947"/>
    <w:rsid w:val="007D6308"/>
    <w:rsid w:val="007E2095"/>
    <w:rsid w:val="007E39D5"/>
    <w:rsid w:val="007E3A7F"/>
    <w:rsid w:val="007F0B6E"/>
    <w:rsid w:val="007F2E9B"/>
    <w:rsid w:val="007F494C"/>
    <w:rsid w:val="007F6ACB"/>
    <w:rsid w:val="00802C1B"/>
    <w:rsid w:val="00803041"/>
    <w:rsid w:val="0080344C"/>
    <w:rsid w:val="00805CAA"/>
    <w:rsid w:val="00805F2C"/>
    <w:rsid w:val="00806D12"/>
    <w:rsid w:val="00806D84"/>
    <w:rsid w:val="008114CB"/>
    <w:rsid w:val="00811D9A"/>
    <w:rsid w:val="008125AB"/>
    <w:rsid w:val="00812E5E"/>
    <w:rsid w:val="008148FE"/>
    <w:rsid w:val="00814BD1"/>
    <w:rsid w:val="008200F4"/>
    <w:rsid w:val="008251A8"/>
    <w:rsid w:val="0082593E"/>
    <w:rsid w:val="00826310"/>
    <w:rsid w:val="00830EB6"/>
    <w:rsid w:val="00831D46"/>
    <w:rsid w:val="0083230C"/>
    <w:rsid w:val="008438CA"/>
    <w:rsid w:val="008447C1"/>
    <w:rsid w:val="00845307"/>
    <w:rsid w:val="00846342"/>
    <w:rsid w:val="00846671"/>
    <w:rsid w:val="00846FC2"/>
    <w:rsid w:val="00851580"/>
    <w:rsid w:val="00852128"/>
    <w:rsid w:val="0086253E"/>
    <w:rsid w:val="00862D9F"/>
    <w:rsid w:val="00865927"/>
    <w:rsid w:val="00866079"/>
    <w:rsid w:val="00866400"/>
    <w:rsid w:val="008751A5"/>
    <w:rsid w:val="00875842"/>
    <w:rsid w:val="00875855"/>
    <w:rsid w:val="00875C6A"/>
    <w:rsid w:val="008764F9"/>
    <w:rsid w:val="008819C6"/>
    <w:rsid w:val="008830FA"/>
    <w:rsid w:val="00891EFD"/>
    <w:rsid w:val="00893DDC"/>
    <w:rsid w:val="00894BAE"/>
    <w:rsid w:val="00896223"/>
    <w:rsid w:val="00897B5A"/>
    <w:rsid w:val="00897F92"/>
    <w:rsid w:val="00897FFD"/>
    <w:rsid w:val="008A06A9"/>
    <w:rsid w:val="008A0A7D"/>
    <w:rsid w:val="008A1B6C"/>
    <w:rsid w:val="008A2DA8"/>
    <w:rsid w:val="008A35CD"/>
    <w:rsid w:val="008A7C15"/>
    <w:rsid w:val="008B4792"/>
    <w:rsid w:val="008B5EEB"/>
    <w:rsid w:val="008B6AD6"/>
    <w:rsid w:val="008C1721"/>
    <w:rsid w:val="008C2ADE"/>
    <w:rsid w:val="008C65E2"/>
    <w:rsid w:val="008C6D91"/>
    <w:rsid w:val="008C72BF"/>
    <w:rsid w:val="008D0B40"/>
    <w:rsid w:val="008D111C"/>
    <w:rsid w:val="008D22CE"/>
    <w:rsid w:val="008D4FDC"/>
    <w:rsid w:val="008E27F7"/>
    <w:rsid w:val="008E37FA"/>
    <w:rsid w:val="008E5737"/>
    <w:rsid w:val="008F201F"/>
    <w:rsid w:val="008F36BF"/>
    <w:rsid w:val="008F384B"/>
    <w:rsid w:val="008F535A"/>
    <w:rsid w:val="008F7ACC"/>
    <w:rsid w:val="009027C1"/>
    <w:rsid w:val="00903576"/>
    <w:rsid w:val="00907BB5"/>
    <w:rsid w:val="00910C64"/>
    <w:rsid w:val="009115E9"/>
    <w:rsid w:val="00917F5A"/>
    <w:rsid w:val="0092718D"/>
    <w:rsid w:val="0092722B"/>
    <w:rsid w:val="00930365"/>
    <w:rsid w:val="00934012"/>
    <w:rsid w:val="00934618"/>
    <w:rsid w:val="00940B0E"/>
    <w:rsid w:val="00943013"/>
    <w:rsid w:val="00945DC6"/>
    <w:rsid w:val="00950385"/>
    <w:rsid w:val="00950B18"/>
    <w:rsid w:val="00951350"/>
    <w:rsid w:val="00951996"/>
    <w:rsid w:val="00952407"/>
    <w:rsid w:val="0095393B"/>
    <w:rsid w:val="00957845"/>
    <w:rsid w:val="00957A9D"/>
    <w:rsid w:val="00957AEF"/>
    <w:rsid w:val="0096011E"/>
    <w:rsid w:val="00961320"/>
    <w:rsid w:val="00966D02"/>
    <w:rsid w:val="009717F4"/>
    <w:rsid w:val="00972B28"/>
    <w:rsid w:val="00977166"/>
    <w:rsid w:val="00980581"/>
    <w:rsid w:val="009812CF"/>
    <w:rsid w:val="00982990"/>
    <w:rsid w:val="00985264"/>
    <w:rsid w:val="00991823"/>
    <w:rsid w:val="0099434C"/>
    <w:rsid w:val="00994956"/>
    <w:rsid w:val="00994E6C"/>
    <w:rsid w:val="00994FB2"/>
    <w:rsid w:val="0099702B"/>
    <w:rsid w:val="009A132D"/>
    <w:rsid w:val="009A16CD"/>
    <w:rsid w:val="009A2870"/>
    <w:rsid w:val="009A4085"/>
    <w:rsid w:val="009A454C"/>
    <w:rsid w:val="009A48C7"/>
    <w:rsid w:val="009A58FD"/>
    <w:rsid w:val="009A5917"/>
    <w:rsid w:val="009B22C8"/>
    <w:rsid w:val="009B243F"/>
    <w:rsid w:val="009B2E7E"/>
    <w:rsid w:val="009B42BB"/>
    <w:rsid w:val="009C0CB2"/>
    <w:rsid w:val="009C7739"/>
    <w:rsid w:val="009C7D3A"/>
    <w:rsid w:val="009D43B9"/>
    <w:rsid w:val="009E12D3"/>
    <w:rsid w:val="009E1F90"/>
    <w:rsid w:val="009E6C8F"/>
    <w:rsid w:val="009F0B3F"/>
    <w:rsid w:val="009F27F5"/>
    <w:rsid w:val="009F3474"/>
    <w:rsid w:val="009F51D3"/>
    <w:rsid w:val="009F6367"/>
    <w:rsid w:val="00A028EC"/>
    <w:rsid w:val="00A03A08"/>
    <w:rsid w:val="00A04AA5"/>
    <w:rsid w:val="00A054CB"/>
    <w:rsid w:val="00A11562"/>
    <w:rsid w:val="00A12C38"/>
    <w:rsid w:val="00A132FF"/>
    <w:rsid w:val="00A13A8D"/>
    <w:rsid w:val="00A1590A"/>
    <w:rsid w:val="00A15D66"/>
    <w:rsid w:val="00A20ECD"/>
    <w:rsid w:val="00A22E40"/>
    <w:rsid w:val="00A311F8"/>
    <w:rsid w:val="00A33B7B"/>
    <w:rsid w:val="00A355B3"/>
    <w:rsid w:val="00A405DD"/>
    <w:rsid w:val="00A41D8D"/>
    <w:rsid w:val="00A5000C"/>
    <w:rsid w:val="00A512F1"/>
    <w:rsid w:val="00A51A2A"/>
    <w:rsid w:val="00A60A5A"/>
    <w:rsid w:val="00A62158"/>
    <w:rsid w:val="00A641DC"/>
    <w:rsid w:val="00A719EE"/>
    <w:rsid w:val="00A7263C"/>
    <w:rsid w:val="00A76E86"/>
    <w:rsid w:val="00A77124"/>
    <w:rsid w:val="00A80878"/>
    <w:rsid w:val="00A845CB"/>
    <w:rsid w:val="00A84DD5"/>
    <w:rsid w:val="00A860C5"/>
    <w:rsid w:val="00A9698C"/>
    <w:rsid w:val="00A975C2"/>
    <w:rsid w:val="00A9771A"/>
    <w:rsid w:val="00A97A84"/>
    <w:rsid w:val="00AA3DE4"/>
    <w:rsid w:val="00AA6B23"/>
    <w:rsid w:val="00AA740A"/>
    <w:rsid w:val="00AB04E9"/>
    <w:rsid w:val="00AB06F6"/>
    <w:rsid w:val="00AB1A29"/>
    <w:rsid w:val="00AB6B80"/>
    <w:rsid w:val="00AC4714"/>
    <w:rsid w:val="00AD19AC"/>
    <w:rsid w:val="00AD318F"/>
    <w:rsid w:val="00AD36FA"/>
    <w:rsid w:val="00AD4640"/>
    <w:rsid w:val="00AD47C8"/>
    <w:rsid w:val="00AD65D0"/>
    <w:rsid w:val="00AE1593"/>
    <w:rsid w:val="00AE3DEA"/>
    <w:rsid w:val="00AF5EE4"/>
    <w:rsid w:val="00AF6CFE"/>
    <w:rsid w:val="00B01166"/>
    <w:rsid w:val="00B0158C"/>
    <w:rsid w:val="00B03573"/>
    <w:rsid w:val="00B038C8"/>
    <w:rsid w:val="00B041AB"/>
    <w:rsid w:val="00B16812"/>
    <w:rsid w:val="00B16D8D"/>
    <w:rsid w:val="00B21921"/>
    <w:rsid w:val="00B2288B"/>
    <w:rsid w:val="00B22E09"/>
    <w:rsid w:val="00B24202"/>
    <w:rsid w:val="00B244E3"/>
    <w:rsid w:val="00B262B2"/>
    <w:rsid w:val="00B26FA4"/>
    <w:rsid w:val="00B31403"/>
    <w:rsid w:val="00B40E9D"/>
    <w:rsid w:val="00B427AA"/>
    <w:rsid w:val="00B44316"/>
    <w:rsid w:val="00B45250"/>
    <w:rsid w:val="00B46446"/>
    <w:rsid w:val="00B51916"/>
    <w:rsid w:val="00B51B2F"/>
    <w:rsid w:val="00B53274"/>
    <w:rsid w:val="00B54504"/>
    <w:rsid w:val="00B56EDC"/>
    <w:rsid w:val="00B629F5"/>
    <w:rsid w:val="00B65807"/>
    <w:rsid w:val="00B67B60"/>
    <w:rsid w:val="00B73213"/>
    <w:rsid w:val="00B73A14"/>
    <w:rsid w:val="00B750B7"/>
    <w:rsid w:val="00B77D47"/>
    <w:rsid w:val="00B80DBB"/>
    <w:rsid w:val="00B815A3"/>
    <w:rsid w:val="00B817AD"/>
    <w:rsid w:val="00B826AA"/>
    <w:rsid w:val="00B85CC2"/>
    <w:rsid w:val="00B90340"/>
    <w:rsid w:val="00B9130A"/>
    <w:rsid w:val="00B93800"/>
    <w:rsid w:val="00B9430B"/>
    <w:rsid w:val="00B95408"/>
    <w:rsid w:val="00B95427"/>
    <w:rsid w:val="00B95FDB"/>
    <w:rsid w:val="00B960DB"/>
    <w:rsid w:val="00B97543"/>
    <w:rsid w:val="00BA0C80"/>
    <w:rsid w:val="00BA1D43"/>
    <w:rsid w:val="00BA1D81"/>
    <w:rsid w:val="00BA22F3"/>
    <w:rsid w:val="00BA51EC"/>
    <w:rsid w:val="00BA7FB2"/>
    <w:rsid w:val="00BB1829"/>
    <w:rsid w:val="00BC3A06"/>
    <w:rsid w:val="00BC420B"/>
    <w:rsid w:val="00BC4441"/>
    <w:rsid w:val="00BC4CB6"/>
    <w:rsid w:val="00BC5FF1"/>
    <w:rsid w:val="00BC6A40"/>
    <w:rsid w:val="00BC7E19"/>
    <w:rsid w:val="00BD3075"/>
    <w:rsid w:val="00BD386B"/>
    <w:rsid w:val="00BD44AC"/>
    <w:rsid w:val="00BD4E56"/>
    <w:rsid w:val="00BD7D1A"/>
    <w:rsid w:val="00BD7D69"/>
    <w:rsid w:val="00BE08CD"/>
    <w:rsid w:val="00BE2250"/>
    <w:rsid w:val="00BE2BFB"/>
    <w:rsid w:val="00BE641D"/>
    <w:rsid w:val="00BF059C"/>
    <w:rsid w:val="00C12914"/>
    <w:rsid w:val="00C157C8"/>
    <w:rsid w:val="00C206CE"/>
    <w:rsid w:val="00C23EB4"/>
    <w:rsid w:val="00C25BEC"/>
    <w:rsid w:val="00C311EB"/>
    <w:rsid w:val="00C35E51"/>
    <w:rsid w:val="00C36F1B"/>
    <w:rsid w:val="00C433B3"/>
    <w:rsid w:val="00C466BB"/>
    <w:rsid w:val="00C537BC"/>
    <w:rsid w:val="00C5412C"/>
    <w:rsid w:val="00C54D3C"/>
    <w:rsid w:val="00C55FBE"/>
    <w:rsid w:val="00C57FB9"/>
    <w:rsid w:val="00C62AB8"/>
    <w:rsid w:val="00C6394F"/>
    <w:rsid w:val="00C639C2"/>
    <w:rsid w:val="00C6692C"/>
    <w:rsid w:val="00C706A4"/>
    <w:rsid w:val="00C72439"/>
    <w:rsid w:val="00C76A20"/>
    <w:rsid w:val="00C770DD"/>
    <w:rsid w:val="00C77DBE"/>
    <w:rsid w:val="00C8519B"/>
    <w:rsid w:val="00C8665E"/>
    <w:rsid w:val="00C873BC"/>
    <w:rsid w:val="00C87E23"/>
    <w:rsid w:val="00C909EC"/>
    <w:rsid w:val="00C94D2B"/>
    <w:rsid w:val="00C975C2"/>
    <w:rsid w:val="00C97B08"/>
    <w:rsid w:val="00C97E55"/>
    <w:rsid w:val="00CA6852"/>
    <w:rsid w:val="00CB09AE"/>
    <w:rsid w:val="00CB0F33"/>
    <w:rsid w:val="00CB1726"/>
    <w:rsid w:val="00CB1CC9"/>
    <w:rsid w:val="00CB3B7E"/>
    <w:rsid w:val="00CB739D"/>
    <w:rsid w:val="00CB794A"/>
    <w:rsid w:val="00CC0A94"/>
    <w:rsid w:val="00CC4A13"/>
    <w:rsid w:val="00CD2125"/>
    <w:rsid w:val="00CD3FA8"/>
    <w:rsid w:val="00CD4C21"/>
    <w:rsid w:val="00CD4DD8"/>
    <w:rsid w:val="00CD596D"/>
    <w:rsid w:val="00CE0671"/>
    <w:rsid w:val="00CE07B3"/>
    <w:rsid w:val="00CE18FC"/>
    <w:rsid w:val="00CE4487"/>
    <w:rsid w:val="00CE7A15"/>
    <w:rsid w:val="00CF09D0"/>
    <w:rsid w:val="00CF1B52"/>
    <w:rsid w:val="00CF1ED7"/>
    <w:rsid w:val="00CF2942"/>
    <w:rsid w:val="00CF33DE"/>
    <w:rsid w:val="00D0632B"/>
    <w:rsid w:val="00D1010F"/>
    <w:rsid w:val="00D105CA"/>
    <w:rsid w:val="00D1155F"/>
    <w:rsid w:val="00D12ACB"/>
    <w:rsid w:val="00D12E7F"/>
    <w:rsid w:val="00D13434"/>
    <w:rsid w:val="00D200CC"/>
    <w:rsid w:val="00D25F96"/>
    <w:rsid w:val="00D2612B"/>
    <w:rsid w:val="00D26EE8"/>
    <w:rsid w:val="00D27585"/>
    <w:rsid w:val="00D341EB"/>
    <w:rsid w:val="00D37AF6"/>
    <w:rsid w:val="00D37BD5"/>
    <w:rsid w:val="00D44163"/>
    <w:rsid w:val="00D518EC"/>
    <w:rsid w:val="00D57055"/>
    <w:rsid w:val="00D60A3E"/>
    <w:rsid w:val="00D65BF1"/>
    <w:rsid w:val="00D7462F"/>
    <w:rsid w:val="00D75B38"/>
    <w:rsid w:val="00D766F3"/>
    <w:rsid w:val="00D84283"/>
    <w:rsid w:val="00D867D2"/>
    <w:rsid w:val="00D9033C"/>
    <w:rsid w:val="00D90398"/>
    <w:rsid w:val="00D95389"/>
    <w:rsid w:val="00D961F2"/>
    <w:rsid w:val="00DA12B6"/>
    <w:rsid w:val="00DA2CAA"/>
    <w:rsid w:val="00DA467E"/>
    <w:rsid w:val="00DA6231"/>
    <w:rsid w:val="00DA6912"/>
    <w:rsid w:val="00DA7D66"/>
    <w:rsid w:val="00DB6A07"/>
    <w:rsid w:val="00DB7FD2"/>
    <w:rsid w:val="00DC1EFF"/>
    <w:rsid w:val="00DC3402"/>
    <w:rsid w:val="00DC4482"/>
    <w:rsid w:val="00DC48DD"/>
    <w:rsid w:val="00DC5C15"/>
    <w:rsid w:val="00DD1124"/>
    <w:rsid w:val="00DD495C"/>
    <w:rsid w:val="00DD4D00"/>
    <w:rsid w:val="00DD71FF"/>
    <w:rsid w:val="00DE32A9"/>
    <w:rsid w:val="00DE5807"/>
    <w:rsid w:val="00DE6393"/>
    <w:rsid w:val="00DF191F"/>
    <w:rsid w:val="00DF35E3"/>
    <w:rsid w:val="00DF3A67"/>
    <w:rsid w:val="00DF3E57"/>
    <w:rsid w:val="00E000FA"/>
    <w:rsid w:val="00E00274"/>
    <w:rsid w:val="00E0288C"/>
    <w:rsid w:val="00E03AD4"/>
    <w:rsid w:val="00E124D7"/>
    <w:rsid w:val="00E12949"/>
    <w:rsid w:val="00E13139"/>
    <w:rsid w:val="00E2563C"/>
    <w:rsid w:val="00E263A5"/>
    <w:rsid w:val="00E268A3"/>
    <w:rsid w:val="00E32387"/>
    <w:rsid w:val="00E33AE1"/>
    <w:rsid w:val="00E33F81"/>
    <w:rsid w:val="00E341A9"/>
    <w:rsid w:val="00E34462"/>
    <w:rsid w:val="00E409B0"/>
    <w:rsid w:val="00E4292E"/>
    <w:rsid w:val="00E432EE"/>
    <w:rsid w:val="00E441EC"/>
    <w:rsid w:val="00E46090"/>
    <w:rsid w:val="00E4610D"/>
    <w:rsid w:val="00E54179"/>
    <w:rsid w:val="00E542E7"/>
    <w:rsid w:val="00E552A8"/>
    <w:rsid w:val="00E55766"/>
    <w:rsid w:val="00E56DD4"/>
    <w:rsid w:val="00E600A3"/>
    <w:rsid w:val="00E60823"/>
    <w:rsid w:val="00E6253D"/>
    <w:rsid w:val="00E62D17"/>
    <w:rsid w:val="00E640D3"/>
    <w:rsid w:val="00E64617"/>
    <w:rsid w:val="00E64C58"/>
    <w:rsid w:val="00E718F6"/>
    <w:rsid w:val="00E72523"/>
    <w:rsid w:val="00E729C7"/>
    <w:rsid w:val="00E74B1D"/>
    <w:rsid w:val="00E74E51"/>
    <w:rsid w:val="00E764AA"/>
    <w:rsid w:val="00E85041"/>
    <w:rsid w:val="00E8506B"/>
    <w:rsid w:val="00E85FF3"/>
    <w:rsid w:val="00E9147A"/>
    <w:rsid w:val="00E919EB"/>
    <w:rsid w:val="00E93104"/>
    <w:rsid w:val="00E93DF3"/>
    <w:rsid w:val="00E9567D"/>
    <w:rsid w:val="00EA2213"/>
    <w:rsid w:val="00EA3AD9"/>
    <w:rsid w:val="00EA6522"/>
    <w:rsid w:val="00EB192E"/>
    <w:rsid w:val="00EB33B3"/>
    <w:rsid w:val="00EB35B7"/>
    <w:rsid w:val="00EB4CF7"/>
    <w:rsid w:val="00EB5967"/>
    <w:rsid w:val="00EC0172"/>
    <w:rsid w:val="00EC19DE"/>
    <w:rsid w:val="00EC1EE6"/>
    <w:rsid w:val="00EC286F"/>
    <w:rsid w:val="00EC5B2F"/>
    <w:rsid w:val="00ED0434"/>
    <w:rsid w:val="00ED09D5"/>
    <w:rsid w:val="00ED0A21"/>
    <w:rsid w:val="00ED3CD3"/>
    <w:rsid w:val="00EE1135"/>
    <w:rsid w:val="00EE4F03"/>
    <w:rsid w:val="00EF26DD"/>
    <w:rsid w:val="00EF28E1"/>
    <w:rsid w:val="00EF5021"/>
    <w:rsid w:val="00EF5972"/>
    <w:rsid w:val="00EF6207"/>
    <w:rsid w:val="00EF761B"/>
    <w:rsid w:val="00F0165F"/>
    <w:rsid w:val="00F04718"/>
    <w:rsid w:val="00F05339"/>
    <w:rsid w:val="00F05B53"/>
    <w:rsid w:val="00F06C6F"/>
    <w:rsid w:val="00F1160C"/>
    <w:rsid w:val="00F1231E"/>
    <w:rsid w:val="00F12682"/>
    <w:rsid w:val="00F12B40"/>
    <w:rsid w:val="00F13B58"/>
    <w:rsid w:val="00F145E9"/>
    <w:rsid w:val="00F17319"/>
    <w:rsid w:val="00F20C71"/>
    <w:rsid w:val="00F22D41"/>
    <w:rsid w:val="00F23B0F"/>
    <w:rsid w:val="00F24FE4"/>
    <w:rsid w:val="00F31176"/>
    <w:rsid w:val="00F33713"/>
    <w:rsid w:val="00F343E5"/>
    <w:rsid w:val="00F35139"/>
    <w:rsid w:val="00F3760C"/>
    <w:rsid w:val="00F37F38"/>
    <w:rsid w:val="00F4127B"/>
    <w:rsid w:val="00F4611A"/>
    <w:rsid w:val="00F508B6"/>
    <w:rsid w:val="00F50E65"/>
    <w:rsid w:val="00F53227"/>
    <w:rsid w:val="00F54A51"/>
    <w:rsid w:val="00F61ED2"/>
    <w:rsid w:val="00F754FC"/>
    <w:rsid w:val="00F76336"/>
    <w:rsid w:val="00F769BB"/>
    <w:rsid w:val="00F82EFE"/>
    <w:rsid w:val="00F843BA"/>
    <w:rsid w:val="00F8599D"/>
    <w:rsid w:val="00F863CA"/>
    <w:rsid w:val="00FA0298"/>
    <w:rsid w:val="00FA04F5"/>
    <w:rsid w:val="00FA2073"/>
    <w:rsid w:val="00FA40FB"/>
    <w:rsid w:val="00FA506C"/>
    <w:rsid w:val="00FB2B9F"/>
    <w:rsid w:val="00FB3B5C"/>
    <w:rsid w:val="00FB522A"/>
    <w:rsid w:val="00FB5241"/>
    <w:rsid w:val="00FB5506"/>
    <w:rsid w:val="00FB7C4C"/>
    <w:rsid w:val="00FC2183"/>
    <w:rsid w:val="00FC2BD7"/>
    <w:rsid w:val="00FC4569"/>
    <w:rsid w:val="00FD034A"/>
    <w:rsid w:val="00FD0511"/>
    <w:rsid w:val="00FD0B99"/>
    <w:rsid w:val="00FD4E47"/>
    <w:rsid w:val="00FD7375"/>
    <w:rsid w:val="00FE5CB5"/>
    <w:rsid w:val="00FE6E7E"/>
    <w:rsid w:val="00FE73E9"/>
    <w:rsid w:val="00FF08A8"/>
    <w:rsid w:val="00FF30B8"/>
    <w:rsid w:val="00FF3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D774C1"/>
  <w15:chartTrackingRefBased/>
  <w15:docId w15:val="{5232FD68-238D-4687-B086-E234F18F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618"/>
    <w:rPr>
      <w:noProof/>
      <w:lang w:val="en-GB"/>
    </w:rPr>
  </w:style>
  <w:style w:type="paragraph" w:styleId="Heading1">
    <w:name w:val="heading 1"/>
    <w:basedOn w:val="Normal"/>
    <w:next w:val="Normal"/>
    <w:link w:val="Heading1Char"/>
    <w:uiPriority w:val="9"/>
    <w:qFormat/>
    <w:rsid w:val="00A33B7B"/>
    <w:pPr>
      <w:spacing w:after="0" w:line="360" w:lineRule="auto"/>
      <w:jc w:val="center"/>
      <w:outlineLvl w:val="0"/>
    </w:pPr>
    <w:rPr>
      <w:rFonts w:ascii="Arial" w:eastAsia="Times New Roman" w:hAnsi="Arial" w:cs="Arial"/>
      <w:b/>
      <w:bCs/>
      <w:noProof w:val="0"/>
      <w:kern w:val="0"/>
      <w:sz w:val="28"/>
      <w:szCs w:val="28"/>
      <w:lang w:val="en-ZA" w:eastAsia="en-ZA"/>
      <w14:ligatures w14:val="none"/>
    </w:rPr>
  </w:style>
  <w:style w:type="paragraph" w:styleId="Heading2">
    <w:name w:val="heading 2"/>
    <w:basedOn w:val="Normal"/>
    <w:next w:val="Normal"/>
    <w:link w:val="Heading2Char"/>
    <w:uiPriority w:val="9"/>
    <w:semiHidden/>
    <w:unhideWhenUsed/>
    <w:qFormat/>
    <w:rsid w:val="005A1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C286F"/>
    <w:pPr>
      <w:keepNext/>
      <w:keepLines/>
      <w:spacing w:before="40" w:after="0"/>
      <w:outlineLvl w:val="3"/>
    </w:pPr>
    <w:rPr>
      <w:rFonts w:ascii="Cambria" w:eastAsia="Cambria" w:hAnsi="Cambria" w:cs="Cambria"/>
      <w:b/>
      <w:color w:val="4F81BD"/>
      <w:kern w:val="0"/>
      <w:lang w:val="en-US" w:eastAsia="fr-M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C3189"/>
    <w:rPr>
      <w:color w:val="0000FF"/>
      <w:u w:val="single"/>
    </w:rPr>
  </w:style>
  <w:style w:type="character" w:styleId="CommentReference">
    <w:name w:val="annotation reference"/>
    <w:basedOn w:val="DefaultParagraphFont"/>
    <w:uiPriority w:val="99"/>
    <w:semiHidden/>
    <w:unhideWhenUsed/>
    <w:rsid w:val="007617DD"/>
    <w:rPr>
      <w:sz w:val="16"/>
      <w:szCs w:val="16"/>
    </w:rPr>
  </w:style>
  <w:style w:type="paragraph" w:styleId="CommentText">
    <w:name w:val="annotation text"/>
    <w:basedOn w:val="Normal"/>
    <w:link w:val="CommentTextChar"/>
    <w:uiPriority w:val="99"/>
    <w:unhideWhenUsed/>
    <w:rsid w:val="007617DD"/>
    <w:pPr>
      <w:spacing w:line="240" w:lineRule="auto"/>
    </w:pPr>
    <w:rPr>
      <w:sz w:val="20"/>
      <w:szCs w:val="20"/>
    </w:rPr>
  </w:style>
  <w:style w:type="character" w:customStyle="1" w:styleId="CommentTextChar">
    <w:name w:val="Comment Text Char"/>
    <w:basedOn w:val="DefaultParagraphFont"/>
    <w:link w:val="CommentText"/>
    <w:uiPriority w:val="99"/>
    <w:rsid w:val="007617DD"/>
    <w:rPr>
      <w:sz w:val="20"/>
      <w:szCs w:val="20"/>
    </w:rPr>
  </w:style>
  <w:style w:type="paragraph" w:styleId="CommentSubject">
    <w:name w:val="annotation subject"/>
    <w:basedOn w:val="CommentText"/>
    <w:next w:val="CommentText"/>
    <w:link w:val="CommentSubjectChar"/>
    <w:uiPriority w:val="99"/>
    <w:semiHidden/>
    <w:unhideWhenUsed/>
    <w:rsid w:val="007617DD"/>
    <w:rPr>
      <w:b/>
      <w:bCs/>
    </w:rPr>
  </w:style>
  <w:style w:type="character" w:customStyle="1" w:styleId="CommentSubjectChar">
    <w:name w:val="Comment Subject Char"/>
    <w:basedOn w:val="CommentTextChar"/>
    <w:link w:val="CommentSubject"/>
    <w:uiPriority w:val="99"/>
    <w:semiHidden/>
    <w:rsid w:val="007617DD"/>
    <w:rPr>
      <w:b/>
      <w:bCs/>
      <w:sz w:val="20"/>
      <w:szCs w:val="20"/>
    </w:rPr>
  </w:style>
  <w:style w:type="paragraph" w:styleId="BalloonText">
    <w:name w:val="Balloon Text"/>
    <w:basedOn w:val="Normal"/>
    <w:link w:val="BalloonTextChar"/>
    <w:uiPriority w:val="99"/>
    <w:semiHidden/>
    <w:unhideWhenUsed/>
    <w:rsid w:val="00761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7DD"/>
    <w:rPr>
      <w:rFonts w:ascii="Segoe UI" w:hAnsi="Segoe UI" w:cs="Segoe UI"/>
      <w:sz w:val="18"/>
      <w:szCs w:val="18"/>
    </w:rPr>
  </w:style>
  <w:style w:type="paragraph" w:styleId="Revision">
    <w:name w:val="Revision"/>
    <w:hidden/>
    <w:uiPriority w:val="99"/>
    <w:semiHidden/>
    <w:rsid w:val="00D26EE8"/>
    <w:pPr>
      <w:spacing w:after="0" w:line="240" w:lineRule="auto"/>
    </w:pPr>
  </w:style>
  <w:style w:type="character" w:customStyle="1" w:styleId="UnresolvedMention">
    <w:name w:val="Unresolved Mention"/>
    <w:basedOn w:val="DefaultParagraphFont"/>
    <w:uiPriority w:val="99"/>
    <w:semiHidden/>
    <w:unhideWhenUsed/>
    <w:rsid w:val="00907BB5"/>
    <w:rPr>
      <w:color w:val="605E5C"/>
      <w:shd w:val="clear" w:color="auto" w:fill="E1DFDD"/>
    </w:rPr>
  </w:style>
  <w:style w:type="paragraph" w:styleId="Header">
    <w:name w:val="header"/>
    <w:basedOn w:val="Normal"/>
    <w:link w:val="HeaderChar"/>
    <w:uiPriority w:val="99"/>
    <w:unhideWhenUsed/>
    <w:rsid w:val="007C4E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4EA8"/>
  </w:style>
  <w:style w:type="paragraph" w:styleId="Footer">
    <w:name w:val="footer"/>
    <w:basedOn w:val="Normal"/>
    <w:link w:val="FooterChar"/>
    <w:uiPriority w:val="99"/>
    <w:unhideWhenUsed/>
    <w:rsid w:val="007C4E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EA8"/>
  </w:style>
  <w:style w:type="character" w:customStyle="1" w:styleId="Heading4Char">
    <w:name w:val="Heading 4 Char"/>
    <w:basedOn w:val="DefaultParagraphFont"/>
    <w:link w:val="Heading4"/>
    <w:uiPriority w:val="9"/>
    <w:semiHidden/>
    <w:rsid w:val="00EC286F"/>
    <w:rPr>
      <w:rFonts w:ascii="Cambria" w:eastAsia="Cambria" w:hAnsi="Cambria" w:cs="Cambria"/>
      <w:b/>
      <w:color w:val="4F81BD"/>
      <w:kern w:val="0"/>
      <w:lang w:val="en-US" w:eastAsia="fr-ML"/>
      <w14:ligatures w14:val="none"/>
    </w:rPr>
  </w:style>
  <w:style w:type="character" w:styleId="Strong">
    <w:name w:val="Strong"/>
    <w:basedOn w:val="DefaultParagraphFont"/>
    <w:uiPriority w:val="22"/>
    <w:qFormat/>
    <w:rsid w:val="00EC286F"/>
    <w:rPr>
      <w:b/>
      <w:bCs/>
    </w:rPr>
  </w:style>
  <w:style w:type="character" w:customStyle="1" w:styleId="Heading2Char">
    <w:name w:val="Heading 2 Char"/>
    <w:basedOn w:val="DefaultParagraphFont"/>
    <w:link w:val="Heading2"/>
    <w:uiPriority w:val="9"/>
    <w:semiHidden/>
    <w:rsid w:val="005A1C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4DF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805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CAA"/>
    <w:rPr>
      <w:sz w:val="20"/>
      <w:szCs w:val="20"/>
    </w:rPr>
  </w:style>
  <w:style w:type="character" w:styleId="FootnoteReference">
    <w:name w:val="footnote reference"/>
    <w:basedOn w:val="DefaultParagraphFont"/>
    <w:uiPriority w:val="99"/>
    <w:semiHidden/>
    <w:unhideWhenUsed/>
    <w:rsid w:val="00805CAA"/>
    <w:rPr>
      <w:vertAlign w:val="superscript"/>
    </w:rPr>
  </w:style>
  <w:style w:type="character" w:styleId="LineNumber">
    <w:name w:val="line number"/>
    <w:basedOn w:val="DefaultParagraphFont"/>
    <w:uiPriority w:val="99"/>
    <w:semiHidden/>
    <w:unhideWhenUsed/>
    <w:rsid w:val="00321F6C"/>
  </w:style>
  <w:style w:type="paragraph" w:styleId="Caption">
    <w:name w:val="caption"/>
    <w:basedOn w:val="Normal"/>
    <w:next w:val="Normal"/>
    <w:uiPriority w:val="35"/>
    <w:unhideWhenUsed/>
    <w:qFormat/>
    <w:rsid w:val="00AA3DE4"/>
    <w:pPr>
      <w:spacing w:after="200" w:line="240" w:lineRule="auto"/>
      <w:ind w:left="714" w:hanging="357"/>
      <w:jc w:val="both"/>
    </w:pPr>
    <w:rPr>
      <w:rFonts w:ascii="Calibri" w:eastAsia="Calibri" w:hAnsi="Calibri" w:cs="Times New Roman"/>
      <w:i/>
      <w:iCs/>
      <w:noProof w:val="0"/>
      <w:color w:val="44546A" w:themeColor="text2"/>
      <w:kern w:val="0"/>
      <w:sz w:val="18"/>
      <w:szCs w:val="18"/>
      <w:lang w:val="fr-FR"/>
      <w14:ligatures w14:val="none"/>
    </w:rPr>
  </w:style>
  <w:style w:type="table" w:styleId="TableGrid">
    <w:name w:val="Table Grid"/>
    <w:basedOn w:val="TableNormal"/>
    <w:uiPriority w:val="39"/>
    <w:rsid w:val="00667B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4FB2"/>
    <w:rPr>
      <w:i/>
      <w:iCs/>
    </w:rPr>
  </w:style>
  <w:style w:type="paragraph" w:styleId="ListParagraph">
    <w:name w:val="List Paragraph"/>
    <w:basedOn w:val="Normal"/>
    <w:uiPriority w:val="34"/>
    <w:qFormat/>
    <w:rsid w:val="00B51916"/>
    <w:pPr>
      <w:ind w:left="720"/>
      <w:contextualSpacing/>
    </w:pPr>
  </w:style>
  <w:style w:type="paragraph" w:styleId="HTMLPreformatted">
    <w:name w:val="HTML Preformatted"/>
    <w:basedOn w:val="Normal"/>
    <w:link w:val="HTMLPreformattedChar"/>
    <w:uiPriority w:val="99"/>
    <w:semiHidden/>
    <w:unhideWhenUsed/>
    <w:rsid w:val="00A621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2158"/>
    <w:rPr>
      <w:rFonts w:ascii="Consolas" w:hAnsi="Consolas"/>
      <w:noProof/>
      <w:sz w:val="20"/>
      <w:szCs w:val="20"/>
      <w:lang w:val="en-GB"/>
    </w:rPr>
  </w:style>
  <w:style w:type="character" w:customStyle="1" w:styleId="Heading1Char">
    <w:name w:val="Heading 1 Char"/>
    <w:basedOn w:val="DefaultParagraphFont"/>
    <w:link w:val="Heading1"/>
    <w:uiPriority w:val="9"/>
    <w:rsid w:val="00A33B7B"/>
    <w:rPr>
      <w:rFonts w:ascii="Arial" w:eastAsia="Times New Roman" w:hAnsi="Arial" w:cs="Arial"/>
      <w:b/>
      <w:bCs/>
      <w:kern w:val="0"/>
      <w:sz w:val="28"/>
      <w:szCs w:val="28"/>
      <w:lang w:val="en-ZA" w:eastAsia="en-ZA"/>
      <w14:ligatures w14:val="none"/>
    </w:rPr>
  </w:style>
  <w:style w:type="character" w:styleId="EndnoteReference">
    <w:name w:val="endnote reference"/>
    <w:basedOn w:val="DefaultParagraphFont"/>
    <w:uiPriority w:val="99"/>
    <w:semiHidden/>
    <w:unhideWhenUsed/>
    <w:rsid w:val="005A2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2266">
      <w:bodyDiv w:val="1"/>
      <w:marLeft w:val="0"/>
      <w:marRight w:val="0"/>
      <w:marTop w:val="0"/>
      <w:marBottom w:val="0"/>
      <w:divBdr>
        <w:top w:val="none" w:sz="0" w:space="0" w:color="auto"/>
        <w:left w:val="none" w:sz="0" w:space="0" w:color="auto"/>
        <w:bottom w:val="none" w:sz="0" w:space="0" w:color="auto"/>
        <w:right w:val="none" w:sz="0" w:space="0" w:color="auto"/>
      </w:divBdr>
      <w:divsChild>
        <w:div w:id="481895747">
          <w:marLeft w:val="0"/>
          <w:marRight w:val="0"/>
          <w:marTop w:val="0"/>
          <w:marBottom w:val="0"/>
          <w:divBdr>
            <w:top w:val="none" w:sz="0" w:space="0" w:color="auto"/>
            <w:left w:val="none" w:sz="0" w:space="0" w:color="auto"/>
            <w:bottom w:val="none" w:sz="0" w:space="0" w:color="auto"/>
            <w:right w:val="none" w:sz="0" w:space="0" w:color="auto"/>
          </w:divBdr>
          <w:divsChild>
            <w:div w:id="1298341938">
              <w:marLeft w:val="0"/>
              <w:marRight w:val="0"/>
              <w:marTop w:val="0"/>
              <w:marBottom w:val="0"/>
              <w:divBdr>
                <w:top w:val="none" w:sz="0" w:space="0" w:color="auto"/>
                <w:left w:val="none" w:sz="0" w:space="0" w:color="auto"/>
                <w:bottom w:val="none" w:sz="0" w:space="0" w:color="auto"/>
                <w:right w:val="none" w:sz="0" w:space="0" w:color="auto"/>
              </w:divBdr>
            </w:div>
          </w:divsChild>
        </w:div>
        <w:div w:id="900365527">
          <w:marLeft w:val="0"/>
          <w:marRight w:val="0"/>
          <w:marTop w:val="0"/>
          <w:marBottom w:val="0"/>
          <w:divBdr>
            <w:top w:val="single" w:sz="6" w:space="0" w:color="F0F0F0"/>
            <w:left w:val="none" w:sz="0" w:space="0" w:color="auto"/>
            <w:bottom w:val="none" w:sz="0" w:space="0" w:color="auto"/>
            <w:right w:val="none" w:sz="0" w:space="0" w:color="auto"/>
          </w:divBdr>
          <w:divsChild>
            <w:div w:id="129128786">
              <w:marLeft w:val="0"/>
              <w:marRight w:val="0"/>
              <w:marTop w:val="0"/>
              <w:marBottom w:val="0"/>
              <w:divBdr>
                <w:top w:val="none" w:sz="0" w:space="0" w:color="auto"/>
                <w:left w:val="none" w:sz="0" w:space="0" w:color="auto"/>
                <w:bottom w:val="none" w:sz="0" w:space="0" w:color="auto"/>
                <w:right w:val="none" w:sz="0" w:space="0" w:color="auto"/>
              </w:divBdr>
              <w:divsChild>
                <w:div w:id="1648121245">
                  <w:marLeft w:val="0"/>
                  <w:marRight w:val="0"/>
                  <w:marTop w:val="0"/>
                  <w:marBottom w:val="0"/>
                  <w:divBdr>
                    <w:top w:val="none" w:sz="0" w:space="0" w:color="auto"/>
                    <w:left w:val="none" w:sz="0" w:space="0" w:color="auto"/>
                    <w:bottom w:val="none" w:sz="0" w:space="0" w:color="auto"/>
                    <w:right w:val="none" w:sz="0" w:space="0" w:color="auto"/>
                  </w:divBdr>
                  <w:divsChild>
                    <w:div w:id="1807626596">
                      <w:marLeft w:val="0"/>
                      <w:marRight w:val="0"/>
                      <w:marTop w:val="0"/>
                      <w:marBottom w:val="0"/>
                      <w:divBdr>
                        <w:top w:val="none" w:sz="0" w:space="0" w:color="auto"/>
                        <w:left w:val="none" w:sz="0" w:space="0" w:color="auto"/>
                        <w:bottom w:val="none" w:sz="0" w:space="0" w:color="auto"/>
                        <w:right w:val="none" w:sz="0" w:space="0" w:color="auto"/>
                      </w:divBdr>
                      <w:divsChild>
                        <w:div w:id="14978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8807">
      <w:bodyDiv w:val="1"/>
      <w:marLeft w:val="0"/>
      <w:marRight w:val="0"/>
      <w:marTop w:val="0"/>
      <w:marBottom w:val="0"/>
      <w:divBdr>
        <w:top w:val="none" w:sz="0" w:space="0" w:color="auto"/>
        <w:left w:val="none" w:sz="0" w:space="0" w:color="auto"/>
        <w:bottom w:val="none" w:sz="0" w:space="0" w:color="auto"/>
        <w:right w:val="none" w:sz="0" w:space="0" w:color="auto"/>
      </w:divBdr>
      <w:divsChild>
        <w:div w:id="354891506">
          <w:marLeft w:val="0"/>
          <w:marRight w:val="0"/>
          <w:marTop w:val="0"/>
          <w:marBottom w:val="0"/>
          <w:divBdr>
            <w:top w:val="single" w:sz="6" w:space="0" w:color="F0F0F0"/>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sChild>
                <w:div w:id="1596859130">
                  <w:marLeft w:val="0"/>
                  <w:marRight w:val="0"/>
                  <w:marTop w:val="0"/>
                  <w:marBottom w:val="0"/>
                  <w:divBdr>
                    <w:top w:val="none" w:sz="0" w:space="0" w:color="auto"/>
                    <w:left w:val="none" w:sz="0" w:space="0" w:color="auto"/>
                    <w:bottom w:val="none" w:sz="0" w:space="0" w:color="auto"/>
                    <w:right w:val="none" w:sz="0" w:space="0" w:color="auto"/>
                  </w:divBdr>
                  <w:divsChild>
                    <w:div w:id="1010596685">
                      <w:marLeft w:val="0"/>
                      <w:marRight w:val="0"/>
                      <w:marTop w:val="0"/>
                      <w:marBottom w:val="0"/>
                      <w:divBdr>
                        <w:top w:val="none" w:sz="0" w:space="0" w:color="auto"/>
                        <w:left w:val="none" w:sz="0" w:space="0" w:color="auto"/>
                        <w:bottom w:val="none" w:sz="0" w:space="0" w:color="auto"/>
                        <w:right w:val="none" w:sz="0" w:space="0" w:color="auto"/>
                      </w:divBdr>
                      <w:divsChild>
                        <w:div w:id="1743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2666">
          <w:marLeft w:val="0"/>
          <w:marRight w:val="0"/>
          <w:marTop w:val="0"/>
          <w:marBottom w:val="0"/>
          <w:divBdr>
            <w:top w:val="none" w:sz="0" w:space="0" w:color="auto"/>
            <w:left w:val="none" w:sz="0" w:space="0" w:color="auto"/>
            <w:bottom w:val="none" w:sz="0" w:space="0" w:color="auto"/>
            <w:right w:val="none" w:sz="0" w:space="0" w:color="auto"/>
          </w:divBdr>
          <w:divsChild>
            <w:div w:id="1087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2377">
      <w:bodyDiv w:val="1"/>
      <w:marLeft w:val="0"/>
      <w:marRight w:val="0"/>
      <w:marTop w:val="0"/>
      <w:marBottom w:val="0"/>
      <w:divBdr>
        <w:top w:val="none" w:sz="0" w:space="0" w:color="auto"/>
        <w:left w:val="none" w:sz="0" w:space="0" w:color="auto"/>
        <w:bottom w:val="none" w:sz="0" w:space="0" w:color="auto"/>
        <w:right w:val="none" w:sz="0" w:space="0" w:color="auto"/>
      </w:divBdr>
    </w:div>
    <w:div w:id="90705732">
      <w:bodyDiv w:val="1"/>
      <w:marLeft w:val="0"/>
      <w:marRight w:val="0"/>
      <w:marTop w:val="0"/>
      <w:marBottom w:val="0"/>
      <w:divBdr>
        <w:top w:val="none" w:sz="0" w:space="0" w:color="auto"/>
        <w:left w:val="none" w:sz="0" w:space="0" w:color="auto"/>
        <w:bottom w:val="none" w:sz="0" w:space="0" w:color="auto"/>
        <w:right w:val="none" w:sz="0" w:space="0" w:color="auto"/>
      </w:divBdr>
    </w:div>
    <w:div w:id="179469821">
      <w:bodyDiv w:val="1"/>
      <w:marLeft w:val="0"/>
      <w:marRight w:val="0"/>
      <w:marTop w:val="0"/>
      <w:marBottom w:val="0"/>
      <w:divBdr>
        <w:top w:val="none" w:sz="0" w:space="0" w:color="auto"/>
        <w:left w:val="none" w:sz="0" w:space="0" w:color="auto"/>
        <w:bottom w:val="none" w:sz="0" w:space="0" w:color="auto"/>
        <w:right w:val="none" w:sz="0" w:space="0" w:color="auto"/>
      </w:divBdr>
      <w:divsChild>
        <w:div w:id="129173279">
          <w:marLeft w:val="0"/>
          <w:marRight w:val="0"/>
          <w:marTop w:val="0"/>
          <w:marBottom w:val="0"/>
          <w:divBdr>
            <w:top w:val="none" w:sz="0" w:space="0" w:color="auto"/>
            <w:left w:val="none" w:sz="0" w:space="0" w:color="auto"/>
            <w:bottom w:val="none" w:sz="0" w:space="0" w:color="auto"/>
            <w:right w:val="none" w:sz="0" w:space="0" w:color="auto"/>
          </w:divBdr>
        </w:div>
      </w:divsChild>
    </w:div>
    <w:div w:id="200438561">
      <w:bodyDiv w:val="1"/>
      <w:marLeft w:val="0"/>
      <w:marRight w:val="0"/>
      <w:marTop w:val="0"/>
      <w:marBottom w:val="0"/>
      <w:divBdr>
        <w:top w:val="none" w:sz="0" w:space="0" w:color="auto"/>
        <w:left w:val="none" w:sz="0" w:space="0" w:color="auto"/>
        <w:bottom w:val="none" w:sz="0" w:space="0" w:color="auto"/>
        <w:right w:val="none" w:sz="0" w:space="0" w:color="auto"/>
      </w:divBdr>
      <w:divsChild>
        <w:div w:id="498547651">
          <w:marLeft w:val="0"/>
          <w:marRight w:val="0"/>
          <w:marTop w:val="0"/>
          <w:marBottom w:val="0"/>
          <w:divBdr>
            <w:top w:val="none" w:sz="0" w:space="0" w:color="auto"/>
            <w:left w:val="none" w:sz="0" w:space="0" w:color="auto"/>
            <w:bottom w:val="none" w:sz="0" w:space="0" w:color="auto"/>
            <w:right w:val="none" w:sz="0" w:space="0" w:color="auto"/>
          </w:divBdr>
        </w:div>
        <w:div w:id="1411272142">
          <w:marLeft w:val="0"/>
          <w:marRight w:val="0"/>
          <w:marTop w:val="0"/>
          <w:marBottom w:val="0"/>
          <w:divBdr>
            <w:top w:val="none" w:sz="0" w:space="0" w:color="auto"/>
            <w:left w:val="none" w:sz="0" w:space="0" w:color="auto"/>
            <w:bottom w:val="none" w:sz="0" w:space="0" w:color="auto"/>
            <w:right w:val="none" w:sz="0" w:space="0" w:color="auto"/>
          </w:divBdr>
        </w:div>
        <w:div w:id="66654933">
          <w:marLeft w:val="0"/>
          <w:marRight w:val="0"/>
          <w:marTop w:val="0"/>
          <w:marBottom w:val="0"/>
          <w:divBdr>
            <w:top w:val="none" w:sz="0" w:space="0" w:color="auto"/>
            <w:left w:val="none" w:sz="0" w:space="0" w:color="auto"/>
            <w:bottom w:val="none" w:sz="0" w:space="0" w:color="auto"/>
            <w:right w:val="none" w:sz="0" w:space="0" w:color="auto"/>
          </w:divBdr>
        </w:div>
        <w:div w:id="114717233">
          <w:marLeft w:val="0"/>
          <w:marRight w:val="0"/>
          <w:marTop w:val="0"/>
          <w:marBottom w:val="0"/>
          <w:divBdr>
            <w:top w:val="none" w:sz="0" w:space="0" w:color="auto"/>
            <w:left w:val="none" w:sz="0" w:space="0" w:color="auto"/>
            <w:bottom w:val="none" w:sz="0" w:space="0" w:color="auto"/>
            <w:right w:val="none" w:sz="0" w:space="0" w:color="auto"/>
          </w:divBdr>
        </w:div>
        <w:div w:id="2027251457">
          <w:marLeft w:val="0"/>
          <w:marRight w:val="0"/>
          <w:marTop w:val="0"/>
          <w:marBottom w:val="0"/>
          <w:divBdr>
            <w:top w:val="none" w:sz="0" w:space="0" w:color="auto"/>
            <w:left w:val="none" w:sz="0" w:space="0" w:color="auto"/>
            <w:bottom w:val="none" w:sz="0" w:space="0" w:color="auto"/>
            <w:right w:val="none" w:sz="0" w:space="0" w:color="auto"/>
          </w:divBdr>
        </w:div>
        <w:div w:id="692532873">
          <w:marLeft w:val="0"/>
          <w:marRight w:val="0"/>
          <w:marTop w:val="0"/>
          <w:marBottom w:val="0"/>
          <w:divBdr>
            <w:top w:val="none" w:sz="0" w:space="0" w:color="auto"/>
            <w:left w:val="none" w:sz="0" w:space="0" w:color="auto"/>
            <w:bottom w:val="none" w:sz="0" w:space="0" w:color="auto"/>
            <w:right w:val="none" w:sz="0" w:space="0" w:color="auto"/>
          </w:divBdr>
        </w:div>
        <w:div w:id="1245845431">
          <w:marLeft w:val="0"/>
          <w:marRight w:val="0"/>
          <w:marTop w:val="0"/>
          <w:marBottom w:val="0"/>
          <w:divBdr>
            <w:top w:val="none" w:sz="0" w:space="0" w:color="auto"/>
            <w:left w:val="none" w:sz="0" w:space="0" w:color="auto"/>
            <w:bottom w:val="none" w:sz="0" w:space="0" w:color="auto"/>
            <w:right w:val="none" w:sz="0" w:space="0" w:color="auto"/>
          </w:divBdr>
        </w:div>
        <w:div w:id="1265528000">
          <w:marLeft w:val="0"/>
          <w:marRight w:val="0"/>
          <w:marTop w:val="0"/>
          <w:marBottom w:val="0"/>
          <w:divBdr>
            <w:top w:val="none" w:sz="0" w:space="0" w:color="auto"/>
            <w:left w:val="none" w:sz="0" w:space="0" w:color="auto"/>
            <w:bottom w:val="none" w:sz="0" w:space="0" w:color="auto"/>
            <w:right w:val="none" w:sz="0" w:space="0" w:color="auto"/>
          </w:divBdr>
        </w:div>
        <w:div w:id="564341679">
          <w:marLeft w:val="0"/>
          <w:marRight w:val="0"/>
          <w:marTop w:val="0"/>
          <w:marBottom w:val="0"/>
          <w:divBdr>
            <w:top w:val="none" w:sz="0" w:space="0" w:color="auto"/>
            <w:left w:val="none" w:sz="0" w:space="0" w:color="auto"/>
            <w:bottom w:val="none" w:sz="0" w:space="0" w:color="auto"/>
            <w:right w:val="none" w:sz="0" w:space="0" w:color="auto"/>
          </w:divBdr>
        </w:div>
        <w:div w:id="1844927580">
          <w:marLeft w:val="0"/>
          <w:marRight w:val="0"/>
          <w:marTop w:val="0"/>
          <w:marBottom w:val="0"/>
          <w:divBdr>
            <w:top w:val="none" w:sz="0" w:space="0" w:color="auto"/>
            <w:left w:val="none" w:sz="0" w:space="0" w:color="auto"/>
            <w:bottom w:val="none" w:sz="0" w:space="0" w:color="auto"/>
            <w:right w:val="none" w:sz="0" w:space="0" w:color="auto"/>
          </w:divBdr>
        </w:div>
        <w:div w:id="1227448484">
          <w:marLeft w:val="0"/>
          <w:marRight w:val="0"/>
          <w:marTop w:val="0"/>
          <w:marBottom w:val="0"/>
          <w:divBdr>
            <w:top w:val="none" w:sz="0" w:space="0" w:color="auto"/>
            <w:left w:val="none" w:sz="0" w:space="0" w:color="auto"/>
            <w:bottom w:val="none" w:sz="0" w:space="0" w:color="auto"/>
            <w:right w:val="none" w:sz="0" w:space="0" w:color="auto"/>
          </w:divBdr>
        </w:div>
      </w:divsChild>
    </w:div>
    <w:div w:id="286015441">
      <w:bodyDiv w:val="1"/>
      <w:marLeft w:val="0"/>
      <w:marRight w:val="0"/>
      <w:marTop w:val="0"/>
      <w:marBottom w:val="0"/>
      <w:divBdr>
        <w:top w:val="none" w:sz="0" w:space="0" w:color="auto"/>
        <w:left w:val="none" w:sz="0" w:space="0" w:color="auto"/>
        <w:bottom w:val="none" w:sz="0" w:space="0" w:color="auto"/>
        <w:right w:val="none" w:sz="0" w:space="0" w:color="auto"/>
      </w:divBdr>
    </w:div>
    <w:div w:id="339892947">
      <w:bodyDiv w:val="1"/>
      <w:marLeft w:val="0"/>
      <w:marRight w:val="0"/>
      <w:marTop w:val="0"/>
      <w:marBottom w:val="0"/>
      <w:divBdr>
        <w:top w:val="none" w:sz="0" w:space="0" w:color="auto"/>
        <w:left w:val="none" w:sz="0" w:space="0" w:color="auto"/>
        <w:bottom w:val="none" w:sz="0" w:space="0" w:color="auto"/>
        <w:right w:val="none" w:sz="0" w:space="0" w:color="auto"/>
      </w:divBdr>
      <w:divsChild>
        <w:div w:id="2071154532">
          <w:marLeft w:val="0"/>
          <w:marRight w:val="0"/>
          <w:marTop w:val="0"/>
          <w:marBottom w:val="0"/>
          <w:divBdr>
            <w:top w:val="none" w:sz="0" w:space="0" w:color="auto"/>
            <w:left w:val="none" w:sz="0" w:space="0" w:color="auto"/>
            <w:bottom w:val="none" w:sz="0" w:space="0" w:color="auto"/>
            <w:right w:val="none" w:sz="0" w:space="0" w:color="auto"/>
          </w:divBdr>
        </w:div>
        <w:div w:id="1630747542">
          <w:marLeft w:val="0"/>
          <w:marRight w:val="0"/>
          <w:marTop w:val="0"/>
          <w:marBottom w:val="0"/>
          <w:divBdr>
            <w:top w:val="none" w:sz="0" w:space="0" w:color="auto"/>
            <w:left w:val="none" w:sz="0" w:space="0" w:color="auto"/>
            <w:bottom w:val="none" w:sz="0" w:space="0" w:color="auto"/>
            <w:right w:val="none" w:sz="0" w:space="0" w:color="auto"/>
          </w:divBdr>
        </w:div>
        <w:div w:id="84884284">
          <w:marLeft w:val="0"/>
          <w:marRight w:val="0"/>
          <w:marTop w:val="0"/>
          <w:marBottom w:val="0"/>
          <w:divBdr>
            <w:top w:val="none" w:sz="0" w:space="0" w:color="auto"/>
            <w:left w:val="none" w:sz="0" w:space="0" w:color="auto"/>
            <w:bottom w:val="none" w:sz="0" w:space="0" w:color="auto"/>
            <w:right w:val="none" w:sz="0" w:space="0" w:color="auto"/>
          </w:divBdr>
        </w:div>
      </w:divsChild>
    </w:div>
    <w:div w:id="473715426">
      <w:bodyDiv w:val="1"/>
      <w:marLeft w:val="0"/>
      <w:marRight w:val="0"/>
      <w:marTop w:val="0"/>
      <w:marBottom w:val="0"/>
      <w:divBdr>
        <w:top w:val="none" w:sz="0" w:space="0" w:color="auto"/>
        <w:left w:val="none" w:sz="0" w:space="0" w:color="auto"/>
        <w:bottom w:val="none" w:sz="0" w:space="0" w:color="auto"/>
        <w:right w:val="none" w:sz="0" w:space="0" w:color="auto"/>
      </w:divBdr>
    </w:div>
    <w:div w:id="512769675">
      <w:bodyDiv w:val="1"/>
      <w:marLeft w:val="0"/>
      <w:marRight w:val="0"/>
      <w:marTop w:val="0"/>
      <w:marBottom w:val="0"/>
      <w:divBdr>
        <w:top w:val="none" w:sz="0" w:space="0" w:color="auto"/>
        <w:left w:val="none" w:sz="0" w:space="0" w:color="auto"/>
        <w:bottom w:val="none" w:sz="0" w:space="0" w:color="auto"/>
        <w:right w:val="none" w:sz="0" w:space="0" w:color="auto"/>
      </w:divBdr>
    </w:div>
    <w:div w:id="567812956">
      <w:bodyDiv w:val="1"/>
      <w:marLeft w:val="0"/>
      <w:marRight w:val="0"/>
      <w:marTop w:val="0"/>
      <w:marBottom w:val="0"/>
      <w:divBdr>
        <w:top w:val="none" w:sz="0" w:space="0" w:color="auto"/>
        <w:left w:val="none" w:sz="0" w:space="0" w:color="auto"/>
        <w:bottom w:val="none" w:sz="0" w:space="0" w:color="auto"/>
        <w:right w:val="none" w:sz="0" w:space="0" w:color="auto"/>
      </w:divBdr>
    </w:div>
    <w:div w:id="599223247">
      <w:bodyDiv w:val="1"/>
      <w:marLeft w:val="0"/>
      <w:marRight w:val="0"/>
      <w:marTop w:val="0"/>
      <w:marBottom w:val="0"/>
      <w:divBdr>
        <w:top w:val="none" w:sz="0" w:space="0" w:color="auto"/>
        <w:left w:val="none" w:sz="0" w:space="0" w:color="auto"/>
        <w:bottom w:val="none" w:sz="0" w:space="0" w:color="auto"/>
        <w:right w:val="none" w:sz="0" w:space="0" w:color="auto"/>
      </w:divBdr>
    </w:div>
    <w:div w:id="675620862">
      <w:bodyDiv w:val="1"/>
      <w:marLeft w:val="0"/>
      <w:marRight w:val="0"/>
      <w:marTop w:val="0"/>
      <w:marBottom w:val="0"/>
      <w:divBdr>
        <w:top w:val="none" w:sz="0" w:space="0" w:color="auto"/>
        <w:left w:val="none" w:sz="0" w:space="0" w:color="auto"/>
        <w:bottom w:val="none" w:sz="0" w:space="0" w:color="auto"/>
        <w:right w:val="none" w:sz="0" w:space="0" w:color="auto"/>
      </w:divBdr>
      <w:divsChild>
        <w:div w:id="910701271">
          <w:marLeft w:val="0"/>
          <w:marRight w:val="0"/>
          <w:marTop w:val="0"/>
          <w:marBottom w:val="0"/>
          <w:divBdr>
            <w:top w:val="none" w:sz="0" w:space="0" w:color="auto"/>
            <w:left w:val="none" w:sz="0" w:space="0" w:color="auto"/>
            <w:bottom w:val="none" w:sz="0" w:space="0" w:color="auto"/>
            <w:right w:val="none" w:sz="0" w:space="0" w:color="auto"/>
          </w:divBdr>
          <w:divsChild>
            <w:div w:id="195122947">
              <w:marLeft w:val="0"/>
              <w:marRight w:val="0"/>
              <w:marTop w:val="0"/>
              <w:marBottom w:val="0"/>
              <w:divBdr>
                <w:top w:val="none" w:sz="0" w:space="0" w:color="auto"/>
                <w:left w:val="none" w:sz="0" w:space="0" w:color="auto"/>
                <w:bottom w:val="none" w:sz="0" w:space="0" w:color="auto"/>
                <w:right w:val="none" w:sz="0" w:space="0" w:color="auto"/>
              </w:divBdr>
            </w:div>
          </w:divsChild>
        </w:div>
        <w:div w:id="1436439168">
          <w:marLeft w:val="0"/>
          <w:marRight w:val="0"/>
          <w:marTop w:val="0"/>
          <w:marBottom w:val="0"/>
          <w:divBdr>
            <w:top w:val="single" w:sz="6" w:space="0" w:color="F0F0F0"/>
            <w:left w:val="none" w:sz="0" w:space="0" w:color="auto"/>
            <w:bottom w:val="none" w:sz="0" w:space="0" w:color="auto"/>
            <w:right w:val="none" w:sz="0" w:space="0" w:color="auto"/>
          </w:divBdr>
          <w:divsChild>
            <w:div w:id="692341988">
              <w:marLeft w:val="0"/>
              <w:marRight w:val="0"/>
              <w:marTop w:val="0"/>
              <w:marBottom w:val="0"/>
              <w:divBdr>
                <w:top w:val="none" w:sz="0" w:space="0" w:color="auto"/>
                <w:left w:val="none" w:sz="0" w:space="0" w:color="auto"/>
                <w:bottom w:val="none" w:sz="0" w:space="0" w:color="auto"/>
                <w:right w:val="none" w:sz="0" w:space="0" w:color="auto"/>
              </w:divBdr>
              <w:divsChild>
                <w:div w:id="912155209">
                  <w:marLeft w:val="0"/>
                  <w:marRight w:val="0"/>
                  <w:marTop w:val="0"/>
                  <w:marBottom w:val="0"/>
                  <w:divBdr>
                    <w:top w:val="none" w:sz="0" w:space="0" w:color="auto"/>
                    <w:left w:val="none" w:sz="0" w:space="0" w:color="auto"/>
                    <w:bottom w:val="none" w:sz="0" w:space="0" w:color="auto"/>
                    <w:right w:val="none" w:sz="0" w:space="0" w:color="auto"/>
                  </w:divBdr>
                  <w:divsChild>
                    <w:div w:id="1633635071">
                      <w:marLeft w:val="0"/>
                      <w:marRight w:val="0"/>
                      <w:marTop w:val="0"/>
                      <w:marBottom w:val="0"/>
                      <w:divBdr>
                        <w:top w:val="none" w:sz="0" w:space="0" w:color="auto"/>
                        <w:left w:val="none" w:sz="0" w:space="0" w:color="auto"/>
                        <w:bottom w:val="none" w:sz="0" w:space="0" w:color="auto"/>
                        <w:right w:val="none" w:sz="0" w:space="0" w:color="auto"/>
                      </w:divBdr>
                      <w:divsChild>
                        <w:div w:id="1298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399">
      <w:bodyDiv w:val="1"/>
      <w:marLeft w:val="0"/>
      <w:marRight w:val="0"/>
      <w:marTop w:val="0"/>
      <w:marBottom w:val="0"/>
      <w:divBdr>
        <w:top w:val="none" w:sz="0" w:space="0" w:color="auto"/>
        <w:left w:val="none" w:sz="0" w:space="0" w:color="auto"/>
        <w:bottom w:val="none" w:sz="0" w:space="0" w:color="auto"/>
        <w:right w:val="none" w:sz="0" w:space="0" w:color="auto"/>
      </w:divBdr>
    </w:div>
    <w:div w:id="717585632">
      <w:bodyDiv w:val="1"/>
      <w:marLeft w:val="0"/>
      <w:marRight w:val="0"/>
      <w:marTop w:val="0"/>
      <w:marBottom w:val="0"/>
      <w:divBdr>
        <w:top w:val="none" w:sz="0" w:space="0" w:color="auto"/>
        <w:left w:val="none" w:sz="0" w:space="0" w:color="auto"/>
        <w:bottom w:val="none" w:sz="0" w:space="0" w:color="auto"/>
        <w:right w:val="none" w:sz="0" w:space="0" w:color="auto"/>
      </w:divBdr>
      <w:divsChild>
        <w:div w:id="875384815">
          <w:marLeft w:val="0"/>
          <w:marRight w:val="0"/>
          <w:marTop w:val="0"/>
          <w:marBottom w:val="0"/>
          <w:divBdr>
            <w:top w:val="none" w:sz="0" w:space="0" w:color="auto"/>
            <w:left w:val="none" w:sz="0" w:space="0" w:color="auto"/>
            <w:bottom w:val="none" w:sz="0" w:space="0" w:color="auto"/>
            <w:right w:val="none" w:sz="0" w:space="0" w:color="auto"/>
          </w:divBdr>
        </w:div>
      </w:divsChild>
    </w:div>
    <w:div w:id="777523527">
      <w:bodyDiv w:val="1"/>
      <w:marLeft w:val="0"/>
      <w:marRight w:val="0"/>
      <w:marTop w:val="0"/>
      <w:marBottom w:val="0"/>
      <w:divBdr>
        <w:top w:val="none" w:sz="0" w:space="0" w:color="auto"/>
        <w:left w:val="none" w:sz="0" w:space="0" w:color="auto"/>
        <w:bottom w:val="none" w:sz="0" w:space="0" w:color="auto"/>
        <w:right w:val="none" w:sz="0" w:space="0" w:color="auto"/>
      </w:divBdr>
    </w:div>
    <w:div w:id="811412100">
      <w:bodyDiv w:val="1"/>
      <w:marLeft w:val="0"/>
      <w:marRight w:val="0"/>
      <w:marTop w:val="0"/>
      <w:marBottom w:val="0"/>
      <w:divBdr>
        <w:top w:val="none" w:sz="0" w:space="0" w:color="auto"/>
        <w:left w:val="none" w:sz="0" w:space="0" w:color="auto"/>
        <w:bottom w:val="none" w:sz="0" w:space="0" w:color="auto"/>
        <w:right w:val="none" w:sz="0" w:space="0" w:color="auto"/>
      </w:divBdr>
    </w:div>
    <w:div w:id="816728512">
      <w:bodyDiv w:val="1"/>
      <w:marLeft w:val="0"/>
      <w:marRight w:val="0"/>
      <w:marTop w:val="0"/>
      <w:marBottom w:val="0"/>
      <w:divBdr>
        <w:top w:val="none" w:sz="0" w:space="0" w:color="auto"/>
        <w:left w:val="none" w:sz="0" w:space="0" w:color="auto"/>
        <w:bottom w:val="none" w:sz="0" w:space="0" w:color="auto"/>
        <w:right w:val="none" w:sz="0" w:space="0" w:color="auto"/>
      </w:divBdr>
    </w:div>
    <w:div w:id="818690702">
      <w:bodyDiv w:val="1"/>
      <w:marLeft w:val="0"/>
      <w:marRight w:val="0"/>
      <w:marTop w:val="0"/>
      <w:marBottom w:val="0"/>
      <w:divBdr>
        <w:top w:val="none" w:sz="0" w:space="0" w:color="auto"/>
        <w:left w:val="none" w:sz="0" w:space="0" w:color="auto"/>
        <w:bottom w:val="none" w:sz="0" w:space="0" w:color="auto"/>
        <w:right w:val="none" w:sz="0" w:space="0" w:color="auto"/>
      </w:divBdr>
    </w:div>
    <w:div w:id="971178357">
      <w:bodyDiv w:val="1"/>
      <w:marLeft w:val="0"/>
      <w:marRight w:val="0"/>
      <w:marTop w:val="0"/>
      <w:marBottom w:val="0"/>
      <w:divBdr>
        <w:top w:val="none" w:sz="0" w:space="0" w:color="auto"/>
        <w:left w:val="none" w:sz="0" w:space="0" w:color="auto"/>
        <w:bottom w:val="none" w:sz="0" w:space="0" w:color="auto"/>
        <w:right w:val="none" w:sz="0" w:space="0" w:color="auto"/>
      </w:divBdr>
    </w:div>
    <w:div w:id="990720990">
      <w:bodyDiv w:val="1"/>
      <w:marLeft w:val="0"/>
      <w:marRight w:val="0"/>
      <w:marTop w:val="0"/>
      <w:marBottom w:val="0"/>
      <w:divBdr>
        <w:top w:val="none" w:sz="0" w:space="0" w:color="auto"/>
        <w:left w:val="none" w:sz="0" w:space="0" w:color="auto"/>
        <w:bottom w:val="none" w:sz="0" w:space="0" w:color="auto"/>
        <w:right w:val="none" w:sz="0" w:space="0" w:color="auto"/>
      </w:divBdr>
    </w:div>
    <w:div w:id="1092318607">
      <w:bodyDiv w:val="1"/>
      <w:marLeft w:val="0"/>
      <w:marRight w:val="0"/>
      <w:marTop w:val="0"/>
      <w:marBottom w:val="0"/>
      <w:divBdr>
        <w:top w:val="none" w:sz="0" w:space="0" w:color="auto"/>
        <w:left w:val="none" w:sz="0" w:space="0" w:color="auto"/>
        <w:bottom w:val="none" w:sz="0" w:space="0" w:color="auto"/>
        <w:right w:val="none" w:sz="0" w:space="0" w:color="auto"/>
      </w:divBdr>
      <w:divsChild>
        <w:div w:id="1510028363">
          <w:marLeft w:val="0"/>
          <w:marRight w:val="0"/>
          <w:marTop w:val="0"/>
          <w:marBottom w:val="0"/>
          <w:divBdr>
            <w:top w:val="none" w:sz="0" w:space="0" w:color="auto"/>
            <w:left w:val="none" w:sz="0" w:space="0" w:color="auto"/>
            <w:bottom w:val="none" w:sz="0" w:space="0" w:color="auto"/>
            <w:right w:val="none" w:sz="0" w:space="0" w:color="auto"/>
          </w:divBdr>
        </w:div>
        <w:div w:id="911239416">
          <w:marLeft w:val="0"/>
          <w:marRight w:val="0"/>
          <w:marTop w:val="0"/>
          <w:marBottom w:val="0"/>
          <w:divBdr>
            <w:top w:val="none" w:sz="0" w:space="0" w:color="auto"/>
            <w:left w:val="none" w:sz="0" w:space="0" w:color="auto"/>
            <w:bottom w:val="none" w:sz="0" w:space="0" w:color="auto"/>
            <w:right w:val="none" w:sz="0" w:space="0" w:color="auto"/>
          </w:divBdr>
        </w:div>
        <w:div w:id="654650089">
          <w:marLeft w:val="0"/>
          <w:marRight w:val="0"/>
          <w:marTop w:val="0"/>
          <w:marBottom w:val="0"/>
          <w:divBdr>
            <w:top w:val="none" w:sz="0" w:space="0" w:color="auto"/>
            <w:left w:val="none" w:sz="0" w:space="0" w:color="auto"/>
            <w:bottom w:val="none" w:sz="0" w:space="0" w:color="auto"/>
            <w:right w:val="none" w:sz="0" w:space="0" w:color="auto"/>
          </w:divBdr>
        </w:div>
      </w:divsChild>
    </w:div>
    <w:div w:id="1194153493">
      <w:bodyDiv w:val="1"/>
      <w:marLeft w:val="0"/>
      <w:marRight w:val="0"/>
      <w:marTop w:val="0"/>
      <w:marBottom w:val="0"/>
      <w:divBdr>
        <w:top w:val="none" w:sz="0" w:space="0" w:color="auto"/>
        <w:left w:val="none" w:sz="0" w:space="0" w:color="auto"/>
        <w:bottom w:val="none" w:sz="0" w:space="0" w:color="auto"/>
        <w:right w:val="none" w:sz="0" w:space="0" w:color="auto"/>
      </w:divBdr>
    </w:div>
    <w:div w:id="1241595428">
      <w:bodyDiv w:val="1"/>
      <w:marLeft w:val="0"/>
      <w:marRight w:val="0"/>
      <w:marTop w:val="0"/>
      <w:marBottom w:val="0"/>
      <w:divBdr>
        <w:top w:val="none" w:sz="0" w:space="0" w:color="auto"/>
        <w:left w:val="none" w:sz="0" w:space="0" w:color="auto"/>
        <w:bottom w:val="none" w:sz="0" w:space="0" w:color="auto"/>
        <w:right w:val="none" w:sz="0" w:space="0" w:color="auto"/>
      </w:divBdr>
    </w:div>
    <w:div w:id="1260404924">
      <w:bodyDiv w:val="1"/>
      <w:marLeft w:val="0"/>
      <w:marRight w:val="0"/>
      <w:marTop w:val="0"/>
      <w:marBottom w:val="0"/>
      <w:divBdr>
        <w:top w:val="none" w:sz="0" w:space="0" w:color="auto"/>
        <w:left w:val="none" w:sz="0" w:space="0" w:color="auto"/>
        <w:bottom w:val="none" w:sz="0" w:space="0" w:color="auto"/>
        <w:right w:val="none" w:sz="0" w:space="0" w:color="auto"/>
      </w:divBdr>
    </w:div>
    <w:div w:id="1272929534">
      <w:bodyDiv w:val="1"/>
      <w:marLeft w:val="0"/>
      <w:marRight w:val="0"/>
      <w:marTop w:val="0"/>
      <w:marBottom w:val="0"/>
      <w:divBdr>
        <w:top w:val="none" w:sz="0" w:space="0" w:color="auto"/>
        <w:left w:val="none" w:sz="0" w:space="0" w:color="auto"/>
        <w:bottom w:val="none" w:sz="0" w:space="0" w:color="auto"/>
        <w:right w:val="none" w:sz="0" w:space="0" w:color="auto"/>
      </w:divBdr>
      <w:divsChild>
        <w:div w:id="100154591">
          <w:marLeft w:val="0"/>
          <w:marRight w:val="0"/>
          <w:marTop w:val="0"/>
          <w:marBottom w:val="0"/>
          <w:divBdr>
            <w:top w:val="none" w:sz="0" w:space="0" w:color="auto"/>
            <w:left w:val="none" w:sz="0" w:space="0" w:color="auto"/>
            <w:bottom w:val="none" w:sz="0" w:space="0" w:color="auto"/>
            <w:right w:val="none" w:sz="0" w:space="0" w:color="auto"/>
          </w:divBdr>
        </w:div>
      </w:divsChild>
    </w:div>
    <w:div w:id="1289700527">
      <w:bodyDiv w:val="1"/>
      <w:marLeft w:val="0"/>
      <w:marRight w:val="0"/>
      <w:marTop w:val="0"/>
      <w:marBottom w:val="0"/>
      <w:divBdr>
        <w:top w:val="none" w:sz="0" w:space="0" w:color="auto"/>
        <w:left w:val="none" w:sz="0" w:space="0" w:color="auto"/>
        <w:bottom w:val="none" w:sz="0" w:space="0" w:color="auto"/>
        <w:right w:val="none" w:sz="0" w:space="0" w:color="auto"/>
      </w:divBdr>
      <w:divsChild>
        <w:div w:id="1368721571">
          <w:marLeft w:val="0"/>
          <w:marRight w:val="0"/>
          <w:marTop w:val="0"/>
          <w:marBottom w:val="0"/>
          <w:divBdr>
            <w:top w:val="single" w:sz="6" w:space="0" w:color="F0F0F0"/>
            <w:left w:val="none" w:sz="0" w:space="0" w:color="auto"/>
            <w:bottom w:val="none" w:sz="0" w:space="0" w:color="auto"/>
            <w:right w:val="none" w:sz="0" w:space="0" w:color="auto"/>
          </w:divBdr>
          <w:divsChild>
            <w:div w:id="439103740">
              <w:marLeft w:val="0"/>
              <w:marRight w:val="0"/>
              <w:marTop w:val="0"/>
              <w:marBottom w:val="0"/>
              <w:divBdr>
                <w:top w:val="none" w:sz="0" w:space="0" w:color="auto"/>
                <w:left w:val="none" w:sz="0" w:space="0" w:color="auto"/>
                <w:bottom w:val="none" w:sz="0" w:space="0" w:color="auto"/>
                <w:right w:val="none" w:sz="0" w:space="0" w:color="auto"/>
              </w:divBdr>
              <w:divsChild>
                <w:div w:id="648707945">
                  <w:marLeft w:val="0"/>
                  <w:marRight w:val="0"/>
                  <w:marTop w:val="0"/>
                  <w:marBottom w:val="0"/>
                  <w:divBdr>
                    <w:top w:val="none" w:sz="0" w:space="0" w:color="auto"/>
                    <w:left w:val="none" w:sz="0" w:space="0" w:color="auto"/>
                    <w:bottom w:val="none" w:sz="0" w:space="0" w:color="auto"/>
                    <w:right w:val="none" w:sz="0" w:space="0" w:color="auto"/>
                  </w:divBdr>
                  <w:divsChild>
                    <w:div w:id="1669940133">
                      <w:marLeft w:val="0"/>
                      <w:marRight w:val="0"/>
                      <w:marTop w:val="0"/>
                      <w:marBottom w:val="0"/>
                      <w:divBdr>
                        <w:top w:val="none" w:sz="0" w:space="0" w:color="auto"/>
                        <w:left w:val="none" w:sz="0" w:space="0" w:color="auto"/>
                        <w:bottom w:val="none" w:sz="0" w:space="0" w:color="auto"/>
                        <w:right w:val="none" w:sz="0" w:space="0" w:color="auto"/>
                      </w:divBdr>
                      <w:divsChild>
                        <w:div w:id="20525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29659">
          <w:marLeft w:val="0"/>
          <w:marRight w:val="0"/>
          <w:marTop w:val="0"/>
          <w:marBottom w:val="0"/>
          <w:divBdr>
            <w:top w:val="none" w:sz="0" w:space="0" w:color="auto"/>
            <w:left w:val="none" w:sz="0" w:space="0" w:color="auto"/>
            <w:bottom w:val="none" w:sz="0" w:space="0" w:color="auto"/>
            <w:right w:val="none" w:sz="0" w:space="0" w:color="auto"/>
          </w:divBdr>
          <w:divsChild>
            <w:div w:id="19197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8522">
      <w:bodyDiv w:val="1"/>
      <w:marLeft w:val="0"/>
      <w:marRight w:val="0"/>
      <w:marTop w:val="0"/>
      <w:marBottom w:val="0"/>
      <w:divBdr>
        <w:top w:val="none" w:sz="0" w:space="0" w:color="auto"/>
        <w:left w:val="none" w:sz="0" w:space="0" w:color="auto"/>
        <w:bottom w:val="none" w:sz="0" w:space="0" w:color="auto"/>
        <w:right w:val="none" w:sz="0" w:space="0" w:color="auto"/>
      </w:divBdr>
      <w:divsChild>
        <w:div w:id="618073686">
          <w:marLeft w:val="0"/>
          <w:marRight w:val="0"/>
          <w:marTop w:val="0"/>
          <w:marBottom w:val="0"/>
          <w:divBdr>
            <w:top w:val="none" w:sz="0" w:space="0" w:color="auto"/>
            <w:left w:val="none" w:sz="0" w:space="0" w:color="auto"/>
            <w:bottom w:val="none" w:sz="0" w:space="0" w:color="auto"/>
            <w:right w:val="none" w:sz="0" w:space="0" w:color="auto"/>
          </w:divBdr>
        </w:div>
        <w:div w:id="234751836">
          <w:marLeft w:val="0"/>
          <w:marRight w:val="0"/>
          <w:marTop w:val="0"/>
          <w:marBottom w:val="0"/>
          <w:divBdr>
            <w:top w:val="none" w:sz="0" w:space="0" w:color="auto"/>
            <w:left w:val="none" w:sz="0" w:space="0" w:color="auto"/>
            <w:bottom w:val="none" w:sz="0" w:space="0" w:color="auto"/>
            <w:right w:val="none" w:sz="0" w:space="0" w:color="auto"/>
          </w:divBdr>
        </w:div>
        <w:div w:id="1511069573">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 w:id="244194053">
          <w:marLeft w:val="0"/>
          <w:marRight w:val="0"/>
          <w:marTop w:val="0"/>
          <w:marBottom w:val="0"/>
          <w:divBdr>
            <w:top w:val="none" w:sz="0" w:space="0" w:color="auto"/>
            <w:left w:val="none" w:sz="0" w:space="0" w:color="auto"/>
            <w:bottom w:val="none" w:sz="0" w:space="0" w:color="auto"/>
            <w:right w:val="none" w:sz="0" w:space="0" w:color="auto"/>
          </w:divBdr>
        </w:div>
        <w:div w:id="598485264">
          <w:marLeft w:val="0"/>
          <w:marRight w:val="0"/>
          <w:marTop w:val="0"/>
          <w:marBottom w:val="0"/>
          <w:divBdr>
            <w:top w:val="none" w:sz="0" w:space="0" w:color="auto"/>
            <w:left w:val="none" w:sz="0" w:space="0" w:color="auto"/>
            <w:bottom w:val="none" w:sz="0" w:space="0" w:color="auto"/>
            <w:right w:val="none" w:sz="0" w:space="0" w:color="auto"/>
          </w:divBdr>
        </w:div>
        <w:div w:id="1498420004">
          <w:marLeft w:val="0"/>
          <w:marRight w:val="0"/>
          <w:marTop w:val="0"/>
          <w:marBottom w:val="0"/>
          <w:divBdr>
            <w:top w:val="none" w:sz="0" w:space="0" w:color="auto"/>
            <w:left w:val="none" w:sz="0" w:space="0" w:color="auto"/>
            <w:bottom w:val="none" w:sz="0" w:space="0" w:color="auto"/>
            <w:right w:val="none" w:sz="0" w:space="0" w:color="auto"/>
          </w:divBdr>
        </w:div>
        <w:div w:id="1504929204">
          <w:marLeft w:val="0"/>
          <w:marRight w:val="0"/>
          <w:marTop w:val="0"/>
          <w:marBottom w:val="0"/>
          <w:divBdr>
            <w:top w:val="none" w:sz="0" w:space="0" w:color="auto"/>
            <w:left w:val="none" w:sz="0" w:space="0" w:color="auto"/>
            <w:bottom w:val="none" w:sz="0" w:space="0" w:color="auto"/>
            <w:right w:val="none" w:sz="0" w:space="0" w:color="auto"/>
          </w:divBdr>
        </w:div>
        <w:div w:id="1101947066">
          <w:marLeft w:val="0"/>
          <w:marRight w:val="0"/>
          <w:marTop w:val="0"/>
          <w:marBottom w:val="0"/>
          <w:divBdr>
            <w:top w:val="none" w:sz="0" w:space="0" w:color="auto"/>
            <w:left w:val="none" w:sz="0" w:space="0" w:color="auto"/>
            <w:bottom w:val="none" w:sz="0" w:space="0" w:color="auto"/>
            <w:right w:val="none" w:sz="0" w:space="0" w:color="auto"/>
          </w:divBdr>
        </w:div>
        <w:div w:id="1781337596">
          <w:marLeft w:val="0"/>
          <w:marRight w:val="0"/>
          <w:marTop w:val="0"/>
          <w:marBottom w:val="0"/>
          <w:divBdr>
            <w:top w:val="none" w:sz="0" w:space="0" w:color="auto"/>
            <w:left w:val="none" w:sz="0" w:space="0" w:color="auto"/>
            <w:bottom w:val="none" w:sz="0" w:space="0" w:color="auto"/>
            <w:right w:val="none" w:sz="0" w:space="0" w:color="auto"/>
          </w:divBdr>
        </w:div>
        <w:div w:id="266279056">
          <w:marLeft w:val="0"/>
          <w:marRight w:val="0"/>
          <w:marTop w:val="0"/>
          <w:marBottom w:val="0"/>
          <w:divBdr>
            <w:top w:val="none" w:sz="0" w:space="0" w:color="auto"/>
            <w:left w:val="none" w:sz="0" w:space="0" w:color="auto"/>
            <w:bottom w:val="none" w:sz="0" w:space="0" w:color="auto"/>
            <w:right w:val="none" w:sz="0" w:space="0" w:color="auto"/>
          </w:divBdr>
        </w:div>
      </w:divsChild>
    </w:div>
    <w:div w:id="1389764810">
      <w:bodyDiv w:val="1"/>
      <w:marLeft w:val="0"/>
      <w:marRight w:val="0"/>
      <w:marTop w:val="0"/>
      <w:marBottom w:val="0"/>
      <w:divBdr>
        <w:top w:val="none" w:sz="0" w:space="0" w:color="auto"/>
        <w:left w:val="none" w:sz="0" w:space="0" w:color="auto"/>
        <w:bottom w:val="none" w:sz="0" w:space="0" w:color="auto"/>
        <w:right w:val="none" w:sz="0" w:space="0" w:color="auto"/>
      </w:divBdr>
    </w:div>
    <w:div w:id="1429962081">
      <w:bodyDiv w:val="1"/>
      <w:marLeft w:val="0"/>
      <w:marRight w:val="0"/>
      <w:marTop w:val="0"/>
      <w:marBottom w:val="0"/>
      <w:divBdr>
        <w:top w:val="none" w:sz="0" w:space="0" w:color="auto"/>
        <w:left w:val="none" w:sz="0" w:space="0" w:color="auto"/>
        <w:bottom w:val="none" w:sz="0" w:space="0" w:color="auto"/>
        <w:right w:val="none" w:sz="0" w:space="0" w:color="auto"/>
      </w:divBdr>
      <w:divsChild>
        <w:div w:id="1974557514">
          <w:marLeft w:val="0"/>
          <w:marRight w:val="0"/>
          <w:marTop w:val="0"/>
          <w:marBottom w:val="0"/>
          <w:divBdr>
            <w:top w:val="none" w:sz="0" w:space="0" w:color="auto"/>
            <w:left w:val="none" w:sz="0" w:space="0" w:color="auto"/>
            <w:bottom w:val="none" w:sz="0" w:space="0" w:color="auto"/>
            <w:right w:val="none" w:sz="0" w:space="0" w:color="auto"/>
          </w:divBdr>
        </w:div>
      </w:divsChild>
    </w:div>
    <w:div w:id="1446997635">
      <w:bodyDiv w:val="1"/>
      <w:marLeft w:val="0"/>
      <w:marRight w:val="0"/>
      <w:marTop w:val="0"/>
      <w:marBottom w:val="0"/>
      <w:divBdr>
        <w:top w:val="none" w:sz="0" w:space="0" w:color="auto"/>
        <w:left w:val="none" w:sz="0" w:space="0" w:color="auto"/>
        <w:bottom w:val="none" w:sz="0" w:space="0" w:color="auto"/>
        <w:right w:val="none" w:sz="0" w:space="0" w:color="auto"/>
      </w:divBdr>
    </w:div>
    <w:div w:id="1466435734">
      <w:bodyDiv w:val="1"/>
      <w:marLeft w:val="0"/>
      <w:marRight w:val="0"/>
      <w:marTop w:val="0"/>
      <w:marBottom w:val="0"/>
      <w:divBdr>
        <w:top w:val="none" w:sz="0" w:space="0" w:color="auto"/>
        <w:left w:val="none" w:sz="0" w:space="0" w:color="auto"/>
        <w:bottom w:val="none" w:sz="0" w:space="0" w:color="auto"/>
        <w:right w:val="none" w:sz="0" w:space="0" w:color="auto"/>
      </w:divBdr>
      <w:divsChild>
        <w:div w:id="1265647274">
          <w:marLeft w:val="0"/>
          <w:marRight w:val="0"/>
          <w:marTop w:val="0"/>
          <w:marBottom w:val="0"/>
          <w:divBdr>
            <w:top w:val="none" w:sz="0" w:space="0" w:color="auto"/>
            <w:left w:val="none" w:sz="0" w:space="0" w:color="auto"/>
            <w:bottom w:val="none" w:sz="0" w:space="0" w:color="auto"/>
            <w:right w:val="none" w:sz="0" w:space="0" w:color="auto"/>
          </w:divBdr>
          <w:divsChild>
            <w:div w:id="15884150">
              <w:marLeft w:val="0"/>
              <w:marRight w:val="0"/>
              <w:marTop w:val="0"/>
              <w:marBottom w:val="0"/>
              <w:divBdr>
                <w:top w:val="none" w:sz="0" w:space="0" w:color="auto"/>
                <w:left w:val="none" w:sz="0" w:space="0" w:color="auto"/>
                <w:bottom w:val="none" w:sz="0" w:space="0" w:color="auto"/>
                <w:right w:val="none" w:sz="0" w:space="0" w:color="auto"/>
              </w:divBdr>
            </w:div>
          </w:divsChild>
        </w:div>
        <w:div w:id="1943105282">
          <w:marLeft w:val="0"/>
          <w:marRight w:val="0"/>
          <w:marTop w:val="0"/>
          <w:marBottom w:val="0"/>
          <w:divBdr>
            <w:top w:val="single" w:sz="6" w:space="0" w:color="F0F0F0"/>
            <w:left w:val="none" w:sz="0" w:space="0" w:color="auto"/>
            <w:bottom w:val="none" w:sz="0" w:space="0" w:color="auto"/>
            <w:right w:val="none" w:sz="0" w:space="0" w:color="auto"/>
          </w:divBdr>
          <w:divsChild>
            <w:div w:id="1049720703">
              <w:marLeft w:val="0"/>
              <w:marRight w:val="0"/>
              <w:marTop w:val="0"/>
              <w:marBottom w:val="0"/>
              <w:divBdr>
                <w:top w:val="none" w:sz="0" w:space="0" w:color="auto"/>
                <w:left w:val="none" w:sz="0" w:space="0" w:color="auto"/>
                <w:bottom w:val="none" w:sz="0" w:space="0" w:color="auto"/>
                <w:right w:val="none" w:sz="0" w:space="0" w:color="auto"/>
              </w:divBdr>
              <w:divsChild>
                <w:div w:id="764422642">
                  <w:marLeft w:val="0"/>
                  <w:marRight w:val="0"/>
                  <w:marTop w:val="0"/>
                  <w:marBottom w:val="0"/>
                  <w:divBdr>
                    <w:top w:val="none" w:sz="0" w:space="0" w:color="auto"/>
                    <w:left w:val="none" w:sz="0" w:space="0" w:color="auto"/>
                    <w:bottom w:val="none" w:sz="0" w:space="0" w:color="auto"/>
                    <w:right w:val="none" w:sz="0" w:space="0" w:color="auto"/>
                  </w:divBdr>
                  <w:divsChild>
                    <w:div w:id="1437600610">
                      <w:marLeft w:val="0"/>
                      <w:marRight w:val="0"/>
                      <w:marTop w:val="0"/>
                      <w:marBottom w:val="0"/>
                      <w:divBdr>
                        <w:top w:val="none" w:sz="0" w:space="0" w:color="auto"/>
                        <w:left w:val="none" w:sz="0" w:space="0" w:color="auto"/>
                        <w:bottom w:val="none" w:sz="0" w:space="0" w:color="auto"/>
                        <w:right w:val="none" w:sz="0" w:space="0" w:color="auto"/>
                      </w:divBdr>
                      <w:divsChild>
                        <w:div w:id="4680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299466">
      <w:bodyDiv w:val="1"/>
      <w:marLeft w:val="0"/>
      <w:marRight w:val="0"/>
      <w:marTop w:val="0"/>
      <w:marBottom w:val="0"/>
      <w:divBdr>
        <w:top w:val="none" w:sz="0" w:space="0" w:color="auto"/>
        <w:left w:val="none" w:sz="0" w:space="0" w:color="auto"/>
        <w:bottom w:val="none" w:sz="0" w:space="0" w:color="auto"/>
        <w:right w:val="none" w:sz="0" w:space="0" w:color="auto"/>
      </w:divBdr>
    </w:div>
    <w:div w:id="1844395557">
      <w:bodyDiv w:val="1"/>
      <w:marLeft w:val="0"/>
      <w:marRight w:val="0"/>
      <w:marTop w:val="0"/>
      <w:marBottom w:val="0"/>
      <w:divBdr>
        <w:top w:val="none" w:sz="0" w:space="0" w:color="auto"/>
        <w:left w:val="none" w:sz="0" w:space="0" w:color="auto"/>
        <w:bottom w:val="none" w:sz="0" w:space="0" w:color="auto"/>
        <w:right w:val="none" w:sz="0" w:space="0" w:color="auto"/>
      </w:divBdr>
    </w:div>
    <w:div w:id="1874264193">
      <w:bodyDiv w:val="1"/>
      <w:marLeft w:val="0"/>
      <w:marRight w:val="0"/>
      <w:marTop w:val="0"/>
      <w:marBottom w:val="0"/>
      <w:divBdr>
        <w:top w:val="none" w:sz="0" w:space="0" w:color="auto"/>
        <w:left w:val="none" w:sz="0" w:space="0" w:color="auto"/>
        <w:bottom w:val="none" w:sz="0" w:space="0" w:color="auto"/>
        <w:right w:val="none" w:sz="0" w:space="0" w:color="auto"/>
      </w:divBdr>
    </w:div>
    <w:div w:id="1876426951">
      <w:bodyDiv w:val="1"/>
      <w:marLeft w:val="0"/>
      <w:marRight w:val="0"/>
      <w:marTop w:val="0"/>
      <w:marBottom w:val="0"/>
      <w:divBdr>
        <w:top w:val="none" w:sz="0" w:space="0" w:color="auto"/>
        <w:left w:val="none" w:sz="0" w:space="0" w:color="auto"/>
        <w:bottom w:val="none" w:sz="0" w:space="0" w:color="auto"/>
        <w:right w:val="none" w:sz="0" w:space="0" w:color="auto"/>
      </w:divBdr>
      <w:divsChild>
        <w:div w:id="2089883829">
          <w:marLeft w:val="0"/>
          <w:marRight w:val="0"/>
          <w:marTop w:val="0"/>
          <w:marBottom w:val="0"/>
          <w:divBdr>
            <w:top w:val="single" w:sz="6" w:space="0" w:color="F0F0F0"/>
            <w:left w:val="none" w:sz="0" w:space="0" w:color="auto"/>
            <w:bottom w:val="none" w:sz="0" w:space="0" w:color="auto"/>
            <w:right w:val="none" w:sz="0" w:space="0" w:color="auto"/>
          </w:divBdr>
          <w:divsChild>
            <w:div w:id="1713338199">
              <w:marLeft w:val="0"/>
              <w:marRight w:val="0"/>
              <w:marTop w:val="0"/>
              <w:marBottom w:val="0"/>
              <w:divBdr>
                <w:top w:val="none" w:sz="0" w:space="0" w:color="auto"/>
                <w:left w:val="none" w:sz="0" w:space="0" w:color="auto"/>
                <w:bottom w:val="none" w:sz="0" w:space="0" w:color="auto"/>
                <w:right w:val="none" w:sz="0" w:space="0" w:color="auto"/>
              </w:divBdr>
              <w:divsChild>
                <w:div w:id="1780637792">
                  <w:marLeft w:val="0"/>
                  <w:marRight w:val="0"/>
                  <w:marTop w:val="0"/>
                  <w:marBottom w:val="0"/>
                  <w:divBdr>
                    <w:top w:val="none" w:sz="0" w:space="0" w:color="auto"/>
                    <w:left w:val="none" w:sz="0" w:space="0" w:color="auto"/>
                    <w:bottom w:val="none" w:sz="0" w:space="0" w:color="auto"/>
                    <w:right w:val="none" w:sz="0" w:space="0" w:color="auto"/>
                  </w:divBdr>
                  <w:divsChild>
                    <w:div w:id="1126854506">
                      <w:marLeft w:val="0"/>
                      <w:marRight w:val="0"/>
                      <w:marTop w:val="0"/>
                      <w:marBottom w:val="0"/>
                      <w:divBdr>
                        <w:top w:val="none" w:sz="0" w:space="0" w:color="auto"/>
                        <w:left w:val="none" w:sz="0" w:space="0" w:color="auto"/>
                        <w:bottom w:val="none" w:sz="0" w:space="0" w:color="auto"/>
                        <w:right w:val="none" w:sz="0" w:space="0" w:color="auto"/>
                      </w:divBdr>
                      <w:divsChild>
                        <w:div w:id="2701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63025">
          <w:marLeft w:val="0"/>
          <w:marRight w:val="0"/>
          <w:marTop w:val="0"/>
          <w:marBottom w:val="0"/>
          <w:divBdr>
            <w:top w:val="none" w:sz="0" w:space="0" w:color="auto"/>
            <w:left w:val="none" w:sz="0" w:space="0" w:color="auto"/>
            <w:bottom w:val="none" w:sz="0" w:space="0" w:color="auto"/>
            <w:right w:val="none" w:sz="0" w:space="0" w:color="auto"/>
          </w:divBdr>
          <w:divsChild>
            <w:div w:id="1326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8637">
      <w:bodyDiv w:val="1"/>
      <w:marLeft w:val="0"/>
      <w:marRight w:val="0"/>
      <w:marTop w:val="0"/>
      <w:marBottom w:val="0"/>
      <w:divBdr>
        <w:top w:val="none" w:sz="0" w:space="0" w:color="auto"/>
        <w:left w:val="none" w:sz="0" w:space="0" w:color="auto"/>
        <w:bottom w:val="none" w:sz="0" w:space="0" w:color="auto"/>
        <w:right w:val="none" w:sz="0" w:space="0" w:color="auto"/>
      </w:divBdr>
    </w:div>
    <w:div w:id="1979796565">
      <w:bodyDiv w:val="1"/>
      <w:marLeft w:val="0"/>
      <w:marRight w:val="0"/>
      <w:marTop w:val="0"/>
      <w:marBottom w:val="0"/>
      <w:divBdr>
        <w:top w:val="none" w:sz="0" w:space="0" w:color="auto"/>
        <w:left w:val="none" w:sz="0" w:space="0" w:color="auto"/>
        <w:bottom w:val="none" w:sz="0" w:space="0" w:color="auto"/>
        <w:right w:val="none" w:sz="0" w:space="0" w:color="auto"/>
      </w:divBdr>
    </w:div>
    <w:div w:id="1995140427">
      <w:bodyDiv w:val="1"/>
      <w:marLeft w:val="0"/>
      <w:marRight w:val="0"/>
      <w:marTop w:val="0"/>
      <w:marBottom w:val="0"/>
      <w:divBdr>
        <w:top w:val="none" w:sz="0" w:space="0" w:color="auto"/>
        <w:left w:val="none" w:sz="0" w:space="0" w:color="auto"/>
        <w:bottom w:val="none" w:sz="0" w:space="0" w:color="auto"/>
        <w:right w:val="none" w:sz="0" w:space="0" w:color="auto"/>
      </w:divBdr>
    </w:div>
    <w:div w:id="2000379428">
      <w:bodyDiv w:val="1"/>
      <w:marLeft w:val="0"/>
      <w:marRight w:val="0"/>
      <w:marTop w:val="0"/>
      <w:marBottom w:val="0"/>
      <w:divBdr>
        <w:top w:val="none" w:sz="0" w:space="0" w:color="auto"/>
        <w:left w:val="none" w:sz="0" w:space="0" w:color="auto"/>
        <w:bottom w:val="none" w:sz="0" w:space="0" w:color="auto"/>
        <w:right w:val="none" w:sz="0" w:space="0" w:color="auto"/>
      </w:divBdr>
    </w:div>
    <w:div w:id="2019305738">
      <w:bodyDiv w:val="1"/>
      <w:marLeft w:val="0"/>
      <w:marRight w:val="0"/>
      <w:marTop w:val="0"/>
      <w:marBottom w:val="0"/>
      <w:divBdr>
        <w:top w:val="none" w:sz="0" w:space="0" w:color="auto"/>
        <w:left w:val="none" w:sz="0" w:space="0" w:color="auto"/>
        <w:bottom w:val="none" w:sz="0" w:space="0" w:color="auto"/>
        <w:right w:val="none" w:sz="0" w:space="0" w:color="auto"/>
      </w:divBdr>
      <w:divsChild>
        <w:div w:id="316807977">
          <w:marLeft w:val="0"/>
          <w:marRight w:val="0"/>
          <w:marTop w:val="0"/>
          <w:marBottom w:val="0"/>
          <w:divBdr>
            <w:top w:val="none" w:sz="0" w:space="0" w:color="auto"/>
            <w:left w:val="none" w:sz="0" w:space="0" w:color="auto"/>
            <w:bottom w:val="none" w:sz="0" w:space="0" w:color="auto"/>
            <w:right w:val="none" w:sz="0" w:space="0" w:color="auto"/>
          </w:divBdr>
        </w:div>
      </w:divsChild>
    </w:div>
    <w:div w:id="2035690974">
      <w:bodyDiv w:val="1"/>
      <w:marLeft w:val="0"/>
      <w:marRight w:val="0"/>
      <w:marTop w:val="0"/>
      <w:marBottom w:val="0"/>
      <w:divBdr>
        <w:top w:val="none" w:sz="0" w:space="0" w:color="auto"/>
        <w:left w:val="none" w:sz="0" w:space="0" w:color="auto"/>
        <w:bottom w:val="none" w:sz="0" w:space="0" w:color="auto"/>
        <w:right w:val="none" w:sz="0" w:space="0" w:color="auto"/>
      </w:divBdr>
      <w:divsChild>
        <w:div w:id="1071806769">
          <w:marLeft w:val="0"/>
          <w:marRight w:val="0"/>
          <w:marTop w:val="0"/>
          <w:marBottom w:val="0"/>
          <w:divBdr>
            <w:top w:val="none" w:sz="0" w:space="0" w:color="auto"/>
            <w:left w:val="none" w:sz="0" w:space="0" w:color="auto"/>
            <w:bottom w:val="none" w:sz="0" w:space="0" w:color="auto"/>
            <w:right w:val="none" w:sz="0" w:space="0" w:color="auto"/>
          </w:divBdr>
        </w:div>
      </w:divsChild>
    </w:div>
    <w:div w:id="21205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msi.happy-dev.fr/"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F9DD-93C4-45CA-A1A5-66CD229B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18756</Words>
  <Characters>111786</Characters>
  <Application>Microsoft Office Word</Application>
  <DocSecurity>0</DocSecurity>
  <Lines>2070</Lines>
  <Paragraphs>815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Efoe SOSSOU</dc:creator>
  <cp:keywords/>
  <dc:description/>
  <cp:lastModifiedBy>user</cp:lastModifiedBy>
  <cp:revision>11</cp:revision>
  <cp:lastPrinted>2025-03-17T10:51:00Z</cp:lastPrinted>
  <dcterms:created xsi:type="dcterms:W3CDTF">2025-05-05T17:11:00Z</dcterms:created>
  <dcterms:modified xsi:type="dcterms:W3CDTF">2025-05-08T08:34:00Z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d407a47a182ee1dbc7e0997d7caed65419f06a93ea73145b1169db6a4b70245f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http://www.zotero.org/styles/asian-pacific-journal-of-tropical-biomedicine</vt:lpwstr>
  </property>
  <property fmtid="{D5CDD505-2E9C-101B-9397-08002B2CF9AE}" pid="8" name="Mendeley Recent Style Name 2_1">
    <vt:lpwstr>Asian Pacific Journal of Tropical Biomedicine</vt:lpwstr>
  </property>
  <property fmtid="{D5CDD505-2E9C-101B-9397-08002B2CF9AE}" pid="9" name="Mendeley Recent Style Id 3_1">
    <vt:lpwstr>http://www.zotero.org/styles/indian-journal-of-medical-research</vt:lpwstr>
  </property>
  <property fmtid="{D5CDD505-2E9C-101B-9397-08002B2CF9AE}" pid="10" name="Mendeley Recent Style Name 3_1">
    <vt:lpwstr>Indian Journal of Medical Research</vt:lpwstr>
  </property>
  <property fmtid="{D5CDD505-2E9C-101B-9397-08002B2CF9AE}" pid="11" name="Mendeley Recent Style Id 4_1">
    <vt:lpwstr>http://www.zotero.org/styles/journal-of-microbiological-methods</vt:lpwstr>
  </property>
  <property fmtid="{D5CDD505-2E9C-101B-9397-08002B2CF9AE}" pid="12" name="Mendeley Recent Style Name 4_1">
    <vt:lpwstr>Journal of Microbiological Methods</vt:lpwstr>
  </property>
  <property fmtid="{D5CDD505-2E9C-101B-9397-08002B2CF9AE}" pid="13" name="Mendeley Recent Style Id 5_1">
    <vt:lpwstr>http://www.zotero.org/styles/national-library-of-medicine</vt:lpwstr>
  </property>
  <property fmtid="{D5CDD505-2E9C-101B-9397-08002B2CF9AE}" pid="14" name="Mendeley Recent Style Name 5_1">
    <vt:lpwstr>National Library of Medicine</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http://www.zotero.org/styles/south-african-journal-of-animal-science</vt:lpwstr>
  </property>
  <property fmtid="{D5CDD505-2E9C-101B-9397-08002B2CF9AE}" pid="18" name="Mendeley Recent Style Name 7_1">
    <vt:lpwstr>South African Journal of Animal Science</vt:lpwstr>
  </property>
  <property fmtid="{D5CDD505-2E9C-101B-9397-08002B2CF9AE}" pid="19" name="Mendeley Recent Style Id 8_1">
    <vt:lpwstr>http://www.zotero.org/styles/transfusion-clinique-et-biologique</vt:lpwstr>
  </property>
  <property fmtid="{D5CDD505-2E9C-101B-9397-08002B2CF9AE}" pid="20" name="Mendeley Recent Style Name 8_1">
    <vt:lpwstr>Transfusion clinique et biologique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cedbeaec-2597-39bf-bdaa-7ea01e088f8f</vt:lpwstr>
  </property>
  <property fmtid="{D5CDD505-2E9C-101B-9397-08002B2CF9AE}" pid="25" name="Mendeley Citation Style_1">
    <vt:lpwstr>http://www.zotero.org/styles/journal-of-microbiological-methods</vt:lpwstr>
  </property>
</Properties>
</file>