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1A04" w14:textId="77777777" w:rsidR="00C26EA2" w:rsidRDefault="00C26EA2" w:rsidP="00E83F35">
      <w:pPr>
        <w:spacing w:line="240" w:lineRule="auto"/>
        <w:jc w:val="center"/>
        <w:rPr>
          <w:rFonts w:ascii="Arial" w:hAnsi="Arial" w:cs="Arial"/>
          <w:b/>
          <w:bCs/>
          <w:sz w:val="28"/>
        </w:rPr>
      </w:pPr>
      <w:bookmarkStart w:id="0" w:name="_Hlk197934380"/>
      <w:r w:rsidRPr="00C26EA2">
        <w:rPr>
          <w:rFonts w:ascii="Arial" w:hAnsi="Arial" w:cs="Arial"/>
          <w:b/>
          <w:bCs/>
          <w:sz w:val="28"/>
        </w:rPr>
        <w:t xml:space="preserve">Original Research Article </w:t>
      </w:r>
    </w:p>
    <w:p w14:paraId="67DE11C4" w14:textId="165C603F" w:rsidR="0063124B" w:rsidRPr="00885F1F" w:rsidRDefault="00D807EB" w:rsidP="00E83F35">
      <w:pPr>
        <w:spacing w:line="240" w:lineRule="auto"/>
        <w:jc w:val="center"/>
        <w:rPr>
          <w:rFonts w:ascii="Arial" w:hAnsi="Arial" w:cs="Arial"/>
          <w:b/>
          <w:bCs/>
          <w:sz w:val="28"/>
        </w:rPr>
      </w:pPr>
      <w:r w:rsidRPr="00885F1F">
        <w:rPr>
          <w:rFonts w:ascii="Arial" w:hAnsi="Arial" w:cs="Arial"/>
          <w:b/>
          <w:bCs/>
          <w:sz w:val="28"/>
        </w:rPr>
        <w:t>"A Socio-Economic Appraisal of Cotton Producers in Aurangabad and Jalna: A Micro-Level Study from Maharashtra's Cotton Heartland"</w:t>
      </w:r>
    </w:p>
    <w:bookmarkEnd w:id="0"/>
    <w:p w14:paraId="2241C49F" w14:textId="77777777" w:rsidR="0080286E" w:rsidRPr="00E83F35" w:rsidRDefault="0080286E" w:rsidP="00E83F35">
      <w:pPr>
        <w:spacing w:line="240" w:lineRule="auto"/>
        <w:jc w:val="center"/>
        <w:rPr>
          <w:rFonts w:ascii="Arial" w:hAnsi="Arial" w:cs="Arial"/>
          <w:sz w:val="20"/>
          <w:szCs w:val="20"/>
        </w:rPr>
      </w:pPr>
    </w:p>
    <w:p w14:paraId="32742987" w14:textId="77777777" w:rsidR="00E83F35" w:rsidRDefault="00E83F35" w:rsidP="00E83F35">
      <w:pPr>
        <w:spacing w:line="240" w:lineRule="auto"/>
        <w:jc w:val="center"/>
        <w:rPr>
          <w:rFonts w:ascii="Arial" w:hAnsi="Arial" w:cs="Arial"/>
          <w:b/>
          <w:bCs/>
          <w:sz w:val="24"/>
          <w:szCs w:val="24"/>
        </w:rPr>
      </w:pPr>
    </w:p>
    <w:p w14:paraId="2256FF41" w14:textId="5F5A9E34" w:rsidR="00D807EB" w:rsidRDefault="00D807EB" w:rsidP="00E83F35">
      <w:pPr>
        <w:spacing w:line="240" w:lineRule="auto"/>
        <w:rPr>
          <w:rFonts w:ascii="Arial" w:hAnsi="Arial" w:cs="Arial"/>
          <w:b/>
          <w:bCs/>
        </w:rPr>
      </w:pPr>
      <w:r w:rsidRPr="00E83F35">
        <w:rPr>
          <w:rFonts w:ascii="Arial" w:hAnsi="Arial" w:cs="Arial"/>
          <w:b/>
          <w:bCs/>
        </w:rPr>
        <w:t>Abstract</w:t>
      </w:r>
    </w:p>
    <w:p w14:paraId="62904D47"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This study investigates the socio-economic profile of cotton farmers in the Aurangabad and Jalna districts of Maharashtra, focusing on landholding size, age, literacy, family size, occupation, and income distribution. The research includes a sample of 240 farmers from five landholding categories: marginal, small, semi-medium, medium, and large, using a multi-stage purposive sampling method. Statistical tools such as percentage analysis and the Chi-square test were applied to identify key patterns.</w:t>
      </w:r>
    </w:p>
    <w:p w14:paraId="54F18E4F"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 xml:space="preserve">Age distribution shows that most cotton growers are middle-aged (40–50 years), with a low proportion of young farmers (under 30 years), raising concerns about future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shortages. Larger farmers tend to have a higher proportion of individuals aged over 60, indicating better generational continuity in larger operations.</w:t>
      </w:r>
    </w:p>
    <w:p w14:paraId="51ED4DA8"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Literacy levels reveal that small and semi-medium farmers have higher education levels, with more having completed secondary education. In contrast, a significant portion of marginal farmers remain illiterate (approximately 25%), emphasizing the need for educational and training programs.</w:t>
      </w:r>
    </w:p>
    <w:p w14:paraId="17C90185" w14:textId="77777777" w:rsidR="002E7F85" w:rsidRPr="002E7F85" w:rsidRDefault="002E7F85" w:rsidP="002E7F85">
      <w:pPr>
        <w:spacing w:line="240" w:lineRule="auto"/>
        <w:jc w:val="both"/>
        <w:rPr>
          <w:rFonts w:ascii="Arial" w:hAnsi="Arial" w:cs="Arial"/>
          <w:sz w:val="20"/>
          <w:szCs w:val="20"/>
        </w:rPr>
      </w:pPr>
      <w:commentRangeStart w:id="1"/>
      <w:r w:rsidRPr="002E7F85">
        <w:rPr>
          <w:rFonts w:ascii="Arial" w:hAnsi="Arial" w:cs="Arial"/>
          <w:sz w:val="20"/>
          <w:szCs w:val="20"/>
        </w:rPr>
        <w:t xml:space="preserve">Family size patterns indicate that larger families are linked to larger landholdings, particularly among medium and large farmers. Smaller families, common among marginal farmers, limit available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and contribute to economic stress</w:t>
      </w:r>
      <w:commentRangeEnd w:id="1"/>
      <w:r w:rsidR="00BC7716">
        <w:rPr>
          <w:rStyle w:val="CommentReference"/>
        </w:rPr>
        <w:commentReference w:id="1"/>
      </w:r>
      <w:r w:rsidRPr="002E7F85">
        <w:rPr>
          <w:rFonts w:ascii="Arial" w:hAnsi="Arial" w:cs="Arial"/>
          <w:sz w:val="20"/>
          <w:szCs w:val="20"/>
        </w:rPr>
        <w:t>.</w:t>
      </w:r>
    </w:p>
    <w:p w14:paraId="154C1CD7"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Occupation data shows that a significant proportion of marginal and small farmers depend solely on agriculture, while medium and large farmers engage in non-agricultural activities, which helps them buffer against income volatility. Income distribution highlights stark disparities: around 40% of marginal and small farmers earn less than ₹75,000 annually, while larger farmers earn considerably more, underlining income inequality.</w:t>
      </w:r>
    </w:p>
    <w:p w14:paraId="46A48AE9" w14:textId="6E2EB186"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 xml:space="preserve">In conclusion, the study reveals significant socio-economic disparities between different categories of cotton farmers. The findings underscore the need for interventions to address issues related to education,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availability, and income diversification, which are critical to improving the livelihoods of cotton farmers and ensuring the sustainability of cotton farming in the region.</w:t>
      </w:r>
    </w:p>
    <w:p w14:paraId="6D7E1805" w14:textId="726A397C" w:rsidR="00157298" w:rsidRPr="00157298" w:rsidRDefault="008826ED" w:rsidP="00157298">
      <w:pPr>
        <w:spacing w:line="240" w:lineRule="auto"/>
        <w:rPr>
          <w:rFonts w:ascii="Arial" w:hAnsi="Arial" w:cs="Arial"/>
          <w:b/>
          <w:bCs/>
        </w:rPr>
      </w:pPr>
      <w:r w:rsidRPr="00E83F35">
        <w:rPr>
          <w:rFonts w:ascii="Arial" w:hAnsi="Arial" w:cs="Arial"/>
          <w:b/>
          <w:bCs/>
        </w:rPr>
        <w:t>Introduction</w:t>
      </w:r>
    </w:p>
    <w:p w14:paraId="196C599A" w14:textId="77777777" w:rsidR="00157298" w:rsidRPr="00157298" w:rsidRDefault="00157298" w:rsidP="00157298">
      <w:pPr>
        <w:spacing w:line="240" w:lineRule="auto"/>
        <w:jc w:val="both"/>
        <w:rPr>
          <w:rFonts w:ascii="Arial" w:hAnsi="Arial" w:cs="Arial"/>
          <w:sz w:val="20"/>
          <w:szCs w:val="20"/>
        </w:rPr>
      </w:pPr>
      <w:commentRangeStart w:id="2"/>
      <w:r w:rsidRPr="00157298">
        <w:rPr>
          <w:rFonts w:ascii="Arial" w:hAnsi="Arial" w:cs="Arial"/>
          <w:sz w:val="20"/>
          <w:szCs w:val="20"/>
        </w:rPr>
        <w:t>Cotton, often referred to as the "white gold" of Indian agriculture, plays a pivotal role in shaping the agricultural economy and rural livelihoods in the country.</w:t>
      </w:r>
      <w:commentRangeEnd w:id="2"/>
      <w:r w:rsidR="00BC7716">
        <w:rPr>
          <w:rStyle w:val="CommentReference"/>
        </w:rPr>
        <w:commentReference w:id="2"/>
      </w:r>
      <w:r w:rsidRPr="00157298">
        <w:rPr>
          <w:rFonts w:ascii="Arial" w:hAnsi="Arial" w:cs="Arial"/>
          <w:sz w:val="20"/>
          <w:szCs w:val="20"/>
        </w:rPr>
        <w:t xml:space="preserve"> As one of the world's largest producers and exporters of cotton, India cultivates nearly 12 million hectares of land, providing employment to over six million farmers (Ministry of Textiles, 2023). Among the states contributing significantly to cotton production, Maharashtra stands out, particularly the Marathwada region, which includes the districts of Aurangabad and Jalna. These districts are not only key players in cotton cultivation but also in the production of hybrid cotton seeds, making them central to India's cotton economy.</w:t>
      </w:r>
    </w:p>
    <w:p w14:paraId="6CB61E11" w14:textId="516A8ABD"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Despite cotton's economic significance, farmers in this region face persistent challenges that impact their livelihoods. Economic instability, low returns, and fluctuating yields, compounded by rising input costs, water scarcity, and dependence on monsoon rains, have led to considerable distress, particularly among smallholder and marginal farmers. These challenges are further exacerbated by fluctuating market prices, creating a volatile environment for cotton producers (</w:t>
      </w:r>
      <w:proofErr w:type="spellStart"/>
      <w:r w:rsidR="000E2615" w:rsidRPr="00435439">
        <w:rPr>
          <w:rFonts w:ascii="Arial" w:hAnsi="Arial" w:cs="Arial"/>
          <w:sz w:val="20"/>
          <w:szCs w:val="20"/>
        </w:rPr>
        <w:t>Mollaee</w:t>
      </w:r>
      <w:proofErr w:type="spellEnd"/>
      <w:r w:rsidR="0092751E" w:rsidRPr="0092751E">
        <w:rPr>
          <w:rFonts w:ascii="Arial" w:hAnsi="Arial" w:cs="Arial"/>
          <w:sz w:val="20"/>
          <w:szCs w:val="20"/>
        </w:rPr>
        <w:t xml:space="preserve"> </w:t>
      </w:r>
      <w:r w:rsidR="0092751E" w:rsidRPr="00C81C6B">
        <w:rPr>
          <w:rFonts w:ascii="Arial" w:hAnsi="Arial" w:cs="Arial"/>
          <w:sz w:val="20"/>
          <w:szCs w:val="20"/>
        </w:rPr>
        <w:t>et al., 201</w:t>
      </w:r>
      <w:r w:rsidR="0092751E">
        <w:rPr>
          <w:rFonts w:ascii="Arial" w:hAnsi="Arial" w:cs="Arial"/>
          <w:sz w:val="20"/>
          <w:szCs w:val="20"/>
        </w:rPr>
        <w:t>9</w:t>
      </w:r>
      <w:r w:rsidRPr="00157298">
        <w:rPr>
          <w:rFonts w:ascii="Arial" w:hAnsi="Arial" w:cs="Arial"/>
          <w:sz w:val="20"/>
          <w:szCs w:val="20"/>
        </w:rPr>
        <w:t>). While national and state-level studies have highlighted these issues, there is a paucity of micro-level research that examines the socio-economic realities of cotton farmers in specific rural contexts.</w:t>
      </w:r>
    </w:p>
    <w:p w14:paraId="21AC6A10" w14:textId="77777777"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 xml:space="preserve">Aurangabad and Jalna, with their </w:t>
      </w:r>
      <w:proofErr w:type="spellStart"/>
      <w:r w:rsidRPr="00157298">
        <w:rPr>
          <w:rFonts w:ascii="Arial" w:hAnsi="Arial" w:cs="Arial"/>
          <w:sz w:val="20"/>
          <w:szCs w:val="20"/>
        </w:rPr>
        <w:t>favorable</w:t>
      </w:r>
      <w:proofErr w:type="spellEnd"/>
      <w:r w:rsidRPr="00157298">
        <w:rPr>
          <w:rFonts w:ascii="Arial" w:hAnsi="Arial" w:cs="Arial"/>
          <w:sz w:val="20"/>
          <w:szCs w:val="20"/>
        </w:rPr>
        <w:t xml:space="preserve"> </w:t>
      </w:r>
      <w:proofErr w:type="spellStart"/>
      <w:r w:rsidRPr="00157298">
        <w:rPr>
          <w:rFonts w:ascii="Arial" w:hAnsi="Arial" w:cs="Arial"/>
          <w:sz w:val="20"/>
          <w:szCs w:val="20"/>
        </w:rPr>
        <w:t>agro</w:t>
      </w:r>
      <w:proofErr w:type="spellEnd"/>
      <w:r w:rsidRPr="00157298">
        <w:rPr>
          <w:rFonts w:ascii="Arial" w:hAnsi="Arial" w:cs="Arial"/>
          <w:sz w:val="20"/>
          <w:szCs w:val="20"/>
        </w:rPr>
        <w:t xml:space="preserve">-climatic conditions and strong institutional ties to cotton seed companies, provide a unique opportunity to explore the socio-economic profile of cotton growers </w:t>
      </w:r>
      <w:r w:rsidRPr="00157298">
        <w:rPr>
          <w:rFonts w:ascii="Arial" w:hAnsi="Arial" w:cs="Arial"/>
          <w:sz w:val="20"/>
          <w:szCs w:val="20"/>
        </w:rPr>
        <w:lastRenderedPageBreak/>
        <w:t>in this critical cotton-producing belt. A localized, micro-level study is essential to understand the diverse household structures, resource access, production practices, income patterns, and livelihood strategies of cotton producers in this region. By delving into these factors, this research aims to offer valuable insights that can inform agricultural policies and support systems, ultimately enhancing the sustainability and profitability of cotton farming.</w:t>
      </w:r>
    </w:p>
    <w:p w14:paraId="6E6DB343" w14:textId="77777777" w:rsidR="00157298" w:rsidRPr="00157298" w:rsidRDefault="00157298" w:rsidP="00157298">
      <w:pPr>
        <w:spacing w:line="240" w:lineRule="auto"/>
        <w:jc w:val="both"/>
        <w:rPr>
          <w:rFonts w:ascii="Arial" w:hAnsi="Arial" w:cs="Arial"/>
          <w:sz w:val="20"/>
          <w:szCs w:val="20"/>
        </w:rPr>
      </w:pPr>
      <w:commentRangeStart w:id="3"/>
      <w:r w:rsidRPr="00157298">
        <w:rPr>
          <w:rFonts w:ascii="Arial" w:hAnsi="Arial" w:cs="Arial"/>
          <w:sz w:val="20"/>
          <w:szCs w:val="20"/>
        </w:rPr>
        <w:t>This study focuses on examining key socio-economic variables such as age, literacy, family size, occupation, and income distribution across different landholding categories. It aims to explore the relationships between these factors and landholding size, contributing to a more nuanced understanding of the challenges faced by cotton farmers in Aurangabad and Jalna. The findings from this research will provide essential data for policymakers and agricultural stakeholders to address the pressing issues in the cotton farming sector and to promote more effective support for farmers in the region</w:t>
      </w:r>
      <w:commentRangeEnd w:id="3"/>
      <w:r w:rsidR="00552D79">
        <w:rPr>
          <w:rStyle w:val="CommentReference"/>
        </w:rPr>
        <w:commentReference w:id="3"/>
      </w:r>
      <w:r w:rsidRPr="00157298">
        <w:rPr>
          <w:rFonts w:ascii="Arial" w:hAnsi="Arial" w:cs="Arial"/>
          <w:sz w:val="20"/>
          <w:szCs w:val="20"/>
        </w:rPr>
        <w:t>.</w:t>
      </w:r>
    </w:p>
    <w:p w14:paraId="23D5257B" w14:textId="377F3956" w:rsidR="00FE0F48" w:rsidRPr="00E83F35" w:rsidRDefault="00FE0F48" w:rsidP="00E83F35">
      <w:pPr>
        <w:spacing w:line="240" w:lineRule="auto"/>
        <w:rPr>
          <w:rFonts w:ascii="Arial" w:hAnsi="Arial" w:cs="Arial"/>
          <w:b/>
          <w:bCs/>
        </w:rPr>
      </w:pPr>
      <w:r w:rsidRPr="00E83F35">
        <w:rPr>
          <w:rFonts w:ascii="Arial" w:hAnsi="Arial" w:cs="Arial"/>
          <w:b/>
          <w:bCs/>
        </w:rPr>
        <w:t>Research Methodology</w:t>
      </w:r>
    </w:p>
    <w:p w14:paraId="00CE02BA" w14:textId="77777777" w:rsidR="008826ED" w:rsidRPr="00E83F35" w:rsidRDefault="008826ED" w:rsidP="00E83F35">
      <w:pPr>
        <w:pStyle w:val="BodyText"/>
        <w:spacing w:before="261" w:after="240"/>
        <w:ind w:right="16"/>
        <w:jc w:val="both"/>
        <w:rPr>
          <w:rFonts w:ascii="Arial" w:hAnsi="Arial" w:cs="Arial"/>
          <w:b/>
          <w:bCs/>
          <w:spacing w:val="-2"/>
          <w:sz w:val="22"/>
          <w:szCs w:val="22"/>
        </w:rPr>
      </w:pPr>
      <w:r w:rsidRPr="00E83F35">
        <w:rPr>
          <w:rFonts w:ascii="Arial" w:hAnsi="Arial" w:cs="Arial"/>
          <w:b/>
          <w:bCs/>
          <w:sz w:val="22"/>
          <w:szCs w:val="22"/>
        </w:rPr>
        <w:t>Sampling</w:t>
      </w:r>
      <w:r w:rsidRPr="00E83F35">
        <w:rPr>
          <w:rFonts w:ascii="Arial" w:hAnsi="Arial" w:cs="Arial"/>
          <w:b/>
          <w:bCs/>
          <w:spacing w:val="-8"/>
          <w:sz w:val="22"/>
          <w:szCs w:val="22"/>
        </w:rPr>
        <w:t xml:space="preserve"> </w:t>
      </w:r>
      <w:r w:rsidRPr="00E83F35">
        <w:rPr>
          <w:rFonts w:ascii="Arial" w:hAnsi="Arial" w:cs="Arial"/>
          <w:b/>
          <w:bCs/>
          <w:spacing w:val="-2"/>
          <w:sz w:val="22"/>
          <w:szCs w:val="22"/>
        </w:rPr>
        <w:t>Design</w:t>
      </w:r>
    </w:p>
    <w:p w14:paraId="3782AF11" w14:textId="32657478" w:rsidR="008826ED" w:rsidRPr="00E83F35" w:rsidRDefault="00C81C6B" w:rsidP="00E83F35">
      <w:pPr>
        <w:spacing w:line="240" w:lineRule="auto"/>
        <w:jc w:val="both"/>
        <w:rPr>
          <w:rFonts w:ascii="Arial" w:eastAsiaTheme="majorEastAsia" w:hAnsi="Arial" w:cs="Arial"/>
          <w:sz w:val="20"/>
          <w:szCs w:val="20"/>
        </w:rPr>
      </w:pPr>
      <w:r w:rsidRPr="00C81C6B">
        <w:rPr>
          <w:rFonts w:ascii="Arial" w:hAnsi="Arial" w:cs="Arial"/>
          <w:sz w:val="20"/>
          <w:szCs w:val="20"/>
        </w:rPr>
        <w:t>"A multi-stage purposive sampling technique was adopted, a method commonly used in agricultural studies where specific groups are targeted for in-depth analysis (</w:t>
      </w:r>
      <w:r w:rsidR="00F2338F" w:rsidRPr="0015623C">
        <w:rPr>
          <w:rFonts w:ascii="Arial" w:hAnsi="Arial" w:cs="Arial"/>
          <w:sz w:val="20"/>
          <w:szCs w:val="20"/>
        </w:rPr>
        <w:t>Abdulai, 2021</w:t>
      </w:r>
      <w:r w:rsidRPr="00C81C6B">
        <w:rPr>
          <w:rFonts w:ascii="Arial" w:hAnsi="Arial" w:cs="Arial"/>
          <w:sz w:val="20"/>
          <w:szCs w:val="20"/>
        </w:rPr>
        <w:t>)."</w:t>
      </w:r>
    </w:p>
    <w:p w14:paraId="25A03A84" w14:textId="4EBADE6C"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First Stage:</w:t>
      </w:r>
      <w:r w:rsidRPr="00E83F35">
        <w:rPr>
          <w:rFonts w:ascii="Arial" w:eastAsiaTheme="majorEastAsia" w:hAnsi="Arial" w:cs="Arial"/>
          <w:sz w:val="20"/>
          <w:szCs w:val="20"/>
          <w:lang w:val="en-IN"/>
        </w:rPr>
        <w:t xml:space="preserve"> Selection of Districts</w:t>
      </w:r>
      <w:r w:rsidR="00CB31A7" w:rsidRPr="00E83F35">
        <w:rPr>
          <w:rFonts w:ascii="Arial" w:eastAsiaTheme="majorEastAsia" w:hAnsi="Arial" w:cs="Arial"/>
          <w:sz w:val="20"/>
          <w:szCs w:val="20"/>
          <w:lang w:val="en-IN"/>
        </w:rPr>
        <w:t xml:space="preserve"> (Purposively)</w:t>
      </w:r>
    </w:p>
    <w:p w14:paraId="0EF19141" w14:textId="05E5B53A"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Second Stage:</w:t>
      </w:r>
      <w:r w:rsidRPr="00E83F35">
        <w:rPr>
          <w:rFonts w:ascii="Arial" w:eastAsiaTheme="majorEastAsia" w:hAnsi="Arial" w:cs="Arial"/>
          <w:sz w:val="20"/>
          <w:szCs w:val="20"/>
          <w:lang w:val="en-IN"/>
        </w:rPr>
        <w:t xml:space="preserve"> Selection of Talukas </w:t>
      </w:r>
      <w:r w:rsidR="00CB31A7" w:rsidRPr="00E83F35">
        <w:rPr>
          <w:rFonts w:ascii="Arial" w:eastAsiaTheme="majorEastAsia" w:hAnsi="Arial" w:cs="Arial"/>
          <w:sz w:val="20"/>
          <w:szCs w:val="20"/>
          <w:lang w:val="en-IN"/>
        </w:rPr>
        <w:t>(Purposively)</w:t>
      </w:r>
    </w:p>
    <w:p w14:paraId="645E2009" w14:textId="383DF978"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commentRangeStart w:id="4"/>
      <w:r w:rsidRPr="00E83F35">
        <w:rPr>
          <w:rFonts w:ascii="Arial" w:eastAsiaTheme="majorEastAsia" w:hAnsi="Arial" w:cs="Arial"/>
          <w:b/>
          <w:bCs/>
          <w:sz w:val="20"/>
          <w:szCs w:val="20"/>
          <w:lang w:val="en-IN"/>
        </w:rPr>
        <w:t>Third Stage:</w:t>
      </w:r>
      <w:r w:rsidRPr="00E83F35">
        <w:rPr>
          <w:rFonts w:ascii="Arial" w:eastAsiaTheme="majorEastAsia" w:hAnsi="Arial" w:cs="Arial"/>
          <w:sz w:val="20"/>
          <w:szCs w:val="20"/>
          <w:lang w:val="en-IN"/>
        </w:rPr>
        <w:t xml:space="preserve"> Selection of Villages</w:t>
      </w:r>
      <w:r w:rsidR="00CB31A7" w:rsidRPr="00E83F35">
        <w:rPr>
          <w:rFonts w:ascii="Arial" w:eastAsiaTheme="majorEastAsia" w:hAnsi="Arial" w:cs="Arial"/>
          <w:sz w:val="20"/>
          <w:szCs w:val="20"/>
          <w:lang w:val="en-IN"/>
        </w:rPr>
        <w:t xml:space="preserve"> (Randomly)</w:t>
      </w:r>
    </w:p>
    <w:p w14:paraId="09FFE6AB" w14:textId="0516FC19"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Fourth Stage:</w:t>
      </w:r>
      <w:r w:rsidRPr="00E83F35">
        <w:rPr>
          <w:rFonts w:ascii="Arial" w:eastAsiaTheme="majorEastAsia" w:hAnsi="Arial" w:cs="Arial"/>
          <w:sz w:val="20"/>
          <w:szCs w:val="20"/>
          <w:lang w:val="en-IN"/>
        </w:rPr>
        <w:t xml:space="preserve"> Selection of Cotton Growing Farmers </w:t>
      </w:r>
      <w:r w:rsidR="00CB31A7" w:rsidRPr="00E83F35">
        <w:rPr>
          <w:rFonts w:ascii="Arial" w:eastAsiaTheme="majorEastAsia" w:hAnsi="Arial" w:cs="Arial"/>
          <w:sz w:val="20"/>
          <w:szCs w:val="20"/>
          <w:lang w:val="en-IN"/>
        </w:rPr>
        <w:t>(Randomly)</w:t>
      </w:r>
      <w:commentRangeEnd w:id="4"/>
      <w:r w:rsidR="00552D79">
        <w:rPr>
          <w:rStyle w:val="CommentReference"/>
          <w:rFonts w:asciiTheme="minorHAnsi" w:eastAsiaTheme="minorHAnsi" w:hAnsiTheme="minorHAnsi" w:cstheme="minorBidi"/>
          <w:kern w:val="2"/>
          <w:lang w:val="en-IN"/>
          <w14:ligatures w14:val="standardContextual"/>
        </w:rPr>
        <w:commentReference w:id="4"/>
      </w:r>
    </w:p>
    <w:p w14:paraId="7828F7F2" w14:textId="77777777" w:rsidR="00CB31A7" w:rsidRPr="00E83F35" w:rsidRDefault="00CB31A7" w:rsidP="00E83F35">
      <w:pPr>
        <w:spacing w:line="240" w:lineRule="auto"/>
        <w:rPr>
          <w:rFonts w:ascii="Arial" w:hAnsi="Arial" w:cs="Arial"/>
        </w:rPr>
      </w:pPr>
      <w:r w:rsidRPr="00E83F35">
        <w:rPr>
          <w:rFonts w:ascii="Arial" w:hAnsi="Arial" w:cs="Arial"/>
          <w:b/>
          <w:bCs/>
        </w:rPr>
        <w:t>Selection of Districts</w:t>
      </w:r>
    </w:p>
    <w:p w14:paraId="56BCEB8F" w14:textId="7D81838C" w:rsidR="00CB31A7" w:rsidRPr="00E83F35" w:rsidRDefault="00CB31A7" w:rsidP="00E83F35">
      <w:pPr>
        <w:spacing w:line="240" w:lineRule="auto"/>
        <w:jc w:val="both"/>
        <w:rPr>
          <w:rFonts w:ascii="Arial" w:hAnsi="Arial" w:cs="Arial"/>
          <w:sz w:val="20"/>
          <w:szCs w:val="20"/>
        </w:rPr>
      </w:pPr>
      <w:r w:rsidRPr="00E83F35">
        <w:rPr>
          <w:rFonts w:ascii="Arial" w:hAnsi="Arial" w:cs="Arial"/>
          <w:sz w:val="20"/>
          <w:szCs w:val="20"/>
        </w:rPr>
        <w:t>Aurangabad and Jalna districts were purposively selected due to their large area under cotton cultivation, these districts represent typical conditions of the cotton-growing region in Marathwada.</w:t>
      </w:r>
    </w:p>
    <w:p w14:paraId="28A5B57A" w14:textId="53E912A7" w:rsidR="00CB31A7" w:rsidRPr="00E83F35" w:rsidRDefault="00CB31A7" w:rsidP="00E83F35">
      <w:pPr>
        <w:pStyle w:val="Caption"/>
        <w:keepNext/>
        <w:jc w:val="left"/>
        <w:rPr>
          <w:rFonts w:ascii="Arial" w:hAnsi="Arial" w:cs="Arial"/>
          <w:b/>
          <w:bCs/>
          <w:sz w:val="20"/>
          <w:szCs w:val="20"/>
        </w:rPr>
      </w:pPr>
    </w:p>
    <w:p w14:paraId="54B41213" w14:textId="57ACE532" w:rsidR="00CB31A7" w:rsidRPr="00E83F35" w:rsidRDefault="00CB31A7"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1</w:t>
      </w:r>
      <w:r w:rsidRPr="00E83F35">
        <w:rPr>
          <w:rFonts w:ascii="Arial" w:hAnsi="Arial" w:cs="Arial"/>
          <w:b/>
          <w:bCs/>
          <w:sz w:val="20"/>
          <w:szCs w:val="20"/>
        </w:rPr>
        <w:fldChar w:fldCharType="end"/>
      </w:r>
      <w:r w:rsidRPr="00E83F35">
        <w:rPr>
          <w:rFonts w:ascii="Arial" w:hAnsi="Arial" w:cs="Arial"/>
          <w:b/>
          <w:bCs/>
          <w:sz w:val="20"/>
          <w:szCs w:val="20"/>
        </w:rPr>
        <w:t>: District wise area under cotton production in Marathwada</w:t>
      </w:r>
    </w:p>
    <w:tbl>
      <w:tblPr>
        <w:tblW w:w="4243" w:type="dxa"/>
        <w:jc w:val="center"/>
        <w:tblLook w:val="04A0" w:firstRow="1" w:lastRow="0" w:firstColumn="1" w:lastColumn="0" w:noHBand="0" w:noVBand="1"/>
      </w:tblPr>
      <w:tblGrid>
        <w:gridCol w:w="960"/>
        <w:gridCol w:w="1400"/>
        <w:gridCol w:w="1883"/>
      </w:tblGrid>
      <w:tr w:rsidR="00CB31A7" w:rsidRPr="00CB31A7" w14:paraId="1B80964C" w14:textId="77777777" w:rsidTr="00CB31A7">
        <w:trPr>
          <w:trHeight w:val="46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97823"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Sl. No.</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E22835F"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District</w:t>
            </w:r>
          </w:p>
        </w:tc>
        <w:tc>
          <w:tcPr>
            <w:tcW w:w="1883" w:type="dxa"/>
            <w:tcBorders>
              <w:top w:val="single" w:sz="8" w:space="0" w:color="auto"/>
              <w:left w:val="nil"/>
              <w:bottom w:val="single" w:sz="8" w:space="0" w:color="auto"/>
              <w:right w:val="single" w:sz="8" w:space="0" w:color="auto"/>
            </w:tcBorders>
            <w:shd w:val="clear" w:color="auto" w:fill="auto"/>
            <w:vAlign w:val="center"/>
            <w:hideMark/>
          </w:tcPr>
          <w:p w14:paraId="6D16B73D"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Area (Hectare)</w:t>
            </w:r>
          </w:p>
        </w:tc>
      </w:tr>
      <w:tr w:rsidR="00CB31A7" w:rsidRPr="00CB31A7" w14:paraId="0B27A976"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12B44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commentRangeStart w:id="5"/>
            <w:r w:rsidRPr="00CB31A7">
              <w:rPr>
                <w:rFonts w:ascii="Arial" w:eastAsia="Times New Roman" w:hAnsi="Arial" w:cs="Arial"/>
                <w:b/>
                <w:bCs/>
                <w:color w:val="000000"/>
                <w:kern w:val="0"/>
                <w:sz w:val="20"/>
                <w:szCs w:val="20"/>
                <w:lang w:eastAsia="en-IN" w:bidi="mr-IN"/>
                <w14:ligatures w14:val="none"/>
              </w:rPr>
              <w:t>1</w:t>
            </w:r>
          </w:p>
        </w:tc>
        <w:tc>
          <w:tcPr>
            <w:tcW w:w="1400" w:type="dxa"/>
            <w:tcBorders>
              <w:top w:val="nil"/>
              <w:left w:val="nil"/>
              <w:bottom w:val="single" w:sz="8" w:space="0" w:color="auto"/>
              <w:right w:val="single" w:sz="8" w:space="0" w:color="auto"/>
            </w:tcBorders>
            <w:shd w:val="clear" w:color="auto" w:fill="auto"/>
            <w:vAlign w:val="center"/>
            <w:hideMark/>
          </w:tcPr>
          <w:p w14:paraId="7B9A08DC"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Aurangabad</w:t>
            </w:r>
          </w:p>
        </w:tc>
        <w:tc>
          <w:tcPr>
            <w:tcW w:w="1883" w:type="dxa"/>
            <w:tcBorders>
              <w:top w:val="nil"/>
              <w:left w:val="nil"/>
              <w:bottom w:val="single" w:sz="8" w:space="0" w:color="auto"/>
              <w:right w:val="single" w:sz="8" w:space="0" w:color="auto"/>
            </w:tcBorders>
            <w:shd w:val="clear" w:color="auto" w:fill="auto"/>
            <w:vAlign w:val="center"/>
            <w:hideMark/>
          </w:tcPr>
          <w:p w14:paraId="5F52EBA9"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4,00,404.99</w:t>
            </w:r>
            <w:commentRangeEnd w:id="5"/>
            <w:r w:rsidR="00552D79">
              <w:rPr>
                <w:rStyle w:val="CommentReference"/>
              </w:rPr>
              <w:commentReference w:id="5"/>
            </w:r>
          </w:p>
        </w:tc>
      </w:tr>
      <w:tr w:rsidR="00CB31A7" w:rsidRPr="00CB31A7" w14:paraId="0392099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9CB909"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2</w:t>
            </w:r>
          </w:p>
        </w:tc>
        <w:tc>
          <w:tcPr>
            <w:tcW w:w="1400" w:type="dxa"/>
            <w:tcBorders>
              <w:top w:val="nil"/>
              <w:left w:val="nil"/>
              <w:bottom w:val="single" w:sz="8" w:space="0" w:color="auto"/>
              <w:right w:val="single" w:sz="8" w:space="0" w:color="auto"/>
            </w:tcBorders>
            <w:shd w:val="clear" w:color="auto" w:fill="auto"/>
            <w:vAlign w:val="center"/>
            <w:hideMark/>
          </w:tcPr>
          <w:p w14:paraId="16734558"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Beed</w:t>
            </w:r>
          </w:p>
        </w:tc>
        <w:tc>
          <w:tcPr>
            <w:tcW w:w="1883" w:type="dxa"/>
            <w:tcBorders>
              <w:top w:val="nil"/>
              <w:left w:val="nil"/>
              <w:bottom w:val="single" w:sz="8" w:space="0" w:color="auto"/>
              <w:right w:val="single" w:sz="8" w:space="0" w:color="auto"/>
            </w:tcBorders>
            <w:shd w:val="clear" w:color="auto" w:fill="auto"/>
            <w:vAlign w:val="center"/>
            <w:hideMark/>
          </w:tcPr>
          <w:p w14:paraId="5F3807D9"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2,73,118.00</w:t>
            </w:r>
          </w:p>
        </w:tc>
      </w:tr>
      <w:tr w:rsidR="00CB31A7" w:rsidRPr="00CB31A7" w14:paraId="729EAB4F"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86C611"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3</w:t>
            </w:r>
          </w:p>
        </w:tc>
        <w:tc>
          <w:tcPr>
            <w:tcW w:w="1400" w:type="dxa"/>
            <w:tcBorders>
              <w:top w:val="nil"/>
              <w:left w:val="nil"/>
              <w:bottom w:val="single" w:sz="8" w:space="0" w:color="auto"/>
              <w:right w:val="single" w:sz="8" w:space="0" w:color="auto"/>
            </w:tcBorders>
            <w:shd w:val="clear" w:color="auto" w:fill="auto"/>
            <w:vAlign w:val="center"/>
            <w:hideMark/>
          </w:tcPr>
          <w:p w14:paraId="11693659"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Hingoli</w:t>
            </w:r>
          </w:p>
        </w:tc>
        <w:tc>
          <w:tcPr>
            <w:tcW w:w="1883" w:type="dxa"/>
            <w:tcBorders>
              <w:top w:val="nil"/>
              <w:left w:val="nil"/>
              <w:bottom w:val="single" w:sz="8" w:space="0" w:color="auto"/>
              <w:right w:val="single" w:sz="8" w:space="0" w:color="auto"/>
            </w:tcBorders>
            <w:shd w:val="clear" w:color="auto" w:fill="auto"/>
            <w:vAlign w:val="center"/>
            <w:hideMark/>
          </w:tcPr>
          <w:p w14:paraId="0C56A257"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32,475.94</w:t>
            </w:r>
          </w:p>
        </w:tc>
      </w:tr>
      <w:tr w:rsidR="00CB31A7" w:rsidRPr="00CB31A7" w14:paraId="655A3F7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1EEF6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4</w:t>
            </w:r>
          </w:p>
        </w:tc>
        <w:tc>
          <w:tcPr>
            <w:tcW w:w="1400" w:type="dxa"/>
            <w:tcBorders>
              <w:top w:val="nil"/>
              <w:left w:val="nil"/>
              <w:bottom w:val="single" w:sz="8" w:space="0" w:color="auto"/>
              <w:right w:val="single" w:sz="8" w:space="0" w:color="auto"/>
            </w:tcBorders>
            <w:shd w:val="clear" w:color="auto" w:fill="auto"/>
            <w:vAlign w:val="center"/>
            <w:hideMark/>
          </w:tcPr>
          <w:p w14:paraId="59D25BD7"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Jalna</w:t>
            </w:r>
          </w:p>
        </w:tc>
        <w:tc>
          <w:tcPr>
            <w:tcW w:w="1883" w:type="dxa"/>
            <w:tcBorders>
              <w:top w:val="nil"/>
              <w:left w:val="nil"/>
              <w:bottom w:val="single" w:sz="8" w:space="0" w:color="auto"/>
              <w:right w:val="single" w:sz="8" w:space="0" w:color="auto"/>
            </w:tcBorders>
            <w:shd w:val="clear" w:color="auto" w:fill="auto"/>
            <w:vAlign w:val="center"/>
            <w:hideMark/>
          </w:tcPr>
          <w:p w14:paraId="761A2DC1"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3,03,128.95</w:t>
            </w:r>
          </w:p>
        </w:tc>
      </w:tr>
      <w:tr w:rsidR="00CB31A7" w:rsidRPr="00CB31A7" w14:paraId="19D52E40"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41D04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5</w:t>
            </w:r>
          </w:p>
        </w:tc>
        <w:tc>
          <w:tcPr>
            <w:tcW w:w="1400" w:type="dxa"/>
            <w:tcBorders>
              <w:top w:val="nil"/>
              <w:left w:val="nil"/>
              <w:bottom w:val="single" w:sz="8" w:space="0" w:color="auto"/>
              <w:right w:val="single" w:sz="8" w:space="0" w:color="auto"/>
            </w:tcBorders>
            <w:shd w:val="clear" w:color="auto" w:fill="auto"/>
            <w:vAlign w:val="center"/>
            <w:hideMark/>
          </w:tcPr>
          <w:p w14:paraId="41DF62DF"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Latur</w:t>
            </w:r>
          </w:p>
        </w:tc>
        <w:tc>
          <w:tcPr>
            <w:tcW w:w="1883" w:type="dxa"/>
            <w:tcBorders>
              <w:top w:val="nil"/>
              <w:left w:val="nil"/>
              <w:bottom w:val="single" w:sz="8" w:space="0" w:color="auto"/>
              <w:right w:val="single" w:sz="8" w:space="0" w:color="auto"/>
            </w:tcBorders>
            <w:shd w:val="clear" w:color="auto" w:fill="auto"/>
            <w:vAlign w:val="center"/>
            <w:hideMark/>
          </w:tcPr>
          <w:p w14:paraId="31E0D842"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7,283.88</w:t>
            </w:r>
          </w:p>
        </w:tc>
      </w:tr>
      <w:tr w:rsidR="00CB31A7" w:rsidRPr="00CB31A7" w14:paraId="1D375D10"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5C11A9"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6</w:t>
            </w:r>
          </w:p>
        </w:tc>
        <w:tc>
          <w:tcPr>
            <w:tcW w:w="1400" w:type="dxa"/>
            <w:tcBorders>
              <w:top w:val="nil"/>
              <w:left w:val="nil"/>
              <w:bottom w:val="single" w:sz="8" w:space="0" w:color="auto"/>
              <w:right w:val="single" w:sz="8" w:space="0" w:color="auto"/>
            </w:tcBorders>
            <w:shd w:val="clear" w:color="auto" w:fill="auto"/>
            <w:vAlign w:val="center"/>
            <w:hideMark/>
          </w:tcPr>
          <w:p w14:paraId="411E5404"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Nanded</w:t>
            </w:r>
          </w:p>
        </w:tc>
        <w:tc>
          <w:tcPr>
            <w:tcW w:w="1883" w:type="dxa"/>
            <w:tcBorders>
              <w:top w:val="nil"/>
              <w:left w:val="nil"/>
              <w:bottom w:val="single" w:sz="8" w:space="0" w:color="auto"/>
              <w:right w:val="single" w:sz="8" w:space="0" w:color="auto"/>
            </w:tcBorders>
            <w:shd w:val="clear" w:color="auto" w:fill="auto"/>
            <w:vAlign w:val="center"/>
            <w:hideMark/>
          </w:tcPr>
          <w:p w14:paraId="4389EC34"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1,97,291.42</w:t>
            </w:r>
          </w:p>
        </w:tc>
      </w:tr>
      <w:tr w:rsidR="00CB31A7" w:rsidRPr="00CB31A7" w14:paraId="7A8C4B4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F9DDF1"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7</w:t>
            </w:r>
          </w:p>
        </w:tc>
        <w:tc>
          <w:tcPr>
            <w:tcW w:w="1400" w:type="dxa"/>
            <w:tcBorders>
              <w:top w:val="nil"/>
              <w:left w:val="nil"/>
              <w:bottom w:val="single" w:sz="8" w:space="0" w:color="auto"/>
              <w:right w:val="single" w:sz="8" w:space="0" w:color="auto"/>
            </w:tcBorders>
            <w:shd w:val="clear" w:color="auto" w:fill="auto"/>
            <w:vAlign w:val="center"/>
            <w:hideMark/>
          </w:tcPr>
          <w:p w14:paraId="5FC44A0E"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Osmanabad</w:t>
            </w:r>
          </w:p>
        </w:tc>
        <w:tc>
          <w:tcPr>
            <w:tcW w:w="1883" w:type="dxa"/>
            <w:tcBorders>
              <w:top w:val="nil"/>
              <w:left w:val="nil"/>
              <w:bottom w:val="single" w:sz="8" w:space="0" w:color="auto"/>
              <w:right w:val="single" w:sz="8" w:space="0" w:color="auto"/>
            </w:tcBorders>
            <w:shd w:val="clear" w:color="auto" w:fill="auto"/>
            <w:vAlign w:val="center"/>
            <w:hideMark/>
          </w:tcPr>
          <w:p w14:paraId="0859DD52"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2,027.43</w:t>
            </w:r>
          </w:p>
        </w:tc>
      </w:tr>
      <w:tr w:rsidR="00CB31A7" w:rsidRPr="00CB31A7" w14:paraId="1200AFB3"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3107B5"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8</w:t>
            </w:r>
          </w:p>
        </w:tc>
        <w:tc>
          <w:tcPr>
            <w:tcW w:w="1400" w:type="dxa"/>
            <w:tcBorders>
              <w:top w:val="nil"/>
              <w:left w:val="nil"/>
              <w:bottom w:val="single" w:sz="8" w:space="0" w:color="auto"/>
              <w:right w:val="single" w:sz="8" w:space="0" w:color="auto"/>
            </w:tcBorders>
            <w:shd w:val="clear" w:color="auto" w:fill="auto"/>
            <w:vAlign w:val="center"/>
            <w:hideMark/>
          </w:tcPr>
          <w:p w14:paraId="3B01A304"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Parbhani</w:t>
            </w:r>
          </w:p>
        </w:tc>
        <w:tc>
          <w:tcPr>
            <w:tcW w:w="1883" w:type="dxa"/>
            <w:tcBorders>
              <w:top w:val="nil"/>
              <w:left w:val="nil"/>
              <w:bottom w:val="single" w:sz="8" w:space="0" w:color="auto"/>
              <w:right w:val="single" w:sz="8" w:space="0" w:color="auto"/>
            </w:tcBorders>
            <w:shd w:val="clear" w:color="auto" w:fill="auto"/>
            <w:vAlign w:val="center"/>
            <w:hideMark/>
          </w:tcPr>
          <w:p w14:paraId="48D79876"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1,82,292.98</w:t>
            </w:r>
          </w:p>
        </w:tc>
      </w:tr>
    </w:tbl>
    <w:p w14:paraId="38724140" w14:textId="59C084AC" w:rsidR="00CB31A7" w:rsidRPr="00E83F35" w:rsidRDefault="00CB31A7" w:rsidP="00E83F35">
      <w:pPr>
        <w:pStyle w:val="BodyText"/>
        <w:ind w:right="16"/>
        <w:jc w:val="center"/>
        <w:rPr>
          <w:rFonts w:ascii="Arial" w:hAnsi="Arial" w:cs="Arial"/>
          <w:i/>
          <w:iCs/>
          <w:sz w:val="20"/>
          <w:szCs w:val="20"/>
        </w:rPr>
      </w:pPr>
      <w:r w:rsidRPr="00E83F35">
        <w:rPr>
          <w:rFonts w:ascii="Arial" w:hAnsi="Arial" w:cs="Arial"/>
          <w:b/>
          <w:bCs/>
          <w:i/>
          <w:iCs/>
          <w:sz w:val="20"/>
          <w:szCs w:val="20"/>
        </w:rPr>
        <w:t>Source:</w:t>
      </w:r>
      <w:r w:rsidRPr="00E83F35">
        <w:rPr>
          <w:rFonts w:ascii="Arial" w:hAnsi="Arial" w:cs="Arial"/>
          <w:i/>
          <w:iCs/>
          <w:sz w:val="20"/>
          <w:szCs w:val="20"/>
        </w:rPr>
        <w:t xml:space="preserve"> Directorate of Economics and Statistics, GOI.</w:t>
      </w:r>
    </w:p>
    <w:p w14:paraId="2D15F81B" w14:textId="77777777" w:rsidR="00CB31A7" w:rsidRPr="00E83F35" w:rsidRDefault="00CB31A7" w:rsidP="00E83F35">
      <w:pPr>
        <w:spacing w:before="240" w:line="240" w:lineRule="auto"/>
        <w:jc w:val="both"/>
        <w:rPr>
          <w:rFonts w:ascii="Arial" w:hAnsi="Arial" w:cs="Arial"/>
        </w:rPr>
      </w:pPr>
      <w:r w:rsidRPr="00E83F35">
        <w:rPr>
          <w:rFonts w:ascii="Arial" w:hAnsi="Arial" w:cs="Arial"/>
          <w:b/>
          <w:bCs/>
        </w:rPr>
        <w:t>Selection of Talukas</w:t>
      </w:r>
    </w:p>
    <w:p w14:paraId="3EDBF794" w14:textId="77777777" w:rsidR="00CB31A7" w:rsidRPr="00E83F35" w:rsidRDefault="00CB31A7" w:rsidP="00E83F35">
      <w:pPr>
        <w:pStyle w:val="NormalWeb"/>
        <w:jc w:val="both"/>
        <w:rPr>
          <w:rFonts w:ascii="Arial" w:hAnsi="Arial" w:cs="Arial"/>
          <w:b/>
          <w:bCs/>
          <w:sz w:val="20"/>
          <w:szCs w:val="20"/>
        </w:rPr>
      </w:pPr>
      <w:r w:rsidRPr="00E83F35">
        <w:rPr>
          <w:rFonts w:ascii="Arial" w:hAnsi="Arial" w:cs="Arial"/>
          <w:sz w:val="20"/>
          <w:szCs w:val="20"/>
        </w:rPr>
        <w:t xml:space="preserve">Aurangabad </w:t>
      </w:r>
      <w:r w:rsidRPr="00E83F35">
        <w:rPr>
          <w:rFonts w:ascii="Arial" w:eastAsiaTheme="majorEastAsia" w:hAnsi="Arial" w:cs="Arial"/>
          <w:sz w:val="20"/>
          <w:szCs w:val="20"/>
        </w:rPr>
        <w:t>(Chhatrapati Sambhajinagar)</w:t>
      </w:r>
      <w:r w:rsidRPr="00E83F35">
        <w:rPr>
          <w:rFonts w:ascii="Arial" w:hAnsi="Arial" w:cs="Arial"/>
          <w:sz w:val="20"/>
          <w:szCs w:val="20"/>
        </w:rPr>
        <w:t xml:space="preserve"> district consisted of</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nine talukas</w:t>
      </w:r>
      <w:r w:rsidRPr="00E83F35">
        <w:rPr>
          <w:rFonts w:ascii="Arial" w:hAnsi="Arial" w:cs="Arial"/>
          <w:b/>
          <w:bCs/>
          <w:sz w:val="20"/>
          <w:szCs w:val="20"/>
        </w:rPr>
        <w:t xml:space="preserve">, </w:t>
      </w:r>
      <w:r w:rsidRPr="00E83F35">
        <w:rPr>
          <w:rFonts w:ascii="Arial" w:hAnsi="Arial" w:cs="Arial"/>
          <w:sz w:val="20"/>
          <w:szCs w:val="20"/>
        </w:rPr>
        <w:t>namely</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Aurangabad Rural, Phulambri, Paithan, Sillod, Kannad, Vaijapur, Gangapur, Soegaon, and Khultabad,</w:t>
      </w:r>
      <w:r w:rsidRPr="00E83F35">
        <w:rPr>
          <w:rFonts w:ascii="Arial" w:hAnsi="Arial" w:cs="Arial"/>
          <w:b/>
          <w:bCs/>
          <w:sz w:val="20"/>
          <w:szCs w:val="20"/>
        </w:rPr>
        <w:t xml:space="preserve"> </w:t>
      </w:r>
      <w:r w:rsidRPr="00E83F35">
        <w:rPr>
          <w:rFonts w:ascii="Arial" w:hAnsi="Arial" w:cs="Arial"/>
          <w:sz w:val="20"/>
          <w:szCs w:val="20"/>
        </w:rPr>
        <w:t>out of which</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Paithan and Phulambri were selected</w:t>
      </w:r>
      <w:r w:rsidRPr="00E83F35">
        <w:rPr>
          <w:rFonts w:ascii="Arial" w:hAnsi="Arial" w:cs="Arial"/>
          <w:b/>
          <w:bCs/>
          <w:sz w:val="20"/>
          <w:szCs w:val="20"/>
        </w:rPr>
        <w:t xml:space="preserve"> </w:t>
      </w:r>
      <w:r w:rsidRPr="00E83F35">
        <w:rPr>
          <w:rFonts w:ascii="Arial" w:hAnsi="Arial" w:cs="Arial"/>
          <w:sz w:val="20"/>
          <w:szCs w:val="20"/>
        </w:rPr>
        <w:t>for the study due to</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high concentration of cotton-growing farmers.</w:t>
      </w:r>
    </w:p>
    <w:p w14:paraId="04E966C7" w14:textId="447C04E6" w:rsidR="00CB31A7" w:rsidRPr="00E83F35" w:rsidRDefault="00CB31A7" w:rsidP="00E83F35">
      <w:pPr>
        <w:pStyle w:val="NormalWeb"/>
        <w:jc w:val="both"/>
        <w:rPr>
          <w:rFonts w:ascii="Arial" w:eastAsiaTheme="majorEastAsia" w:hAnsi="Arial" w:cs="Arial"/>
          <w:b/>
          <w:bCs/>
          <w:sz w:val="20"/>
          <w:szCs w:val="20"/>
        </w:rPr>
      </w:pPr>
      <w:r w:rsidRPr="00E83F35">
        <w:rPr>
          <w:rFonts w:ascii="Arial" w:hAnsi="Arial" w:cs="Arial"/>
          <w:sz w:val="20"/>
          <w:szCs w:val="20"/>
        </w:rPr>
        <w:lastRenderedPageBreak/>
        <w:t>Similarly, Jalna district comprised</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eight talukas</w:t>
      </w:r>
      <w:r w:rsidRPr="00E83F35">
        <w:rPr>
          <w:rFonts w:ascii="Arial" w:hAnsi="Arial" w:cs="Arial"/>
          <w:sz w:val="20"/>
          <w:szCs w:val="20"/>
        </w:rPr>
        <w:t>, namely</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Jalna Rural, Jafrabad, Bhokardan, Ambad, Partur, Badnapur, Ghansavangi, and Mantha,</w:t>
      </w:r>
      <w:r w:rsidRPr="00E83F35">
        <w:rPr>
          <w:rFonts w:ascii="Arial" w:hAnsi="Arial" w:cs="Arial"/>
          <w:b/>
          <w:bCs/>
          <w:sz w:val="20"/>
          <w:szCs w:val="20"/>
        </w:rPr>
        <w:t xml:space="preserve"> </w:t>
      </w:r>
      <w:r w:rsidRPr="00E83F35">
        <w:rPr>
          <w:rFonts w:ascii="Arial" w:hAnsi="Arial" w:cs="Arial"/>
          <w:sz w:val="20"/>
          <w:szCs w:val="20"/>
        </w:rPr>
        <w:t>out of which</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Bhokardan and Jafrabad were selected</w:t>
      </w:r>
      <w:r w:rsidRPr="00E83F35">
        <w:rPr>
          <w:rFonts w:ascii="Arial" w:hAnsi="Arial" w:cs="Arial"/>
          <w:b/>
          <w:bCs/>
          <w:sz w:val="20"/>
          <w:szCs w:val="20"/>
        </w:rPr>
        <w:t xml:space="preserve"> </w:t>
      </w:r>
      <w:r w:rsidRPr="00E83F35">
        <w:rPr>
          <w:rFonts w:ascii="Arial" w:hAnsi="Arial" w:cs="Arial"/>
          <w:sz w:val="20"/>
          <w:szCs w:val="20"/>
        </w:rPr>
        <w:t>based on their</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large area under cotton cultivation</w:t>
      </w:r>
      <w:r w:rsidR="006D03DA" w:rsidRPr="00E83F35">
        <w:rPr>
          <w:rStyle w:val="Strong"/>
          <w:rFonts w:ascii="Arial" w:eastAsiaTheme="majorEastAsia" w:hAnsi="Arial" w:cs="Arial"/>
          <w:b w:val="0"/>
          <w:bCs w:val="0"/>
          <w:sz w:val="20"/>
          <w:szCs w:val="20"/>
        </w:rPr>
        <w:t>.</w:t>
      </w:r>
    </w:p>
    <w:p w14:paraId="7950A425" w14:textId="77777777" w:rsidR="006D03DA" w:rsidRPr="00E83F35" w:rsidRDefault="006D03DA" w:rsidP="00E83F35">
      <w:pPr>
        <w:pStyle w:val="NormalWeb"/>
        <w:jc w:val="both"/>
        <w:rPr>
          <w:rFonts w:ascii="Arial" w:hAnsi="Arial" w:cs="Arial"/>
          <w:b/>
          <w:bCs/>
          <w:sz w:val="22"/>
          <w:szCs w:val="22"/>
        </w:rPr>
      </w:pPr>
      <w:r w:rsidRPr="00E83F35">
        <w:rPr>
          <w:rFonts w:ascii="Arial" w:hAnsi="Arial" w:cs="Arial"/>
          <w:b/>
          <w:bCs/>
          <w:sz w:val="22"/>
          <w:szCs w:val="22"/>
        </w:rPr>
        <w:t>Selection of Villages</w:t>
      </w:r>
    </w:p>
    <w:p w14:paraId="25B60618" w14:textId="756FC27C" w:rsidR="006D03DA" w:rsidRPr="00E83F35" w:rsidRDefault="006D03DA" w:rsidP="00E83F35">
      <w:pPr>
        <w:pStyle w:val="NormalWeb"/>
        <w:jc w:val="both"/>
        <w:rPr>
          <w:rFonts w:ascii="Arial" w:hAnsi="Arial" w:cs="Arial"/>
          <w:sz w:val="20"/>
          <w:szCs w:val="20"/>
        </w:rPr>
      </w:pPr>
      <w:commentRangeStart w:id="6"/>
      <w:r w:rsidRPr="00E83F35">
        <w:rPr>
          <w:rFonts w:ascii="Arial" w:hAnsi="Arial" w:cs="Arial"/>
          <w:sz w:val="20"/>
          <w:szCs w:val="20"/>
        </w:rPr>
        <w:t>For the study, villages were randomly selected from the chosen talukas based on their significance in cotton cultivation.</w:t>
      </w:r>
    </w:p>
    <w:p w14:paraId="53149ADD"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Paithan Taluka, the villages Nandar and Balanagar were selected.</w:t>
      </w:r>
    </w:p>
    <w:p w14:paraId="5885E973"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Phulambri Taluka, the villages Ladsavangi and Babra were chosen.</w:t>
      </w:r>
    </w:p>
    <w:p w14:paraId="2459C076"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Jafrabad Taluka, the villages Akola Dev and Delegavhan were selected.</w:t>
      </w:r>
    </w:p>
    <w:p w14:paraId="223946FC"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 xml:space="preserve">In Bhokardan Taluka, the villages Jawkheda and </w:t>
      </w:r>
      <w:proofErr w:type="spellStart"/>
      <w:r w:rsidRPr="00E83F35">
        <w:rPr>
          <w:rFonts w:ascii="Arial" w:hAnsi="Arial" w:cs="Arial"/>
          <w:sz w:val="20"/>
          <w:szCs w:val="20"/>
        </w:rPr>
        <w:t>Rajur</w:t>
      </w:r>
      <w:proofErr w:type="spellEnd"/>
      <w:r w:rsidRPr="00E83F35">
        <w:rPr>
          <w:rFonts w:ascii="Arial" w:hAnsi="Arial" w:cs="Arial"/>
          <w:sz w:val="20"/>
          <w:szCs w:val="20"/>
        </w:rPr>
        <w:t xml:space="preserve"> were randomly chosen</w:t>
      </w:r>
      <w:commentRangeEnd w:id="6"/>
      <w:r w:rsidR="000E4280">
        <w:rPr>
          <w:rStyle w:val="CommentReference"/>
          <w:rFonts w:asciiTheme="minorHAnsi" w:eastAsiaTheme="minorHAnsi" w:hAnsiTheme="minorHAnsi" w:cstheme="minorBidi"/>
          <w:kern w:val="2"/>
          <w:lang w:eastAsia="en-US" w:bidi="ar-SA"/>
          <w14:ligatures w14:val="standardContextual"/>
        </w:rPr>
        <w:commentReference w:id="6"/>
      </w:r>
      <w:r w:rsidRPr="00E83F35">
        <w:rPr>
          <w:rFonts w:ascii="Arial" w:hAnsi="Arial" w:cs="Arial"/>
          <w:sz w:val="20"/>
          <w:szCs w:val="20"/>
        </w:rPr>
        <w:t>.</w:t>
      </w:r>
    </w:p>
    <w:p w14:paraId="0A64FC67" w14:textId="3A4BCDAF" w:rsidR="006D03DA" w:rsidRPr="00E83F35" w:rsidRDefault="006D03DA" w:rsidP="00E83F35">
      <w:pPr>
        <w:pStyle w:val="NormalWeb"/>
        <w:jc w:val="both"/>
        <w:rPr>
          <w:rFonts w:ascii="Arial" w:hAnsi="Arial" w:cs="Arial"/>
          <w:sz w:val="20"/>
          <w:szCs w:val="20"/>
        </w:rPr>
      </w:pPr>
      <w:r w:rsidRPr="00E83F35">
        <w:rPr>
          <w:rFonts w:ascii="Arial" w:hAnsi="Arial" w:cs="Arial"/>
          <w:sz w:val="20"/>
          <w:szCs w:val="20"/>
        </w:rPr>
        <w:t>These villages were selected to ensure a comprehensive representation of cotton-growing areas within the study region.</w:t>
      </w:r>
    </w:p>
    <w:p w14:paraId="19B6BFE6" w14:textId="77777777" w:rsidR="006D03DA" w:rsidRPr="00E83F35" w:rsidRDefault="006D03DA" w:rsidP="00E83F35">
      <w:pPr>
        <w:pStyle w:val="BodyText"/>
        <w:spacing w:before="261" w:after="240"/>
        <w:ind w:right="16"/>
        <w:jc w:val="both"/>
        <w:rPr>
          <w:rFonts w:ascii="Arial" w:hAnsi="Arial" w:cs="Arial"/>
          <w:w w:val="115"/>
          <w:sz w:val="22"/>
          <w:szCs w:val="22"/>
          <w:lang w:val="en-IN"/>
        </w:rPr>
      </w:pPr>
      <w:r w:rsidRPr="00E83F35">
        <w:rPr>
          <w:rFonts w:ascii="Arial" w:hAnsi="Arial" w:cs="Arial"/>
          <w:b/>
          <w:bCs/>
          <w:sz w:val="22"/>
          <w:szCs w:val="22"/>
        </w:rPr>
        <w:t>Selection</w:t>
      </w:r>
      <w:r w:rsidRPr="00E83F35">
        <w:rPr>
          <w:rFonts w:ascii="Arial" w:hAnsi="Arial" w:cs="Arial"/>
          <w:b/>
          <w:bCs/>
          <w:spacing w:val="-4"/>
          <w:sz w:val="22"/>
          <w:szCs w:val="22"/>
        </w:rPr>
        <w:t xml:space="preserve"> </w:t>
      </w:r>
      <w:r w:rsidRPr="00E83F35">
        <w:rPr>
          <w:rFonts w:ascii="Arial" w:hAnsi="Arial" w:cs="Arial"/>
          <w:b/>
          <w:bCs/>
          <w:sz w:val="22"/>
          <w:szCs w:val="22"/>
        </w:rPr>
        <w:t>of</w:t>
      </w:r>
      <w:r w:rsidRPr="00E83F35">
        <w:rPr>
          <w:rFonts w:ascii="Arial" w:hAnsi="Arial" w:cs="Arial"/>
          <w:b/>
          <w:bCs/>
          <w:spacing w:val="-3"/>
          <w:sz w:val="22"/>
          <w:szCs w:val="22"/>
        </w:rPr>
        <w:t xml:space="preserve"> </w:t>
      </w:r>
      <w:r w:rsidRPr="00E83F35">
        <w:rPr>
          <w:rFonts w:ascii="Arial" w:hAnsi="Arial" w:cs="Arial"/>
          <w:b/>
          <w:bCs/>
          <w:spacing w:val="-2"/>
          <w:sz w:val="22"/>
          <w:szCs w:val="22"/>
        </w:rPr>
        <w:t>Respondents/Farmers</w:t>
      </w:r>
    </w:p>
    <w:p w14:paraId="12ECA81C" w14:textId="77777777" w:rsidR="006D03DA" w:rsidRPr="00E83F35" w:rsidRDefault="006D03DA" w:rsidP="00E83F35">
      <w:pPr>
        <w:spacing w:line="240" w:lineRule="auto"/>
        <w:jc w:val="both"/>
        <w:rPr>
          <w:rFonts w:ascii="Arial" w:hAnsi="Arial" w:cs="Arial"/>
          <w:sz w:val="20"/>
          <w:szCs w:val="20"/>
          <w:lang w:val="en-US" w:bidi="mr-IN"/>
        </w:rPr>
      </w:pPr>
      <w:r w:rsidRPr="00E83F35">
        <w:rPr>
          <w:rFonts w:ascii="Arial" w:hAnsi="Arial" w:cs="Arial"/>
          <w:sz w:val="20"/>
          <w:szCs w:val="20"/>
          <w:lang w:val="en-US" w:bidi="mr-IN"/>
        </w:rPr>
        <w:t>A total of 30 farmers were selected from each of the chosen villages using a simple random sampling method. This resulted in a sample of 240 farmers, representing five landholding categories: Marginal, Small, Semi-Medium, Medium, and Large from whom the necessary data was collected.</w:t>
      </w:r>
    </w:p>
    <w:p w14:paraId="1BF9ED93" w14:textId="77777777" w:rsidR="006D03DA" w:rsidRPr="00E83F35" w:rsidRDefault="006D03DA" w:rsidP="00E83F35">
      <w:pPr>
        <w:spacing w:line="240" w:lineRule="auto"/>
        <w:jc w:val="both"/>
        <w:rPr>
          <w:rFonts w:ascii="Arial" w:hAnsi="Arial" w:cs="Arial"/>
          <w:sz w:val="20"/>
          <w:szCs w:val="20"/>
        </w:rPr>
      </w:pPr>
      <w:r w:rsidRPr="00E83F35">
        <w:rPr>
          <w:rFonts w:ascii="Arial" w:hAnsi="Arial" w:cs="Arial"/>
          <w:sz w:val="20"/>
          <w:szCs w:val="20"/>
        </w:rPr>
        <w:t>Here, the operational land holdings will be taken as a basis and all producers are categorized in five size classes as follows:</w:t>
      </w:r>
    </w:p>
    <w:p w14:paraId="2A8F5793" w14:textId="5F72D50F" w:rsidR="006D03DA" w:rsidRPr="00E83F35" w:rsidRDefault="006D03DA" w:rsidP="00E83F35">
      <w:pPr>
        <w:pStyle w:val="Caption"/>
        <w:keepNext/>
        <w:rPr>
          <w:rFonts w:ascii="Arial" w:hAnsi="Arial" w:cs="Arial"/>
          <w:b/>
          <w:bCs/>
          <w:sz w:val="20"/>
          <w:szCs w:val="14"/>
        </w:rPr>
      </w:pPr>
      <w:r w:rsidRPr="00E83F35">
        <w:rPr>
          <w:rFonts w:ascii="Arial" w:hAnsi="Arial" w:cs="Arial"/>
          <w:b/>
          <w:bCs/>
          <w:sz w:val="20"/>
          <w:szCs w:val="14"/>
        </w:rPr>
        <w:t xml:space="preserve">Table </w:t>
      </w:r>
      <w:r w:rsidRPr="00E83F35">
        <w:rPr>
          <w:rFonts w:ascii="Arial" w:hAnsi="Arial" w:cs="Arial"/>
          <w:b/>
          <w:bCs/>
          <w:sz w:val="20"/>
          <w:szCs w:val="14"/>
        </w:rPr>
        <w:fldChar w:fldCharType="begin"/>
      </w:r>
      <w:r w:rsidRPr="00E83F35">
        <w:rPr>
          <w:rFonts w:ascii="Arial" w:hAnsi="Arial" w:cs="Arial"/>
          <w:b/>
          <w:bCs/>
          <w:sz w:val="20"/>
          <w:szCs w:val="14"/>
        </w:rPr>
        <w:instrText xml:space="preserve"> SEQ Table \* ARABIC </w:instrText>
      </w:r>
      <w:r w:rsidRPr="00E83F35">
        <w:rPr>
          <w:rFonts w:ascii="Arial" w:hAnsi="Arial" w:cs="Arial"/>
          <w:b/>
          <w:bCs/>
          <w:sz w:val="20"/>
          <w:szCs w:val="14"/>
        </w:rPr>
        <w:fldChar w:fldCharType="separate"/>
      </w:r>
      <w:r w:rsidR="00B7240B" w:rsidRPr="00E83F35">
        <w:rPr>
          <w:rFonts w:ascii="Arial" w:hAnsi="Arial" w:cs="Arial"/>
          <w:b/>
          <w:bCs/>
          <w:noProof/>
          <w:sz w:val="20"/>
          <w:szCs w:val="14"/>
        </w:rPr>
        <w:t>2</w:t>
      </w:r>
      <w:r w:rsidRPr="00E83F35">
        <w:rPr>
          <w:rFonts w:ascii="Arial" w:hAnsi="Arial" w:cs="Arial"/>
          <w:b/>
          <w:bCs/>
          <w:sz w:val="20"/>
          <w:szCs w:val="14"/>
        </w:rPr>
        <w:fldChar w:fldCharType="end"/>
      </w:r>
      <w:r w:rsidRPr="00E83F35">
        <w:rPr>
          <w:rFonts w:ascii="Arial" w:hAnsi="Arial" w:cs="Arial"/>
          <w:b/>
          <w:bCs/>
          <w:sz w:val="20"/>
          <w:szCs w:val="14"/>
        </w:rPr>
        <w:t>: Landholding Categories</w:t>
      </w:r>
    </w:p>
    <w:tbl>
      <w:tblPr>
        <w:tblW w:w="6238" w:type="dxa"/>
        <w:jc w:val="center"/>
        <w:tblLook w:val="04A0" w:firstRow="1" w:lastRow="0" w:firstColumn="1" w:lastColumn="0" w:noHBand="0" w:noVBand="1"/>
      </w:tblPr>
      <w:tblGrid>
        <w:gridCol w:w="983"/>
        <w:gridCol w:w="1878"/>
        <w:gridCol w:w="3377"/>
      </w:tblGrid>
      <w:tr w:rsidR="006D03DA" w:rsidRPr="006D03DA" w14:paraId="0CD83193" w14:textId="77777777" w:rsidTr="00C81C6B">
        <w:trPr>
          <w:trHeight w:val="461"/>
          <w:jc w:val="center"/>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AD659"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Sl. No.</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73BDEFBE"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Category</w:t>
            </w:r>
          </w:p>
        </w:tc>
        <w:tc>
          <w:tcPr>
            <w:tcW w:w="3377" w:type="dxa"/>
            <w:tcBorders>
              <w:top w:val="single" w:sz="8" w:space="0" w:color="000000"/>
              <w:left w:val="nil"/>
              <w:bottom w:val="single" w:sz="8" w:space="0" w:color="000000"/>
              <w:right w:val="single" w:sz="8" w:space="0" w:color="000000"/>
            </w:tcBorders>
            <w:shd w:val="clear" w:color="auto" w:fill="auto"/>
            <w:vAlign w:val="center"/>
            <w:hideMark/>
          </w:tcPr>
          <w:p w14:paraId="58A353F1"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Size-Class</w:t>
            </w:r>
          </w:p>
        </w:tc>
      </w:tr>
      <w:tr w:rsidR="006D03DA" w:rsidRPr="006D03DA" w14:paraId="1056B8CE"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5CF292E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w:t>
            </w:r>
          </w:p>
        </w:tc>
        <w:tc>
          <w:tcPr>
            <w:tcW w:w="1878" w:type="dxa"/>
            <w:tcBorders>
              <w:top w:val="nil"/>
              <w:left w:val="nil"/>
              <w:bottom w:val="single" w:sz="8" w:space="0" w:color="000000"/>
              <w:right w:val="single" w:sz="8" w:space="0" w:color="000000"/>
            </w:tcBorders>
            <w:shd w:val="clear" w:color="auto" w:fill="auto"/>
            <w:vAlign w:val="center"/>
            <w:hideMark/>
          </w:tcPr>
          <w:p w14:paraId="60FA2166"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Marginal</w:t>
            </w:r>
          </w:p>
        </w:tc>
        <w:tc>
          <w:tcPr>
            <w:tcW w:w="3377" w:type="dxa"/>
            <w:tcBorders>
              <w:top w:val="nil"/>
              <w:left w:val="nil"/>
              <w:bottom w:val="single" w:sz="8" w:space="0" w:color="000000"/>
              <w:right w:val="single" w:sz="8" w:space="0" w:color="000000"/>
            </w:tcBorders>
            <w:shd w:val="clear" w:color="auto" w:fill="auto"/>
            <w:vAlign w:val="center"/>
            <w:hideMark/>
          </w:tcPr>
          <w:p w14:paraId="76E02775"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Below 1.00 hectare</w:t>
            </w:r>
          </w:p>
        </w:tc>
      </w:tr>
      <w:tr w:rsidR="006D03DA" w:rsidRPr="006D03DA" w14:paraId="68905DC2"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69FC6FB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2</w:t>
            </w:r>
          </w:p>
        </w:tc>
        <w:tc>
          <w:tcPr>
            <w:tcW w:w="1878" w:type="dxa"/>
            <w:tcBorders>
              <w:top w:val="nil"/>
              <w:left w:val="nil"/>
              <w:bottom w:val="single" w:sz="8" w:space="0" w:color="000000"/>
              <w:right w:val="single" w:sz="8" w:space="0" w:color="000000"/>
            </w:tcBorders>
            <w:shd w:val="clear" w:color="auto" w:fill="auto"/>
            <w:vAlign w:val="center"/>
            <w:hideMark/>
          </w:tcPr>
          <w:p w14:paraId="1456476D"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Small</w:t>
            </w:r>
          </w:p>
        </w:tc>
        <w:tc>
          <w:tcPr>
            <w:tcW w:w="3377" w:type="dxa"/>
            <w:tcBorders>
              <w:top w:val="nil"/>
              <w:left w:val="nil"/>
              <w:bottom w:val="single" w:sz="8" w:space="0" w:color="000000"/>
              <w:right w:val="single" w:sz="8" w:space="0" w:color="000000"/>
            </w:tcBorders>
            <w:shd w:val="clear" w:color="auto" w:fill="auto"/>
            <w:vAlign w:val="center"/>
            <w:hideMark/>
          </w:tcPr>
          <w:p w14:paraId="4CFEDDD0"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1.00-2.00 hectare</w:t>
            </w:r>
          </w:p>
        </w:tc>
      </w:tr>
      <w:tr w:rsidR="006D03DA" w:rsidRPr="006D03DA" w14:paraId="04DC3870"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569DC95"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3</w:t>
            </w:r>
          </w:p>
        </w:tc>
        <w:tc>
          <w:tcPr>
            <w:tcW w:w="1878" w:type="dxa"/>
            <w:tcBorders>
              <w:top w:val="nil"/>
              <w:left w:val="nil"/>
              <w:bottom w:val="single" w:sz="8" w:space="0" w:color="000000"/>
              <w:right w:val="single" w:sz="8" w:space="0" w:color="000000"/>
            </w:tcBorders>
            <w:shd w:val="clear" w:color="auto" w:fill="auto"/>
            <w:vAlign w:val="center"/>
            <w:hideMark/>
          </w:tcPr>
          <w:p w14:paraId="493FF255"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Semi- Medium</w:t>
            </w:r>
          </w:p>
        </w:tc>
        <w:tc>
          <w:tcPr>
            <w:tcW w:w="3377" w:type="dxa"/>
            <w:tcBorders>
              <w:top w:val="nil"/>
              <w:left w:val="nil"/>
              <w:bottom w:val="single" w:sz="8" w:space="0" w:color="000000"/>
              <w:right w:val="single" w:sz="8" w:space="0" w:color="000000"/>
            </w:tcBorders>
            <w:shd w:val="clear" w:color="auto" w:fill="auto"/>
            <w:vAlign w:val="center"/>
            <w:hideMark/>
          </w:tcPr>
          <w:p w14:paraId="3540752E"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2.00-4.00 hectare</w:t>
            </w:r>
          </w:p>
        </w:tc>
      </w:tr>
      <w:tr w:rsidR="006D03DA" w:rsidRPr="006D03DA" w14:paraId="3025FFC2"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F6DC22F"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4</w:t>
            </w:r>
          </w:p>
        </w:tc>
        <w:tc>
          <w:tcPr>
            <w:tcW w:w="1878" w:type="dxa"/>
            <w:tcBorders>
              <w:top w:val="nil"/>
              <w:left w:val="nil"/>
              <w:bottom w:val="single" w:sz="8" w:space="0" w:color="000000"/>
              <w:right w:val="single" w:sz="8" w:space="0" w:color="000000"/>
            </w:tcBorders>
            <w:shd w:val="clear" w:color="auto" w:fill="auto"/>
            <w:vAlign w:val="center"/>
            <w:hideMark/>
          </w:tcPr>
          <w:p w14:paraId="00BF3FF9"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Medium</w:t>
            </w:r>
          </w:p>
        </w:tc>
        <w:tc>
          <w:tcPr>
            <w:tcW w:w="3377" w:type="dxa"/>
            <w:tcBorders>
              <w:top w:val="nil"/>
              <w:left w:val="nil"/>
              <w:bottom w:val="single" w:sz="8" w:space="0" w:color="000000"/>
              <w:right w:val="single" w:sz="8" w:space="0" w:color="000000"/>
            </w:tcBorders>
            <w:shd w:val="clear" w:color="auto" w:fill="auto"/>
            <w:vAlign w:val="center"/>
            <w:hideMark/>
          </w:tcPr>
          <w:p w14:paraId="4405DE17"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4.00-10.00 hectare</w:t>
            </w:r>
          </w:p>
        </w:tc>
      </w:tr>
      <w:tr w:rsidR="006D03DA" w:rsidRPr="006D03DA" w14:paraId="6B555C54"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CD18DE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5</w:t>
            </w:r>
          </w:p>
        </w:tc>
        <w:tc>
          <w:tcPr>
            <w:tcW w:w="1878" w:type="dxa"/>
            <w:tcBorders>
              <w:top w:val="nil"/>
              <w:left w:val="nil"/>
              <w:bottom w:val="single" w:sz="8" w:space="0" w:color="000000"/>
              <w:right w:val="single" w:sz="8" w:space="0" w:color="000000"/>
            </w:tcBorders>
            <w:shd w:val="clear" w:color="auto" w:fill="auto"/>
            <w:vAlign w:val="center"/>
            <w:hideMark/>
          </w:tcPr>
          <w:p w14:paraId="4E3D4A8E"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Large</w:t>
            </w:r>
          </w:p>
        </w:tc>
        <w:tc>
          <w:tcPr>
            <w:tcW w:w="3377" w:type="dxa"/>
            <w:tcBorders>
              <w:top w:val="nil"/>
              <w:left w:val="nil"/>
              <w:bottom w:val="single" w:sz="8" w:space="0" w:color="000000"/>
              <w:right w:val="single" w:sz="8" w:space="0" w:color="000000"/>
            </w:tcBorders>
            <w:shd w:val="clear" w:color="auto" w:fill="auto"/>
            <w:vAlign w:val="center"/>
            <w:hideMark/>
          </w:tcPr>
          <w:p w14:paraId="2062048D"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10.00 hectare and above</w:t>
            </w:r>
          </w:p>
        </w:tc>
      </w:tr>
    </w:tbl>
    <w:p w14:paraId="2A041F2C" w14:textId="7B2C9DF8" w:rsidR="006D03DA" w:rsidRPr="00E83F35" w:rsidRDefault="006D03DA" w:rsidP="00E83F35">
      <w:pPr>
        <w:spacing w:line="240" w:lineRule="auto"/>
        <w:jc w:val="center"/>
        <w:rPr>
          <w:rFonts w:ascii="Arial" w:hAnsi="Arial" w:cs="Arial"/>
          <w:i/>
          <w:iCs/>
          <w:sz w:val="20"/>
          <w:szCs w:val="20"/>
        </w:rPr>
      </w:pPr>
      <w:r w:rsidRPr="00E83F35">
        <w:rPr>
          <w:rFonts w:ascii="Arial" w:hAnsi="Arial" w:cs="Arial"/>
          <w:b/>
          <w:bCs/>
          <w:i/>
          <w:iCs/>
          <w:sz w:val="20"/>
          <w:szCs w:val="20"/>
        </w:rPr>
        <w:t>Source:</w:t>
      </w:r>
      <w:r w:rsidRPr="00E83F35">
        <w:rPr>
          <w:rFonts w:ascii="Arial" w:hAnsi="Arial" w:cs="Arial"/>
          <w:i/>
          <w:iCs/>
          <w:sz w:val="20"/>
          <w:szCs w:val="20"/>
        </w:rPr>
        <w:t xml:space="preserve"> Agriculture Census, Press Information Bureau, Ministry of Agriculture &amp; Farmers Welfare, GOI.</w:t>
      </w:r>
    </w:p>
    <w:p w14:paraId="55582CBC" w14:textId="77777777" w:rsidR="006D03DA" w:rsidRPr="00E83F35" w:rsidRDefault="006D03DA" w:rsidP="00E83F35">
      <w:pPr>
        <w:spacing w:line="240" w:lineRule="auto"/>
        <w:rPr>
          <w:rFonts w:ascii="Arial" w:hAnsi="Arial" w:cs="Arial"/>
          <w:b/>
          <w:bCs/>
        </w:rPr>
      </w:pPr>
      <w:r w:rsidRPr="00E83F35">
        <w:rPr>
          <w:rFonts w:ascii="Arial" w:hAnsi="Arial" w:cs="Arial"/>
          <w:b/>
          <w:bCs/>
        </w:rPr>
        <w:t xml:space="preserve">Statistical tools </w:t>
      </w:r>
    </w:p>
    <w:p w14:paraId="68DD455E" w14:textId="32B910AC" w:rsidR="008826ED" w:rsidRPr="00E83F35" w:rsidRDefault="006D03DA" w:rsidP="00E83F35">
      <w:pPr>
        <w:spacing w:line="240" w:lineRule="auto"/>
        <w:jc w:val="both"/>
        <w:rPr>
          <w:rFonts w:ascii="Arial" w:hAnsi="Arial" w:cs="Arial"/>
          <w:sz w:val="20"/>
          <w:szCs w:val="20"/>
        </w:rPr>
      </w:pPr>
      <w:r w:rsidRPr="00E83F35">
        <w:rPr>
          <w:rFonts w:ascii="Arial" w:hAnsi="Arial" w:cs="Arial"/>
          <w:sz w:val="20"/>
          <w:szCs w:val="20"/>
        </w:rPr>
        <w:t xml:space="preserve">The following statistical tools </w:t>
      </w:r>
      <w:commentRangeStart w:id="7"/>
      <w:r w:rsidRPr="00E83F35">
        <w:rPr>
          <w:rFonts w:ascii="Arial" w:hAnsi="Arial" w:cs="Arial"/>
          <w:sz w:val="20"/>
          <w:szCs w:val="20"/>
        </w:rPr>
        <w:t xml:space="preserve">and technique was used </w:t>
      </w:r>
      <w:commentRangeEnd w:id="7"/>
      <w:r w:rsidR="000E4280">
        <w:rPr>
          <w:rStyle w:val="CommentReference"/>
        </w:rPr>
        <w:commentReference w:id="7"/>
      </w:r>
      <w:r w:rsidRPr="00E83F35">
        <w:rPr>
          <w:rFonts w:ascii="Arial" w:hAnsi="Arial" w:cs="Arial"/>
          <w:sz w:val="20"/>
          <w:szCs w:val="20"/>
        </w:rPr>
        <w:t xml:space="preserve">in analysis of data and interpretation of result. </w:t>
      </w:r>
    </w:p>
    <w:p w14:paraId="1ADB1476" w14:textId="77777777" w:rsidR="006D03DA" w:rsidRPr="00E83F35" w:rsidRDefault="006D03DA" w:rsidP="00E83F35">
      <w:pPr>
        <w:spacing w:line="240" w:lineRule="auto"/>
        <w:rPr>
          <w:rFonts w:ascii="Arial" w:hAnsi="Arial" w:cs="Arial"/>
          <w:b/>
          <w:bCs/>
          <w:lang w:val="en-US"/>
        </w:rPr>
      </w:pPr>
      <w:r w:rsidRPr="00E83F35">
        <w:rPr>
          <w:rFonts w:ascii="Arial" w:hAnsi="Arial" w:cs="Arial"/>
          <w:b/>
          <w:bCs/>
          <w:lang w:val="en-US"/>
        </w:rPr>
        <w:t>Percentage Analysis</w:t>
      </w:r>
    </w:p>
    <w:p w14:paraId="61ACA5D1" w14:textId="5C152626" w:rsidR="006D03DA" w:rsidRPr="00E83F35" w:rsidRDefault="00C81C6B" w:rsidP="00E83F35">
      <w:pPr>
        <w:spacing w:line="240" w:lineRule="auto"/>
        <w:jc w:val="both"/>
        <w:rPr>
          <w:rFonts w:ascii="Arial" w:hAnsi="Arial" w:cs="Arial"/>
          <w:sz w:val="20"/>
          <w:szCs w:val="20"/>
          <w:lang w:val="en-US"/>
        </w:rPr>
      </w:pPr>
      <w:r w:rsidRPr="00C81C6B">
        <w:rPr>
          <w:rFonts w:ascii="Arial" w:hAnsi="Arial" w:cs="Arial"/>
          <w:sz w:val="20"/>
          <w:szCs w:val="20"/>
        </w:rPr>
        <w:t xml:space="preserve">"Percentage analysis is a simple yet powerful tool used to express one value as a fraction of another, multiplied by 100 to represent it as a percentage. It is commonly used to understand the proportion or share of different categories within a dataset. This method is widely used in various fields to </w:t>
      </w:r>
      <w:proofErr w:type="spellStart"/>
      <w:r w:rsidRPr="00C81C6B">
        <w:rPr>
          <w:rFonts w:ascii="Arial" w:hAnsi="Arial" w:cs="Arial"/>
          <w:sz w:val="20"/>
          <w:szCs w:val="20"/>
        </w:rPr>
        <w:t>analyze</w:t>
      </w:r>
      <w:proofErr w:type="spellEnd"/>
      <w:r w:rsidRPr="00C81C6B">
        <w:rPr>
          <w:rFonts w:ascii="Arial" w:hAnsi="Arial" w:cs="Arial"/>
          <w:sz w:val="20"/>
          <w:szCs w:val="20"/>
        </w:rPr>
        <w:t xml:space="preserve"> data distribution (</w:t>
      </w:r>
      <w:r w:rsidR="0050076A" w:rsidRPr="0050076A">
        <w:rPr>
          <w:rFonts w:ascii="Arial" w:hAnsi="Arial" w:cs="Arial"/>
          <w:sz w:val="20"/>
          <w:szCs w:val="20"/>
        </w:rPr>
        <w:t>Cochran,</w:t>
      </w:r>
      <w:r w:rsidR="00003DB7">
        <w:rPr>
          <w:rFonts w:ascii="Arial" w:hAnsi="Arial" w:cs="Arial"/>
          <w:sz w:val="20"/>
          <w:szCs w:val="20"/>
        </w:rPr>
        <w:t xml:space="preserve"> </w:t>
      </w:r>
      <w:r w:rsidR="0050076A" w:rsidRPr="0050076A">
        <w:rPr>
          <w:rFonts w:ascii="Arial" w:hAnsi="Arial" w:cs="Arial"/>
          <w:sz w:val="20"/>
          <w:szCs w:val="20"/>
        </w:rPr>
        <w:t>1943</w:t>
      </w:r>
      <w:r w:rsidRPr="00C81C6B">
        <w:rPr>
          <w:rFonts w:ascii="Arial" w:hAnsi="Arial" w:cs="Arial"/>
          <w:sz w:val="20"/>
          <w:szCs w:val="20"/>
        </w:rPr>
        <w:t>)."</w:t>
      </w:r>
    </w:p>
    <w:p w14:paraId="3762308C" w14:textId="77777777" w:rsidR="006D03DA" w:rsidRPr="00E83F35" w:rsidRDefault="006D03DA" w:rsidP="00E83F35">
      <w:pPr>
        <w:spacing w:line="240" w:lineRule="auto"/>
        <w:rPr>
          <w:rFonts w:ascii="Arial" w:hAnsi="Arial" w:cs="Arial"/>
          <w:b/>
          <w:bCs/>
          <w:sz w:val="20"/>
          <w:szCs w:val="20"/>
          <w:lang w:val="en-US"/>
        </w:rPr>
      </w:pPr>
      <w:r w:rsidRPr="00E83F35">
        <w:rPr>
          <w:rFonts w:ascii="Arial" w:hAnsi="Arial" w:cs="Arial"/>
          <w:b/>
          <w:bCs/>
          <w:sz w:val="20"/>
          <w:szCs w:val="20"/>
          <w:lang w:val="en-US"/>
        </w:rPr>
        <w:t>Formula:</w:t>
      </w:r>
    </w:p>
    <w:p w14:paraId="571BEF23" w14:textId="65B1FCDC" w:rsidR="006D03DA" w:rsidRPr="00E83F35" w:rsidRDefault="006D03DA" w:rsidP="00E83F35">
      <w:pPr>
        <w:spacing w:line="240" w:lineRule="auto"/>
        <w:ind w:firstLine="1985"/>
        <w:rPr>
          <w:rFonts w:ascii="Arial" w:hAnsi="Arial" w:cs="Arial"/>
          <w:sz w:val="20"/>
          <w:szCs w:val="20"/>
          <w:lang w:val="en-US"/>
        </w:rPr>
      </w:pPr>
      <w:r w:rsidRPr="00E83F35">
        <w:rPr>
          <w:rFonts w:ascii="Arial" w:hAnsi="Arial" w:cs="Arial"/>
          <w:sz w:val="28"/>
          <w:szCs w:val="28"/>
          <w:lang w:val="en-US"/>
        </w:rPr>
        <w:t>Percentage = (Part / Total) × 100</w:t>
      </w:r>
      <w:r w:rsidRPr="00E83F35">
        <w:rPr>
          <w:rFonts w:ascii="Arial" w:hAnsi="Arial" w:cs="Arial"/>
          <w:sz w:val="32"/>
          <w:szCs w:val="32"/>
          <w:lang w:val="en-US"/>
        </w:rPr>
        <w:br/>
      </w:r>
      <w:r w:rsidRPr="00E83F35">
        <w:rPr>
          <w:rFonts w:ascii="Arial" w:hAnsi="Arial" w:cs="Arial"/>
          <w:sz w:val="20"/>
          <w:szCs w:val="20"/>
          <w:lang w:val="en-US"/>
        </w:rPr>
        <w:t>Where,</w:t>
      </w:r>
      <w:r w:rsidRPr="00E83F35">
        <w:rPr>
          <w:rFonts w:ascii="Arial" w:hAnsi="Arial" w:cs="Arial"/>
          <w:sz w:val="20"/>
          <w:szCs w:val="20"/>
          <w:lang w:val="en-US"/>
        </w:rPr>
        <w:br/>
      </w:r>
      <w:r w:rsidRPr="00E83F35">
        <w:rPr>
          <w:rFonts w:ascii="Arial" w:hAnsi="Arial" w:cs="Arial"/>
          <w:sz w:val="20"/>
          <w:szCs w:val="20"/>
          <w:lang w:val="en-US"/>
        </w:rPr>
        <w:tab/>
        <w:t>Part = The specific value or subset being analyzed.</w:t>
      </w:r>
      <w:r w:rsidRPr="00E83F35">
        <w:rPr>
          <w:rFonts w:ascii="Arial" w:hAnsi="Arial" w:cs="Arial"/>
          <w:sz w:val="20"/>
          <w:szCs w:val="20"/>
          <w:lang w:val="en-US"/>
        </w:rPr>
        <w:br/>
      </w:r>
      <w:r w:rsidRPr="00E83F35">
        <w:rPr>
          <w:rFonts w:ascii="Arial" w:hAnsi="Arial" w:cs="Arial"/>
          <w:sz w:val="20"/>
          <w:szCs w:val="20"/>
          <w:lang w:val="en-US"/>
        </w:rPr>
        <w:tab/>
        <w:t>Total = The total value or the whole dataset.</w:t>
      </w:r>
      <w:r w:rsidRPr="00E83F35">
        <w:rPr>
          <w:rFonts w:ascii="Arial" w:hAnsi="Arial" w:cs="Arial"/>
          <w:sz w:val="20"/>
          <w:szCs w:val="20"/>
          <w:lang w:val="en-US"/>
        </w:rPr>
        <w:br/>
      </w:r>
      <w:r w:rsidRPr="00E83F35">
        <w:rPr>
          <w:rFonts w:ascii="Arial" w:hAnsi="Arial" w:cs="Arial"/>
          <w:sz w:val="20"/>
          <w:szCs w:val="20"/>
          <w:lang w:val="en-US"/>
        </w:rPr>
        <w:tab/>
        <w:t>Percentage = The result expressed as a percentage.</w:t>
      </w:r>
    </w:p>
    <w:p w14:paraId="7EAC7AE8" w14:textId="77777777" w:rsidR="006D03DA" w:rsidRPr="00E83F35" w:rsidRDefault="006D03DA" w:rsidP="00E83F35">
      <w:pPr>
        <w:spacing w:line="240" w:lineRule="auto"/>
        <w:rPr>
          <w:rFonts w:ascii="Arial" w:hAnsi="Arial" w:cs="Arial"/>
        </w:rPr>
      </w:pPr>
      <w:r w:rsidRPr="00E83F35">
        <w:rPr>
          <w:rFonts w:ascii="Arial" w:eastAsia="Times New Roman" w:hAnsi="Arial" w:cs="Arial"/>
          <w:b/>
          <w:bCs/>
          <w:kern w:val="0"/>
          <w:lang w:eastAsia="en-IN" w:bidi="mr-IN"/>
          <w14:ligatures w14:val="none"/>
        </w:rPr>
        <w:t>Chi-Square Test (χ²)</w:t>
      </w:r>
    </w:p>
    <w:p w14:paraId="669FD80F" w14:textId="6BDF88D0" w:rsidR="00C81C6B" w:rsidRPr="00D04BA9" w:rsidRDefault="00C81C6B" w:rsidP="00D04BA9">
      <w:pPr>
        <w:spacing w:before="100" w:beforeAutospacing="1" w:after="100" w:afterAutospacing="1" w:line="240" w:lineRule="auto"/>
        <w:jc w:val="both"/>
        <w:outlineLvl w:val="3"/>
        <w:rPr>
          <w:rFonts w:ascii="Arial" w:eastAsia="Times New Roman" w:hAnsi="Arial" w:cs="Arial"/>
          <w:kern w:val="0"/>
          <w:sz w:val="20"/>
          <w:szCs w:val="20"/>
          <w:lang w:eastAsia="en-IN" w:bidi="mr-IN"/>
          <w14:ligatures w14:val="none"/>
        </w:rPr>
      </w:pPr>
      <w:r w:rsidRPr="00C81C6B">
        <w:rPr>
          <w:rFonts w:ascii="Arial" w:eastAsia="Times New Roman" w:hAnsi="Arial" w:cs="Arial"/>
          <w:kern w:val="0"/>
          <w:sz w:val="20"/>
          <w:szCs w:val="20"/>
          <w:lang w:eastAsia="en-IN" w:bidi="mr-IN"/>
          <w14:ligatures w14:val="none"/>
        </w:rPr>
        <w:lastRenderedPageBreak/>
        <w:t>"</w:t>
      </w:r>
      <w:r w:rsidRPr="00D04BA9">
        <w:rPr>
          <w:rFonts w:ascii="Arial" w:eastAsia="Times New Roman" w:hAnsi="Arial" w:cs="Arial"/>
          <w:kern w:val="0"/>
          <w:sz w:val="20"/>
          <w:szCs w:val="20"/>
          <w:lang w:eastAsia="en-IN" w:bidi="mr-IN"/>
          <w14:ligatures w14:val="none"/>
        </w:rPr>
        <w:t>The Chi-Square Test (χ²) is a statistical method used to determine if there is a significant association between two categorical variables. It compares the observed frequencies (O) with the expected frequencies (E) under the assumption that the variables are independent. The formula for Chi-Square is commonly employed in social sciences and agricultural research to evaluate relationships between variables (</w:t>
      </w:r>
      <w:proofErr w:type="spellStart"/>
      <w:r w:rsidR="00D04BA9" w:rsidRPr="00D04BA9">
        <w:rPr>
          <w:rFonts w:ascii="Arial" w:hAnsi="Arial" w:cs="Arial"/>
          <w:sz w:val="20"/>
          <w:szCs w:val="20"/>
        </w:rPr>
        <w:t>Onchiri</w:t>
      </w:r>
      <w:proofErr w:type="spellEnd"/>
      <w:r w:rsidR="00D04BA9" w:rsidRPr="00D04BA9">
        <w:rPr>
          <w:rFonts w:ascii="Arial" w:hAnsi="Arial" w:cs="Arial"/>
          <w:sz w:val="20"/>
          <w:szCs w:val="20"/>
        </w:rPr>
        <w:t>, 2013</w:t>
      </w:r>
      <w:r w:rsidRPr="00D04BA9">
        <w:rPr>
          <w:rFonts w:ascii="Arial" w:eastAsia="Times New Roman" w:hAnsi="Arial" w:cs="Arial"/>
          <w:kern w:val="0"/>
          <w:sz w:val="20"/>
          <w:szCs w:val="20"/>
          <w:lang w:eastAsia="en-IN" w:bidi="mr-IN"/>
          <w14:ligatures w14:val="none"/>
        </w:rPr>
        <w:t>)."</w:t>
      </w:r>
    </w:p>
    <w:p w14:paraId="65965334" w14:textId="777F384D" w:rsidR="006D03DA" w:rsidRPr="00E83F35" w:rsidRDefault="006D03DA" w:rsidP="00E83F35">
      <w:pPr>
        <w:spacing w:before="100" w:beforeAutospacing="1" w:after="100" w:afterAutospacing="1" w:line="240" w:lineRule="auto"/>
        <w:outlineLvl w:val="3"/>
        <w:rPr>
          <w:rFonts w:ascii="Arial" w:eastAsia="Times New Roman" w:hAnsi="Arial" w:cs="Arial"/>
          <w:b/>
          <w:bCs/>
          <w:kern w:val="0"/>
          <w:sz w:val="20"/>
          <w:szCs w:val="20"/>
          <w:lang w:eastAsia="en-IN" w:bidi="mr-IN"/>
          <w14:ligatures w14:val="none"/>
        </w:rPr>
      </w:pPr>
      <w:r w:rsidRPr="00E83F35">
        <w:rPr>
          <w:rFonts w:ascii="Arial" w:eastAsia="Times New Roman" w:hAnsi="Arial" w:cs="Arial"/>
          <w:b/>
          <w:bCs/>
          <w:kern w:val="0"/>
          <w:sz w:val="20"/>
          <w:szCs w:val="20"/>
          <w:lang w:eastAsia="en-IN" w:bidi="mr-IN"/>
          <w14:ligatures w14:val="none"/>
        </w:rPr>
        <w:t xml:space="preserve">Formula: </w:t>
      </w:r>
    </w:p>
    <w:p w14:paraId="5302E13C" w14:textId="77777777" w:rsidR="006D03DA" w:rsidRPr="00E83F35" w:rsidRDefault="006D03DA" w:rsidP="00E83F35">
      <w:pPr>
        <w:spacing w:before="100" w:beforeAutospacing="1" w:after="100" w:afterAutospacing="1" w:line="240" w:lineRule="auto"/>
        <w:jc w:val="center"/>
        <w:outlineLvl w:val="3"/>
        <w:rPr>
          <w:rFonts w:ascii="Arial" w:eastAsia="Times New Roman" w:hAnsi="Arial" w:cs="Arial"/>
          <w:b/>
          <w:bCs/>
          <w:kern w:val="0"/>
          <w:sz w:val="24"/>
          <w:szCs w:val="24"/>
          <w:lang w:eastAsia="en-IN" w:bidi="mr-IN"/>
          <w14:ligatures w14:val="none"/>
        </w:rPr>
      </w:pPr>
      <w:r w:rsidRPr="00E83F35">
        <w:rPr>
          <w:rFonts w:ascii="Arial" w:eastAsia="Times New Roman" w:hAnsi="Arial" w:cs="Arial"/>
          <w:b/>
          <w:bCs/>
          <w:noProof/>
          <w:kern w:val="0"/>
          <w:sz w:val="24"/>
          <w:szCs w:val="24"/>
          <w:lang w:eastAsia="en-IN" w:bidi="mr-IN"/>
          <w14:ligatures w14:val="none"/>
        </w:rPr>
        <w:drawing>
          <wp:inline distT="0" distB="0" distL="0" distR="0" wp14:anchorId="650B49D6" wp14:editId="7D1C75AC">
            <wp:extent cx="1691787" cy="579170"/>
            <wp:effectExtent l="0" t="0" r="3810" b="0"/>
            <wp:docPr id="57593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36774" name=""/>
                    <pic:cNvPicPr/>
                  </pic:nvPicPr>
                  <pic:blipFill>
                    <a:blip r:embed="rId12"/>
                    <a:stretch>
                      <a:fillRect/>
                    </a:stretch>
                  </pic:blipFill>
                  <pic:spPr>
                    <a:xfrm>
                      <a:off x="0" y="0"/>
                      <a:ext cx="1691787" cy="579170"/>
                    </a:xfrm>
                    <a:prstGeom prst="rect">
                      <a:avLst/>
                    </a:prstGeom>
                  </pic:spPr>
                </pic:pic>
              </a:graphicData>
            </a:graphic>
          </wp:inline>
        </w:drawing>
      </w:r>
    </w:p>
    <w:p w14:paraId="3087917D" w14:textId="77777777" w:rsidR="006D03DA" w:rsidRPr="00E83F35" w:rsidRDefault="006D03DA" w:rsidP="00E83F35">
      <w:pPr>
        <w:spacing w:line="240" w:lineRule="auto"/>
        <w:rPr>
          <w:rFonts w:ascii="Arial" w:hAnsi="Arial" w:cs="Arial"/>
          <w:sz w:val="20"/>
          <w:szCs w:val="20"/>
          <w:lang w:eastAsia="en-IN" w:bidi="mr-IN"/>
        </w:rPr>
      </w:pPr>
      <w:r w:rsidRPr="00E83F35">
        <w:rPr>
          <w:rFonts w:ascii="Arial" w:hAnsi="Arial" w:cs="Arial"/>
          <w:sz w:val="20"/>
          <w:szCs w:val="20"/>
          <w:lang w:eastAsia="en-IN" w:bidi="mr-IN"/>
        </w:rPr>
        <w:t>Where,</w:t>
      </w:r>
    </w:p>
    <w:p w14:paraId="5BE54851"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χ² = Chi-Square statistic</w:t>
      </w:r>
    </w:p>
    <w:p w14:paraId="06143873"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i/>
          <w:iCs/>
          <w:sz w:val="20"/>
          <w:szCs w:val="20"/>
          <w:lang w:eastAsia="en-IN" w:bidi="mr-IN"/>
        </w:rPr>
        <w:t>O</w:t>
      </w:r>
      <w:r w:rsidRPr="00E83F35">
        <w:rPr>
          <w:rFonts w:ascii="Arial" w:hAnsi="Arial" w:cs="Arial"/>
          <w:sz w:val="20"/>
          <w:szCs w:val="20"/>
          <w:lang w:eastAsia="en-IN" w:bidi="mr-IN"/>
        </w:rPr>
        <w:t xml:space="preserve"> = Observed Frequency (the actual count in each category)</w:t>
      </w:r>
    </w:p>
    <w:p w14:paraId="50C65244"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E = Expected Frequency (the count that would be expected if the variables were independent)</w:t>
      </w:r>
    </w:p>
    <w:p w14:paraId="634EE746"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Σ = Summation (sum of all categories)</w:t>
      </w:r>
    </w:p>
    <w:p w14:paraId="56423FE8" w14:textId="77777777" w:rsidR="006D03DA" w:rsidRPr="00E83F35" w:rsidRDefault="006D03DA" w:rsidP="00E83F35">
      <w:pPr>
        <w:spacing w:line="240" w:lineRule="auto"/>
        <w:rPr>
          <w:rFonts w:ascii="Arial" w:hAnsi="Arial" w:cs="Arial"/>
          <w:b/>
          <w:bCs/>
        </w:rPr>
      </w:pPr>
      <w:r w:rsidRPr="00E83F35">
        <w:rPr>
          <w:rFonts w:ascii="Arial" w:hAnsi="Arial" w:cs="Arial"/>
          <w:b/>
          <w:bCs/>
        </w:rPr>
        <w:t>Result and Discussion</w:t>
      </w:r>
    </w:p>
    <w:p w14:paraId="3E2AA14A" w14:textId="77777777" w:rsidR="009E0BE2" w:rsidRPr="009E0BE2" w:rsidRDefault="009E0BE2" w:rsidP="00E83F35">
      <w:pPr>
        <w:spacing w:line="240" w:lineRule="auto"/>
        <w:jc w:val="both"/>
        <w:rPr>
          <w:rFonts w:ascii="Arial" w:hAnsi="Arial" w:cs="Arial"/>
          <w:sz w:val="20"/>
          <w:szCs w:val="20"/>
        </w:rPr>
      </w:pPr>
      <w:r w:rsidRPr="009E0BE2">
        <w:rPr>
          <w:rFonts w:ascii="Arial" w:hAnsi="Arial" w:cs="Arial"/>
          <w:sz w:val="20"/>
          <w:szCs w:val="20"/>
        </w:rPr>
        <w:t>The composition of cotton farmers across different landholding categories reflects the fragmented nature of agricultural holdings in Maharashtra, particularly in the Marathwada region. In many cases, farmers currently classified as marginal or small were originally part of larger family holdings that underwent division over generations. Such fragmentation, often due to inheritance and partition, has led to a substantial number of small-scale cultivators managing land parcels that were once part of more extensive ancestral farms. Despite owning limited acreage, these farmers continue to engage in cotton cultivation, preserving both tradition and livelihood.</w:t>
      </w:r>
    </w:p>
    <w:p w14:paraId="047A79A4" w14:textId="77777777" w:rsidR="009E0BE2" w:rsidRPr="009E0BE2" w:rsidRDefault="009E0BE2" w:rsidP="00E83F35">
      <w:pPr>
        <w:spacing w:line="240" w:lineRule="auto"/>
        <w:jc w:val="both"/>
        <w:rPr>
          <w:rFonts w:ascii="Arial" w:hAnsi="Arial" w:cs="Arial"/>
          <w:sz w:val="20"/>
          <w:szCs w:val="20"/>
        </w:rPr>
      </w:pPr>
      <w:r w:rsidRPr="009E0BE2">
        <w:rPr>
          <w:rFonts w:ascii="Arial" w:hAnsi="Arial" w:cs="Arial"/>
          <w:sz w:val="20"/>
          <w:szCs w:val="20"/>
        </w:rPr>
        <w:t>In designing the sampling framework for this study, careful attention was given to representing all categories of landholders—marginal, small, semi-medium, medium, and large—across the two study districts. Each landholding stratum was proportionally represented to reflect the real-world distribution of cotton producers. Equal samples were drawn from Aurangabad and Jalna, two districts at the heart of Maharashtra's cotton economy, ensuring both geographical and structural balance.</w:t>
      </w:r>
    </w:p>
    <w:p w14:paraId="69992F50" w14:textId="77777777" w:rsidR="009E0BE2" w:rsidRPr="00E83F35" w:rsidRDefault="009E0BE2" w:rsidP="00E83F35">
      <w:pPr>
        <w:spacing w:line="240" w:lineRule="auto"/>
        <w:jc w:val="both"/>
        <w:rPr>
          <w:rFonts w:ascii="Arial" w:hAnsi="Arial" w:cs="Arial"/>
          <w:sz w:val="20"/>
          <w:szCs w:val="20"/>
        </w:rPr>
      </w:pPr>
      <w:r w:rsidRPr="009E0BE2">
        <w:rPr>
          <w:rFonts w:ascii="Arial" w:hAnsi="Arial" w:cs="Arial"/>
          <w:sz w:val="20"/>
          <w:szCs w:val="20"/>
        </w:rPr>
        <w:t>The following table outlines the classification and number of respondents selected from each landholding group across the two districts:</w:t>
      </w:r>
    </w:p>
    <w:p w14:paraId="18B59BA2" w14:textId="6EBA38DE" w:rsidR="009E0BE2" w:rsidRPr="00E83F35" w:rsidRDefault="009E0BE2" w:rsidP="00E83F35">
      <w:pPr>
        <w:pStyle w:val="Caption"/>
        <w:keepNext/>
        <w:rPr>
          <w:rFonts w:ascii="Arial" w:hAnsi="Arial" w:cs="Arial"/>
          <w:b/>
          <w:bCs/>
          <w:sz w:val="20"/>
          <w:szCs w:val="14"/>
        </w:rPr>
      </w:pPr>
      <w:r w:rsidRPr="00E83F35">
        <w:rPr>
          <w:rFonts w:ascii="Arial" w:hAnsi="Arial" w:cs="Arial"/>
          <w:b/>
          <w:bCs/>
          <w:sz w:val="20"/>
          <w:szCs w:val="14"/>
        </w:rPr>
        <w:t xml:space="preserve">Table </w:t>
      </w:r>
      <w:r w:rsidRPr="00E83F35">
        <w:rPr>
          <w:rFonts w:ascii="Arial" w:hAnsi="Arial" w:cs="Arial"/>
          <w:b/>
          <w:bCs/>
          <w:sz w:val="20"/>
          <w:szCs w:val="14"/>
        </w:rPr>
        <w:fldChar w:fldCharType="begin"/>
      </w:r>
      <w:r w:rsidRPr="00E83F35">
        <w:rPr>
          <w:rFonts w:ascii="Arial" w:hAnsi="Arial" w:cs="Arial"/>
          <w:b/>
          <w:bCs/>
          <w:sz w:val="20"/>
          <w:szCs w:val="14"/>
        </w:rPr>
        <w:instrText xml:space="preserve"> SEQ Table \* ARABIC </w:instrText>
      </w:r>
      <w:r w:rsidRPr="00E83F35">
        <w:rPr>
          <w:rFonts w:ascii="Arial" w:hAnsi="Arial" w:cs="Arial"/>
          <w:b/>
          <w:bCs/>
          <w:sz w:val="20"/>
          <w:szCs w:val="14"/>
        </w:rPr>
        <w:fldChar w:fldCharType="separate"/>
      </w:r>
      <w:r w:rsidR="00B7240B" w:rsidRPr="00E83F35">
        <w:rPr>
          <w:rFonts w:ascii="Arial" w:hAnsi="Arial" w:cs="Arial"/>
          <w:b/>
          <w:bCs/>
          <w:noProof/>
          <w:sz w:val="20"/>
          <w:szCs w:val="14"/>
        </w:rPr>
        <w:t>3</w:t>
      </w:r>
      <w:r w:rsidRPr="00E83F35">
        <w:rPr>
          <w:rFonts w:ascii="Arial" w:hAnsi="Arial" w:cs="Arial"/>
          <w:b/>
          <w:bCs/>
          <w:sz w:val="20"/>
          <w:szCs w:val="14"/>
        </w:rPr>
        <w:fldChar w:fldCharType="end"/>
      </w:r>
      <w:r w:rsidRPr="00E83F35">
        <w:rPr>
          <w:rFonts w:ascii="Arial" w:hAnsi="Arial" w:cs="Arial"/>
          <w:b/>
          <w:bCs/>
          <w:sz w:val="20"/>
          <w:szCs w:val="14"/>
        </w:rPr>
        <w:t>: Distribution of Farmers by Landholding Category in Aurangabad and Jalna</w:t>
      </w:r>
    </w:p>
    <w:tbl>
      <w:tblPr>
        <w:tblStyle w:val="TableGrid"/>
        <w:tblW w:w="7559" w:type="dxa"/>
        <w:jc w:val="center"/>
        <w:tblLook w:val="04A0" w:firstRow="1" w:lastRow="0" w:firstColumn="1" w:lastColumn="0" w:noHBand="0" w:noVBand="1"/>
      </w:tblPr>
      <w:tblGrid>
        <w:gridCol w:w="2720"/>
        <w:gridCol w:w="1580"/>
        <w:gridCol w:w="1627"/>
        <w:gridCol w:w="1632"/>
      </w:tblGrid>
      <w:tr w:rsidR="00E83F35" w:rsidRPr="00E83F35" w14:paraId="3C0B73F3" w14:textId="77777777" w:rsidTr="00D92052">
        <w:trPr>
          <w:trHeight w:val="321"/>
          <w:jc w:val="center"/>
        </w:trPr>
        <w:tc>
          <w:tcPr>
            <w:tcW w:w="2720" w:type="dxa"/>
            <w:noWrap/>
            <w:hideMark/>
          </w:tcPr>
          <w:p w14:paraId="73517C5D"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Landholding Category</w:t>
            </w:r>
          </w:p>
        </w:tc>
        <w:tc>
          <w:tcPr>
            <w:tcW w:w="1580" w:type="dxa"/>
            <w:noWrap/>
            <w:hideMark/>
          </w:tcPr>
          <w:p w14:paraId="181CEBE1"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Aurangabad</w:t>
            </w:r>
          </w:p>
        </w:tc>
        <w:tc>
          <w:tcPr>
            <w:tcW w:w="1627" w:type="dxa"/>
            <w:noWrap/>
            <w:hideMark/>
          </w:tcPr>
          <w:p w14:paraId="2891E664"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Jalna</w:t>
            </w:r>
          </w:p>
        </w:tc>
        <w:tc>
          <w:tcPr>
            <w:tcW w:w="1632" w:type="dxa"/>
            <w:noWrap/>
            <w:hideMark/>
          </w:tcPr>
          <w:p w14:paraId="00404108"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Total</w:t>
            </w:r>
          </w:p>
        </w:tc>
      </w:tr>
      <w:tr w:rsidR="00E83F35" w:rsidRPr="00E83F35" w14:paraId="4E0EDEEF" w14:textId="77777777" w:rsidTr="00D92052">
        <w:trPr>
          <w:trHeight w:val="321"/>
          <w:jc w:val="center"/>
        </w:trPr>
        <w:tc>
          <w:tcPr>
            <w:tcW w:w="2720" w:type="dxa"/>
            <w:hideMark/>
          </w:tcPr>
          <w:p w14:paraId="1E6BF2EB"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Marginal Farmers</w:t>
            </w:r>
          </w:p>
        </w:tc>
        <w:tc>
          <w:tcPr>
            <w:tcW w:w="1580" w:type="dxa"/>
            <w:noWrap/>
            <w:hideMark/>
          </w:tcPr>
          <w:p w14:paraId="2E52E7BB" w14:textId="5B9E85C7"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19</w:t>
            </w:r>
            <w:r w:rsidRPr="00E83F35">
              <w:rPr>
                <w:rFonts w:ascii="Arial" w:eastAsia="Times New Roman" w:hAnsi="Arial" w:cs="Arial"/>
                <w:color w:val="000000"/>
                <w:kern w:val="0"/>
                <w:sz w:val="20"/>
                <w:szCs w:val="20"/>
                <w:lang w:eastAsia="en-IN" w:bidi="mr-IN"/>
                <w14:ligatures w14:val="none"/>
              </w:rPr>
              <w:t xml:space="preserve"> (7.92%)</w:t>
            </w:r>
          </w:p>
        </w:tc>
        <w:tc>
          <w:tcPr>
            <w:tcW w:w="1627" w:type="dxa"/>
            <w:noWrap/>
            <w:hideMark/>
          </w:tcPr>
          <w:p w14:paraId="3D90B9EA" w14:textId="7B4AE827"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25</w:t>
            </w:r>
            <w:r w:rsidRPr="00E83F35">
              <w:rPr>
                <w:rFonts w:ascii="Arial" w:eastAsia="Times New Roman" w:hAnsi="Arial" w:cs="Arial"/>
                <w:color w:val="000000"/>
                <w:kern w:val="0"/>
                <w:sz w:val="20"/>
                <w:szCs w:val="20"/>
                <w:lang w:eastAsia="en-IN" w:bidi="mr-IN"/>
                <w14:ligatures w14:val="none"/>
              </w:rPr>
              <w:t xml:space="preserve"> (10.42%)</w:t>
            </w:r>
          </w:p>
        </w:tc>
        <w:tc>
          <w:tcPr>
            <w:tcW w:w="1632" w:type="dxa"/>
            <w:noWrap/>
            <w:hideMark/>
          </w:tcPr>
          <w:p w14:paraId="74391CB2" w14:textId="111B3AC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44 (18.33%)</w:t>
            </w:r>
          </w:p>
        </w:tc>
      </w:tr>
      <w:tr w:rsidR="00E83F35" w:rsidRPr="00E83F35" w14:paraId="359CEDF3" w14:textId="77777777" w:rsidTr="00D92052">
        <w:trPr>
          <w:trHeight w:val="321"/>
          <w:jc w:val="center"/>
        </w:trPr>
        <w:tc>
          <w:tcPr>
            <w:tcW w:w="2720" w:type="dxa"/>
            <w:hideMark/>
          </w:tcPr>
          <w:p w14:paraId="2B8B63D9"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Small Farmers</w:t>
            </w:r>
          </w:p>
        </w:tc>
        <w:tc>
          <w:tcPr>
            <w:tcW w:w="1580" w:type="dxa"/>
            <w:noWrap/>
            <w:hideMark/>
          </w:tcPr>
          <w:p w14:paraId="1D823A53" w14:textId="08A289A1" w:rsidR="009E0BE2" w:rsidRPr="009E0BE2" w:rsidRDefault="009E0BE2" w:rsidP="00E83F35">
            <w:pPr>
              <w:jc w:val="center"/>
              <w:rPr>
                <w:rFonts w:ascii="Arial" w:hAnsi="Arial" w:cs="Arial"/>
                <w:sz w:val="18"/>
                <w:szCs w:val="18"/>
                <w:lang w:eastAsia="en-IN" w:bidi="mr-IN"/>
              </w:rPr>
            </w:pPr>
            <w:r w:rsidRPr="009E0BE2">
              <w:rPr>
                <w:rFonts w:ascii="Arial" w:eastAsia="Times New Roman" w:hAnsi="Arial" w:cs="Arial"/>
                <w:color w:val="000000"/>
                <w:kern w:val="0"/>
                <w:sz w:val="20"/>
                <w:szCs w:val="20"/>
                <w:lang w:eastAsia="en-IN" w:bidi="mr-IN"/>
                <w14:ligatures w14:val="none"/>
              </w:rPr>
              <w:t>44</w:t>
            </w:r>
            <w:r w:rsidRPr="00E83F35">
              <w:rPr>
                <w:rFonts w:ascii="Arial" w:eastAsia="Times New Roman" w:hAnsi="Arial" w:cs="Arial"/>
                <w:color w:val="000000"/>
                <w:kern w:val="0"/>
                <w:sz w:val="20"/>
                <w:szCs w:val="20"/>
                <w:lang w:eastAsia="en-IN" w:bidi="mr-IN"/>
                <w14:ligatures w14:val="none"/>
              </w:rPr>
              <w:t xml:space="preserve"> (18.33%)</w:t>
            </w:r>
          </w:p>
        </w:tc>
        <w:tc>
          <w:tcPr>
            <w:tcW w:w="1627" w:type="dxa"/>
            <w:noWrap/>
            <w:hideMark/>
          </w:tcPr>
          <w:p w14:paraId="2804485D" w14:textId="3DE6C50C"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44</w:t>
            </w:r>
            <w:r w:rsidRPr="00E83F35">
              <w:rPr>
                <w:rFonts w:ascii="Arial" w:eastAsia="Times New Roman" w:hAnsi="Arial" w:cs="Arial"/>
                <w:color w:val="000000"/>
                <w:kern w:val="0"/>
                <w:sz w:val="20"/>
                <w:szCs w:val="20"/>
                <w:lang w:eastAsia="en-IN" w:bidi="mr-IN"/>
                <w14:ligatures w14:val="none"/>
              </w:rPr>
              <w:t xml:space="preserve"> (18.33%)</w:t>
            </w:r>
          </w:p>
        </w:tc>
        <w:tc>
          <w:tcPr>
            <w:tcW w:w="1632" w:type="dxa"/>
            <w:noWrap/>
            <w:hideMark/>
          </w:tcPr>
          <w:p w14:paraId="4758D2D4" w14:textId="771B657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88</w:t>
            </w:r>
            <w:r w:rsidRPr="00E83F35">
              <w:rPr>
                <w:rFonts w:ascii="Arial" w:eastAsia="Times New Roman" w:hAnsi="Arial" w:cs="Arial"/>
                <w:b/>
                <w:bCs/>
                <w:color w:val="000000"/>
                <w:kern w:val="0"/>
                <w:sz w:val="20"/>
                <w:szCs w:val="20"/>
                <w:lang w:eastAsia="en-IN" w:bidi="mr-IN"/>
                <w14:ligatures w14:val="none"/>
              </w:rPr>
              <w:t xml:space="preserve"> (36.6</w:t>
            </w:r>
            <w:r w:rsidR="00D92052" w:rsidRPr="00E83F35">
              <w:rPr>
                <w:rFonts w:ascii="Arial" w:eastAsia="Times New Roman" w:hAnsi="Arial" w:cs="Arial"/>
                <w:b/>
                <w:bCs/>
                <w:color w:val="000000"/>
                <w:kern w:val="0"/>
                <w:sz w:val="20"/>
                <w:szCs w:val="20"/>
                <w:lang w:eastAsia="en-IN" w:bidi="mr-IN"/>
                <w14:ligatures w14:val="none"/>
              </w:rPr>
              <w:t>7</w:t>
            </w:r>
            <w:r w:rsidRPr="00E83F35">
              <w:rPr>
                <w:rFonts w:ascii="Arial" w:eastAsia="Times New Roman" w:hAnsi="Arial" w:cs="Arial"/>
                <w:b/>
                <w:bCs/>
                <w:color w:val="000000"/>
                <w:kern w:val="0"/>
                <w:sz w:val="20"/>
                <w:szCs w:val="20"/>
                <w:lang w:eastAsia="en-IN" w:bidi="mr-IN"/>
                <w14:ligatures w14:val="none"/>
              </w:rPr>
              <w:t>%)</w:t>
            </w:r>
          </w:p>
        </w:tc>
      </w:tr>
      <w:tr w:rsidR="00E83F35" w:rsidRPr="00E83F35" w14:paraId="55A42163" w14:textId="77777777" w:rsidTr="00D92052">
        <w:trPr>
          <w:trHeight w:val="321"/>
          <w:jc w:val="center"/>
        </w:trPr>
        <w:tc>
          <w:tcPr>
            <w:tcW w:w="2720" w:type="dxa"/>
            <w:hideMark/>
          </w:tcPr>
          <w:p w14:paraId="6061626F"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Semi-Medium Farmers</w:t>
            </w:r>
          </w:p>
        </w:tc>
        <w:tc>
          <w:tcPr>
            <w:tcW w:w="1580" w:type="dxa"/>
            <w:noWrap/>
            <w:hideMark/>
          </w:tcPr>
          <w:p w14:paraId="130A3064" w14:textId="7A30A18A"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28</w:t>
            </w:r>
            <w:r w:rsidRPr="00E83F35">
              <w:rPr>
                <w:rFonts w:ascii="Arial" w:eastAsia="Times New Roman" w:hAnsi="Arial" w:cs="Arial"/>
                <w:color w:val="000000"/>
                <w:kern w:val="0"/>
                <w:sz w:val="20"/>
                <w:szCs w:val="20"/>
                <w:lang w:eastAsia="en-IN" w:bidi="mr-IN"/>
                <w14:ligatures w14:val="none"/>
              </w:rPr>
              <w:t xml:space="preserve"> (11.67%)</w:t>
            </w:r>
          </w:p>
        </w:tc>
        <w:tc>
          <w:tcPr>
            <w:tcW w:w="1627" w:type="dxa"/>
            <w:noWrap/>
            <w:hideMark/>
          </w:tcPr>
          <w:p w14:paraId="08EF2DAB" w14:textId="3F67D153"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22</w:t>
            </w:r>
            <w:r w:rsidRPr="00E83F35">
              <w:rPr>
                <w:rFonts w:ascii="Arial" w:eastAsia="Times New Roman" w:hAnsi="Arial" w:cs="Arial"/>
                <w:color w:val="000000"/>
                <w:kern w:val="0"/>
                <w:sz w:val="20"/>
                <w:szCs w:val="20"/>
                <w:lang w:eastAsia="en-IN" w:bidi="mr-IN"/>
                <w14:ligatures w14:val="none"/>
              </w:rPr>
              <w:t xml:space="preserve"> (9.67%)</w:t>
            </w:r>
          </w:p>
        </w:tc>
        <w:tc>
          <w:tcPr>
            <w:tcW w:w="1632" w:type="dxa"/>
            <w:noWrap/>
            <w:hideMark/>
          </w:tcPr>
          <w:p w14:paraId="5AB7BB95" w14:textId="28BBE00D"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50</w:t>
            </w:r>
            <w:r w:rsidRPr="00E83F35">
              <w:rPr>
                <w:rFonts w:ascii="Arial" w:eastAsia="Times New Roman" w:hAnsi="Arial" w:cs="Arial"/>
                <w:b/>
                <w:bCs/>
                <w:color w:val="000000"/>
                <w:kern w:val="0"/>
                <w:sz w:val="20"/>
                <w:szCs w:val="20"/>
                <w:lang w:eastAsia="en-IN" w:bidi="mr-IN"/>
                <w14:ligatures w14:val="none"/>
              </w:rPr>
              <w:t xml:space="preserve"> </w:t>
            </w:r>
            <w:r w:rsidR="00D92052" w:rsidRPr="00E83F35">
              <w:rPr>
                <w:rFonts w:ascii="Arial" w:eastAsia="Times New Roman" w:hAnsi="Arial" w:cs="Arial"/>
                <w:b/>
                <w:bCs/>
                <w:color w:val="000000"/>
                <w:kern w:val="0"/>
                <w:sz w:val="20"/>
                <w:szCs w:val="20"/>
                <w:lang w:eastAsia="en-IN" w:bidi="mr-IN"/>
                <w14:ligatures w14:val="none"/>
              </w:rPr>
              <w:t>(20.83%)</w:t>
            </w:r>
          </w:p>
        </w:tc>
      </w:tr>
      <w:tr w:rsidR="00E83F35" w:rsidRPr="00E83F35" w14:paraId="03B2523B" w14:textId="77777777" w:rsidTr="00D92052">
        <w:trPr>
          <w:trHeight w:val="321"/>
          <w:jc w:val="center"/>
        </w:trPr>
        <w:tc>
          <w:tcPr>
            <w:tcW w:w="2720" w:type="dxa"/>
            <w:hideMark/>
          </w:tcPr>
          <w:p w14:paraId="14A1C023"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Medium Farmers</w:t>
            </w:r>
          </w:p>
        </w:tc>
        <w:tc>
          <w:tcPr>
            <w:tcW w:w="1580" w:type="dxa"/>
            <w:noWrap/>
            <w:hideMark/>
          </w:tcPr>
          <w:p w14:paraId="1C54CB25" w14:textId="697422AE"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16</w:t>
            </w:r>
            <w:r w:rsidRPr="00E83F35">
              <w:rPr>
                <w:rFonts w:ascii="Arial" w:eastAsia="Times New Roman" w:hAnsi="Arial" w:cs="Arial"/>
                <w:color w:val="000000"/>
                <w:kern w:val="0"/>
                <w:sz w:val="20"/>
                <w:szCs w:val="20"/>
                <w:lang w:eastAsia="en-IN" w:bidi="mr-IN"/>
                <w14:ligatures w14:val="none"/>
              </w:rPr>
              <w:t xml:space="preserve"> (6.67%)</w:t>
            </w:r>
          </w:p>
        </w:tc>
        <w:tc>
          <w:tcPr>
            <w:tcW w:w="1627" w:type="dxa"/>
            <w:noWrap/>
            <w:hideMark/>
          </w:tcPr>
          <w:p w14:paraId="7C020867" w14:textId="22BF5C2B"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15</w:t>
            </w:r>
            <w:r w:rsidRPr="00E83F35">
              <w:rPr>
                <w:rFonts w:ascii="Arial" w:eastAsia="Times New Roman" w:hAnsi="Arial" w:cs="Arial"/>
                <w:color w:val="000000"/>
                <w:kern w:val="0"/>
                <w:sz w:val="20"/>
                <w:szCs w:val="20"/>
                <w:lang w:eastAsia="en-IN" w:bidi="mr-IN"/>
                <w14:ligatures w14:val="none"/>
              </w:rPr>
              <w:t xml:space="preserve"> (6.25%)</w:t>
            </w:r>
          </w:p>
        </w:tc>
        <w:tc>
          <w:tcPr>
            <w:tcW w:w="1632" w:type="dxa"/>
            <w:noWrap/>
            <w:hideMark/>
          </w:tcPr>
          <w:p w14:paraId="75095FEF" w14:textId="4076738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31</w:t>
            </w:r>
            <w:r w:rsidR="00D92052" w:rsidRPr="00E83F35">
              <w:rPr>
                <w:rFonts w:ascii="Arial" w:eastAsia="Times New Roman" w:hAnsi="Arial" w:cs="Arial"/>
                <w:b/>
                <w:bCs/>
                <w:color w:val="000000"/>
                <w:kern w:val="0"/>
                <w:sz w:val="20"/>
                <w:szCs w:val="20"/>
                <w:lang w:eastAsia="en-IN" w:bidi="mr-IN"/>
                <w14:ligatures w14:val="none"/>
              </w:rPr>
              <w:t xml:space="preserve"> (12.92%)</w:t>
            </w:r>
          </w:p>
        </w:tc>
      </w:tr>
      <w:tr w:rsidR="00E83F35" w:rsidRPr="00E83F35" w14:paraId="3C824908" w14:textId="77777777" w:rsidTr="00D92052">
        <w:trPr>
          <w:trHeight w:val="321"/>
          <w:jc w:val="center"/>
        </w:trPr>
        <w:tc>
          <w:tcPr>
            <w:tcW w:w="2720" w:type="dxa"/>
            <w:hideMark/>
          </w:tcPr>
          <w:p w14:paraId="6B096564"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Large Farmers</w:t>
            </w:r>
          </w:p>
        </w:tc>
        <w:tc>
          <w:tcPr>
            <w:tcW w:w="1580" w:type="dxa"/>
            <w:noWrap/>
            <w:hideMark/>
          </w:tcPr>
          <w:p w14:paraId="6283A3DD" w14:textId="3DEB8A06"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13</w:t>
            </w:r>
            <w:r w:rsidRPr="00E83F35">
              <w:rPr>
                <w:rFonts w:ascii="Arial" w:eastAsia="Times New Roman" w:hAnsi="Arial" w:cs="Arial"/>
                <w:color w:val="000000"/>
                <w:kern w:val="0"/>
                <w:sz w:val="20"/>
                <w:szCs w:val="20"/>
                <w:lang w:eastAsia="en-IN" w:bidi="mr-IN"/>
                <w14:ligatures w14:val="none"/>
              </w:rPr>
              <w:t xml:space="preserve"> (5.42%)</w:t>
            </w:r>
          </w:p>
        </w:tc>
        <w:tc>
          <w:tcPr>
            <w:tcW w:w="1627" w:type="dxa"/>
            <w:noWrap/>
            <w:hideMark/>
          </w:tcPr>
          <w:p w14:paraId="6F323CE9" w14:textId="293EEECD"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14</w:t>
            </w:r>
            <w:r w:rsidRPr="00E83F35">
              <w:rPr>
                <w:rFonts w:ascii="Arial" w:eastAsia="Times New Roman" w:hAnsi="Arial" w:cs="Arial"/>
                <w:color w:val="000000"/>
                <w:kern w:val="0"/>
                <w:sz w:val="20"/>
                <w:szCs w:val="20"/>
                <w:lang w:eastAsia="en-IN" w:bidi="mr-IN"/>
                <w14:ligatures w14:val="none"/>
              </w:rPr>
              <w:t xml:space="preserve"> (5.83%)</w:t>
            </w:r>
          </w:p>
        </w:tc>
        <w:tc>
          <w:tcPr>
            <w:tcW w:w="1632" w:type="dxa"/>
            <w:noWrap/>
            <w:hideMark/>
          </w:tcPr>
          <w:p w14:paraId="7557987F" w14:textId="09CEA46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27</w:t>
            </w:r>
            <w:r w:rsidR="00D92052" w:rsidRPr="00E83F35">
              <w:rPr>
                <w:rFonts w:ascii="Arial" w:eastAsia="Times New Roman" w:hAnsi="Arial" w:cs="Arial"/>
                <w:b/>
                <w:bCs/>
                <w:color w:val="000000"/>
                <w:kern w:val="0"/>
                <w:sz w:val="20"/>
                <w:szCs w:val="20"/>
                <w:lang w:eastAsia="en-IN" w:bidi="mr-IN"/>
                <w14:ligatures w14:val="none"/>
              </w:rPr>
              <w:t xml:space="preserve"> (11.25%)</w:t>
            </w:r>
          </w:p>
        </w:tc>
      </w:tr>
      <w:tr w:rsidR="00E83F35" w:rsidRPr="00E83F35" w14:paraId="0CD765D9" w14:textId="77777777" w:rsidTr="00D92052">
        <w:trPr>
          <w:trHeight w:val="321"/>
          <w:jc w:val="center"/>
        </w:trPr>
        <w:tc>
          <w:tcPr>
            <w:tcW w:w="2720" w:type="dxa"/>
            <w:hideMark/>
          </w:tcPr>
          <w:p w14:paraId="6D388C59"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Total</w:t>
            </w:r>
          </w:p>
        </w:tc>
        <w:tc>
          <w:tcPr>
            <w:tcW w:w="1580" w:type="dxa"/>
            <w:noWrap/>
            <w:hideMark/>
          </w:tcPr>
          <w:p w14:paraId="2D6D275F" w14:textId="099E082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120</w:t>
            </w:r>
            <w:r w:rsidR="00D92052" w:rsidRPr="00E83F35">
              <w:rPr>
                <w:rFonts w:ascii="Arial" w:eastAsia="Times New Roman" w:hAnsi="Arial" w:cs="Arial"/>
                <w:b/>
                <w:bCs/>
                <w:color w:val="000000"/>
                <w:kern w:val="0"/>
                <w:sz w:val="20"/>
                <w:szCs w:val="20"/>
                <w:lang w:eastAsia="en-IN" w:bidi="mr-IN"/>
                <w14:ligatures w14:val="none"/>
              </w:rPr>
              <w:t xml:space="preserve"> (50%)</w:t>
            </w:r>
          </w:p>
        </w:tc>
        <w:tc>
          <w:tcPr>
            <w:tcW w:w="1627" w:type="dxa"/>
            <w:noWrap/>
            <w:hideMark/>
          </w:tcPr>
          <w:p w14:paraId="4F8C36DC" w14:textId="23EFB08F"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120</w:t>
            </w:r>
            <w:r w:rsidR="00D92052" w:rsidRPr="00E83F35">
              <w:rPr>
                <w:rFonts w:ascii="Arial" w:eastAsia="Times New Roman" w:hAnsi="Arial" w:cs="Arial"/>
                <w:b/>
                <w:bCs/>
                <w:color w:val="000000"/>
                <w:kern w:val="0"/>
                <w:sz w:val="20"/>
                <w:szCs w:val="20"/>
                <w:lang w:eastAsia="en-IN" w:bidi="mr-IN"/>
                <w14:ligatures w14:val="none"/>
              </w:rPr>
              <w:t xml:space="preserve"> (50%)</w:t>
            </w:r>
          </w:p>
        </w:tc>
        <w:tc>
          <w:tcPr>
            <w:tcW w:w="1632" w:type="dxa"/>
            <w:noWrap/>
            <w:hideMark/>
          </w:tcPr>
          <w:p w14:paraId="51217D79" w14:textId="726481D8"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240</w:t>
            </w:r>
            <w:r w:rsidR="00D92052" w:rsidRPr="00E83F35">
              <w:rPr>
                <w:rFonts w:ascii="Arial" w:eastAsia="Times New Roman" w:hAnsi="Arial" w:cs="Arial"/>
                <w:b/>
                <w:bCs/>
                <w:color w:val="000000"/>
                <w:kern w:val="0"/>
                <w:sz w:val="20"/>
                <w:szCs w:val="20"/>
                <w:lang w:eastAsia="en-IN" w:bidi="mr-IN"/>
                <w14:ligatures w14:val="none"/>
              </w:rPr>
              <w:t xml:space="preserve"> (100%)</w:t>
            </w:r>
          </w:p>
        </w:tc>
      </w:tr>
    </w:tbl>
    <w:p w14:paraId="662AD25A" w14:textId="19EDF3D2" w:rsidR="009E0BE2" w:rsidRPr="009E0BE2" w:rsidRDefault="00D92052"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24D0CC00" w14:textId="4B5244C8" w:rsidR="00AC6B9D" w:rsidRPr="00E83F35" w:rsidRDefault="00512159" w:rsidP="00E83F35">
      <w:pPr>
        <w:spacing w:line="240" w:lineRule="auto"/>
        <w:jc w:val="both"/>
        <w:rPr>
          <w:rFonts w:ascii="Arial" w:hAnsi="Arial" w:cs="Arial"/>
          <w:b/>
          <w:bCs/>
        </w:rPr>
      </w:pPr>
      <w:r w:rsidRPr="00E83F35">
        <w:rPr>
          <w:rFonts w:ascii="Arial" w:hAnsi="Arial" w:cs="Arial"/>
          <w:b/>
          <w:bCs/>
        </w:rPr>
        <w:t>Age Group</w:t>
      </w:r>
    </w:p>
    <w:p w14:paraId="0A15FC40" w14:textId="6C69DB71" w:rsidR="00512159" w:rsidRPr="00E83F35" w:rsidRDefault="00512159"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4</w:t>
      </w:r>
      <w:r w:rsidRPr="00E83F35">
        <w:rPr>
          <w:rFonts w:ascii="Arial" w:hAnsi="Arial" w:cs="Arial"/>
          <w:b/>
          <w:bCs/>
          <w:sz w:val="20"/>
          <w:szCs w:val="20"/>
        </w:rPr>
        <w:fldChar w:fldCharType="end"/>
      </w:r>
      <w:r w:rsidRPr="00E83F35">
        <w:rPr>
          <w:rFonts w:ascii="Arial" w:hAnsi="Arial" w:cs="Arial"/>
          <w:b/>
          <w:bCs/>
          <w:sz w:val="20"/>
          <w:szCs w:val="20"/>
        </w:rPr>
        <w:t>: Age Distribution of Cotton growers across landholding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47"/>
        <w:gridCol w:w="1177"/>
        <w:gridCol w:w="1179"/>
        <w:gridCol w:w="1177"/>
        <w:gridCol w:w="1179"/>
        <w:gridCol w:w="1177"/>
        <w:gridCol w:w="1340"/>
      </w:tblGrid>
      <w:tr w:rsidR="00512159" w:rsidRPr="00E83F35" w14:paraId="2AABCBAC" w14:textId="77777777" w:rsidTr="00512159">
        <w:trPr>
          <w:trHeight w:val="416"/>
        </w:trPr>
        <w:tc>
          <w:tcPr>
            <w:tcW w:w="990" w:type="pct"/>
            <w:gridSpan w:val="2"/>
            <w:vMerge w:val="restart"/>
            <w:shd w:val="clear" w:color="auto" w:fill="auto"/>
            <w:vAlign w:val="center"/>
            <w:hideMark/>
          </w:tcPr>
          <w:p w14:paraId="52DB115E"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7DF6ABC3" w14:textId="7B28448F"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393620E2"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713E65DE" w14:textId="6C9860DB"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tc>
        <w:tc>
          <w:tcPr>
            <w:tcW w:w="4010" w:type="pct"/>
            <w:gridSpan w:val="6"/>
            <w:shd w:val="clear" w:color="000000" w:fill="A9D08E"/>
            <w:vAlign w:val="center"/>
            <w:hideMark/>
          </w:tcPr>
          <w:p w14:paraId="01D6DB6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Age Group</w:t>
            </w:r>
          </w:p>
        </w:tc>
      </w:tr>
      <w:tr w:rsidR="00512159" w:rsidRPr="00E83F35" w14:paraId="7EB88F54" w14:textId="77777777" w:rsidTr="00512159">
        <w:trPr>
          <w:trHeight w:val="563"/>
        </w:trPr>
        <w:tc>
          <w:tcPr>
            <w:tcW w:w="990" w:type="pct"/>
            <w:gridSpan w:val="2"/>
            <w:vMerge/>
            <w:shd w:val="clear" w:color="auto" w:fill="auto"/>
            <w:vAlign w:val="center"/>
            <w:hideMark/>
          </w:tcPr>
          <w:p w14:paraId="7A72AC10" w14:textId="7B6572EB"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53" w:type="pct"/>
            <w:shd w:val="clear" w:color="000000" w:fill="E2EFDA"/>
            <w:vAlign w:val="center"/>
            <w:hideMark/>
          </w:tcPr>
          <w:p w14:paraId="1C3FDB2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&lt;30 Years</w:t>
            </w:r>
          </w:p>
        </w:tc>
        <w:tc>
          <w:tcPr>
            <w:tcW w:w="654" w:type="pct"/>
            <w:shd w:val="clear" w:color="000000" w:fill="E2EFDA"/>
            <w:vAlign w:val="center"/>
            <w:hideMark/>
          </w:tcPr>
          <w:p w14:paraId="58C61119"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30-40 Years</w:t>
            </w:r>
          </w:p>
        </w:tc>
        <w:tc>
          <w:tcPr>
            <w:tcW w:w="653" w:type="pct"/>
            <w:shd w:val="clear" w:color="000000" w:fill="E2EFDA"/>
            <w:vAlign w:val="center"/>
            <w:hideMark/>
          </w:tcPr>
          <w:p w14:paraId="418AC7F2"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40-50 Years</w:t>
            </w:r>
          </w:p>
        </w:tc>
        <w:tc>
          <w:tcPr>
            <w:tcW w:w="654" w:type="pct"/>
            <w:shd w:val="clear" w:color="000000" w:fill="E2EFDA"/>
            <w:vAlign w:val="center"/>
            <w:hideMark/>
          </w:tcPr>
          <w:p w14:paraId="04255CEB"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50-60 Years</w:t>
            </w:r>
          </w:p>
        </w:tc>
        <w:tc>
          <w:tcPr>
            <w:tcW w:w="653" w:type="pct"/>
            <w:shd w:val="clear" w:color="000000" w:fill="E2EFDA"/>
            <w:vAlign w:val="center"/>
            <w:hideMark/>
          </w:tcPr>
          <w:p w14:paraId="286A5A3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&gt;60 Years</w:t>
            </w:r>
          </w:p>
        </w:tc>
        <w:tc>
          <w:tcPr>
            <w:tcW w:w="744" w:type="pct"/>
            <w:shd w:val="clear" w:color="000000" w:fill="E2EFDA"/>
            <w:vAlign w:val="center"/>
            <w:hideMark/>
          </w:tcPr>
          <w:p w14:paraId="1313EEB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E83F35" w:rsidRPr="00E83F35" w14:paraId="0CC223EB" w14:textId="77777777" w:rsidTr="00512159">
        <w:trPr>
          <w:trHeight w:val="563"/>
        </w:trPr>
        <w:tc>
          <w:tcPr>
            <w:tcW w:w="299" w:type="pct"/>
            <w:vMerge w:val="restart"/>
            <w:shd w:val="clear" w:color="000000" w:fill="FFD966"/>
            <w:noWrap/>
            <w:textDirection w:val="btLr"/>
            <w:vAlign w:val="center"/>
            <w:hideMark/>
          </w:tcPr>
          <w:p w14:paraId="095F8EF7"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lastRenderedPageBreak/>
              <w:t>Landholding Category</w:t>
            </w:r>
          </w:p>
        </w:tc>
        <w:tc>
          <w:tcPr>
            <w:tcW w:w="690" w:type="pct"/>
            <w:shd w:val="clear" w:color="000000" w:fill="FFF2CC"/>
            <w:vAlign w:val="center"/>
            <w:hideMark/>
          </w:tcPr>
          <w:p w14:paraId="31FC608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653" w:type="pct"/>
            <w:shd w:val="clear" w:color="auto" w:fill="auto"/>
            <w:vAlign w:val="center"/>
            <w:hideMark/>
          </w:tcPr>
          <w:p w14:paraId="3A105A8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54" w:type="pct"/>
            <w:shd w:val="clear" w:color="auto" w:fill="auto"/>
            <w:vAlign w:val="center"/>
            <w:hideMark/>
          </w:tcPr>
          <w:p w14:paraId="206F044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16 (6.66%)</w:t>
            </w:r>
          </w:p>
        </w:tc>
        <w:tc>
          <w:tcPr>
            <w:tcW w:w="653" w:type="pct"/>
            <w:shd w:val="clear" w:color="auto" w:fill="auto"/>
            <w:vAlign w:val="center"/>
            <w:hideMark/>
          </w:tcPr>
          <w:p w14:paraId="5E03F9F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5998B72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52B7C8E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44" w:type="pct"/>
            <w:shd w:val="clear" w:color="auto" w:fill="auto"/>
            <w:vAlign w:val="center"/>
            <w:hideMark/>
          </w:tcPr>
          <w:p w14:paraId="6FA44A4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E83F35" w:rsidRPr="00E83F35" w14:paraId="46B376EF" w14:textId="77777777" w:rsidTr="00512159">
        <w:trPr>
          <w:trHeight w:val="563"/>
        </w:trPr>
        <w:tc>
          <w:tcPr>
            <w:tcW w:w="299" w:type="pct"/>
            <w:vMerge/>
            <w:vAlign w:val="center"/>
            <w:hideMark/>
          </w:tcPr>
          <w:p w14:paraId="0EE8A2C0"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0DB851F5"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653" w:type="pct"/>
            <w:shd w:val="clear" w:color="auto" w:fill="auto"/>
            <w:vAlign w:val="center"/>
            <w:hideMark/>
          </w:tcPr>
          <w:p w14:paraId="732CCBF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1898AF4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653" w:type="pct"/>
            <w:shd w:val="clear" w:color="auto" w:fill="auto"/>
            <w:vAlign w:val="center"/>
            <w:hideMark/>
          </w:tcPr>
          <w:p w14:paraId="3488D84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(13.34%)</w:t>
            </w:r>
          </w:p>
        </w:tc>
        <w:tc>
          <w:tcPr>
            <w:tcW w:w="654" w:type="pct"/>
            <w:shd w:val="clear" w:color="auto" w:fill="auto"/>
            <w:vAlign w:val="center"/>
            <w:hideMark/>
          </w:tcPr>
          <w:p w14:paraId="00DE49C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3" w:type="pct"/>
            <w:shd w:val="clear" w:color="auto" w:fill="auto"/>
            <w:vAlign w:val="center"/>
            <w:hideMark/>
          </w:tcPr>
          <w:p w14:paraId="6AC128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44" w:type="pct"/>
            <w:shd w:val="clear" w:color="auto" w:fill="auto"/>
            <w:vAlign w:val="center"/>
            <w:hideMark/>
          </w:tcPr>
          <w:p w14:paraId="0F3386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E83F35" w:rsidRPr="00E83F35" w14:paraId="7D040D05" w14:textId="77777777" w:rsidTr="00512159">
        <w:trPr>
          <w:trHeight w:val="563"/>
        </w:trPr>
        <w:tc>
          <w:tcPr>
            <w:tcW w:w="299" w:type="pct"/>
            <w:vMerge/>
            <w:vAlign w:val="center"/>
            <w:hideMark/>
          </w:tcPr>
          <w:p w14:paraId="6DE6958C"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42041D3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653" w:type="pct"/>
            <w:shd w:val="clear" w:color="auto" w:fill="auto"/>
            <w:vAlign w:val="center"/>
            <w:hideMark/>
          </w:tcPr>
          <w:p w14:paraId="32E081B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4" w:type="pct"/>
            <w:shd w:val="clear" w:color="auto" w:fill="auto"/>
            <w:vAlign w:val="center"/>
            <w:hideMark/>
          </w:tcPr>
          <w:p w14:paraId="69DC598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653" w:type="pct"/>
            <w:shd w:val="clear" w:color="auto" w:fill="auto"/>
            <w:vAlign w:val="center"/>
            <w:hideMark/>
          </w:tcPr>
          <w:p w14:paraId="4563CEBC"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654" w:type="pct"/>
            <w:shd w:val="clear" w:color="auto" w:fill="auto"/>
            <w:vAlign w:val="center"/>
            <w:hideMark/>
          </w:tcPr>
          <w:p w14:paraId="20FEE6B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6DE54A2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44" w:type="pct"/>
            <w:shd w:val="clear" w:color="auto" w:fill="auto"/>
            <w:vAlign w:val="center"/>
            <w:hideMark/>
          </w:tcPr>
          <w:p w14:paraId="105A8DF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E83F35" w:rsidRPr="00E83F35" w14:paraId="405618D9" w14:textId="77777777" w:rsidTr="00512159">
        <w:trPr>
          <w:trHeight w:val="563"/>
        </w:trPr>
        <w:tc>
          <w:tcPr>
            <w:tcW w:w="299" w:type="pct"/>
            <w:vMerge/>
            <w:vAlign w:val="center"/>
            <w:hideMark/>
          </w:tcPr>
          <w:p w14:paraId="1F747B0B"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52A12325"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653" w:type="pct"/>
            <w:shd w:val="clear" w:color="auto" w:fill="auto"/>
            <w:vAlign w:val="center"/>
            <w:hideMark/>
          </w:tcPr>
          <w:p w14:paraId="0ACE2D9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4" w:type="pct"/>
            <w:shd w:val="clear" w:color="auto" w:fill="auto"/>
            <w:vAlign w:val="center"/>
            <w:hideMark/>
          </w:tcPr>
          <w:p w14:paraId="22B7C9F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7FCB762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3B8067D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481CB3C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744" w:type="pct"/>
            <w:shd w:val="clear" w:color="auto" w:fill="auto"/>
            <w:vAlign w:val="center"/>
            <w:hideMark/>
          </w:tcPr>
          <w:p w14:paraId="102A42EC"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E83F35" w:rsidRPr="00E83F35" w14:paraId="1D8013F0" w14:textId="77777777" w:rsidTr="00512159">
        <w:trPr>
          <w:trHeight w:val="563"/>
        </w:trPr>
        <w:tc>
          <w:tcPr>
            <w:tcW w:w="299" w:type="pct"/>
            <w:vMerge/>
            <w:vAlign w:val="center"/>
            <w:hideMark/>
          </w:tcPr>
          <w:p w14:paraId="420410C0"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3103806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653" w:type="pct"/>
            <w:shd w:val="clear" w:color="auto" w:fill="auto"/>
            <w:vAlign w:val="center"/>
            <w:hideMark/>
          </w:tcPr>
          <w:p w14:paraId="6E60A88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654" w:type="pct"/>
            <w:shd w:val="clear" w:color="auto" w:fill="auto"/>
            <w:vAlign w:val="center"/>
            <w:hideMark/>
          </w:tcPr>
          <w:p w14:paraId="0D2F4CF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3" w:type="pct"/>
            <w:shd w:val="clear" w:color="auto" w:fill="auto"/>
            <w:vAlign w:val="center"/>
            <w:hideMark/>
          </w:tcPr>
          <w:p w14:paraId="6AA78F0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4" w:type="pct"/>
            <w:shd w:val="clear" w:color="auto" w:fill="auto"/>
            <w:vAlign w:val="center"/>
            <w:hideMark/>
          </w:tcPr>
          <w:p w14:paraId="39277C8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3" w:type="pct"/>
            <w:shd w:val="clear" w:color="auto" w:fill="auto"/>
            <w:vAlign w:val="center"/>
            <w:hideMark/>
          </w:tcPr>
          <w:p w14:paraId="3AE01CB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11 (4.58%)</w:t>
            </w:r>
          </w:p>
        </w:tc>
        <w:tc>
          <w:tcPr>
            <w:tcW w:w="744" w:type="pct"/>
            <w:shd w:val="clear" w:color="auto" w:fill="auto"/>
            <w:vAlign w:val="center"/>
            <w:hideMark/>
          </w:tcPr>
          <w:p w14:paraId="42BB10C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E83F35" w:rsidRPr="00E83F35" w14:paraId="11885C76" w14:textId="77777777" w:rsidTr="00512159">
        <w:trPr>
          <w:trHeight w:val="563"/>
        </w:trPr>
        <w:tc>
          <w:tcPr>
            <w:tcW w:w="299" w:type="pct"/>
            <w:vMerge/>
            <w:vAlign w:val="center"/>
            <w:hideMark/>
          </w:tcPr>
          <w:p w14:paraId="5589B002"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1E32240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653" w:type="pct"/>
            <w:shd w:val="clear" w:color="auto" w:fill="auto"/>
            <w:vAlign w:val="center"/>
            <w:hideMark/>
          </w:tcPr>
          <w:p w14:paraId="049DF31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654" w:type="pct"/>
            <w:shd w:val="clear" w:color="auto" w:fill="auto"/>
            <w:vAlign w:val="center"/>
            <w:hideMark/>
          </w:tcPr>
          <w:p w14:paraId="3A82C60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70 (29.16%)</w:t>
            </w:r>
          </w:p>
        </w:tc>
        <w:tc>
          <w:tcPr>
            <w:tcW w:w="653" w:type="pct"/>
            <w:shd w:val="clear" w:color="auto" w:fill="auto"/>
            <w:vAlign w:val="center"/>
            <w:hideMark/>
          </w:tcPr>
          <w:p w14:paraId="45F458E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78 (32.51%)</w:t>
            </w:r>
          </w:p>
        </w:tc>
        <w:tc>
          <w:tcPr>
            <w:tcW w:w="654" w:type="pct"/>
            <w:shd w:val="clear" w:color="auto" w:fill="auto"/>
            <w:vAlign w:val="center"/>
            <w:hideMark/>
          </w:tcPr>
          <w:p w14:paraId="4A04807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653" w:type="pct"/>
            <w:shd w:val="clear" w:color="auto" w:fill="auto"/>
            <w:vAlign w:val="center"/>
            <w:hideMark/>
          </w:tcPr>
          <w:p w14:paraId="29C2606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44" w:type="pct"/>
            <w:shd w:val="clear" w:color="auto" w:fill="auto"/>
            <w:vAlign w:val="center"/>
            <w:hideMark/>
          </w:tcPr>
          <w:p w14:paraId="20F92836"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512159" w:rsidRPr="00E83F35" w14:paraId="3597F66B" w14:textId="77777777" w:rsidTr="00512159">
        <w:trPr>
          <w:trHeight w:val="563"/>
        </w:trPr>
        <w:tc>
          <w:tcPr>
            <w:tcW w:w="2296" w:type="pct"/>
            <w:gridSpan w:val="4"/>
            <w:shd w:val="clear" w:color="auto" w:fill="auto"/>
            <w:vAlign w:val="center"/>
            <w:hideMark/>
          </w:tcPr>
          <w:p w14:paraId="374FE13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31.97</w:t>
            </w:r>
          </w:p>
        </w:tc>
        <w:tc>
          <w:tcPr>
            <w:tcW w:w="1307" w:type="pct"/>
            <w:gridSpan w:val="2"/>
            <w:shd w:val="clear" w:color="auto" w:fill="auto"/>
            <w:vAlign w:val="center"/>
            <w:hideMark/>
          </w:tcPr>
          <w:p w14:paraId="0E80370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w:t>
            </w:r>
            <w:r w:rsidRPr="00E83F35">
              <w:rPr>
                <w:rFonts w:ascii="Arial" w:eastAsia="Times New Roman" w:hAnsi="Arial" w:cs="Arial"/>
                <w:color w:val="000000"/>
                <w:kern w:val="0"/>
                <w:sz w:val="20"/>
                <w:szCs w:val="20"/>
                <w:lang w:eastAsia="en-IN" w:bidi="mr-IN"/>
                <w14:ligatures w14:val="none"/>
              </w:rPr>
              <w:t xml:space="preserve"> </w:t>
            </w:r>
            <w:r w:rsidRPr="00E83F35">
              <w:rPr>
                <w:rFonts w:ascii="Arial" w:eastAsia="Times New Roman" w:hAnsi="Arial" w:cs="Arial"/>
                <w:b/>
                <w:bCs/>
                <w:color w:val="000000"/>
                <w:kern w:val="0"/>
                <w:sz w:val="20"/>
                <w:szCs w:val="20"/>
                <w:lang w:eastAsia="en-IN" w:bidi="mr-IN"/>
                <w14:ligatures w14:val="none"/>
              </w:rPr>
              <w:t xml:space="preserve">(df): </w:t>
            </w:r>
            <w:r w:rsidRPr="00E83F35">
              <w:rPr>
                <w:rFonts w:ascii="Arial" w:eastAsia="Times New Roman" w:hAnsi="Arial" w:cs="Arial"/>
                <w:color w:val="000000"/>
                <w:kern w:val="0"/>
                <w:sz w:val="20"/>
                <w:szCs w:val="20"/>
                <w:lang w:eastAsia="en-IN" w:bidi="mr-IN"/>
                <w14:ligatures w14:val="none"/>
              </w:rPr>
              <w:t>16</w:t>
            </w:r>
          </w:p>
        </w:tc>
        <w:tc>
          <w:tcPr>
            <w:tcW w:w="1397" w:type="pct"/>
            <w:gridSpan w:val="2"/>
            <w:shd w:val="clear" w:color="auto" w:fill="auto"/>
            <w:vAlign w:val="center"/>
            <w:hideMark/>
          </w:tcPr>
          <w:p w14:paraId="67CCC46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p-value:</w:t>
            </w:r>
            <w:r w:rsidRPr="00E83F35">
              <w:rPr>
                <w:rFonts w:ascii="Arial" w:eastAsia="Times New Roman" w:hAnsi="Arial" w:cs="Arial"/>
                <w:color w:val="000000"/>
                <w:kern w:val="0"/>
                <w:sz w:val="20"/>
                <w:szCs w:val="20"/>
                <w:lang w:eastAsia="en-IN" w:bidi="mr-IN"/>
                <w14:ligatures w14:val="none"/>
              </w:rPr>
              <w:t xml:space="preserve"> 0.010</w:t>
            </w:r>
          </w:p>
        </w:tc>
      </w:tr>
      <w:tr w:rsidR="00512159" w:rsidRPr="00E83F35" w14:paraId="0A4078E6" w14:textId="77777777" w:rsidTr="00512159">
        <w:trPr>
          <w:trHeight w:val="563"/>
        </w:trPr>
        <w:tc>
          <w:tcPr>
            <w:tcW w:w="5000" w:type="pct"/>
            <w:gridSpan w:val="8"/>
            <w:shd w:val="clear" w:color="auto" w:fill="auto"/>
            <w:vAlign w:val="center"/>
            <w:hideMark/>
          </w:tcPr>
          <w:p w14:paraId="21D52D8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Interpretation: </w:t>
            </w:r>
            <w:r w:rsidRPr="00E83F35">
              <w:rPr>
                <w:rFonts w:ascii="Arial" w:eastAsia="Times New Roman" w:hAnsi="Arial" w:cs="Arial"/>
                <w:color w:val="000000"/>
                <w:kern w:val="0"/>
                <w:sz w:val="20"/>
                <w:szCs w:val="20"/>
                <w:lang w:eastAsia="en-IN" w:bidi="mr-IN"/>
                <w14:ligatures w14:val="none"/>
              </w:rPr>
              <w:t>The p-value is less than 0.05, indicating a significant association between age group and landholding categories.</w:t>
            </w:r>
          </w:p>
        </w:tc>
      </w:tr>
    </w:tbl>
    <w:p w14:paraId="6EF93B13" w14:textId="0834B6DF" w:rsidR="00512159" w:rsidRPr="00E83F35" w:rsidRDefault="00512159"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0EE8C350"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As shown in </w:t>
      </w:r>
      <w:r w:rsidRPr="00512159">
        <w:rPr>
          <w:rFonts w:ascii="Arial" w:hAnsi="Arial" w:cs="Arial"/>
          <w:b/>
          <w:bCs/>
          <w:sz w:val="20"/>
          <w:szCs w:val="20"/>
        </w:rPr>
        <w:t>Table 4,</w:t>
      </w:r>
      <w:r w:rsidRPr="00512159">
        <w:rPr>
          <w:rFonts w:ascii="Arial" w:hAnsi="Arial" w:cs="Arial"/>
          <w:sz w:val="20"/>
          <w:szCs w:val="20"/>
        </w:rPr>
        <w:t xml:space="preserve"> the age-wise distribution of cotton growers indicates that the majority of respondents fell within the 40–50 years age group, representing 32.51 percent of the total sample. This suggests that middle-aged individuals are most actively engaged in cotton cultivation across various landholding categories. The next highest concentration was in the 30–40 years group (29.16 percent), followed by the 50–60 years and above 60 years groups, contributing 13.33 percent and 12.50 percent, respectively. Farmers aged below 30 years accounted for only 12.50 percent, indicating relatively low involvement of younger individuals in cotton farming.</w:t>
      </w:r>
    </w:p>
    <w:p w14:paraId="12999CD2"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A breakdown of the data in Table 4 shows that small and semi-medium farmers dominate the working-age population, particularly between 30 and 50 years, while large farmers had a higher share of individuals aged over 60 years. This could imply greater generational landholding retention among larger farmers and more direct operational involvement among the small and semi-medium categories.</w:t>
      </w:r>
    </w:p>
    <w:p w14:paraId="2A21E614"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The chi-square test results in Table 4 further establish a statistically significant association between age group and landholding category (χ² = 31.97, df = 16, p = 0.010). Since the p-value is less than 0.05, it confirms that the age composition of farmers varies significantly with their landholding size.</w:t>
      </w:r>
    </w:p>
    <w:p w14:paraId="01EF5952" w14:textId="37D2A2BE" w:rsidR="006D03DA" w:rsidRPr="00E83F35" w:rsidRDefault="00512159" w:rsidP="00E83F35">
      <w:pPr>
        <w:spacing w:line="240" w:lineRule="auto"/>
        <w:rPr>
          <w:rFonts w:ascii="Arial" w:hAnsi="Arial" w:cs="Arial"/>
          <w:b/>
          <w:bCs/>
        </w:rPr>
      </w:pPr>
      <w:r w:rsidRPr="00E83F35">
        <w:rPr>
          <w:rFonts w:ascii="Arial" w:hAnsi="Arial" w:cs="Arial"/>
          <w:b/>
          <w:bCs/>
        </w:rPr>
        <w:t>Literacy Level</w:t>
      </w:r>
    </w:p>
    <w:p w14:paraId="122D851B" w14:textId="390EBA96" w:rsidR="00512159" w:rsidRPr="00E83F35" w:rsidRDefault="00512159"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5</w:t>
      </w:r>
      <w:r w:rsidRPr="00E83F35">
        <w:rPr>
          <w:rFonts w:ascii="Arial" w:hAnsi="Arial" w:cs="Arial"/>
          <w:b/>
          <w:bCs/>
          <w:sz w:val="20"/>
          <w:szCs w:val="20"/>
        </w:rPr>
        <w:fldChar w:fldCharType="end"/>
      </w:r>
      <w:r w:rsidRPr="00E83F35">
        <w:rPr>
          <w:rFonts w:ascii="Arial" w:hAnsi="Arial" w:cs="Arial"/>
          <w:b/>
          <w:bCs/>
          <w:sz w:val="20"/>
          <w:szCs w:val="20"/>
        </w:rPr>
        <w:t>: Literacy level of Cotton growers across landholding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179"/>
        <w:gridCol w:w="1120"/>
        <w:gridCol w:w="1123"/>
        <w:gridCol w:w="1300"/>
        <w:gridCol w:w="1300"/>
        <w:gridCol w:w="1206"/>
        <w:gridCol w:w="1277"/>
      </w:tblGrid>
      <w:tr w:rsidR="00512159" w:rsidRPr="00E83F35" w14:paraId="7B8A43EB" w14:textId="77777777" w:rsidTr="00512159">
        <w:trPr>
          <w:trHeight w:val="510"/>
        </w:trPr>
        <w:tc>
          <w:tcPr>
            <w:tcW w:w="937" w:type="pct"/>
            <w:gridSpan w:val="2"/>
            <w:vMerge w:val="restart"/>
            <w:shd w:val="clear" w:color="auto" w:fill="auto"/>
            <w:vAlign w:val="center"/>
            <w:hideMark/>
          </w:tcPr>
          <w:p w14:paraId="13E81F7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4063" w:type="pct"/>
            <w:gridSpan w:val="6"/>
            <w:shd w:val="clear" w:color="000000" w:fill="A9D08E"/>
            <w:vAlign w:val="center"/>
            <w:hideMark/>
          </w:tcPr>
          <w:p w14:paraId="4B0AE1E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Literacy Level</w:t>
            </w:r>
          </w:p>
        </w:tc>
      </w:tr>
      <w:tr w:rsidR="00512159" w:rsidRPr="00E83F35" w14:paraId="0C801D52" w14:textId="77777777" w:rsidTr="00512159">
        <w:trPr>
          <w:trHeight w:val="510"/>
        </w:trPr>
        <w:tc>
          <w:tcPr>
            <w:tcW w:w="937" w:type="pct"/>
            <w:gridSpan w:val="2"/>
            <w:vMerge/>
            <w:shd w:val="clear" w:color="auto" w:fill="auto"/>
            <w:vAlign w:val="center"/>
            <w:hideMark/>
          </w:tcPr>
          <w:p w14:paraId="34AB259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21" w:type="pct"/>
            <w:shd w:val="clear" w:color="000000" w:fill="E2EFDA"/>
            <w:vAlign w:val="center"/>
            <w:hideMark/>
          </w:tcPr>
          <w:p w14:paraId="24CD8113"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Illiterate</w:t>
            </w:r>
          </w:p>
        </w:tc>
        <w:tc>
          <w:tcPr>
            <w:tcW w:w="623" w:type="pct"/>
            <w:shd w:val="clear" w:color="000000" w:fill="E2EFDA"/>
            <w:vAlign w:val="center"/>
            <w:hideMark/>
          </w:tcPr>
          <w:p w14:paraId="7ADD8C5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Primary</w:t>
            </w:r>
          </w:p>
        </w:tc>
        <w:tc>
          <w:tcPr>
            <w:tcW w:w="721" w:type="pct"/>
            <w:shd w:val="clear" w:color="000000" w:fill="E2EFDA"/>
            <w:vAlign w:val="center"/>
            <w:hideMark/>
          </w:tcPr>
          <w:p w14:paraId="205EE38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Secondary</w:t>
            </w:r>
          </w:p>
        </w:tc>
        <w:tc>
          <w:tcPr>
            <w:tcW w:w="721" w:type="pct"/>
            <w:shd w:val="clear" w:color="000000" w:fill="E2EFDA"/>
            <w:vAlign w:val="center"/>
            <w:hideMark/>
          </w:tcPr>
          <w:p w14:paraId="734B120C"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Higher Secondary</w:t>
            </w:r>
          </w:p>
        </w:tc>
        <w:tc>
          <w:tcPr>
            <w:tcW w:w="669" w:type="pct"/>
            <w:shd w:val="clear" w:color="000000" w:fill="E2EFDA"/>
            <w:vAlign w:val="center"/>
            <w:hideMark/>
          </w:tcPr>
          <w:p w14:paraId="2200410F"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Graduate and above</w:t>
            </w:r>
          </w:p>
        </w:tc>
        <w:tc>
          <w:tcPr>
            <w:tcW w:w="708" w:type="pct"/>
            <w:shd w:val="clear" w:color="000000" w:fill="E2EFDA"/>
            <w:vAlign w:val="center"/>
            <w:hideMark/>
          </w:tcPr>
          <w:p w14:paraId="7ECCA919"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E83F35" w:rsidRPr="00E83F35" w14:paraId="6B8BBBA2" w14:textId="77777777" w:rsidTr="00512159">
        <w:trPr>
          <w:trHeight w:val="510"/>
        </w:trPr>
        <w:tc>
          <w:tcPr>
            <w:tcW w:w="283" w:type="pct"/>
            <w:vMerge w:val="restart"/>
            <w:shd w:val="clear" w:color="000000" w:fill="FFD966"/>
            <w:noWrap/>
            <w:textDirection w:val="btLr"/>
            <w:vAlign w:val="center"/>
            <w:hideMark/>
          </w:tcPr>
          <w:p w14:paraId="29F1825F"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654" w:type="pct"/>
            <w:shd w:val="clear" w:color="000000" w:fill="FFF2CC"/>
            <w:vAlign w:val="center"/>
            <w:hideMark/>
          </w:tcPr>
          <w:p w14:paraId="3123371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621" w:type="pct"/>
            <w:shd w:val="clear" w:color="auto" w:fill="auto"/>
            <w:vAlign w:val="center"/>
            <w:hideMark/>
          </w:tcPr>
          <w:p w14:paraId="2F05A9F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623" w:type="pct"/>
            <w:shd w:val="clear" w:color="auto" w:fill="auto"/>
            <w:vAlign w:val="center"/>
            <w:hideMark/>
          </w:tcPr>
          <w:p w14:paraId="0755B06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1" w:type="pct"/>
            <w:shd w:val="clear" w:color="auto" w:fill="auto"/>
            <w:vAlign w:val="center"/>
            <w:hideMark/>
          </w:tcPr>
          <w:p w14:paraId="7D5C890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62019AD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69" w:type="pct"/>
            <w:shd w:val="clear" w:color="auto" w:fill="auto"/>
            <w:vAlign w:val="center"/>
            <w:hideMark/>
          </w:tcPr>
          <w:p w14:paraId="729D5D0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708" w:type="pct"/>
            <w:shd w:val="clear" w:color="auto" w:fill="auto"/>
            <w:vAlign w:val="center"/>
            <w:hideMark/>
          </w:tcPr>
          <w:p w14:paraId="1A05CCB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E83F35" w:rsidRPr="00E83F35" w14:paraId="3A2936FE" w14:textId="77777777" w:rsidTr="00512159">
        <w:trPr>
          <w:trHeight w:val="510"/>
        </w:trPr>
        <w:tc>
          <w:tcPr>
            <w:tcW w:w="283" w:type="pct"/>
            <w:vMerge/>
            <w:vAlign w:val="center"/>
            <w:hideMark/>
          </w:tcPr>
          <w:p w14:paraId="6AAA1B4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1AE6571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621" w:type="pct"/>
            <w:shd w:val="clear" w:color="auto" w:fill="auto"/>
            <w:vAlign w:val="center"/>
            <w:hideMark/>
          </w:tcPr>
          <w:p w14:paraId="11A768A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23" w:type="pct"/>
            <w:shd w:val="clear" w:color="auto" w:fill="auto"/>
            <w:vAlign w:val="center"/>
            <w:hideMark/>
          </w:tcPr>
          <w:p w14:paraId="5E66354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21" w:type="pct"/>
            <w:shd w:val="clear" w:color="auto" w:fill="auto"/>
            <w:vAlign w:val="center"/>
            <w:hideMark/>
          </w:tcPr>
          <w:p w14:paraId="12165BC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721" w:type="pct"/>
            <w:shd w:val="clear" w:color="auto" w:fill="auto"/>
            <w:vAlign w:val="center"/>
            <w:hideMark/>
          </w:tcPr>
          <w:p w14:paraId="7ECCA91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669" w:type="pct"/>
            <w:shd w:val="clear" w:color="auto" w:fill="auto"/>
            <w:vAlign w:val="center"/>
            <w:hideMark/>
          </w:tcPr>
          <w:p w14:paraId="0C803E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08" w:type="pct"/>
            <w:shd w:val="clear" w:color="auto" w:fill="auto"/>
            <w:vAlign w:val="center"/>
            <w:hideMark/>
          </w:tcPr>
          <w:p w14:paraId="2EE249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E83F35" w:rsidRPr="00E83F35" w14:paraId="0E836C61" w14:textId="77777777" w:rsidTr="00512159">
        <w:trPr>
          <w:trHeight w:val="510"/>
        </w:trPr>
        <w:tc>
          <w:tcPr>
            <w:tcW w:w="283" w:type="pct"/>
            <w:vMerge/>
            <w:vAlign w:val="center"/>
            <w:hideMark/>
          </w:tcPr>
          <w:p w14:paraId="5A2F832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6BC7DAB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621" w:type="pct"/>
            <w:shd w:val="clear" w:color="auto" w:fill="auto"/>
            <w:vAlign w:val="center"/>
            <w:hideMark/>
          </w:tcPr>
          <w:p w14:paraId="6D1F87D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23" w:type="pct"/>
            <w:shd w:val="clear" w:color="auto" w:fill="auto"/>
            <w:vAlign w:val="center"/>
            <w:hideMark/>
          </w:tcPr>
          <w:p w14:paraId="6DABDED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1" w:type="pct"/>
            <w:shd w:val="clear" w:color="auto" w:fill="auto"/>
            <w:vAlign w:val="center"/>
            <w:hideMark/>
          </w:tcPr>
          <w:p w14:paraId="759172F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21" w:type="pct"/>
            <w:shd w:val="clear" w:color="auto" w:fill="auto"/>
            <w:vAlign w:val="center"/>
            <w:hideMark/>
          </w:tcPr>
          <w:p w14:paraId="67F44DD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69" w:type="pct"/>
            <w:shd w:val="clear" w:color="auto" w:fill="auto"/>
            <w:vAlign w:val="center"/>
            <w:hideMark/>
          </w:tcPr>
          <w:p w14:paraId="225BF2E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08" w:type="pct"/>
            <w:shd w:val="clear" w:color="auto" w:fill="auto"/>
            <w:vAlign w:val="center"/>
            <w:hideMark/>
          </w:tcPr>
          <w:p w14:paraId="3C83273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E83F35" w:rsidRPr="00E83F35" w14:paraId="3F0DE9A5" w14:textId="77777777" w:rsidTr="00512159">
        <w:trPr>
          <w:trHeight w:val="510"/>
        </w:trPr>
        <w:tc>
          <w:tcPr>
            <w:tcW w:w="283" w:type="pct"/>
            <w:vMerge/>
            <w:vAlign w:val="center"/>
            <w:hideMark/>
          </w:tcPr>
          <w:p w14:paraId="62E17617"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7E7C3AA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621" w:type="pct"/>
            <w:shd w:val="clear" w:color="auto" w:fill="auto"/>
            <w:vAlign w:val="center"/>
            <w:hideMark/>
          </w:tcPr>
          <w:p w14:paraId="7EE3F56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623" w:type="pct"/>
            <w:shd w:val="clear" w:color="auto" w:fill="auto"/>
            <w:vAlign w:val="center"/>
            <w:hideMark/>
          </w:tcPr>
          <w:p w14:paraId="0A49983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21" w:type="pct"/>
            <w:shd w:val="clear" w:color="auto" w:fill="auto"/>
            <w:vAlign w:val="center"/>
            <w:hideMark/>
          </w:tcPr>
          <w:p w14:paraId="4461CB0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76B5A85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69" w:type="pct"/>
            <w:shd w:val="clear" w:color="auto" w:fill="auto"/>
            <w:vAlign w:val="center"/>
            <w:hideMark/>
          </w:tcPr>
          <w:p w14:paraId="3208470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708" w:type="pct"/>
            <w:shd w:val="clear" w:color="auto" w:fill="auto"/>
            <w:vAlign w:val="center"/>
            <w:hideMark/>
          </w:tcPr>
          <w:p w14:paraId="0298E82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E83F35" w:rsidRPr="00E83F35" w14:paraId="68499300" w14:textId="77777777" w:rsidTr="00512159">
        <w:trPr>
          <w:trHeight w:val="510"/>
        </w:trPr>
        <w:tc>
          <w:tcPr>
            <w:tcW w:w="283" w:type="pct"/>
            <w:vMerge/>
            <w:vAlign w:val="center"/>
            <w:hideMark/>
          </w:tcPr>
          <w:p w14:paraId="13C9268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26D6D8E3"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621" w:type="pct"/>
            <w:shd w:val="clear" w:color="auto" w:fill="auto"/>
            <w:vAlign w:val="center"/>
            <w:hideMark/>
          </w:tcPr>
          <w:p w14:paraId="1B4B54E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623" w:type="pct"/>
            <w:shd w:val="clear" w:color="auto" w:fill="auto"/>
            <w:vAlign w:val="center"/>
            <w:hideMark/>
          </w:tcPr>
          <w:p w14:paraId="340422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21" w:type="pct"/>
            <w:shd w:val="clear" w:color="auto" w:fill="auto"/>
            <w:vAlign w:val="center"/>
            <w:hideMark/>
          </w:tcPr>
          <w:p w14:paraId="1DAB0A3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45B2E74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69" w:type="pct"/>
            <w:shd w:val="clear" w:color="auto" w:fill="auto"/>
            <w:vAlign w:val="center"/>
            <w:hideMark/>
          </w:tcPr>
          <w:p w14:paraId="7B5F2A5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708" w:type="pct"/>
            <w:shd w:val="clear" w:color="auto" w:fill="auto"/>
            <w:vAlign w:val="center"/>
            <w:hideMark/>
          </w:tcPr>
          <w:p w14:paraId="0CE92BF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E83F35" w:rsidRPr="00E83F35" w14:paraId="6FC3EE97" w14:textId="77777777" w:rsidTr="00512159">
        <w:trPr>
          <w:trHeight w:val="510"/>
        </w:trPr>
        <w:tc>
          <w:tcPr>
            <w:tcW w:w="283" w:type="pct"/>
            <w:vMerge/>
            <w:vAlign w:val="center"/>
            <w:hideMark/>
          </w:tcPr>
          <w:p w14:paraId="69995E22"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3BBD3736"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621" w:type="pct"/>
            <w:shd w:val="clear" w:color="auto" w:fill="auto"/>
            <w:vAlign w:val="center"/>
            <w:hideMark/>
          </w:tcPr>
          <w:p w14:paraId="64FBEBE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38 (15.83%)</w:t>
            </w:r>
          </w:p>
        </w:tc>
        <w:tc>
          <w:tcPr>
            <w:tcW w:w="623" w:type="pct"/>
            <w:shd w:val="clear" w:color="auto" w:fill="auto"/>
            <w:vAlign w:val="center"/>
            <w:hideMark/>
          </w:tcPr>
          <w:p w14:paraId="2F96F71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64 (26.67%)</w:t>
            </w:r>
          </w:p>
        </w:tc>
        <w:tc>
          <w:tcPr>
            <w:tcW w:w="721" w:type="pct"/>
            <w:shd w:val="clear" w:color="auto" w:fill="auto"/>
            <w:vAlign w:val="center"/>
            <w:hideMark/>
          </w:tcPr>
          <w:p w14:paraId="4D91B08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82 (34.17%)</w:t>
            </w:r>
          </w:p>
        </w:tc>
        <w:tc>
          <w:tcPr>
            <w:tcW w:w="721" w:type="pct"/>
            <w:shd w:val="clear" w:color="auto" w:fill="auto"/>
            <w:vAlign w:val="center"/>
            <w:hideMark/>
          </w:tcPr>
          <w:p w14:paraId="692D10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38 (15.83%)</w:t>
            </w:r>
          </w:p>
        </w:tc>
        <w:tc>
          <w:tcPr>
            <w:tcW w:w="669" w:type="pct"/>
            <w:shd w:val="clear" w:color="auto" w:fill="auto"/>
            <w:vAlign w:val="center"/>
            <w:hideMark/>
          </w:tcPr>
          <w:p w14:paraId="00DD89A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08" w:type="pct"/>
            <w:shd w:val="clear" w:color="auto" w:fill="auto"/>
            <w:vAlign w:val="center"/>
            <w:hideMark/>
          </w:tcPr>
          <w:p w14:paraId="4DF5F4F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512159" w:rsidRPr="00E83F35" w14:paraId="34A3A996" w14:textId="77777777" w:rsidTr="00512159">
        <w:trPr>
          <w:trHeight w:val="510"/>
        </w:trPr>
        <w:tc>
          <w:tcPr>
            <w:tcW w:w="2181" w:type="pct"/>
            <w:gridSpan w:val="4"/>
            <w:shd w:val="clear" w:color="auto" w:fill="auto"/>
            <w:vAlign w:val="center"/>
            <w:hideMark/>
          </w:tcPr>
          <w:p w14:paraId="4AA4FF0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lastRenderedPageBreak/>
              <w:t xml:space="preserve">Chi-Square Statistic: </w:t>
            </w:r>
            <w:r w:rsidRPr="00E83F35">
              <w:rPr>
                <w:rFonts w:ascii="Arial" w:eastAsia="Times New Roman" w:hAnsi="Arial" w:cs="Arial"/>
                <w:color w:val="000000"/>
                <w:kern w:val="0"/>
                <w:sz w:val="20"/>
                <w:szCs w:val="20"/>
                <w:lang w:eastAsia="en-IN" w:bidi="mr-IN"/>
                <w14:ligatures w14:val="none"/>
              </w:rPr>
              <w:t>28.12</w:t>
            </w:r>
          </w:p>
        </w:tc>
        <w:tc>
          <w:tcPr>
            <w:tcW w:w="1442" w:type="pct"/>
            <w:gridSpan w:val="2"/>
            <w:shd w:val="clear" w:color="auto" w:fill="auto"/>
            <w:vAlign w:val="center"/>
            <w:hideMark/>
          </w:tcPr>
          <w:p w14:paraId="36D7B5C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16</w:t>
            </w:r>
          </w:p>
        </w:tc>
        <w:tc>
          <w:tcPr>
            <w:tcW w:w="1377" w:type="pct"/>
            <w:gridSpan w:val="2"/>
            <w:shd w:val="clear" w:color="auto" w:fill="auto"/>
            <w:vAlign w:val="center"/>
            <w:hideMark/>
          </w:tcPr>
          <w:p w14:paraId="0C65B37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0.031</w:t>
            </w:r>
          </w:p>
        </w:tc>
      </w:tr>
      <w:tr w:rsidR="00512159" w:rsidRPr="00E83F35" w14:paraId="755B1BA9" w14:textId="77777777" w:rsidTr="00512159">
        <w:trPr>
          <w:trHeight w:val="510"/>
        </w:trPr>
        <w:tc>
          <w:tcPr>
            <w:tcW w:w="5000" w:type="pct"/>
            <w:gridSpan w:val="8"/>
            <w:shd w:val="clear" w:color="auto" w:fill="auto"/>
            <w:vAlign w:val="center"/>
            <w:hideMark/>
          </w:tcPr>
          <w:p w14:paraId="05ADBDE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literacy level and landholding categories.</w:t>
            </w:r>
          </w:p>
        </w:tc>
      </w:tr>
    </w:tbl>
    <w:p w14:paraId="16620F9A" w14:textId="77777777" w:rsidR="00512159" w:rsidRPr="00E83F35" w:rsidRDefault="00512159"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75699491"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As reflected in </w:t>
      </w:r>
      <w:r w:rsidRPr="00512159">
        <w:rPr>
          <w:rFonts w:ascii="Arial" w:hAnsi="Arial" w:cs="Arial"/>
          <w:b/>
          <w:bCs/>
          <w:sz w:val="20"/>
          <w:szCs w:val="20"/>
        </w:rPr>
        <w:t>Table 5,</w:t>
      </w:r>
      <w:r w:rsidRPr="00512159">
        <w:rPr>
          <w:rFonts w:ascii="Arial" w:hAnsi="Arial" w:cs="Arial"/>
          <w:sz w:val="20"/>
          <w:szCs w:val="20"/>
        </w:rPr>
        <w:t xml:space="preserve"> the literacy status of cotton growers varied notably across landholding categories. The majority of respondents had attained secondary education, comprising 34.17 percent of the total sample. This was followed by those with primary education (26.67%) and higher secondary education (15.83%). Farmers who were illiterate formed 15.83 percent of the total, while only 7.5 percent had attained graduate-level or higher education.</w:t>
      </w:r>
    </w:p>
    <w:p w14:paraId="6E7564A7"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The data indicates that small and semi-medium farmers were relatively better educated at the secondary level, while a larger share of marginal farmers was illiterate (15 out of 44, or 6.25% of the total sample). Large farmers, despite their smaller numbers, had a comparatively higher proportion of graduates and above, suggesting a potential link between higher education and larger landownership.</w:t>
      </w:r>
    </w:p>
    <w:p w14:paraId="28A33CC0"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The statistical test presented in </w:t>
      </w:r>
      <w:r w:rsidRPr="00512159">
        <w:rPr>
          <w:rFonts w:ascii="Arial" w:hAnsi="Arial" w:cs="Arial"/>
          <w:b/>
          <w:bCs/>
          <w:sz w:val="20"/>
          <w:szCs w:val="20"/>
        </w:rPr>
        <w:t>Table 5</w:t>
      </w:r>
      <w:r w:rsidRPr="00512159">
        <w:rPr>
          <w:rFonts w:ascii="Arial" w:hAnsi="Arial" w:cs="Arial"/>
          <w:sz w:val="20"/>
          <w:szCs w:val="20"/>
        </w:rPr>
        <w:t xml:space="preserve"> confirms a significant association between literacy level and landholding size. The chi-square value of 28.12 with 16 degrees of freedom yielded a p-value of 0.031, which is below the 0.05 threshold. This indicates that literacy levels are not evenly distributed across different landholding groups and may influence, or be influenced by, the scale of farming operations.</w:t>
      </w:r>
    </w:p>
    <w:p w14:paraId="4E359905" w14:textId="5A706C6B" w:rsidR="00512159" w:rsidRPr="00E83F35" w:rsidRDefault="00B7240B" w:rsidP="00E83F35">
      <w:pPr>
        <w:spacing w:line="240" w:lineRule="auto"/>
        <w:rPr>
          <w:rFonts w:ascii="Arial" w:hAnsi="Arial" w:cs="Arial"/>
          <w:b/>
          <w:bCs/>
        </w:rPr>
      </w:pPr>
      <w:r w:rsidRPr="00E83F35">
        <w:rPr>
          <w:rFonts w:ascii="Arial" w:hAnsi="Arial" w:cs="Arial"/>
          <w:b/>
          <w:bCs/>
        </w:rPr>
        <w:t>Family Size</w:t>
      </w:r>
    </w:p>
    <w:p w14:paraId="2907FFB7" w14:textId="7A6CD7E2"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6</w:t>
      </w:r>
      <w:r w:rsidRPr="00E83F35">
        <w:rPr>
          <w:rFonts w:ascii="Arial" w:hAnsi="Arial" w:cs="Arial"/>
          <w:b/>
          <w:bCs/>
          <w:sz w:val="20"/>
          <w:szCs w:val="20"/>
        </w:rPr>
        <w:fldChar w:fldCharType="end"/>
      </w:r>
      <w:r w:rsidRPr="00E83F35">
        <w:rPr>
          <w:rFonts w:ascii="Arial" w:hAnsi="Arial" w:cs="Arial"/>
          <w:b/>
          <w:bCs/>
          <w:sz w:val="20"/>
          <w:szCs w:val="20"/>
        </w:rPr>
        <w:t>: Family Size of Cotton growers across landholding categories</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797"/>
        <w:gridCol w:w="1392"/>
        <w:gridCol w:w="1430"/>
        <w:gridCol w:w="1360"/>
        <w:gridCol w:w="1366"/>
        <w:gridCol w:w="1574"/>
      </w:tblGrid>
      <w:tr w:rsidR="00B7240B" w:rsidRPr="00E83F35" w14:paraId="303901CA" w14:textId="77777777" w:rsidTr="00B7240B">
        <w:trPr>
          <w:trHeight w:val="398"/>
        </w:trPr>
        <w:tc>
          <w:tcPr>
            <w:tcW w:w="1250" w:type="pct"/>
            <w:gridSpan w:val="2"/>
            <w:vMerge w:val="restart"/>
            <w:shd w:val="clear" w:color="auto" w:fill="auto"/>
            <w:vAlign w:val="center"/>
            <w:hideMark/>
          </w:tcPr>
          <w:p w14:paraId="2BB2406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3750" w:type="pct"/>
            <w:gridSpan w:val="5"/>
            <w:shd w:val="clear" w:color="000000" w:fill="A9D08E"/>
            <w:vAlign w:val="center"/>
            <w:hideMark/>
          </w:tcPr>
          <w:p w14:paraId="705CB92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Family Size</w:t>
            </w:r>
          </w:p>
        </w:tc>
      </w:tr>
      <w:tr w:rsidR="00B7240B" w:rsidRPr="00E83F35" w14:paraId="750082C1" w14:textId="77777777" w:rsidTr="00B7240B">
        <w:trPr>
          <w:trHeight w:val="510"/>
        </w:trPr>
        <w:tc>
          <w:tcPr>
            <w:tcW w:w="1250" w:type="pct"/>
            <w:gridSpan w:val="2"/>
            <w:vMerge/>
            <w:shd w:val="clear" w:color="auto" w:fill="auto"/>
            <w:vAlign w:val="center"/>
            <w:hideMark/>
          </w:tcPr>
          <w:p w14:paraId="0DD356A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733" w:type="pct"/>
            <w:shd w:val="clear" w:color="000000" w:fill="E2EFDA"/>
            <w:vAlign w:val="center"/>
            <w:hideMark/>
          </w:tcPr>
          <w:p w14:paraId="7FB115C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1-3 Members</w:t>
            </w:r>
          </w:p>
        </w:tc>
        <w:tc>
          <w:tcPr>
            <w:tcW w:w="753" w:type="pct"/>
            <w:shd w:val="clear" w:color="000000" w:fill="E2EFDA"/>
            <w:vAlign w:val="center"/>
            <w:hideMark/>
          </w:tcPr>
          <w:p w14:paraId="479D081F"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4-6 Members</w:t>
            </w:r>
          </w:p>
        </w:tc>
        <w:tc>
          <w:tcPr>
            <w:tcW w:w="716" w:type="pct"/>
            <w:shd w:val="clear" w:color="000000" w:fill="E2EFDA"/>
            <w:vAlign w:val="center"/>
            <w:hideMark/>
          </w:tcPr>
          <w:p w14:paraId="6E4D7A4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7-9 Members</w:t>
            </w:r>
          </w:p>
        </w:tc>
        <w:tc>
          <w:tcPr>
            <w:tcW w:w="719" w:type="pct"/>
            <w:shd w:val="clear" w:color="000000" w:fill="E2EFDA"/>
            <w:vAlign w:val="center"/>
            <w:hideMark/>
          </w:tcPr>
          <w:p w14:paraId="2D59010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&gt;9 Members</w:t>
            </w:r>
          </w:p>
        </w:tc>
        <w:tc>
          <w:tcPr>
            <w:tcW w:w="829" w:type="pct"/>
            <w:shd w:val="clear" w:color="000000" w:fill="E2EFDA"/>
            <w:vAlign w:val="center"/>
            <w:hideMark/>
          </w:tcPr>
          <w:p w14:paraId="4A88967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05549250" w14:textId="77777777" w:rsidTr="00B7240B">
        <w:trPr>
          <w:trHeight w:val="510"/>
        </w:trPr>
        <w:tc>
          <w:tcPr>
            <w:tcW w:w="304" w:type="pct"/>
            <w:vMerge w:val="restart"/>
            <w:shd w:val="clear" w:color="000000" w:fill="FFD966"/>
            <w:noWrap/>
            <w:textDirection w:val="btLr"/>
            <w:vAlign w:val="center"/>
            <w:hideMark/>
          </w:tcPr>
          <w:p w14:paraId="2FA5232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946" w:type="pct"/>
            <w:shd w:val="clear" w:color="000000" w:fill="FFF2CC"/>
            <w:vAlign w:val="center"/>
            <w:hideMark/>
          </w:tcPr>
          <w:p w14:paraId="6D43089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733" w:type="pct"/>
            <w:shd w:val="clear" w:color="auto" w:fill="auto"/>
            <w:vAlign w:val="center"/>
            <w:hideMark/>
          </w:tcPr>
          <w:p w14:paraId="3FADEFE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53" w:type="pct"/>
            <w:shd w:val="clear" w:color="auto" w:fill="auto"/>
            <w:vAlign w:val="center"/>
            <w:hideMark/>
          </w:tcPr>
          <w:p w14:paraId="0EDA848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16" w:type="pct"/>
            <w:shd w:val="clear" w:color="auto" w:fill="auto"/>
            <w:vAlign w:val="center"/>
            <w:hideMark/>
          </w:tcPr>
          <w:p w14:paraId="701C288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034BC74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829" w:type="pct"/>
            <w:shd w:val="clear" w:color="auto" w:fill="auto"/>
            <w:vAlign w:val="center"/>
            <w:hideMark/>
          </w:tcPr>
          <w:p w14:paraId="0D2952A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339AF1A0" w14:textId="77777777" w:rsidTr="00B7240B">
        <w:trPr>
          <w:trHeight w:val="510"/>
        </w:trPr>
        <w:tc>
          <w:tcPr>
            <w:tcW w:w="304" w:type="pct"/>
            <w:vMerge/>
            <w:vAlign w:val="center"/>
            <w:hideMark/>
          </w:tcPr>
          <w:p w14:paraId="187DAFA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28C8E89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733" w:type="pct"/>
            <w:shd w:val="clear" w:color="auto" w:fill="auto"/>
            <w:vAlign w:val="center"/>
            <w:hideMark/>
          </w:tcPr>
          <w:p w14:paraId="3E8F1DD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753" w:type="pct"/>
            <w:shd w:val="clear" w:color="auto" w:fill="auto"/>
            <w:vAlign w:val="center"/>
            <w:hideMark/>
          </w:tcPr>
          <w:p w14:paraId="137914D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c>
          <w:tcPr>
            <w:tcW w:w="716" w:type="pct"/>
            <w:shd w:val="clear" w:color="auto" w:fill="auto"/>
            <w:vAlign w:val="center"/>
            <w:hideMark/>
          </w:tcPr>
          <w:p w14:paraId="2721D52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19" w:type="pct"/>
            <w:shd w:val="clear" w:color="auto" w:fill="auto"/>
            <w:vAlign w:val="center"/>
            <w:hideMark/>
          </w:tcPr>
          <w:p w14:paraId="57FBDAF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829" w:type="pct"/>
            <w:shd w:val="clear" w:color="auto" w:fill="auto"/>
            <w:vAlign w:val="center"/>
            <w:hideMark/>
          </w:tcPr>
          <w:p w14:paraId="740D0C3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339895A8" w14:textId="77777777" w:rsidTr="00B7240B">
        <w:trPr>
          <w:trHeight w:val="510"/>
        </w:trPr>
        <w:tc>
          <w:tcPr>
            <w:tcW w:w="304" w:type="pct"/>
            <w:vMerge/>
            <w:vAlign w:val="center"/>
            <w:hideMark/>
          </w:tcPr>
          <w:p w14:paraId="5A3457F9"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251FC4E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733" w:type="pct"/>
            <w:shd w:val="clear" w:color="auto" w:fill="auto"/>
            <w:vAlign w:val="center"/>
            <w:hideMark/>
          </w:tcPr>
          <w:p w14:paraId="4ED266E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53" w:type="pct"/>
            <w:shd w:val="clear" w:color="auto" w:fill="auto"/>
            <w:vAlign w:val="center"/>
            <w:hideMark/>
          </w:tcPr>
          <w:p w14:paraId="78C3801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24 (10.00%)</w:t>
            </w:r>
          </w:p>
        </w:tc>
        <w:tc>
          <w:tcPr>
            <w:tcW w:w="716" w:type="pct"/>
            <w:shd w:val="clear" w:color="auto" w:fill="auto"/>
            <w:vAlign w:val="center"/>
            <w:hideMark/>
          </w:tcPr>
          <w:p w14:paraId="7F15E51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19" w:type="pct"/>
            <w:shd w:val="clear" w:color="auto" w:fill="auto"/>
            <w:vAlign w:val="center"/>
            <w:hideMark/>
          </w:tcPr>
          <w:p w14:paraId="0601C0F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829" w:type="pct"/>
            <w:shd w:val="clear" w:color="auto" w:fill="auto"/>
            <w:vAlign w:val="center"/>
            <w:hideMark/>
          </w:tcPr>
          <w:p w14:paraId="0C54FDC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46D25EC3" w14:textId="77777777" w:rsidTr="00B7240B">
        <w:trPr>
          <w:trHeight w:val="510"/>
        </w:trPr>
        <w:tc>
          <w:tcPr>
            <w:tcW w:w="304" w:type="pct"/>
            <w:vMerge/>
            <w:vAlign w:val="center"/>
            <w:hideMark/>
          </w:tcPr>
          <w:p w14:paraId="7FB22A1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7106A3C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733" w:type="pct"/>
            <w:shd w:val="clear" w:color="auto" w:fill="auto"/>
            <w:vAlign w:val="center"/>
            <w:hideMark/>
          </w:tcPr>
          <w:p w14:paraId="26C6E6A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53" w:type="pct"/>
            <w:shd w:val="clear" w:color="auto" w:fill="auto"/>
            <w:vAlign w:val="center"/>
            <w:hideMark/>
          </w:tcPr>
          <w:p w14:paraId="378CA11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16" w:type="pct"/>
            <w:shd w:val="clear" w:color="auto" w:fill="auto"/>
            <w:vAlign w:val="center"/>
            <w:hideMark/>
          </w:tcPr>
          <w:p w14:paraId="290DB1B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0D66E38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829" w:type="pct"/>
            <w:shd w:val="clear" w:color="auto" w:fill="auto"/>
            <w:vAlign w:val="center"/>
            <w:hideMark/>
          </w:tcPr>
          <w:p w14:paraId="3F33F1D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0717E511" w14:textId="77777777" w:rsidTr="00B7240B">
        <w:trPr>
          <w:trHeight w:val="510"/>
        </w:trPr>
        <w:tc>
          <w:tcPr>
            <w:tcW w:w="304" w:type="pct"/>
            <w:vMerge/>
            <w:vAlign w:val="center"/>
            <w:hideMark/>
          </w:tcPr>
          <w:p w14:paraId="0F8A308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4373EAF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733" w:type="pct"/>
            <w:shd w:val="clear" w:color="auto" w:fill="auto"/>
            <w:vAlign w:val="center"/>
            <w:hideMark/>
          </w:tcPr>
          <w:p w14:paraId="510A6D6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53" w:type="pct"/>
            <w:shd w:val="clear" w:color="auto" w:fill="auto"/>
            <w:vAlign w:val="center"/>
            <w:hideMark/>
          </w:tcPr>
          <w:p w14:paraId="181420E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16" w:type="pct"/>
            <w:shd w:val="clear" w:color="auto" w:fill="auto"/>
            <w:vAlign w:val="center"/>
            <w:hideMark/>
          </w:tcPr>
          <w:p w14:paraId="573EE38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22ABB94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 (2.92%)</w:t>
            </w:r>
          </w:p>
        </w:tc>
        <w:tc>
          <w:tcPr>
            <w:tcW w:w="829" w:type="pct"/>
            <w:shd w:val="clear" w:color="auto" w:fill="auto"/>
            <w:vAlign w:val="center"/>
            <w:hideMark/>
          </w:tcPr>
          <w:p w14:paraId="30F0206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5286C220" w14:textId="77777777" w:rsidTr="00B7240B">
        <w:trPr>
          <w:trHeight w:val="274"/>
        </w:trPr>
        <w:tc>
          <w:tcPr>
            <w:tcW w:w="304" w:type="pct"/>
            <w:vMerge/>
            <w:vAlign w:val="center"/>
            <w:hideMark/>
          </w:tcPr>
          <w:p w14:paraId="3ABB61E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41A741D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733" w:type="pct"/>
            <w:shd w:val="clear" w:color="auto" w:fill="auto"/>
            <w:vAlign w:val="center"/>
            <w:hideMark/>
          </w:tcPr>
          <w:p w14:paraId="4894CE8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46 (19.17%)</w:t>
            </w:r>
          </w:p>
        </w:tc>
        <w:tc>
          <w:tcPr>
            <w:tcW w:w="753" w:type="pct"/>
            <w:shd w:val="clear" w:color="auto" w:fill="auto"/>
            <w:vAlign w:val="center"/>
            <w:hideMark/>
          </w:tcPr>
          <w:p w14:paraId="0FC42EE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112 (46.67%)</w:t>
            </w:r>
          </w:p>
        </w:tc>
        <w:tc>
          <w:tcPr>
            <w:tcW w:w="716" w:type="pct"/>
            <w:shd w:val="clear" w:color="auto" w:fill="auto"/>
            <w:vAlign w:val="center"/>
            <w:hideMark/>
          </w:tcPr>
          <w:p w14:paraId="7448BC5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62 (25.83%)</w:t>
            </w:r>
          </w:p>
        </w:tc>
        <w:tc>
          <w:tcPr>
            <w:tcW w:w="719" w:type="pct"/>
            <w:shd w:val="clear" w:color="auto" w:fill="auto"/>
            <w:vAlign w:val="center"/>
            <w:hideMark/>
          </w:tcPr>
          <w:p w14:paraId="256E670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829" w:type="pct"/>
            <w:shd w:val="clear" w:color="auto" w:fill="auto"/>
            <w:vAlign w:val="center"/>
            <w:hideMark/>
          </w:tcPr>
          <w:p w14:paraId="1773DA3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5EE77FE4" w14:textId="77777777" w:rsidTr="00B7240B">
        <w:trPr>
          <w:trHeight w:val="510"/>
        </w:trPr>
        <w:tc>
          <w:tcPr>
            <w:tcW w:w="1983" w:type="pct"/>
            <w:gridSpan w:val="3"/>
            <w:shd w:val="clear" w:color="auto" w:fill="auto"/>
            <w:vAlign w:val="center"/>
            <w:hideMark/>
          </w:tcPr>
          <w:p w14:paraId="16D2192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22.87</w:t>
            </w:r>
          </w:p>
        </w:tc>
        <w:tc>
          <w:tcPr>
            <w:tcW w:w="1469" w:type="pct"/>
            <w:gridSpan w:val="2"/>
            <w:shd w:val="clear" w:color="auto" w:fill="auto"/>
            <w:vAlign w:val="center"/>
            <w:hideMark/>
          </w:tcPr>
          <w:p w14:paraId="151C74C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12</w:t>
            </w:r>
          </w:p>
        </w:tc>
        <w:tc>
          <w:tcPr>
            <w:tcW w:w="1548" w:type="pct"/>
            <w:gridSpan w:val="2"/>
            <w:shd w:val="clear" w:color="auto" w:fill="auto"/>
            <w:vAlign w:val="center"/>
            <w:hideMark/>
          </w:tcPr>
          <w:p w14:paraId="7FB85D7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0.029</w:t>
            </w:r>
          </w:p>
        </w:tc>
      </w:tr>
      <w:tr w:rsidR="00B7240B" w:rsidRPr="00E83F35" w14:paraId="25528609" w14:textId="77777777" w:rsidTr="00B7240B">
        <w:trPr>
          <w:trHeight w:val="510"/>
        </w:trPr>
        <w:tc>
          <w:tcPr>
            <w:tcW w:w="5000" w:type="pct"/>
            <w:gridSpan w:val="7"/>
            <w:shd w:val="clear" w:color="auto" w:fill="auto"/>
            <w:vAlign w:val="center"/>
            <w:hideMark/>
          </w:tcPr>
          <w:p w14:paraId="722234D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family size and landholding categories.</w:t>
            </w:r>
          </w:p>
        </w:tc>
      </w:tr>
    </w:tbl>
    <w:p w14:paraId="137D92CF"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7673289E" w14:textId="6978623F"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w:t>
      </w:r>
      <w:r w:rsidRPr="00E83F35">
        <w:rPr>
          <w:rFonts w:ascii="Arial" w:hAnsi="Arial" w:cs="Arial"/>
          <w:sz w:val="20"/>
          <w:szCs w:val="20"/>
        </w:rPr>
        <w:t>shown</w:t>
      </w:r>
      <w:r w:rsidRPr="00B7240B">
        <w:rPr>
          <w:rFonts w:ascii="Arial" w:hAnsi="Arial" w:cs="Arial"/>
          <w:sz w:val="20"/>
          <w:szCs w:val="20"/>
        </w:rPr>
        <w:t xml:space="preserve"> in </w:t>
      </w:r>
      <w:r w:rsidRPr="00B7240B">
        <w:rPr>
          <w:rFonts w:ascii="Arial" w:hAnsi="Arial" w:cs="Arial"/>
          <w:b/>
          <w:bCs/>
          <w:sz w:val="20"/>
          <w:szCs w:val="20"/>
        </w:rPr>
        <w:t>Table 6,</w:t>
      </w:r>
      <w:r w:rsidRPr="00B7240B">
        <w:rPr>
          <w:rFonts w:ascii="Arial" w:hAnsi="Arial" w:cs="Arial"/>
          <w:sz w:val="20"/>
          <w:szCs w:val="20"/>
        </w:rPr>
        <w:t xml:space="preserve"> the majority of cotton-growing households comprised 4–6 members, accounting for 46.67 percent of the total sample. This was followed by families with 7–9 members (25.83%) and 1–3 members (19.17%). Larger families with more than 9 members made up a smaller portion (8.33%) of the respondents.</w:t>
      </w:r>
    </w:p>
    <w:p w14:paraId="3AEA24F8"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closer examination reveals that small and semi-medium farmers were most represented in the 4–</w:t>
      </w:r>
      <w:proofErr w:type="gramStart"/>
      <w:r w:rsidRPr="00B7240B">
        <w:rPr>
          <w:rFonts w:ascii="Arial" w:hAnsi="Arial" w:cs="Arial"/>
          <w:sz w:val="20"/>
          <w:szCs w:val="20"/>
        </w:rPr>
        <w:t>6 member</w:t>
      </w:r>
      <w:proofErr w:type="gramEnd"/>
      <w:r w:rsidRPr="00B7240B">
        <w:rPr>
          <w:rFonts w:ascii="Arial" w:hAnsi="Arial" w:cs="Arial"/>
          <w:sz w:val="20"/>
          <w:szCs w:val="20"/>
        </w:rPr>
        <w:t xml:space="preserve"> bracket, indicating a prevalence of nuclear or slightly extended family structures within these landholding groups. Conversely, large farmers had a higher proportion of families with more than 9 members (7 out of 27), suggesting a tendency toward joint or extended family systems among larger landholders.</w:t>
      </w:r>
    </w:p>
    <w:p w14:paraId="43990367"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The chi-square test result (χ² = 22.87, df = 12, p = 0.029) confirms a statistically significant relationship between family size and landholding category, as the p-value is less than 0.05. This indicates that family </w:t>
      </w:r>
      <w:r w:rsidRPr="00B7240B">
        <w:rPr>
          <w:rFonts w:ascii="Arial" w:hAnsi="Arial" w:cs="Arial"/>
          <w:sz w:val="20"/>
          <w:szCs w:val="20"/>
        </w:rPr>
        <w:lastRenderedPageBreak/>
        <w:t xml:space="preserve">structure varies meaningfully across different landholding sizes, which may influence </w:t>
      </w:r>
      <w:proofErr w:type="spellStart"/>
      <w:r w:rsidRPr="00B7240B">
        <w:rPr>
          <w:rFonts w:ascii="Arial" w:hAnsi="Arial" w:cs="Arial"/>
          <w:sz w:val="20"/>
          <w:szCs w:val="20"/>
        </w:rPr>
        <w:t>labor</w:t>
      </w:r>
      <w:proofErr w:type="spellEnd"/>
      <w:r w:rsidRPr="00B7240B">
        <w:rPr>
          <w:rFonts w:ascii="Arial" w:hAnsi="Arial" w:cs="Arial"/>
          <w:sz w:val="20"/>
          <w:szCs w:val="20"/>
        </w:rPr>
        <w:t xml:space="preserve"> availability and farm management decisions.</w:t>
      </w:r>
    </w:p>
    <w:p w14:paraId="5570A98C" w14:textId="3F5509CD" w:rsidR="00B7240B" w:rsidRPr="00E83F35" w:rsidRDefault="00B7240B" w:rsidP="00E83F35">
      <w:pPr>
        <w:spacing w:line="240" w:lineRule="auto"/>
        <w:rPr>
          <w:rFonts w:ascii="Arial" w:hAnsi="Arial" w:cs="Arial"/>
          <w:b/>
          <w:bCs/>
        </w:rPr>
      </w:pPr>
      <w:r w:rsidRPr="00E83F35">
        <w:rPr>
          <w:rFonts w:ascii="Arial" w:hAnsi="Arial" w:cs="Arial"/>
          <w:b/>
          <w:bCs/>
        </w:rPr>
        <w:t>Occupation</w:t>
      </w:r>
    </w:p>
    <w:p w14:paraId="1B99C29F" w14:textId="264B1CC3"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7</w:t>
      </w:r>
      <w:r w:rsidRPr="00E83F35">
        <w:rPr>
          <w:rFonts w:ascii="Arial" w:hAnsi="Arial" w:cs="Arial"/>
          <w:b/>
          <w:bCs/>
          <w:sz w:val="20"/>
          <w:szCs w:val="20"/>
        </w:rPr>
        <w:fldChar w:fldCharType="end"/>
      </w:r>
      <w:r w:rsidRPr="00E83F35">
        <w:rPr>
          <w:rFonts w:ascii="Arial" w:hAnsi="Arial" w:cs="Arial"/>
          <w:b/>
          <w:bCs/>
          <w:sz w:val="20"/>
          <w:szCs w:val="20"/>
        </w:rPr>
        <w:t>: Occupation of Cotton growers across landholding categories</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973"/>
        <w:gridCol w:w="1735"/>
        <w:gridCol w:w="1733"/>
        <w:gridCol w:w="1739"/>
        <w:gridCol w:w="1620"/>
      </w:tblGrid>
      <w:tr w:rsidR="00B7240B" w:rsidRPr="00E83F35" w14:paraId="4D7BF384" w14:textId="77777777" w:rsidTr="00B7240B">
        <w:trPr>
          <w:trHeight w:val="496"/>
        </w:trPr>
        <w:tc>
          <w:tcPr>
            <w:tcW w:w="1384" w:type="pct"/>
            <w:gridSpan w:val="2"/>
            <w:vMerge w:val="restart"/>
            <w:shd w:val="clear" w:color="auto" w:fill="auto"/>
            <w:vAlign w:val="center"/>
            <w:hideMark/>
          </w:tcPr>
          <w:p w14:paraId="4A3BB90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3616" w:type="pct"/>
            <w:gridSpan w:val="4"/>
            <w:shd w:val="clear" w:color="000000" w:fill="A9D08E"/>
            <w:vAlign w:val="center"/>
            <w:hideMark/>
          </w:tcPr>
          <w:p w14:paraId="703572A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Occupation</w:t>
            </w:r>
          </w:p>
        </w:tc>
      </w:tr>
      <w:tr w:rsidR="00B7240B" w:rsidRPr="00E83F35" w14:paraId="327EFCDC" w14:textId="77777777" w:rsidTr="00B7240B">
        <w:trPr>
          <w:trHeight w:val="672"/>
        </w:trPr>
        <w:tc>
          <w:tcPr>
            <w:tcW w:w="1384" w:type="pct"/>
            <w:gridSpan w:val="2"/>
            <w:vMerge/>
            <w:shd w:val="clear" w:color="auto" w:fill="auto"/>
            <w:vAlign w:val="center"/>
            <w:hideMark/>
          </w:tcPr>
          <w:p w14:paraId="731A8B9F"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9" w:type="pct"/>
            <w:shd w:val="clear" w:color="000000" w:fill="E2EFDA"/>
            <w:vAlign w:val="center"/>
            <w:hideMark/>
          </w:tcPr>
          <w:p w14:paraId="5C6B588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Only</w:t>
            </w:r>
          </w:p>
        </w:tc>
        <w:tc>
          <w:tcPr>
            <w:tcW w:w="918" w:type="pct"/>
            <w:shd w:val="clear" w:color="000000" w:fill="E2EFDA"/>
            <w:vAlign w:val="center"/>
            <w:hideMark/>
          </w:tcPr>
          <w:p w14:paraId="1D2F55E9"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 Allied</w:t>
            </w:r>
          </w:p>
        </w:tc>
        <w:tc>
          <w:tcPr>
            <w:tcW w:w="921" w:type="pct"/>
            <w:shd w:val="clear" w:color="000000" w:fill="E2EFDA"/>
            <w:vAlign w:val="center"/>
            <w:hideMark/>
          </w:tcPr>
          <w:p w14:paraId="3BFF879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 Other</w:t>
            </w:r>
          </w:p>
        </w:tc>
        <w:tc>
          <w:tcPr>
            <w:tcW w:w="858" w:type="pct"/>
            <w:shd w:val="clear" w:color="000000" w:fill="E2EFDA"/>
            <w:vAlign w:val="center"/>
            <w:hideMark/>
          </w:tcPr>
          <w:p w14:paraId="55016B5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35F41089" w14:textId="77777777" w:rsidTr="00B7240B">
        <w:trPr>
          <w:trHeight w:val="672"/>
        </w:trPr>
        <w:tc>
          <w:tcPr>
            <w:tcW w:w="339" w:type="pct"/>
            <w:vMerge w:val="restart"/>
            <w:shd w:val="clear" w:color="000000" w:fill="FFD966"/>
            <w:noWrap/>
            <w:textDirection w:val="btLr"/>
            <w:vAlign w:val="center"/>
            <w:hideMark/>
          </w:tcPr>
          <w:p w14:paraId="4CB7561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1045" w:type="pct"/>
            <w:shd w:val="clear" w:color="000000" w:fill="FFF2CC"/>
            <w:vAlign w:val="center"/>
            <w:hideMark/>
          </w:tcPr>
          <w:p w14:paraId="306FA0B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919" w:type="pct"/>
            <w:shd w:val="clear" w:color="auto" w:fill="auto"/>
            <w:vAlign w:val="center"/>
            <w:hideMark/>
          </w:tcPr>
          <w:p w14:paraId="4574F1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918" w:type="pct"/>
            <w:shd w:val="clear" w:color="auto" w:fill="auto"/>
            <w:vAlign w:val="center"/>
            <w:hideMark/>
          </w:tcPr>
          <w:p w14:paraId="325373B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9 (3.75%)</w:t>
            </w:r>
          </w:p>
        </w:tc>
        <w:tc>
          <w:tcPr>
            <w:tcW w:w="921" w:type="pct"/>
            <w:shd w:val="clear" w:color="auto" w:fill="auto"/>
            <w:vAlign w:val="center"/>
            <w:hideMark/>
          </w:tcPr>
          <w:p w14:paraId="468B804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858" w:type="pct"/>
            <w:shd w:val="clear" w:color="auto" w:fill="auto"/>
            <w:vAlign w:val="center"/>
            <w:hideMark/>
          </w:tcPr>
          <w:p w14:paraId="70C44E1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45E909AC" w14:textId="77777777" w:rsidTr="00B7240B">
        <w:trPr>
          <w:trHeight w:val="672"/>
        </w:trPr>
        <w:tc>
          <w:tcPr>
            <w:tcW w:w="339" w:type="pct"/>
            <w:vMerge/>
            <w:vAlign w:val="center"/>
            <w:hideMark/>
          </w:tcPr>
          <w:p w14:paraId="6F2B255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6543948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919" w:type="pct"/>
            <w:shd w:val="clear" w:color="auto" w:fill="auto"/>
            <w:vAlign w:val="center"/>
            <w:hideMark/>
          </w:tcPr>
          <w:p w14:paraId="6CA6D67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48 (20.00%)</w:t>
            </w:r>
          </w:p>
        </w:tc>
        <w:tc>
          <w:tcPr>
            <w:tcW w:w="918" w:type="pct"/>
            <w:shd w:val="clear" w:color="auto" w:fill="auto"/>
            <w:vAlign w:val="center"/>
            <w:hideMark/>
          </w:tcPr>
          <w:p w14:paraId="577D72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921" w:type="pct"/>
            <w:shd w:val="clear" w:color="auto" w:fill="auto"/>
            <w:vAlign w:val="center"/>
            <w:hideMark/>
          </w:tcPr>
          <w:p w14:paraId="02906E7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858" w:type="pct"/>
            <w:shd w:val="clear" w:color="auto" w:fill="auto"/>
            <w:vAlign w:val="center"/>
            <w:hideMark/>
          </w:tcPr>
          <w:p w14:paraId="79EAF5E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7097A3E3" w14:textId="77777777" w:rsidTr="00B7240B">
        <w:trPr>
          <w:trHeight w:val="672"/>
        </w:trPr>
        <w:tc>
          <w:tcPr>
            <w:tcW w:w="339" w:type="pct"/>
            <w:vMerge/>
            <w:vAlign w:val="center"/>
            <w:hideMark/>
          </w:tcPr>
          <w:p w14:paraId="1824D90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8A7080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919" w:type="pct"/>
            <w:shd w:val="clear" w:color="auto" w:fill="auto"/>
            <w:vAlign w:val="center"/>
            <w:hideMark/>
          </w:tcPr>
          <w:p w14:paraId="1AEC0BF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918" w:type="pct"/>
            <w:shd w:val="clear" w:color="auto" w:fill="auto"/>
            <w:vAlign w:val="center"/>
            <w:hideMark/>
          </w:tcPr>
          <w:p w14:paraId="6C942CF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22 (9.17%)</w:t>
            </w:r>
          </w:p>
        </w:tc>
        <w:tc>
          <w:tcPr>
            <w:tcW w:w="921" w:type="pct"/>
            <w:shd w:val="clear" w:color="auto" w:fill="auto"/>
            <w:vAlign w:val="center"/>
            <w:hideMark/>
          </w:tcPr>
          <w:p w14:paraId="0B8DF3F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13 (5.42%)</w:t>
            </w:r>
          </w:p>
        </w:tc>
        <w:tc>
          <w:tcPr>
            <w:tcW w:w="858" w:type="pct"/>
            <w:shd w:val="clear" w:color="auto" w:fill="auto"/>
            <w:vAlign w:val="center"/>
            <w:hideMark/>
          </w:tcPr>
          <w:p w14:paraId="5FD45A4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43529117" w14:textId="77777777" w:rsidTr="00B7240B">
        <w:trPr>
          <w:trHeight w:val="672"/>
        </w:trPr>
        <w:tc>
          <w:tcPr>
            <w:tcW w:w="339" w:type="pct"/>
            <w:vMerge/>
            <w:vAlign w:val="center"/>
            <w:hideMark/>
          </w:tcPr>
          <w:p w14:paraId="04773CB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6D611F0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919" w:type="pct"/>
            <w:shd w:val="clear" w:color="auto" w:fill="auto"/>
            <w:vAlign w:val="center"/>
            <w:hideMark/>
          </w:tcPr>
          <w:p w14:paraId="41F14F7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918" w:type="pct"/>
            <w:shd w:val="clear" w:color="auto" w:fill="auto"/>
            <w:vAlign w:val="center"/>
            <w:hideMark/>
          </w:tcPr>
          <w:p w14:paraId="6182CAA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921" w:type="pct"/>
            <w:shd w:val="clear" w:color="auto" w:fill="auto"/>
            <w:vAlign w:val="center"/>
            <w:hideMark/>
          </w:tcPr>
          <w:p w14:paraId="71A5E9A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858" w:type="pct"/>
            <w:shd w:val="clear" w:color="auto" w:fill="auto"/>
            <w:vAlign w:val="center"/>
            <w:hideMark/>
          </w:tcPr>
          <w:p w14:paraId="0502466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45F5A3B7" w14:textId="77777777" w:rsidTr="00B7240B">
        <w:trPr>
          <w:trHeight w:val="672"/>
        </w:trPr>
        <w:tc>
          <w:tcPr>
            <w:tcW w:w="339" w:type="pct"/>
            <w:vMerge/>
            <w:vAlign w:val="center"/>
            <w:hideMark/>
          </w:tcPr>
          <w:p w14:paraId="5194EC6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93D3AF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919" w:type="pct"/>
            <w:shd w:val="clear" w:color="auto" w:fill="auto"/>
            <w:vAlign w:val="center"/>
            <w:hideMark/>
          </w:tcPr>
          <w:p w14:paraId="1D0B63D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918" w:type="pct"/>
            <w:shd w:val="clear" w:color="auto" w:fill="auto"/>
            <w:vAlign w:val="center"/>
            <w:hideMark/>
          </w:tcPr>
          <w:p w14:paraId="590196E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921" w:type="pct"/>
            <w:shd w:val="clear" w:color="auto" w:fill="auto"/>
            <w:vAlign w:val="center"/>
            <w:hideMark/>
          </w:tcPr>
          <w:p w14:paraId="2D07026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17 (7.08%)</w:t>
            </w:r>
          </w:p>
        </w:tc>
        <w:tc>
          <w:tcPr>
            <w:tcW w:w="858" w:type="pct"/>
            <w:shd w:val="clear" w:color="auto" w:fill="auto"/>
            <w:vAlign w:val="center"/>
            <w:hideMark/>
          </w:tcPr>
          <w:p w14:paraId="00F4AF4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571E54CD" w14:textId="77777777" w:rsidTr="00B7240B">
        <w:trPr>
          <w:trHeight w:val="672"/>
        </w:trPr>
        <w:tc>
          <w:tcPr>
            <w:tcW w:w="339" w:type="pct"/>
            <w:vMerge/>
            <w:vAlign w:val="center"/>
            <w:hideMark/>
          </w:tcPr>
          <w:p w14:paraId="7B968AA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95238E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919" w:type="pct"/>
            <w:shd w:val="clear" w:color="auto" w:fill="auto"/>
            <w:vAlign w:val="center"/>
            <w:hideMark/>
          </w:tcPr>
          <w:p w14:paraId="425DE91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104 (43.33%)</w:t>
            </w:r>
          </w:p>
        </w:tc>
        <w:tc>
          <w:tcPr>
            <w:tcW w:w="918" w:type="pct"/>
            <w:shd w:val="clear" w:color="auto" w:fill="auto"/>
            <w:vAlign w:val="center"/>
            <w:hideMark/>
          </w:tcPr>
          <w:p w14:paraId="27C3AB7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77 (32.08%)</w:t>
            </w:r>
          </w:p>
        </w:tc>
        <w:tc>
          <w:tcPr>
            <w:tcW w:w="921" w:type="pct"/>
            <w:shd w:val="clear" w:color="auto" w:fill="auto"/>
            <w:vAlign w:val="center"/>
            <w:hideMark/>
          </w:tcPr>
          <w:p w14:paraId="1894B53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59 (24.58%)</w:t>
            </w:r>
          </w:p>
        </w:tc>
        <w:tc>
          <w:tcPr>
            <w:tcW w:w="858" w:type="pct"/>
            <w:shd w:val="clear" w:color="auto" w:fill="auto"/>
            <w:vAlign w:val="center"/>
            <w:hideMark/>
          </w:tcPr>
          <w:p w14:paraId="1BF9BEE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356F8519" w14:textId="77777777" w:rsidTr="00B7240B">
        <w:trPr>
          <w:trHeight w:val="672"/>
        </w:trPr>
        <w:tc>
          <w:tcPr>
            <w:tcW w:w="2303" w:type="pct"/>
            <w:gridSpan w:val="3"/>
            <w:shd w:val="clear" w:color="auto" w:fill="auto"/>
            <w:vAlign w:val="center"/>
            <w:hideMark/>
          </w:tcPr>
          <w:p w14:paraId="41A819F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Chi-Square Statistic:</w:t>
            </w:r>
            <w:r w:rsidRPr="00E83F35">
              <w:rPr>
                <w:rFonts w:ascii="Arial" w:eastAsia="Times New Roman" w:hAnsi="Arial" w:cs="Arial"/>
                <w:color w:val="000000"/>
                <w:kern w:val="0"/>
                <w:sz w:val="20"/>
                <w:szCs w:val="20"/>
                <w:lang w:eastAsia="en-IN" w:bidi="mr-IN"/>
                <w14:ligatures w14:val="none"/>
              </w:rPr>
              <w:t xml:space="preserve"> 74.10</w:t>
            </w:r>
          </w:p>
        </w:tc>
        <w:tc>
          <w:tcPr>
            <w:tcW w:w="1839" w:type="pct"/>
            <w:gridSpan w:val="2"/>
            <w:shd w:val="clear" w:color="auto" w:fill="auto"/>
            <w:vAlign w:val="center"/>
            <w:hideMark/>
          </w:tcPr>
          <w:p w14:paraId="68F9A66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8</w:t>
            </w:r>
          </w:p>
        </w:tc>
        <w:tc>
          <w:tcPr>
            <w:tcW w:w="858" w:type="pct"/>
            <w:shd w:val="clear" w:color="auto" w:fill="auto"/>
            <w:vAlign w:val="center"/>
            <w:hideMark/>
          </w:tcPr>
          <w:p w14:paraId="4C71665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7.46 × 10</w:t>
            </w:r>
            <w:r w:rsidRPr="00E83F35">
              <w:rPr>
                <w:rFonts w:ascii="Cambria Math" w:eastAsia="Times New Roman" w:hAnsi="Cambria Math" w:cs="Cambria Math"/>
                <w:color w:val="000000"/>
                <w:kern w:val="0"/>
                <w:sz w:val="20"/>
                <w:szCs w:val="20"/>
                <w:lang w:eastAsia="en-IN" w:bidi="mr-IN"/>
                <w14:ligatures w14:val="none"/>
              </w:rPr>
              <w:t>⁻</w:t>
            </w:r>
            <w:r w:rsidRPr="00E83F35">
              <w:rPr>
                <w:rFonts w:ascii="Arial" w:eastAsia="Times New Roman" w:hAnsi="Arial" w:cs="Arial"/>
                <w:color w:val="000000"/>
                <w:kern w:val="0"/>
                <w:sz w:val="20"/>
                <w:szCs w:val="20"/>
                <w:lang w:eastAsia="en-IN" w:bidi="mr-IN"/>
                <w14:ligatures w14:val="none"/>
              </w:rPr>
              <w:t>¹³</w:t>
            </w:r>
          </w:p>
        </w:tc>
      </w:tr>
      <w:tr w:rsidR="00B7240B" w:rsidRPr="00E83F35" w14:paraId="6C4E2B7B" w14:textId="77777777" w:rsidTr="00B7240B">
        <w:trPr>
          <w:trHeight w:val="1048"/>
        </w:trPr>
        <w:tc>
          <w:tcPr>
            <w:tcW w:w="5000" w:type="pct"/>
            <w:gridSpan w:val="6"/>
            <w:shd w:val="clear" w:color="auto" w:fill="auto"/>
            <w:vAlign w:val="center"/>
            <w:hideMark/>
          </w:tcPr>
          <w:p w14:paraId="1251EF1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much less than 0.05, indicating a highly significant association between occupation type and landholding categories</w:t>
            </w:r>
          </w:p>
        </w:tc>
      </w:tr>
    </w:tbl>
    <w:p w14:paraId="76489DCC"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559B59D9"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presented in </w:t>
      </w:r>
      <w:r w:rsidRPr="00B7240B">
        <w:rPr>
          <w:rFonts w:ascii="Arial" w:hAnsi="Arial" w:cs="Arial"/>
          <w:b/>
          <w:bCs/>
          <w:sz w:val="20"/>
          <w:szCs w:val="20"/>
        </w:rPr>
        <w:t>Table 7,</w:t>
      </w:r>
      <w:r w:rsidRPr="00B7240B">
        <w:rPr>
          <w:rFonts w:ascii="Arial" w:hAnsi="Arial" w:cs="Arial"/>
          <w:sz w:val="20"/>
          <w:szCs w:val="20"/>
        </w:rPr>
        <w:t xml:space="preserve"> the majority of respondents (43.33 percent) reported agriculture as their sole occupation, followed by those engaged in agriculture along with allied activities (32.08%) and agriculture plus other non-agricultural work (24.58%).</w:t>
      </w:r>
    </w:p>
    <w:p w14:paraId="43D2CD99"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breakdown by landholding category shows that marginal and small farmers were more likely to rely exclusively on agriculture, with 32 out of 44 marginal and 48 out of 88 small farmers reporting no secondary occupation. In contrast, medium and large farmers showed a higher tendency to diversify, especially into agriculture plus other occupations, likely as a strategy to mitigate income risk and leverage larger land-based resources.</w:t>
      </w:r>
    </w:p>
    <w:p w14:paraId="0926326A" w14:textId="77777777" w:rsidR="00B7240B" w:rsidRPr="00E83F35" w:rsidRDefault="00B7240B" w:rsidP="00E83F35">
      <w:pPr>
        <w:spacing w:line="240" w:lineRule="auto"/>
        <w:jc w:val="both"/>
        <w:rPr>
          <w:rFonts w:ascii="Arial" w:hAnsi="Arial" w:cs="Arial"/>
          <w:sz w:val="20"/>
          <w:szCs w:val="20"/>
        </w:rPr>
      </w:pPr>
      <w:r w:rsidRPr="00B7240B">
        <w:rPr>
          <w:rFonts w:ascii="Arial" w:hAnsi="Arial" w:cs="Arial"/>
          <w:sz w:val="20"/>
          <w:szCs w:val="20"/>
        </w:rPr>
        <w:t>The chi-square value of 74.10 with 8 degrees of freedom, and a p-value &lt; 0.00001, indicates a highly significant association between occupation type and landholding size. This suggests that landholding size is a key determinant in occupational diversification among cotton growers.</w:t>
      </w:r>
    </w:p>
    <w:p w14:paraId="2E3F5D3A" w14:textId="2BB7C163" w:rsidR="00B7240B" w:rsidRPr="00B7240B" w:rsidRDefault="00B7240B" w:rsidP="00E83F35">
      <w:pPr>
        <w:spacing w:line="240" w:lineRule="auto"/>
        <w:jc w:val="both"/>
        <w:rPr>
          <w:rFonts w:ascii="Arial" w:hAnsi="Arial" w:cs="Arial"/>
        </w:rPr>
      </w:pPr>
      <w:r w:rsidRPr="00E83F35">
        <w:rPr>
          <w:rFonts w:ascii="Arial" w:hAnsi="Arial" w:cs="Arial"/>
          <w:b/>
          <w:bCs/>
        </w:rPr>
        <w:t>Income Distribution</w:t>
      </w:r>
      <w:r w:rsidRPr="00E83F35">
        <w:rPr>
          <w:rFonts w:ascii="Arial" w:hAnsi="Arial" w:cs="Arial"/>
        </w:rPr>
        <w:t xml:space="preserve"> </w:t>
      </w:r>
      <w:r w:rsidRPr="00E83F35">
        <w:rPr>
          <w:rFonts w:ascii="Arial" w:eastAsia="Times New Roman" w:hAnsi="Arial" w:cs="Arial"/>
          <w:b/>
          <w:bCs/>
          <w:color w:val="000000"/>
          <w:kern w:val="0"/>
          <w:lang w:eastAsia="en-IN" w:bidi="mr-IN"/>
          <w14:ligatures w14:val="none"/>
        </w:rPr>
        <w:t>(₹)</w:t>
      </w:r>
    </w:p>
    <w:p w14:paraId="3877B304" w14:textId="307D068D"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8</w:t>
      </w:r>
      <w:r w:rsidRPr="00E83F35">
        <w:rPr>
          <w:rFonts w:ascii="Arial" w:hAnsi="Arial" w:cs="Arial"/>
          <w:b/>
          <w:bCs/>
          <w:sz w:val="20"/>
          <w:szCs w:val="20"/>
        </w:rPr>
        <w:fldChar w:fldCharType="end"/>
      </w:r>
      <w:r w:rsidRPr="00E83F35">
        <w:rPr>
          <w:rFonts w:ascii="Arial" w:hAnsi="Arial" w:cs="Arial"/>
          <w:b/>
          <w:bCs/>
          <w:sz w:val="20"/>
          <w:szCs w:val="20"/>
        </w:rPr>
        <w:t xml:space="preserve">: Income distribution </w:t>
      </w:r>
      <w:r w:rsidRPr="00E83F35">
        <w:rPr>
          <w:rFonts w:ascii="Arial" w:eastAsia="Times New Roman" w:hAnsi="Arial" w:cs="Arial"/>
          <w:b/>
          <w:bCs/>
          <w:color w:val="000000"/>
          <w:kern w:val="0"/>
          <w:sz w:val="20"/>
          <w:szCs w:val="20"/>
          <w:lang w:eastAsia="en-IN" w:bidi="mr-IN"/>
          <w14:ligatures w14:val="none"/>
        </w:rPr>
        <w:t xml:space="preserve">(₹) </w:t>
      </w:r>
      <w:r w:rsidRPr="00E83F35">
        <w:rPr>
          <w:rFonts w:ascii="Arial" w:hAnsi="Arial" w:cs="Arial"/>
          <w:b/>
          <w:bCs/>
          <w:sz w:val="20"/>
          <w:szCs w:val="20"/>
        </w:rPr>
        <w:t>of Cotton growers across landholding categories</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662"/>
        <w:gridCol w:w="1275"/>
        <w:gridCol w:w="1313"/>
        <w:gridCol w:w="1371"/>
        <w:gridCol w:w="1432"/>
        <w:gridCol w:w="1449"/>
      </w:tblGrid>
      <w:tr w:rsidR="00B7240B" w:rsidRPr="00E83F35" w14:paraId="2DA8374F" w14:textId="77777777" w:rsidTr="00B7240B">
        <w:trPr>
          <w:trHeight w:val="413"/>
        </w:trPr>
        <w:tc>
          <w:tcPr>
            <w:tcW w:w="1223" w:type="pct"/>
            <w:gridSpan w:val="2"/>
            <w:vMerge w:val="restart"/>
            <w:shd w:val="clear" w:color="auto" w:fill="auto"/>
            <w:vAlign w:val="center"/>
            <w:hideMark/>
          </w:tcPr>
          <w:p w14:paraId="70E2C96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p>
        </w:tc>
        <w:tc>
          <w:tcPr>
            <w:tcW w:w="3777" w:type="pct"/>
            <w:gridSpan w:val="5"/>
            <w:shd w:val="clear" w:color="000000" w:fill="A9D08E"/>
            <w:vAlign w:val="center"/>
            <w:hideMark/>
          </w:tcPr>
          <w:p w14:paraId="4755479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Income Distribution (₹)</w:t>
            </w:r>
          </w:p>
        </w:tc>
      </w:tr>
      <w:tr w:rsidR="00B7240B" w:rsidRPr="00E83F35" w14:paraId="0AFD7934" w14:textId="77777777" w:rsidTr="00B7240B">
        <w:trPr>
          <w:trHeight w:val="552"/>
        </w:trPr>
        <w:tc>
          <w:tcPr>
            <w:tcW w:w="1223" w:type="pct"/>
            <w:gridSpan w:val="2"/>
            <w:vMerge/>
            <w:shd w:val="clear" w:color="auto" w:fill="auto"/>
            <w:vAlign w:val="center"/>
            <w:hideMark/>
          </w:tcPr>
          <w:p w14:paraId="2F6644A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p>
        </w:tc>
        <w:tc>
          <w:tcPr>
            <w:tcW w:w="704" w:type="pct"/>
            <w:shd w:val="clear" w:color="000000" w:fill="E2EFDA"/>
            <w:vAlign w:val="center"/>
            <w:hideMark/>
          </w:tcPr>
          <w:p w14:paraId="0163812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&lt;₹75,000</w:t>
            </w:r>
          </w:p>
        </w:tc>
        <w:tc>
          <w:tcPr>
            <w:tcW w:w="725" w:type="pct"/>
            <w:shd w:val="clear" w:color="000000" w:fill="E2EFDA"/>
            <w:vAlign w:val="center"/>
            <w:hideMark/>
          </w:tcPr>
          <w:p w14:paraId="615E4C2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₹75,000-1,50,000</w:t>
            </w:r>
          </w:p>
        </w:tc>
        <w:tc>
          <w:tcPr>
            <w:tcW w:w="757" w:type="pct"/>
            <w:shd w:val="clear" w:color="000000" w:fill="E2EFDA"/>
            <w:vAlign w:val="center"/>
            <w:hideMark/>
          </w:tcPr>
          <w:p w14:paraId="799D04C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₹1,50,000-3,00,000</w:t>
            </w:r>
          </w:p>
        </w:tc>
        <w:tc>
          <w:tcPr>
            <w:tcW w:w="791" w:type="pct"/>
            <w:shd w:val="clear" w:color="000000" w:fill="E2EFDA"/>
            <w:vAlign w:val="center"/>
            <w:hideMark/>
          </w:tcPr>
          <w:p w14:paraId="17CC647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&gt;₹3,00,000</w:t>
            </w:r>
          </w:p>
        </w:tc>
        <w:tc>
          <w:tcPr>
            <w:tcW w:w="800" w:type="pct"/>
            <w:shd w:val="clear" w:color="000000" w:fill="E2EFDA"/>
            <w:vAlign w:val="center"/>
            <w:hideMark/>
          </w:tcPr>
          <w:p w14:paraId="1735EE2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69BB676C" w14:textId="77777777" w:rsidTr="00B7240B">
        <w:trPr>
          <w:trHeight w:val="552"/>
        </w:trPr>
        <w:tc>
          <w:tcPr>
            <w:tcW w:w="305" w:type="pct"/>
            <w:vMerge w:val="restart"/>
            <w:shd w:val="clear" w:color="000000" w:fill="FFD966"/>
            <w:noWrap/>
            <w:textDirection w:val="btLr"/>
            <w:vAlign w:val="center"/>
            <w:hideMark/>
          </w:tcPr>
          <w:p w14:paraId="391F741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918" w:type="pct"/>
            <w:shd w:val="clear" w:color="000000" w:fill="FFF2CC"/>
            <w:vAlign w:val="center"/>
            <w:hideMark/>
          </w:tcPr>
          <w:p w14:paraId="06B66D8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704" w:type="pct"/>
            <w:shd w:val="clear" w:color="auto" w:fill="auto"/>
            <w:vAlign w:val="center"/>
            <w:hideMark/>
          </w:tcPr>
          <w:p w14:paraId="1F94AA9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25" w:type="pct"/>
            <w:shd w:val="clear" w:color="auto" w:fill="auto"/>
            <w:vAlign w:val="center"/>
            <w:hideMark/>
          </w:tcPr>
          <w:p w14:paraId="25610E7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757" w:type="pct"/>
            <w:shd w:val="clear" w:color="auto" w:fill="auto"/>
            <w:vAlign w:val="center"/>
            <w:hideMark/>
          </w:tcPr>
          <w:p w14:paraId="1774BA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91" w:type="pct"/>
            <w:shd w:val="clear" w:color="auto" w:fill="auto"/>
            <w:vAlign w:val="center"/>
            <w:hideMark/>
          </w:tcPr>
          <w:p w14:paraId="7415681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800" w:type="pct"/>
            <w:shd w:val="clear" w:color="auto" w:fill="auto"/>
            <w:vAlign w:val="center"/>
            <w:hideMark/>
          </w:tcPr>
          <w:p w14:paraId="74472DF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67DF0EDE" w14:textId="77777777" w:rsidTr="00B7240B">
        <w:trPr>
          <w:trHeight w:val="552"/>
        </w:trPr>
        <w:tc>
          <w:tcPr>
            <w:tcW w:w="305" w:type="pct"/>
            <w:vMerge/>
            <w:vAlign w:val="center"/>
            <w:hideMark/>
          </w:tcPr>
          <w:p w14:paraId="557B7C7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7D62C01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704" w:type="pct"/>
            <w:shd w:val="clear" w:color="auto" w:fill="auto"/>
            <w:vAlign w:val="center"/>
            <w:hideMark/>
          </w:tcPr>
          <w:p w14:paraId="50700A8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5" w:type="pct"/>
            <w:shd w:val="clear" w:color="auto" w:fill="auto"/>
            <w:vAlign w:val="center"/>
            <w:hideMark/>
          </w:tcPr>
          <w:p w14:paraId="75516EC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28 (11.67%)</w:t>
            </w:r>
          </w:p>
        </w:tc>
        <w:tc>
          <w:tcPr>
            <w:tcW w:w="757" w:type="pct"/>
            <w:shd w:val="clear" w:color="auto" w:fill="auto"/>
            <w:vAlign w:val="center"/>
            <w:hideMark/>
          </w:tcPr>
          <w:p w14:paraId="5012D06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91" w:type="pct"/>
            <w:shd w:val="clear" w:color="auto" w:fill="auto"/>
            <w:vAlign w:val="center"/>
            <w:hideMark/>
          </w:tcPr>
          <w:p w14:paraId="7CD20E0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800" w:type="pct"/>
            <w:shd w:val="clear" w:color="auto" w:fill="auto"/>
            <w:vAlign w:val="center"/>
            <w:hideMark/>
          </w:tcPr>
          <w:p w14:paraId="21702F9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33799F8D" w14:textId="77777777" w:rsidTr="00B7240B">
        <w:trPr>
          <w:trHeight w:val="552"/>
        </w:trPr>
        <w:tc>
          <w:tcPr>
            <w:tcW w:w="305" w:type="pct"/>
            <w:vMerge/>
            <w:vAlign w:val="center"/>
            <w:hideMark/>
          </w:tcPr>
          <w:p w14:paraId="734A586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062D532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704" w:type="pct"/>
            <w:shd w:val="clear" w:color="auto" w:fill="auto"/>
            <w:vAlign w:val="center"/>
            <w:hideMark/>
          </w:tcPr>
          <w:p w14:paraId="13DB2DB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 (2.92%)</w:t>
            </w:r>
          </w:p>
        </w:tc>
        <w:tc>
          <w:tcPr>
            <w:tcW w:w="725" w:type="pct"/>
            <w:shd w:val="clear" w:color="auto" w:fill="auto"/>
            <w:vAlign w:val="center"/>
            <w:hideMark/>
          </w:tcPr>
          <w:p w14:paraId="5A75DB0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57" w:type="pct"/>
            <w:shd w:val="clear" w:color="auto" w:fill="auto"/>
            <w:vAlign w:val="center"/>
            <w:hideMark/>
          </w:tcPr>
          <w:p w14:paraId="7660D76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791" w:type="pct"/>
            <w:shd w:val="clear" w:color="auto" w:fill="auto"/>
            <w:vAlign w:val="center"/>
            <w:hideMark/>
          </w:tcPr>
          <w:p w14:paraId="7C33D91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800" w:type="pct"/>
            <w:shd w:val="clear" w:color="auto" w:fill="auto"/>
            <w:vAlign w:val="center"/>
            <w:hideMark/>
          </w:tcPr>
          <w:p w14:paraId="6C1D19F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0E26972D" w14:textId="77777777" w:rsidTr="00B7240B">
        <w:trPr>
          <w:trHeight w:val="552"/>
        </w:trPr>
        <w:tc>
          <w:tcPr>
            <w:tcW w:w="305" w:type="pct"/>
            <w:vMerge/>
            <w:vAlign w:val="center"/>
            <w:hideMark/>
          </w:tcPr>
          <w:p w14:paraId="5BEAAC1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54D85C8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704" w:type="pct"/>
            <w:shd w:val="clear" w:color="auto" w:fill="auto"/>
            <w:vAlign w:val="center"/>
            <w:hideMark/>
          </w:tcPr>
          <w:p w14:paraId="0B6251A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25" w:type="pct"/>
            <w:shd w:val="clear" w:color="auto" w:fill="auto"/>
            <w:vAlign w:val="center"/>
            <w:hideMark/>
          </w:tcPr>
          <w:p w14:paraId="55E4413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757" w:type="pct"/>
            <w:shd w:val="clear" w:color="auto" w:fill="auto"/>
            <w:vAlign w:val="center"/>
            <w:hideMark/>
          </w:tcPr>
          <w:p w14:paraId="30A8013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91" w:type="pct"/>
            <w:shd w:val="clear" w:color="auto" w:fill="auto"/>
            <w:vAlign w:val="center"/>
            <w:hideMark/>
          </w:tcPr>
          <w:p w14:paraId="3842F04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9 (3.75%)</w:t>
            </w:r>
          </w:p>
        </w:tc>
        <w:tc>
          <w:tcPr>
            <w:tcW w:w="800" w:type="pct"/>
            <w:shd w:val="clear" w:color="auto" w:fill="auto"/>
            <w:vAlign w:val="center"/>
            <w:hideMark/>
          </w:tcPr>
          <w:p w14:paraId="7B0872B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2A80800B" w14:textId="77777777" w:rsidTr="00B7240B">
        <w:trPr>
          <w:trHeight w:val="552"/>
        </w:trPr>
        <w:tc>
          <w:tcPr>
            <w:tcW w:w="305" w:type="pct"/>
            <w:vMerge/>
            <w:vAlign w:val="center"/>
            <w:hideMark/>
          </w:tcPr>
          <w:p w14:paraId="79825D0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1936F06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704" w:type="pct"/>
            <w:shd w:val="clear" w:color="auto" w:fill="auto"/>
            <w:vAlign w:val="center"/>
            <w:hideMark/>
          </w:tcPr>
          <w:p w14:paraId="6BB0FE1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725" w:type="pct"/>
            <w:shd w:val="clear" w:color="auto" w:fill="auto"/>
            <w:vAlign w:val="center"/>
            <w:hideMark/>
          </w:tcPr>
          <w:p w14:paraId="000FFF4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57" w:type="pct"/>
            <w:shd w:val="clear" w:color="auto" w:fill="auto"/>
            <w:vAlign w:val="center"/>
            <w:hideMark/>
          </w:tcPr>
          <w:p w14:paraId="00C0779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91" w:type="pct"/>
            <w:shd w:val="clear" w:color="auto" w:fill="auto"/>
            <w:vAlign w:val="center"/>
            <w:hideMark/>
          </w:tcPr>
          <w:p w14:paraId="72B8DC4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800" w:type="pct"/>
            <w:shd w:val="clear" w:color="auto" w:fill="auto"/>
            <w:vAlign w:val="center"/>
            <w:hideMark/>
          </w:tcPr>
          <w:p w14:paraId="38E7AA6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23B504C5" w14:textId="77777777" w:rsidTr="00B7240B">
        <w:trPr>
          <w:trHeight w:val="552"/>
        </w:trPr>
        <w:tc>
          <w:tcPr>
            <w:tcW w:w="305" w:type="pct"/>
            <w:vMerge/>
            <w:vAlign w:val="center"/>
            <w:hideMark/>
          </w:tcPr>
          <w:p w14:paraId="1EBCE4F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4FA794D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704" w:type="pct"/>
            <w:shd w:val="clear" w:color="auto" w:fill="auto"/>
            <w:vAlign w:val="center"/>
            <w:hideMark/>
          </w:tcPr>
          <w:p w14:paraId="6B05EB2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c>
          <w:tcPr>
            <w:tcW w:w="725" w:type="pct"/>
            <w:shd w:val="clear" w:color="auto" w:fill="auto"/>
            <w:vAlign w:val="center"/>
            <w:hideMark/>
          </w:tcPr>
          <w:p w14:paraId="5D1AF1F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74 (30.83%)</w:t>
            </w:r>
          </w:p>
        </w:tc>
        <w:tc>
          <w:tcPr>
            <w:tcW w:w="757" w:type="pct"/>
            <w:shd w:val="clear" w:color="auto" w:fill="auto"/>
            <w:vAlign w:val="center"/>
            <w:hideMark/>
          </w:tcPr>
          <w:p w14:paraId="6DC2410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67 (27.92%)</w:t>
            </w:r>
          </w:p>
        </w:tc>
        <w:tc>
          <w:tcPr>
            <w:tcW w:w="791" w:type="pct"/>
            <w:shd w:val="clear" w:color="auto" w:fill="auto"/>
            <w:vAlign w:val="center"/>
            <w:hideMark/>
          </w:tcPr>
          <w:p w14:paraId="5045029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55 (22.92%)</w:t>
            </w:r>
          </w:p>
        </w:tc>
        <w:tc>
          <w:tcPr>
            <w:tcW w:w="800" w:type="pct"/>
            <w:shd w:val="clear" w:color="auto" w:fill="auto"/>
            <w:vAlign w:val="center"/>
            <w:hideMark/>
          </w:tcPr>
          <w:p w14:paraId="0280D69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1D640FB0" w14:textId="77777777" w:rsidTr="00B7240B">
        <w:trPr>
          <w:trHeight w:val="552"/>
        </w:trPr>
        <w:tc>
          <w:tcPr>
            <w:tcW w:w="1927" w:type="pct"/>
            <w:gridSpan w:val="3"/>
            <w:shd w:val="clear" w:color="auto" w:fill="auto"/>
            <w:vAlign w:val="center"/>
            <w:hideMark/>
          </w:tcPr>
          <w:p w14:paraId="7284CFF5"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29.50</w:t>
            </w:r>
          </w:p>
        </w:tc>
        <w:tc>
          <w:tcPr>
            <w:tcW w:w="1482" w:type="pct"/>
            <w:gridSpan w:val="2"/>
            <w:shd w:val="clear" w:color="auto" w:fill="auto"/>
            <w:vAlign w:val="center"/>
            <w:hideMark/>
          </w:tcPr>
          <w:p w14:paraId="6C2AEB6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12</w:t>
            </w:r>
          </w:p>
        </w:tc>
        <w:tc>
          <w:tcPr>
            <w:tcW w:w="1591" w:type="pct"/>
            <w:gridSpan w:val="2"/>
            <w:shd w:val="clear" w:color="auto" w:fill="auto"/>
            <w:vAlign w:val="center"/>
            <w:hideMark/>
          </w:tcPr>
          <w:p w14:paraId="4595C2E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0.033</w:t>
            </w:r>
          </w:p>
        </w:tc>
      </w:tr>
      <w:tr w:rsidR="00B7240B" w:rsidRPr="00E83F35" w14:paraId="685906F6" w14:textId="77777777" w:rsidTr="00B7240B">
        <w:trPr>
          <w:trHeight w:val="552"/>
        </w:trPr>
        <w:tc>
          <w:tcPr>
            <w:tcW w:w="5000" w:type="pct"/>
            <w:gridSpan w:val="7"/>
            <w:shd w:val="clear" w:color="auto" w:fill="auto"/>
            <w:vAlign w:val="center"/>
            <w:hideMark/>
          </w:tcPr>
          <w:p w14:paraId="22BA83A5"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Income Distribution (₹) and Landholding categories.</w:t>
            </w:r>
          </w:p>
        </w:tc>
      </w:tr>
    </w:tbl>
    <w:p w14:paraId="234FC966"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6050300E"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shown in </w:t>
      </w:r>
      <w:r w:rsidRPr="00B7240B">
        <w:rPr>
          <w:rFonts w:ascii="Arial" w:hAnsi="Arial" w:cs="Arial"/>
          <w:b/>
          <w:bCs/>
          <w:sz w:val="20"/>
          <w:szCs w:val="20"/>
        </w:rPr>
        <w:t>Table 8,</w:t>
      </w:r>
      <w:r w:rsidRPr="00B7240B">
        <w:rPr>
          <w:rFonts w:ascii="Arial" w:hAnsi="Arial" w:cs="Arial"/>
          <w:sz w:val="20"/>
          <w:szCs w:val="20"/>
        </w:rPr>
        <w:t xml:space="preserve"> the largest proportion of cotton growers (30.83%) reported an annual income between ₹75,000 and ₹1,50,000, followed by 27.92 percent earning between ₹1,50,000 and ₹3,00,000. Notably, 22.92 percent of farmers earned above ₹3,00,000, while 18.33 percent had annual incomes below ₹75,000.</w:t>
      </w:r>
    </w:p>
    <w:p w14:paraId="7F508025"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closer look reveals that marginal farmers were predominantly concentrated in the lowest income bracket, with 18 out of 44 earning less than ₹75,000 annually. In contrast, large farmers had a stronger presence in the highest income group, with 12 out of 27 reporting earnings over ₹3,00,000. This pattern underscores a clear linkage between landholding size and income levels.</w:t>
      </w:r>
    </w:p>
    <w:p w14:paraId="4E50FD55"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The chi-square statistic of 29.50 with 12 degrees of freedom and a p-value of 0.033 indicates a statistically significant association between income distribution and landholding category. This finding suggests that larger landholders tend to earn more, reinforcing the role of land size in determining farm profitability.</w:t>
      </w:r>
    </w:p>
    <w:p w14:paraId="5F2D1B48" w14:textId="1B9EED85" w:rsidR="008826ED" w:rsidRPr="00E83F35" w:rsidRDefault="008826ED" w:rsidP="00E83F35">
      <w:pPr>
        <w:spacing w:line="240" w:lineRule="auto"/>
        <w:rPr>
          <w:rFonts w:ascii="Arial" w:hAnsi="Arial" w:cs="Arial"/>
          <w:b/>
          <w:bCs/>
        </w:rPr>
      </w:pPr>
      <w:r w:rsidRPr="00E83F35">
        <w:rPr>
          <w:rFonts w:ascii="Arial" w:hAnsi="Arial" w:cs="Arial"/>
          <w:b/>
          <w:bCs/>
        </w:rPr>
        <w:t>Conclusion</w:t>
      </w:r>
    </w:p>
    <w:p w14:paraId="66F66BA5"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The study of cotton growers in Aurangabad and Jalna districts revealed significant socio-economic disparities across different landholding categories. Small and marginal farmers dominated the sample, highlighting widespread land fragmentation in the region. Most farmers (32.51%) were middle-aged (40–50 years), while youth participation in farming remained low, raising concerns about generational continuity. Age was significantly associated with landholding size.</w:t>
      </w:r>
    </w:p>
    <w:p w14:paraId="168C952D"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Literacy levels were uneven, with 15.83 percent of respondents being illiterate and higher education concentrated among large farmers. Education disparities were statistically significant and directly impacted access to information and farm decision-making. Family size was typically moderate (4–6 members), but large families were more prevalent among large landholders, offering them labour advantages.</w:t>
      </w:r>
    </w:p>
    <w:p w14:paraId="2A4398F8"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Occupational patterns showed that while 64.17 percent of respondents relied solely on agriculture, 35.83 percent engaged in both agriculture and non-farm activities, particularly among smaller farmers seeking income stability. Income levels also varied sharply: 44.17 percent of farmers earned between ₹1,00,000 to ₹2,00,000 annually, while only 10 percent crossed the ₹3,00,000 mark. Income was positively correlated with landholding size.</w:t>
      </w:r>
    </w:p>
    <w:p w14:paraId="7E502FB7"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Overall, landholding size significantly influenced age structure, literacy, family size, occupation, and income. Marginal and small farmers faced greater vulnerability due to low incomes, limited education, and reliance on non-farm activities. The study underscores the need for targeted interventions—such as educational support, youth engagement in farming, and income diversification schemes—to ensure the sustainability and economic viability of cotton cultivation in the Marathwada region.</w:t>
      </w:r>
    </w:p>
    <w:p w14:paraId="655E0E4A" w14:textId="4B003119" w:rsidR="00511E7C" w:rsidRPr="00511E7C" w:rsidRDefault="008826ED" w:rsidP="006E0AB9">
      <w:pPr>
        <w:spacing w:line="240" w:lineRule="auto"/>
        <w:rPr>
          <w:rFonts w:ascii="Arial" w:hAnsi="Arial" w:cs="Arial"/>
          <w:b/>
          <w:bCs/>
        </w:rPr>
      </w:pPr>
      <w:r w:rsidRPr="00E83F35">
        <w:rPr>
          <w:rFonts w:ascii="Arial" w:hAnsi="Arial" w:cs="Arial"/>
          <w:b/>
          <w:bCs/>
        </w:rPr>
        <w:t>References</w:t>
      </w:r>
    </w:p>
    <w:p w14:paraId="64571F4C"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lastRenderedPageBreak/>
        <w:t>Abdulai, A. M. (2021). Empirical Analysis of Determinants of Poverty Among Farmers in Rural Northern Ghana. </w:t>
      </w:r>
      <w:r w:rsidRPr="00511E7C">
        <w:rPr>
          <w:rFonts w:ascii="Arial" w:hAnsi="Arial" w:cs="Arial"/>
          <w:i/>
          <w:iCs/>
          <w:sz w:val="20"/>
          <w:szCs w:val="20"/>
        </w:rPr>
        <w:t>Agricultural Economics</w:t>
      </w:r>
      <w:r w:rsidRPr="00511E7C">
        <w:rPr>
          <w:rFonts w:ascii="Arial" w:hAnsi="Arial" w:cs="Arial"/>
          <w:sz w:val="20"/>
          <w:szCs w:val="20"/>
        </w:rPr>
        <w:t>, </w:t>
      </w:r>
      <w:r w:rsidRPr="00511E7C">
        <w:rPr>
          <w:rFonts w:ascii="Arial" w:hAnsi="Arial" w:cs="Arial"/>
          <w:i/>
          <w:iCs/>
          <w:sz w:val="20"/>
          <w:szCs w:val="20"/>
        </w:rPr>
        <w:t>6</w:t>
      </w:r>
      <w:r w:rsidRPr="00511E7C">
        <w:rPr>
          <w:rFonts w:ascii="Arial" w:hAnsi="Arial" w:cs="Arial"/>
          <w:sz w:val="20"/>
          <w:szCs w:val="20"/>
        </w:rPr>
        <w:t xml:space="preserve">(2), 88-97. Retrieved from </w:t>
      </w:r>
      <w:r>
        <w:fldChar w:fldCharType="begin"/>
      </w:r>
      <w:r>
        <w:instrText>HYPERLINK "https://shorturl.at/q1qcV"</w:instrText>
      </w:r>
      <w:r>
        <w:fldChar w:fldCharType="separate"/>
      </w:r>
      <w:r w:rsidRPr="00511E7C">
        <w:rPr>
          <w:rStyle w:val="Hyperlink"/>
          <w:rFonts w:ascii="Arial" w:hAnsi="Arial" w:cs="Arial"/>
          <w:sz w:val="20"/>
          <w:szCs w:val="20"/>
        </w:rPr>
        <w:t>https://shorturl.at/q1qcV</w:t>
      </w:r>
      <w:r>
        <w:fldChar w:fldCharType="end"/>
      </w:r>
      <w:r w:rsidRPr="00511E7C">
        <w:rPr>
          <w:rFonts w:ascii="Arial" w:hAnsi="Arial" w:cs="Arial"/>
          <w:sz w:val="20"/>
          <w:szCs w:val="20"/>
        </w:rPr>
        <w:t xml:space="preserve"> </w:t>
      </w:r>
    </w:p>
    <w:p w14:paraId="7D588E75" w14:textId="23CCAE26" w:rsidR="00511E7C" w:rsidRPr="00511E7C" w:rsidRDefault="00511E7C" w:rsidP="00511E7C">
      <w:pPr>
        <w:spacing w:line="240" w:lineRule="auto"/>
        <w:jc w:val="both"/>
        <w:rPr>
          <w:rFonts w:ascii="Arial" w:hAnsi="Arial" w:cs="Arial"/>
          <w:sz w:val="20"/>
          <w:szCs w:val="20"/>
        </w:rPr>
      </w:pPr>
      <w:commentRangeStart w:id="8"/>
      <w:r w:rsidRPr="00511E7C">
        <w:rPr>
          <w:rFonts w:ascii="Arial" w:hAnsi="Arial" w:cs="Arial"/>
          <w:sz w:val="20"/>
          <w:szCs w:val="20"/>
        </w:rPr>
        <w:t xml:space="preserve">Agriculture Census. (n.d.). </w:t>
      </w:r>
      <w:r w:rsidRPr="00511E7C">
        <w:rPr>
          <w:rFonts w:ascii="Arial" w:hAnsi="Arial" w:cs="Arial"/>
          <w:i/>
          <w:iCs/>
          <w:sz w:val="20"/>
          <w:szCs w:val="20"/>
        </w:rPr>
        <w:t>Categorisation of operational land holdings</w:t>
      </w:r>
      <w:r w:rsidRPr="00511E7C">
        <w:rPr>
          <w:rFonts w:ascii="Arial" w:hAnsi="Arial" w:cs="Arial"/>
          <w:sz w:val="20"/>
          <w:szCs w:val="20"/>
        </w:rPr>
        <w:t xml:space="preserve">. Ministry of Agriculture &amp; Farmers Welfare, Government of India. Retrieved from </w:t>
      </w:r>
      <w:r w:rsidR="007B0D56">
        <w:fldChar w:fldCharType="begin"/>
      </w:r>
      <w:r w:rsidR="007B0D56">
        <w:instrText>HYPERLINK "https://shorturl.at/ExsIt"</w:instrText>
      </w:r>
      <w:r w:rsidR="007B0D56">
        <w:fldChar w:fldCharType="separate"/>
      </w:r>
      <w:r w:rsidR="007B0D56" w:rsidRPr="001F74D7">
        <w:rPr>
          <w:rStyle w:val="Hyperlink"/>
          <w:rFonts w:ascii="Arial" w:hAnsi="Arial" w:cs="Arial"/>
          <w:sz w:val="20"/>
          <w:szCs w:val="20"/>
        </w:rPr>
        <w:t>https://shorturl.at/ExsIt</w:t>
      </w:r>
      <w:r w:rsidR="007B0D56">
        <w:fldChar w:fldCharType="end"/>
      </w:r>
      <w:r w:rsidR="007B0D56">
        <w:rPr>
          <w:rFonts w:ascii="Arial" w:hAnsi="Arial" w:cs="Arial"/>
          <w:sz w:val="20"/>
          <w:szCs w:val="20"/>
        </w:rPr>
        <w:t xml:space="preserve"> </w:t>
      </w:r>
      <w:commentRangeEnd w:id="8"/>
      <w:r w:rsidR="00105538">
        <w:rPr>
          <w:rStyle w:val="CommentReference"/>
        </w:rPr>
        <w:commentReference w:id="8"/>
      </w:r>
    </w:p>
    <w:p w14:paraId="495E1544" w14:textId="3B4FE325"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Cochran, W. G. (1943). Analysis of variance for percentages based on unequal numbers. </w:t>
      </w:r>
      <w:r w:rsidRPr="00511E7C">
        <w:rPr>
          <w:rFonts w:ascii="Arial" w:hAnsi="Arial" w:cs="Arial"/>
          <w:i/>
          <w:iCs/>
          <w:sz w:val="20"/>
          <w:szCs w:val="20"/>
        </w:rPr>
        <w:t>Journal of the American Statistical Association</w:t>
      </w:r>
      <w:r w:rsidRPr="00511E7C">
        <w:rPr>
          <w:rFonts w:ascii="Arial" w:hAnsi="Arial" w:cs="Arial"/>
          <w:sz w:val="20"/>
          <w:szCs w:val="20"/>
        </w:rPr>
        <w:t>, </w:t>
      </w:r>
      <w:r w:rsidRPr="00511E7C">
        <w:rPr>
          <w:rFonts w:ascii="Arial" w:hAnsi="Arial" w:cs="Arial"/>
          <w:i/>
          <w:iCs/>
          <w:sz w:val="20"/>
          <w:szCs w:val="20"/>
        </w:rPr>
        <w:t>38</w:t>
      </w:r>
      <w:r w:rsidRPr="00511E7C">
        <w:rPr>
          <w:rFonts w:ascii="Arial" w:hAnsi="Arial" w:cs="Arial"/>
          <w:sz w:val="20"/>
          <w:szCs w:val="20"/>
        </w:rPr>
        <w:t xml:space="preserve">(223), 287-301. Retrieved from </w:t>
      </w:r>
      <w:r w:rsidR="007B0D56">
        <w:fldChar w:fldCharType="begin"/>
      </w:r>
      <w:r w:rsidR="007B0D56">
        <w:instrText>HYPERLINK "https://shorturl.at/dsh2y"</w:instrText>
      </w:r>
      <w:r w:rsidR="007B0D56">
        <w:fldChar w:fldCharType="separate"/>
      </w:r>
      <w:r w:rsidR="007B0D56" w:rsidRPr="001F74D7">
        <w:rPr>
          <w:rStyle w:val="Hyperlink"/>
          <w:rFonts w:ascii="Arial" w:hAnsi="Arial" w:cs="Arial"/>
          <w:sz w:val="20"/>
          <w:szCs w:val="20"/>
        </w:rPr>
        <w:t>https://shorturl.at/dsh2y</w:t>
      </w:r>
      <w:r w:rsidR="007B0D56">
        <w:fldChar w:fldCharType="end"/>
      </w:r>
      <w:r w:rsidR="007B0D56">
        <w:rPr>
          <w:rFonts w:ascii="Arial" w:hAnsi="Arial" w:cs="Arial"/>
          <w:sz w:val="20"/>
          <w:szCs w:val="20"/>
        </w:rPr>
        <w:t xml:space="preserve"> </w:t>
      </w:r>
    </w:p>
    <w:p w14:paraId="3962A7CC"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 xml:space="preserve">Directorate of Economics and Statistics. (n.d.). </w:t>
      </w:r>
      <w:r w:rsidRPr="00511E7C">
        <w:rPr>
          <w:rFonts w:ascii="Arial" w:hAnsi="Arial" w:cs="Arial"/>
          <w:i/>
          <w:iCs/>
          <w:sz w:val="20"/>
          <w:szCs w:val="20"/>
        </w:rPr>
        <w:t>District-wise area under cotton cultivation in Marathwada region</w:t>
      </w:r>
      <w:r w:rsidRPr="00511E7C">
        <w:rPr>
          <w:rFonts w:ascii="Arial" w:hAnsi="Arial" w:cs="Arial"/>
          <w:sz w:val="20"/>
          <w:szCs w:val="20"/>
        </w:rPr>
        <w:t xml:space="preserve">. Government of India. Retrieved from </w:t>
      </w:r>
      <w:r>
        <w:fldChar w:fldCharType="begin"/>
      </w:r>
      <w:r>
        <w:instrText>HYPERLINK "https://data.desagri.gov.in/website/crops-apy-report-web"</w:instrText>
      </w:r>
      <w:r>
        <w:fldChar w:fldCharType="separate"/>
      </w:r>
      <w:r w:rsidRPr="00511E7C">
        <w:rPr>
          <w:rStyle w:val="Hyperlink"/>
          <w:rFonts w:ascii="Arial" w:hAnsi="Arial" w:cs="Arial"/>
          <w:sz w:val="20"/>
          <w:szCs w:val="20"/>
        </w:rPr>
        <w:t>DES | Area, Production &amp; Yield - Reports</w:t>
      </w:r>
      <w:r>
        <w:fldChar w:fldCharType="end"/>
      </w:r>
    </w:p>
    <w:p w14:paraId="18CC0BA3"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 xml:space="preserve">Ministry of Textiles. (2023). </w:t>
      </w:r>
      <w:r w:rsidRPr="00511E7C">
        <w:rPr>
          <w:rFonts w:ascii="Arial" w:hAnsi="Arial" w:cs="Arial"/>
          <w:i/>
          <w:iCs/>
          <w:sz w:val="20"/>
          <w:szCs w:val="20"/>
        </w:rPr>
        <w:t>Annual report 2022–23</w:t>
      </w:r>
      <w:r w:rsidRPr="00511E7C">
        <w:rPr>
          <w:rFonts w:ascii="Arial" w:hAnsi="Arial" w:cs="Arial"/>
          <w:sz w:val="20"/>
          <w:szCs w:val="20"/>
        </w:rPr>
        <w:t xml:space="preserve">. Government of India. Retrieved from </w:t>
      </w:r>
      <w:r>
        <w:fldChar w:fldCharType="begin"/>
      </w:r>
      <w:r>
        <w:instrText>HYPERLINK "https://texmin.gov.in/sites/default/files/Note%20on%20Cotton%20Sector.pdf"</w:instrText>
      </w:r>
      <w:r>
        <w:fldChar w:fldCharType="separate"/>
      </w:r>
      <w:r w:rsidRPr="00511E7C">
        <w:rPr>
          <w:rStyle w:val="Hyperlink"/>
          <w:rFonts w:ascii="Arial" w:hAnsi="Arial" w:cs="Arial"/>
          <w:sz w:val="20"/>
          <w:szCs w:val="20"/>
        </w:rPr>
        <w:t>https://texmin.gov.in/sites/default/files/Note%20on%20Cotton%20Sector.pdf</w:t>
      </w:r>
      <w:r>
        <w:fldChar w:fldCharType="end"/>
      </w:r>
    </w:p>
    <w:p w14:paraId="66E72D7A" w14:textId="1BE1BFA5" w:rsidR="00511E7C" w:rsidRPr="00511E7C" w:rsidRDefault="00511E7C" w:rsidP="00511E7C">
      <w:pPr>
        <w:spacing w:line="240" w:lineRule="auto"/>
        <w:jc w:val="both"/>
        <w:rPr>
          <w:rFonts w:ascii="Arial" w:hAnsi="Arial" w:cs="Arial"/>
          <w:sz w:val="20"/>
          <w:szCs w:val="20"/>
        </w:rPr>
      </w:pPr>
      <w:proofErr w:type="spellStart"/>
      <w:r w:rsidRPr="00511E7C">
        <w:rPr>
          <w:rFonts w:ascii="Arial" w:hAnsi="Arial" w:cs="Arial"/>
          <w:sz w:val="20"/>
          <w:szCs w:val="20"/>
        </w:rPr>
        <w:t>Mollaee</w:t>
      </w:r>
      <w:proofErr w:type="spellEnd"/>
      <w:r w:rsidRPr="00511E7C">
        <w:rPr>
          <w:rFonts w:ascii="Arial" w:hAnsi="Arial" w:cs="Arial"/>
          <w:sz w:val="20"/>
          <w:szCs w:val="20"/>
        </w:rPr>
        <w:t xml:space="preserve">, M., </w:t>
      </w:r>
      <w:proofErr w:type="spellStart"/>
      <w:r w:rsidRPr="00511E7C">
        <w:rPr>
          <w:rFonts w:ascii="Arial" w:hAnsi="Arial" w:cs="Arial"/>
          <w:sz w:val="20"/>
          <w:szCs w:val="20"/>
        </w:rPr>
        <w:t>Mobli</w:t>
      </w:r>
      <w:proofErr w:type="spellEnd"/>
      <w:r w:rsidRPr="00511E7C">
        <w:rPr>
          <w:rFonts w:ascii="Arial" w:hAnsi="Arial" w:cs="Arial"/>
          <w:sz w:val="20"/>
          <w:szCs w:val="20"/>
        </w:rPr>
        <w:t xml:space="preserve">, A., Mutti, N. K., </w:t>
      </w:r>
      <w:proofErr w:type="spellStart"/>
      <w:r w:rsidRPr="00511E7C">
        <w:rPr>
          <w:rFonts w:ascii="Arial" w:hAnsi="Arial" w:cs="Arial"/>
          <w:sz w:val="20"/>
          <w:szCs w:val="20"/>
        </w:rPr>
        <w:t>Manalil</w:t>
      </w:r>
      <w:proofErr w:type="spellEnd"/>
      <w:r w:rsidRPr="00511E7C">
        <w:rPr>
          <w:rFonts w:ascii="Arial" w:hAnsi="Arial" w:cs="Arial"/>
          <w:sz w:val="20"/>
          <w:szCs w:val="20"/>
        </w:rPr>
        <w:t>, S., &amp; Chauhan, B. S. (2019). Challenges and opportunities in cotton production. </w:t>
      </w:r>
      <w:r w:rsidRPr="00511E7C">
        <w:rPr>
          <w:rFonts w:ascii="Arial" w:hAnsi="Arial" w:cs="Arial"/>
          <w:i/>
          <w:iCs/>
          <w:sz w:val="20"/>
          <w:szCs w:val="20"/>
        </w:rPr>
        <w:t>Cotton production</w:t>
      </w:r>
      <w:r w:rsidRPr="00511E7C">
        <w:rPr>
          <w:rFonts w:ascii="Arial" w:hAnsi="Arial" w:cs="Arial"/>
          <w:sz w:val="20"/>
          <w:szCs w:val="20"/>
        </w:rPr>
        <w:t xml:space="preserve">, 371-390. Retrieved from </w:t>
      </w:r>
      <w:r w:rsidR="00F02E44">
        <w:fldChar w:fldCharType="begin"/>
      </w:r>
      <w:r w:rsidR="00F02E44">
        <w:instrText>HYPERLINK "https://shorturl.at/5v9W2"</w:instrText>
      </w:r>
      <w:r w:rsidR="00F02E44">
        <w:fldChar w:fldCharType="separate"/>
      </w:r>
      <w:r w:rsidR="00F02E44" w:rsidRPr="001F74D7">
        <w:rPr>
          <w:rStyle w:val="Hyperlink"/>
          <w:rFonts w:ascii="Arial" w:hAnsi="Arial" w:cs="Arial"/>
          <w:sz w:val="20"/>
          <w:szCs w:val="20"/>
        </w:rPr>
        <w:t>https://shorturl.at/5v9W2</w:t>
      </w:r>
      <w:r w:rsidR="00F02E44">
        <w:fldChar w:fldCharType="end"/>
      </w:r>
      <w:r w:rsidR="00F02E44">
        <w:rPr>
          <w:rFonts w:ascii="Arial" w:hAnsi="Arial" w:cs="Arial"/>
          <w:sz w:val="20"/>
          <w:szCs w:val="20"/>
        </w:rPr>
        <w:t xml:space="preserve"> </w:t>
      </w:r>
      <w:r w:rsidRPr="00511E7C">
        <w:rPr>
          <w:rFonts w:ascii="Arial" w:hAnsi="Arial" w:cs="Arial"/>
          <w:sz w:val="20"/>
          <w:szCs w:val="20"/>
        </w:rPr>
        <w:t xml:space="preserve"> </w:t>
      </w:r>
    </w:p>
    <w:p w14:paraId="4DC8832D" w14:textId="77777777" w:rsidR="00511E7C" w:rsidRPr="00511E7C" w:rsidRDefault="00511E7C" w:rsidP="00511E7C">
      <w:pPr>
        <w:spacing w:line="240" w:lineRule="auto"/>
        <w:jc w:val="both"/>
        <w:rPr>
          <w:rFonts w:ascii="Arial" w:hAnsi="Arial" w:cs="Arial"/>
          <w:sz w:val="20"/>
          <w:szCs w:val="20"/>
        </w:rPr>
      </w:pPr>
      <w:proofErr w:type="spellStart"/>
      <w:r w:rsidRPr="00511E7C">
        <w:rPr>
          <w:rFonts w:ascii="Arial" w:hAnsi="Arial" w:cs="Arial"/>
          <w:sz w:val="20"/>
          <w:szCs w:val="20"/>
        </w:rPr>
        <w:t>Onchiri</w:t>
      </w:r>
      <w:proofErr w:type="spellEnd"/>
      <w:r w:rsidRPr="00511E7C">
        <w:rPr>
          <w:rFonts w:ascii="Arial" w:hAnsi="Arial" w:cs="Arial"/>
          <w:sz w:val="20"/>
          <w:szCs w:val="20"/>
        </w:rPr>
        <w:t>, S. (2013). Conceptual model on application of chi-square test in education and social sciences. </w:t>
      </w:r>
      <w:r w:rsidRPr="00511E7C">
        <w:rPr>
          <w:rFonts w:ascii="Arial" w:hAnsi="Arial" w:cs="Arial"/>
          <w:i/>
          <w:iCs/>
          <w:sz w:val="20"/>
          <w:szCs w:val="20"/>
        </w:rPr>
        <w:t>Educational Research and Reviews</w:t>
      </w:r>
      <w:r w:rsidRPr="00511E7C">
        <w:rPr>
          <w:rFonts w:ascii="Arial" w:hAnsi="Arial" w:cs="Arial"/>
          <w:sz w:val="20"/>
          <w:szCs w:val="20"/>
        </w:rPr>
        <w:t>, </w:t>
      </w:r>
      <w:r w:rsidRPr="00511E7C">
        <w:rPr>
          <w:rFonts w:ascii="Arial" w:hAnsi="Arial" w:cs="Arial"/>
          <w:i/>
          <w:iCs/>
          <w:sz w:val="20"/>
          <w:szCs w:val="20"/>
        </w:rPr>
        <w:t>8</w:t>
      </w:r>
      <w:r w:rsidRPr="00511E7C">
        <w:rPr>
          <w:rFonts w:ascii="Arial" w:hAnsi="Arial" w:cs="Arial"/>
          <w:sz w:val="20"/>
          <w:szCs w:val="20"/>
        </w:rPr>
        <w:t xml:space="preserve">(15), 1231. Retrieved from </w:t>
      </w:r>
      <w:r>
        <w:fldChar w:fldCharType="begin"/>
      </w:r>
      <w:r>
        <w:instrText>HYPERLINK "https://shorturl.at/N5huh"</w:instrText>
      </w:r>
      <w:r>
        <w:fldChar w:fldCharType="separate"/>
      </w:r>
      <w:r w:rsidRPr="00511E7C">
        <w:rPr>
          <w:rStyle w:val="Hyperlink"/>
          <w:rFonts w:ascii="Arial" w:hAnsi="Arial" w:cs="Arial"/>
          <w:sz w:val="20"/>
          <w:szCs w:val="20"/>
        </w:rPr>
        <w:t>https://shorturl.at/N5huh</w:t>
      </w:r>
      <w:r>
        <w:fldChar w:fldCharType="end"/>
      </w:r>
      <w:r w:rsidRPr="00511E7C">
        <w:rPr>
          <w:rFonts w:ascii="Arial" w:hAnsi="Arial" w:cs="Arial"/>
          <w:sz w:val="20"/>
          <w:szCs w:val="20"/>
        </w:rPr>
        <w:t xml:space="preserve"> </w:t>
      </w:r>
    </w:p>
    <w:sectPr w:rsidR="00511E7C" w:rsidRPr="00511E7C" w:rsidSect="0010553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lnNumType w:countBy="0" w:restart="continuous"/>
      <w:cols w:space="708"/>
      <w:docGrid w:linePitch="360"/>
      <w:sectPrChange w:id="9" w:author="christiana ukaoha" w:date="2025-05-16T09:43:00Z" w16du:dateUtc="2025-05-16T13:43:00Z">
        <w:sectPr w:rsidR="00511E7C" w:rsidRPr="00511E7C" w:rsidSect="00105538">
          <w:pgMar w:top="1440" w:right="1440" w:bottom="1440" w:left="1440" w:header="708" w:footer="708" w:gutter="0"/>
          <w:lnNumType w:countBy="1"/>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iana ukaoha" w:date="2025-05-16T08:41:00Z" w:initials="cu">
    <w:p w14:paraId="29C06862" w14:textId="77777777" w:rsidR="00BC7716" w:rsidRDefault="00BC7716" w:rsidP="00BC7716">
      <w:pPr>
        <w:pStyle w:val="CommentText"/>
      </w:pPr>
      <w:r>
        <w:rPr>
          <w:rStyle w:val="CommentReference"/>
        </w:rPr>
        <w:annotationRef/>
      </w:r>
      <w:r>
        <w:t xml:space="preserve">Merge with previous line </w:t>
      </w:r>
    </w:p>
  </w:comment>
  <w:comment w:id="2" w:author="christiana ukaoha" w:date="2025-05-16T08:44:00Z" w:initials="cu">
    <w:p w14:paraId="260F7E06" w14:textId="77777777" w:rsidR="00BC7716" w:rsidRDefault="00BC7716" w:rsidP="00BC7716">
      <w:pPr>
        <w:pStyle w:val="CommentText"/>
      </w:pPr>
      <w:r>
        <w:rPr>
          <w:rStyle w:val="CommentReference"/>
        </w:rPr>
        <w:annotationRef/>
      </w:r>
      <w:r>
        <w:t>Provide citation</w:t>
      </w:r>
    </w:p>
  </w:comment>
  <w:comment w:id="3" w:author="christiana ukaoha" w:date="2025-05-16T09:10:00Z" w:initials="cu">
    <w:p w14:paraId="7C7DB655" w14:textId="77777777" w:rsidR="00552D79" w:rsidRDefault="00552D79" w:rsidP="00552D79">
      <w:pPr>
        <w:pStyle w:val="CommentText"/>
      </w:pPr>
      <w:r>
        <w:rPr>
          <w:rStyle w:val="CommentReference"/>
        </w:rPr>
        <w:annotationRef/>
      </w:r>
      <w:r>
        <w:t xml:space="preserve"> Strengthen the transition between this paragraph and the Methodology by the addition of: To achieve these objectives, the study employs </w:t>
      </w:r>
    </w:p>
  </w:comment>
  <w:comment w:id="4" w:author="christiana ukaoha" w:date="2025-05-16T09:17:00Z" w:initials="cu">
    <w:p w14:paraId="7FCA66EB" w14:textId="77777777" w:rsidR="00552D79" w:rsidRDefault="00552D79" w:rsidP="00552D79">
      <w:pPr>
        <w:pStyle w:val="CommentText"/>
      </w:pPr>
      <w:r>
        <w:rPr>
          <w:rStyle w:val="CommentReference"/>
        </w:rPr>
        <w:annotationRef/>
      </w:r>
      <w:r>
        <w:t xml:space="preserve">Add justification for using random sampling </w:t>
      </w:r>
    </w:p>
  </w:comment>
  <w:comment w:id="5" w:author="christiana ukaoha" w:date="2025-05-16T09:18:00Z" w:initials="cu">
    <w:p w14:paraId="436728EB" w14:textId="77777777" w:rsidR="00552D79" w:rsidRDefault="00552D79" w:rsidP="00552D79">
      <w:pPr>
        <w:pStyle w:val="CommentText"/>
      </w:pPr>
      <w:r>
        <w:rPr>
          <w:rStyle w:val="CommentReference"/>
        </w:rPr>
        <w:annotationRef/>
      </w:r>
      <w:r>
        <w:rPr>
          <w:i/>
          <w:iCs/>
        </w:rPr>
        <w:t>4,00,404.99”</w:t>
      </w:r>
      <w:r>
        <w:t xml:space="preserve"> should be </w:t>
      </w:r>
      <w:r>
        <w:rPr>
          <w:i/>
          <w:iCs/>
        </w:rPr>
        <w:t>“400,404.99</w:t>
      </w:r>
      <w:r>
        <w:t xml:space="preserve"> </w:t>
      </w:r>
    </w:p>
  </w:comment>
  <w:comment w:id="6" w:author="christiana ukaoha" w:date="2025-05-16T09:23:00Z" w:initials="cu">
    <w:p w14:paraId="1540AFE2" w14:textId="77777777" w:rsidR="000E4280" w:rsidRDefault="000E4280" w:rsidP="000E4280">
      <w:pPr>
        <w:pStyle w:val="CommentText"/>
      </w:pPr>
      <w:r>
        <w:rPr>
          <w:rStyle w:val="CommentReference"/>
        </w:rPr>
        <w:annotationRef/>
      </w:r>
      <w:r>
        <w:t>Specify the  form of random sampling</w:t>
      </w:r>
    </w:p>
  </w:comment>
  <w:comment w:id="7" w:author="christiana ukaoha" w:date="2025-05-16T09:28:00Z" w:initials="cu">
    <w:p w14:paraId="386C95DF" w14:textId="77777777" w:rsidR="000E4280" w:rsidRDefault="000E4280" w:rsidP="000E4280">
      <w:pPr>
        <w:pStyle w:val="CommentText"/>
      </w:pPr>
      <w:r>
        <w:rPr>
          <w:rStyle w:val="CommentReference"/>
        </w:rPr>
        <w:annotationRef/>
      </w:r>
      <w:r>
        <w:t xml:space="preserve">Change to were used </w:t>
      </w:r>
    </w:p>
  </w:comment>
  <w:comment w:id="8" w:author="christiana ukaoha" w:date="2025-05-16T09:43:00Z" w:initials="cu">
    <w:p w14:paraId="2B70227D" w14:textId="77777777" w:rsidR="00105538" w:rsidRDefault="00105538" w:rsidP="00105538">
      <w:pPr>
        <w:pStyle w:val="CommentText"/>
      </w:pPr>
      <w:r>
        <w:rPr>
          <w:rStyle w:val="CommentReference"/>
        </w:rPr>
        <w:annotationRef/>
      </w:r>
      <w:r>
        <w:t xml:space="preserve">Correct this reference and replace with full, source URLs.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C06862" w15:done="0"/>
  <w15:commentEx w15:paraId="260F7E06" w15:done="0"/>
  <w15:commentEx w15:paraId="7C7DB655" w15:done="0"/>
  <w15:commentEx w15:paraId="7FCA66EB" w15:done="0"/>
  <w15:commentEx w15:paraId="436728EB" w15:done="0"/>
  <w15:commentEx w15:paraId="1540AFE2" w15:done="0"/>
  <w15:commentEx w15:paraId="386C95DF" w15:done="0"/>
  <w15:commentEx w15:paraId="2B7022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46491" w16cex:dateUtc="2025-05-16T12:41:00Z"/>
  <w16cex:commentExtensible w16cex:durableId="06806710" w16cex:dateUtc="2025-05-16T12:44:00Z"/>
  <w16cex:commentExtensible w16cex:durableId="0280B640" w16cex:dateUtc="2025-05-16T13:10:00Z"/>
  <w16cex:commentExtensible w16cex:durableId="26D5787C" w16cex:dateUtc="2025-05-16T13:17:00Z"/>
  <w16cex:commentExtensible w16cex:durableId="08144834" w16cex:dateUtc="2025-05-16T13:18:00Z"/>
  <w16cex:commentExtensible w16cex:durableId="0731A84D" w16cex:dateUtc="2025-05-16T13:23:00Z"/>
  <w16cex:commentExtensible w16cex:durableId="0C99E5FF" w16cex:dateUtc="2025-05-16T13:28:00Z"/>
  <w16cex:commentExtensible w16cex:durableId="2F721592" w16cex:dateUtc="2025-05-16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C06862" w16cid:durableId="3F846491"/>
  <w16cid:commentId w16cid:paraId="260F7E06" w16cid:durableId="06806710"/>
  <w16cid:commentId w16cid:paraId="7C7DB655" w16cid:durableId="0280B640"/>
  <w16cid:commentId w16cid:paraId="7FCA66EB" w16cid:durableId="26D5787C"/>
  <w16cid:commentId w16cid:paraId="436728EB" w16cid:durableId="08144834"/>
  <w16cid:commentId w16cid:paraId="1540AFE2" w16cid:durableId="0731A84D"/>
  <w16cid:commentId w16cid:paraId="386C95DF" w16cid:durableId="0C99E5FF"/>
  <w16cid:commentId w16cid:paraId="2B70227D" w16cid:durableId="2F7215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013D" w14:textId="77777777" w:rsidR="00343537" w:rsidRDefault="00343537" w:rsidP="00F51542">
      <w:pPr>
        <w:spacing w:after="0" w:line="240" w:lineRule="auto"/>
      </w:pPr>
      <w:r>
        <w:separator/>
      </w:r>
    </w:p>
  </w:endnote>
  <w:endnote w:type="continuationSeparator" w:id="0">
    <w:p w14:paraId="702AC910" w14:textId="77777777" w:rsidR="00343537" w:rsidRDefault="00343537" w:rsidP="00F5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eria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BD46" w14:textId="77777777" w:rsidR="00F51542" w:rsidRDefault="00F5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5117" w14:textId="77777777" w:rsidR="00F51542" w:rsidRDefault="00F5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5615" w14:textId="77777777" w:rsidR="00F51542" w:rsidRDefault="00F5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604E" w14:textId="77777777" w:rsidR="00343537" w:rsidRDefault="00343537" w:rsidP="00F51542">
      <w:pPr>
        <w:spacing w:after="0" w:line="240" w:lineRule="auto"/>
      </w:pPr>
      <w:r>
        <w:separator/>
      </w:r>
    </w:p>
  </w:footnote>
  <w:footnote w:type="continuationSeparator" w:id="0">
    <w:p w14:paraId="2EA309B0" w14:textId="77777777" w:rsidR="00343537" w:rsidRDefault="00343537" w:rsidP="00F5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B7F4" w14:textId="5CB2E3F5" w:rsidR="00F51542" w:rsidRDefault="00000000">
    <w:pPr>
      <w:pStyle w:val="Header"/>
    </w:pPr>
    <w:r>
      <w:rPr>
        <w:noProof/>
      </w:rPr>
      <w:pict w14:anchorId="4E563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A84D" w14:textId="15201DD3" w:rsidR="00F51542" w:rsidRDefault="00000000">
    <w:pPr>
      <w:pStyle w:val="Header"/>
    </w:pPr>
    <w:r>
      <w:rPr>
        <w:noProof/>
      </w:rPr>
      <w:pict w14:anchorId="355EE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65B0" w14:textId="49395E62" w:rsidR="00F51542" w:rsidRDefault="00000000">
    <w:pPr>
      <w:pStyle w:val="Header"/>
    </w:pPr>
    <w:r>
      <w:rPr>
        <w:noProof/>
      </w:rPr>
      <w:pict w14:anchorId="5F2FD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272"/>
    <w:multiLevelType w:val="hybridMultilevel"/>
    <w:tmpl w:val="627EF6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C009B4"/>
    <w:multiLevelType w:val="hybridMultilevel"/>
    <w:tmpl w:val="021A19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5F5221"/>
    <w:multiLevelType w:val="multilevel"/>
    <w:tmpl w:val="87DEB962"/>
    <w:lvl w:ilvl="0">
      <w:start w:val="3"/>
      <w:numFmt w:val="decimal"/>
      <w:lvlText w:val="%1"/>
      <w:lvlJc w:val="left"/>
      <w:pPr>
        <w:ind w:left="1118" w:hanging="387"/>
      </w:pPr>
      <w:rPr>
        <w:rFonts w:hint="default"/>
      </w:rPr>
    </w:lvl>
    <w:lvl w:ilvl="1">
      <w:start w:val="1"/>
      <w:numFmt w:val="decimal"/>
      <w:lvlText w:val="%1.%2."/>
      <w:lvlJc w:val="left"/>
      <w:pPr>
        <w:ind w:left="1118" w:hanging="387"/>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2002" w:hanging="550"/>
      </w:pPr>
      <w:rPr>
        <w:rFonts w:hint="default"/>
        <w:spacing w:val="0"/>
        <w:w w:val="100"/>
      </w:rPr>
    </w:lvl>
    <w:lvl w:ilvl="3">
      <w:start w:val="1"/>
      <w:numFmt w:val="decimal"/>
      <w:lvlText w:val="%1.%2.%3.%4."/>
      <w:lvlJc w:val="left"/>
      <w:pPr>
        <w:ind w:left="1450" w:hanging="550"/>
      </w:pPr>
      <w:rPr>
        <w:rFonts w:ascii="Times New Roman" w:eastAsia="Times New Roman" w:hAnsi="Times New Roman" w:cs="Times New Roman" w:hint="default"/>
        <w:b/>
        <w:bCs/>
        <w:i w:val="0"/>
        <w:iCs w:val="0"/>
        <w:spacing w:val="0"/>
        <w:w w:val="100"/>
        <w:sz w:val="22"/>
        <w:szCs w:val="22"/>
      </w:rPr>
    </w:lvl>
    <w:lvl w:ilvl="4">
      <w:numFmt w:val="bullet"/>
      <w:lvlText w:val="•"/>
      <w:lvlJc w:val="left"/>
      <w:pPr>
        <w:ind w:left="3212" w:hanging="550"/>
      </w:pPr>
      <w:rPr>
        <w:rFonts w:hint="default"/>
      </w:rPr>
    </w:lvl>
    <w:lvl w:ilvl="5">
      <w:numFmt w:val="bullet"/>
      <w:lvlText w:val="•"/>
      <w:lvlJc w:val="left"/>
      <w:pPr>
        <w:ind w:left="4425" w:hanging="550"/>
      </w:pPr>
      <w:rPr>
        <w:rFonts w:hint="default"/>
      </w:rPr>
    </w:lvl>
    <w:lvl w:ilvl="6">
      <w:numFmt w:val="bullet"/>
      <w:lvlText w:val="•"/>
      <w:lvlJc w:val="left"/>
      <w:pPr>
        <w:ind w:left="5638" w:hanging="550"/>
      </w:pPr>
      <w:rPr>
        <w:rFonts w:hint="default"/>
      </w:rPr>
    </w:lvl>
    <w:lvl w:ilvl="7">
      <w:numFmt w:val="bullet"/>
      <w:lvlText w:val="•"/>
      <w:lvlJc w:val="left"/>
      <w:pPr>
        <w:ind w:left="6851" w:hanging="550"/>
      </w:pPr>
      <w:rPr>
        <w:rFonts w:hint="default"/>
      </w:rPr>
    </w:lvl>
    <w:lvl w:ilvl="8">
      <w:numFmt w:val="bullet"/>
      <w:lvlText w:val="•"/>
      <w:lvlJc w:val="left"/>
      <w:pPr>
        <w:ind w:left="8064" w:hanging="550"/>
      </w:pPr>
      <w:rPr>
        <w:rFonts w:hint="default"/>
      </w:rPr>
    </w:lvl>
  </w:abstractNum>
  <w:abstractNum w:abstractNumId="3" w15:restartNumberingAfterBreak="0">
    <w:nsid w:val="303B04EF"/>
    <w:multiLevelType w:val="hybridMultilevel"/>
    <w:tmpl w:val="E03A9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A56310D"/>
    <w:multiLevelType w:val="hybridMultilevel"/>
    <w:tmpl w:val="FAA4F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B417FA"/>
    <w:multiLevelType w:val="hybridMultilevel"/>
    <w:tmpl w:val="EB2A69F2"/>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243D2E"/>
    <w:multiLevelType w:val="hybridMultilevel"/>
    <w:tmpl w:val="DF00BB90"/>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964440"/>
    <w:multiLevelType w:val="hybridMultilevel"/>
    <w:tmpl w:val="19AAF9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34448496">
    <w:abstractNumId w:val="4"/>
  </w:num>
  <w:num w:numId="2" w16cid:durableId="1986397766">
    <w:abstractNumId w:val="6"/>
  </w:num>
  <w:num w:numId="3" w16cid:durableId="1754280682">
    <w:abstractNumId w:val="2"/>
  </w:num>
  <w:num w:numId="4" w16cid:durableId="2114280691">
    <w:abstractNumId w:val="0"/>
  </w:num>
  <w:num w:numId="5" w16cid:durableId="1652100995">
    <w:abstractNumId w:val="1"/>
  </w:num>
  <w:num w:numId="6" w16cid:durableId="613905685">
    <w:abstractNumId w:val="3"/>
  </w:num>
  <w:num w:numId="7" w16cid:durableId="1746293131">
    <w:abstractNumId w:val="5"/>
  </w:num>
  <w:num w:numId="8" w16cid:durableId="8130662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a ukaoha">
    <w15:presenceInfo w15:providerId="Windows Live" w15:userId="ba2238a2f60c29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68"/>
    <w:rsid w:val="00003DB7"/>
    <w:rsid w:val="00053541"/>
    <w:rsid w:val="000E2615"/>
    <w:rsid w:val="000E4280"/>
    <w:rsid w:val="000E5B7A"/>
    <w:rsid w:val="00105538"/>
    <w:rsid w:val="0015623C"/>
    <w:rsid w:val="001562E0"/>
    <w:rsid w:val="00157298"/>
    <w:rsid w:val="00162140"/>
    <w:rsid w:val="001662C9"/>
    <w:rsid w:val="00185583"/>
    <w:rsid w:val="001A4999"/>
    <w:rsid w:val="001A51CC"/>
    <w:rsid w:val="001B4C66"/>
    <w:rsid w:val="001F6104"/>
    <w:rsid w:val="0022520C"/>
    <w:rsid w:val="00241AB8"/>
    <w:rsid w:val="002B225F"/>
    <w:rsid w:val="002E7F85"/>
    <w:rsid w:val="00312381"/>
    <w:rsid w:val="003303C4"/>
    <w:rsid w:val="00343537"/>
    <w:rsid w:val="003F43C1"/>
    <w:rsid w:val="00435439"/>
    <w:rsid w:val="004A39C5"/>
    <w:rsid w:val="004C008D"/>
    <w:rsid w:val="0050076A"/>
    <w:rsid w:val="00502D23"/>
    <w:rsid w:val="00511E7C"/>
    <w:rsid w:val="00512159"/>
    <w:rsid w:val="005455D9"/>
    <w:rsid w:val="005518F2"/>
    <w:rsid w:val="00552D79"/>
    <w:rsid w:val="00562CEB"/>
    <w:rsid w:val="005B7268"/>
    <w:rsid w:val="005F24C3"/>
    <w:rsid w:val="00602860"/>
    <w:rsid w:val="00605075"/>
    <w:rsid w:val="0063124B"/>
    <w:rsid w:val="006C7480"/>
    <w:rsid w:val="006D03DA"/>
    <w:rsid w:val="006E0AB9"/>
    <w:rsid w:val="007116DC"/>
    <w:rsid w:val="007118D0"/>
    <w:rsid w:val="00747200"/>
    <w:rsid w:val="00797D23"/>
    <w:rsid w:val="007A2EF1"/>
    <w:rsid w:val="007B0D56"/>
    <w:rsid w:val="007C7DEB"/>
    <w:rsid w:val="00801552"/>
    <w:rsid w:val="0080286E"/>
    <w:rsid w:val="008512EB"/>
    <w:rsid w:val="008826ED"/>
    <w:rsid w:val="00885F1F"/>
    <w:rsid w:val="008A013D"/>
    <w:rsid w:val="008B7979"/>
    <w:rsid w:val="009055C0"/>
    <w:rsid w:val="0092751E"/>
    <w:rsid w:val="00966252"/>
    <w:rsid w:val="0097619B"/>
    <w:rsid w:val="00996C03"/>
    <w:rsid w:val="009B6905"/>
    <w:rsid w:val="009B6B37"/>
    <w:rsid w:val="009E0BE2"/>
    <w:rsid w:val="00A27F4F"/>
    <w:rsid w:val="00A54A39"/>
    <w:rsid w:val="00A8566A"/>
    <w:rsid w:val="00AA24FB"/>
    <w:rsid w:val="00AC6B9D"/>
    <w:rsid w:val="00AE5BDA"/>
    <w:rsid w:val="00B124DF"/>
    <w:rsid w:val="00B679FB"/>
    <w:rsid w:val="00B7240B"/>
    <w:rsid w:val="00B83E3D"/>
    <w:rsid w:val="00B93E84"/>
    <w:rsid w:val="00BA2431"/>
    <w:rsid w:val="00BC7716"/>
    <w:rsid w:val="00C26EA2"/>
    <w:rsid w:val="00C50E46"/>
    <w:rsid w:val="00C57AFA"/>
    <w:rsid w:val="00C755F8"/>
    <w:rsid w:val="00C81C6B"/>
    <w:rsid w:val="00C948D6"/>
    <w:rsid w:val="00CA38FA"/>
    <w:rsid w:val="00CB31A7"/>
    <w:rsid w:val="00D04BA9"/>
    <w:rsid w:val="00D217BC"/>
    <w:rsid w:val="00D34EC3"/>
    <w:rsid w:val="00D61170"/>
    <w:rsid w:val="00D807EB"/>
    <w:rsid w:val="00D92052"/>
    <w:rsid w:val="00DE2BF1"/>
    <w:rsid w:val="00E83F35"/>
    <w:rsid w:val="00EA5BE0"/>
    <w:rsid w:val="00EF2B04"/>
    <w:rsid w:val="00EF5D66"/>
    <w:rsid w:val="00F02E44"/>
    <w:rsid w:val="00F20F01"/>
    <w:rsid w:val="00F2338F"/>
    <w:rsid w:val="00F3383E"/>
    <w:rsid w:val="00F50507"/>
    <w:rsid w:val="00F51542"/>
    <w:rsid w:val="00FE0F4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13090"/>
  <w15:chartTrackingRefBased/>
  <w15:docId w15:val="{9E597B05-8DE4-4ECF-886D-FD3B7F9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72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2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2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2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72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2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2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68"/>
    <w:rPr>
      <w:rFonts w:eastAsiaTheme="majorEastAsia" w:cstheme="majorBidi"/>
      <w:color w:val="272727" w:themeColor="text1" w:themeTint="D8"/>
    </w:rPr>
  </w:style>
  <w:style w:type="paragraph" w:styleId="Title">
    <w:name w:val="Title"/>
    <w:basedOn w:val="Normal"/>
    <w:next w:val="Normal"/>
    <w:link w:val="TitleChar"/>
    <w:uiPriority w:val="10"/>
    <w:qFormat/>
    <w:rsid w:val="005B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68"/>
    <w:pPr>
      <w:spacing w:before="160"/>
      <w:jc w:val="center"/>
    </w:pPr>
    <w:rPr>
      <w:i/>
      <w:iCs/>
      <w:color w:val="404040" w:themeColor="text1" w:themeTint="BF"/>
    </w:rPr>
  </w:style>
  <w:style w:type="character" w:customStyle="1" w:styleId="QuoteChar">
    <w:name w:val="Quote Char"/>
    <w:basedOn w:val="DefaultParagraphFont"/>
    <w:link w:val="Quote"/>
    <w:uiPriority w:val="29"/>
    <w:rsid w:val="005B7268"/>
    <w:rPr>
      <w:i/>
      <w:iCs/>
      <w:color w:val="404040" w:themeColor="text1" w:themeTint="BF"/>
    </w:rPr>
  </w:style>
  <w:style w:type="paragraph" w:styleId="ListParagraph">
    <w:name w:val="List Paragraph"/>
    <w:basedOn w:val="Normal"/>
    <w:uiPriority w:val="1"/>
    <w:qFormat/>
    <w:rsid w:val="005B7268"/>
    <w:pPr>
      <w:ind w:left="720"/>
      <w:contextualSpacing/>
    </w:pPr>
  </w:style>
  <w:style w:type="character" w:styleId="IntenseEmphasis">
    <w:name w:val="Intense Emphasis"/>
    <w:basedOn w:val="DefaultParagraphFont"/>
    <w:uiPriority w:val="21"/>
    <w:qFormat/>
    <w:rsid w:val="005B7268"/>
    <w:rPr>
      <w:i/>
      <w:iCs/>
      <w:color w:val="2F5496" w:themeColor="accent1" w:themeShade="BF"/>
    </w:rPr>
  </w:style>
  <w:style w:type="paragraph" w:styleId="IntenseQuote">
    <w:name w:val="Intense Quote"/>
    <w:basedOn w:val="Normal"/>
    <w:next w:val="Normal"/>
    <w:link w:val="IntenseQuoteChar"/>
    <w:uiPriority w:val="30"/>
    <w:qFormat/>
    <w:rsid w:val="005B7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268"/>
    <w:rPr>
      <w:i/>
      <w:iCs/>
      <w:color w:val="2F5496" w:themeColor="accent1" w:themeShade="BF"/>
    </w:rPr>
  </w:style>
  <w:style w:type="character" w:styleId="IntenseReference">
    <w:name w:val="Intense Reference"/>
    <w:basedOn w:val="DefaultParagraphFont"/>
    <w:uiPriority w:val="32"/>
    <w:qFormat/>
    <w:rsid w:val="005B7268"/>
    <w:rPr>
      <w:b/>
      <w:bCs/>
      <w:smallCaps/>
      <w:color w:val="2F5496" w:themeColor="accent1" w:themeShade="BF"/>
      <w:spacing w:val="5"/>
    </w:rPr>
  </w:style>
  <w:style w:type="character" w:styleId="Hyperlink">
    <w:name w:val="Hyperlink"/>
    <w:basedOn w:val="DefaultParagraphFont"/>
    <w:uiPriority w:val="99"/>
    <w:unhideWhenUsed/>
    <w:rsid w:val="00D807EB"/>
    <w:rPr>
      <w:color w:val="0563C1" w:themeColor="hyperlink"/>
      <w:u w:val="single"/>
    </w:rPr>
  </w:style>
  <w:style w:type="paragraph" w:styleId="BodyText">
    <w:name w:val="Body Text"/>
    <w:basedOn w:val="Normal"/>
    <w:link w:val="BodyTextChar"/>
    <w:uiPriority w:val="1"/>
    <w:qFormat/>
    <w:rsid w:val="008826ED"/>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8826ED"/>
    <w:rPr>
      <w:rFonts w:ascii="Cambria" w:eastAsia="Cambria" w:hAnsi="Cambria" w:cs="Cambria"/>
      <w:kern w:val="0"/>
      <w:sz w:val="24"/>
      <w:szCs w:val="24"/>
      <w:lang w:val="en-US"/>
      <w14:ligatures w14:val="none"/>
    </w:rPr>
  </w:style>
  <w:style w:type="character" w:styleId="Strong">
    <w:name w:val="Strong"/>
    <w:basedOn w:val="DefaultParagraphFont"/>
    <w:uiPriority w:val="22"/>
    <w:qFormat/>
    <w:rsid w:val="008826ED"/>
    <w:rPr>
      <w:b/>
      <w:bCs/>
    </w:rPr>
  </w:style>
  <w:style w:type="paragraph" w:styleId="Caption">
    <w:name w:val="caption"/>
    <w:basedOn w:val="Normal"/>
    <w:next w:val="Normal"/>
    <w:uiPriority w:val="35"/>
    <w:unhideWhenUsed/>
    <w:qFormat/>
    <w:rsid w:val="00CB31A7"/>
    <w:pPr>
      <w:spacing w:after="0" w:line="240" w:lineRule="auto"/>
      <w:jc w:val="center"/>
    </w:pPr>
    <w:rPr>
      <w:rFonts w:ascii="Times New Roman" w:hAnsi="Times New Roman"/>
      <w:iCs/>
      <w:color w:val="000000" w:themeColor="text1"/>
      <w:sz w:val="24"/>
      <w:szCs w:val="18"/>
    </w:rPr>
  </w:style>
  <w:style w:type="table" w:styleId="TableGrid">
    <w:name w:val="Table Grid"/>
    <w:basedOn w:val="TableNormal"/>
    <w:uiPriority w:val="39"/>
    <w:rsid w:val="00CB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31A7"/>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UnresolvedMention">
    <w:name w:val="Unresolved Mention"/>
    <w:basedOn w:val="DefaultParagraphFont"/>
    <w:uiPriority w:val="99"/>
    <w:semiHidden/>
    <w:unhideWhenUsed/>
    <w:rsid w:val="00885F1F"/>
    <w:rPr>
      <w:color w:val="605E5C"/>
      <w:shd w:val="clear" w:color="auto" w:fill="E1DFDD"/>
    </w:rPr>
  </w:style>
  <w:style w:type="character" w:styleId="FollowedHyperlink">
    <w:name w:val="FollowedHyperlink"/>
    <w:basedOn w:val="DefaultParagraphFont"/>
    <w:uiPriority w:val="99"/>
    <w:semiHidden/>
    <w:unhideWhenUsed/>
    <w:rsid w:val="0022520C"/>
    <w:rPr>
      <w:color w:val="954F72" w:themeColor="followedHyperlink"/>
      <w:u w:val="single"/>
    </w:rPr>
  </w:style>
  <w:style w:type="paragraph" w:styleId="Header">
    <w:name w:val="header"/>
    <w:basedOn w:val="Normal"/>
    <w:link w:val="HeaderChar"/>
    <w:uiPriority w:val="99"/>
    <w:unhideWhenUsed/>
    <w:rsid w:val="00F5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542"/>
  </w:style>
  <w:style w:type="paragraph" w:styleId="Footer">
    <w:name w:val="footer"/>
    <w:basedOn w:val="Normal"/>
    <w:link w:val="FooterChar"/>
    <w:uiPriority w:val="99"/>
    <w:unhideWhenUsed/>
    <w:rsid w:val="00F5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42"/>
  </w:style>
  <w:style w:type="character" w:styleId="LineNumber">
    <w:name w:val="line number"/>
    <w:basedOn w:val="DefaultParagraphFont"/>
    <w:uiPriority w:val="99"/>
    <w:semiHidden/>
    <w:unhideWhenUsed/>
    <w:rsid w:val="00312381"/>
  </w:style>
  <w:style w:type="paragraph" w:styleId="Revision">
    <w:name w:val="Revision"/>
    <w:hidden/>
    <w:uiPriority w:val="99"/>
    <w:semiHidden/>
    <w:rsid w:val="00BC7716"/>
    <w:pPr>
      <w:spacing w:after="0" w:line="240" w:lineRule="auto"/>
    </w:pPr>
  </w:style>
  <w:style w:type="character" w:styleId="CommentReference">
    <w:name w:val="annotation reference"/>
    <w:basedOn w:val="DefaultParagraphFont"/>
    <w:uiPriority w:val="99"/>
    <w:semiHidden/>
    <w:unhideWhenUsed/>
    <w:rsid w:val="00BC7716"/>
    <w:rPr>
      <w:sz w:val="16"/>
      <w:szCs w:val="16"/>
    </w:rPr>
  </w:style>
  <w:style w:type="paragraph" w:styleId="CommentText">
    <w:name w:val="annotation text"/>
    <w:basedOn w:val="Normal"/>
    <w:link w:val="CommentTextChar"/>
    <w:uiPriority w:val="99"/>
    <w:unhideWhenUsed/>
    <w:rsid w:val="00BC7716"/>
    <w:pPr>
      <w:spacing w:line="240" w:lineRule="auto"/>
    </w:pPr>
    <w:rPr>
      <w:sz w:val="20"/>
      <w:szCs w:val="20"/>
    </w:rPr>
  </w:style>
  <w:style w:type="character" w:customStyle="1" w:styleId="CommentTextChar">
    <w:name w:val="Comment Text Char"/>
    <w:basedOn w:val="DefaultParagraphFont"/>
    <w:link w:val="CommentText"/>
    <w:uiPriority w:val="99"/>
    <w:rsid w:val="00BC7716"/>
    <w:rPr>
      <w:sz w:val="20"/>
      <w:szCs w:val="20"/>
    </w:rPr>
  </w:style>
  <w:style w:type="paragraph" w:styleId="CommentSubject">
    <w:name w:val="annotation subject"/>
    <w:basedOn w:val="CommentText"/>
    <w:next w:val="CommentText"/>
    <w:link w:val="CommentSubjectChar"/>
    <w:uiPriority w:val="99"/>
    <w:semiHidden/>
    <w:unhideWhenUsed/>
    <w:rsid w:val="00BC7716"/>
    <w:rPr>
      <w:b/>
      <w:bCs/>
    </w:rPr>
  </w:style>
  <w:style w:type="character" w:customStyle="1" w:styleId="CommentSubjectChar">
    <w:name w:val="Comment Subject Char"/>
    <w:basedOn w:val="CommentTextChar"/>
    <w:link w:val="CommentSubject"/>
    <w:uiPriority w:val="99"/>
    <w:semiHidden/>
    <w:rsid w:val="00BC77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070">
      <w:bodyDiv w:val="1"/>
      <w:marLeft w:val="0"/>
      <w:marRight w:val="0"/>
      <w:marTop w:val="0"/>
      <w:marBottom w:val="0"/>
      <w:divBdr>
        <w:top w:val="none" w:sz="0" w:space="0" w:color="auto"/>
        <w:left w:val="none" w:sz="0" w:space="0" w:color="auto"/>
        <w:bottom w:val="none" w:sz="0" w:space="0" w:color="auto"/>
        <w:right w:val="none" w:sz="0" w:space="0" w:color="auto"/>
      </w:divBdr>
    </w:div>
    <w:div w:id="112133692">
      <w:bodyDiv w:val="1"/>
      <w:marLeft w:val="0"/>
      <w:marRight w:val="0"/>
      <w:marTop w:val="0"/>
      <w:marBottom w:val="0"/>
      <w:divBdr>
        <w:top w:val="none" w:sz="0" w:space="0" w:color="auto"/>
        <w:left w:val="none" w:sz="0" w:space="0" w:color="auto"/>
        <w:bottom w:val="none" w:sz="0" w:space="0" w:color="auto"/>
        <w:right w:val="none" w:sz="0" w:space="0" w:color="auto"/>
      </w:divBdr>
    </w:div>
    <w:div w:id="128981143">
      <w:bodyDiv w:val="1"/>
      <w:marLeft w:val="0"/>
      <w:marRight w:val="0"/>
      <w:marTop w:val="0"/>
      <w:marBottom w:val="0"/>
      <w:divBdr>
        <w:top w:val="none" w:sz="0" w:space="0" w:color="auto"/>
        <w:left w:val="none" w:sz="0" w:space="0" w:color="auto"/>
        <w:bottom w:val="none" w:sz="0" w:space="0" w:color="auto"/>
        <w:right w:val="none" w:sz="0" w:space="0" w:color="auto"/>
      </w:divBdr>
    </w:div>
    <w:div w:id="236013917">
      <w:bodyDiv w:val="1"/>
      <w:marLeft w:val="0"/>
      <w:marRight w:val="0"/>
      <w:marTop w:val="0"/>
      <w:marBottom w:val="0"/>
      <w:divBdr>
        <w:top w:val="none" w:sz="0" w:space="0" w:color="auto"/>
        <w:left w:val="none" w:sz="0" w:space="0" w:color="auto"/>
        <w:bottom w:val="none" w:sz="0" w:space="0" w:color="auto"/>
        <w:right w:val="none" w:sz="0" w:space="0" w:color="auto"/>
      </w:divBdr>
    </w:div>
    <w:div w:id="276957880">
      <w:bodyDiv w:val="1"/>
      <w:marLeft w:val="0"/>
      <w:marRight w:val="0"/>
      <w:marTop w:val="0"/>
      <w:marBottom w:val="0"/>
      <w:divBdr>
        <w:top w:val="none" w:sz="0" w:space="0" w:color="auto"/>
        <w:left w:val="none" w:sz="0" w:space="0" w:color="auto"/>
        <w:bottom w:val="none" w:sz="0" w:space="0" w:color="auto"/>
        <w:right w:val="none" w:sz="0" w:space="0" w:color="auto"/>
      </w:divBdr>
    </w:div>
    <w:div w:id="313606549">
      <w:bodyDiv w:val="1"/>
      <w:marLeft w:val="0"/>
      <w:marRight w:val="0"/>
      <w:marTop w:val="0"/>
      <w:marBottom w:val="0"/>
      <w:divBdr>
        <w:top w:val="none" w:sz="0" w:space="0" w:color="auto"/>
        <w:left w:val="none" w:sz="0" w:space="0" w:color="auto"/>
        <w:bottom w:val="none" w:sz="0" w:space="0" w:color="auto"/>
        <w:right w:val="none" w:sz="0" w:space="0" w:color="auto"/>
      </w:divBdr>
    </w:div>
    <w:div w:id="332756658">
      <w:bodyDiv w:val="1"/>
      <w:marLeft w:val="0"/>
      <w:marRight w:val="0"/>
      <w:marTop w:val="0"/>
      <w:marBottom w:val="0"/>
      <w:divBdr>
        <w:top w:val="none" w:sz="0" w:space="0" w:color="auto"/>
        <w:left w:val="none" w:sz="0" w:space="0" w:color="auto"/>
        <w:bottom w:val="none" w:sz="0" w:space="0" w:color="auto"/>
        <w:right w:val="none" w:sz="0" w:space="0" w:color="auto"/>
      </w:divBdr>
    </w:div>
    <w:div w:id="422260108">
      <w:bodyDiv w:val="1"/>
      <w:marLeft w:val="0"/>
      <w:marRight w:val="0"/>
      <w:marTop w:val="0"/>
      <w:marBottom w:val="0"/>
      <w:divBdr>
        <w:top w:val="none" w:sz="0" w:space="0" w:color="auto"/>
        <w:left w:val="none" w:sz="0" w:space="0" w:color="auto"/>
        <w:bottom w:val="none" w:sz="0" w:space="0" w:color="auto"/>
        <w:right w:val="none" w:sz="0" w:space="0" w:color="auto"/>
      </w:divBdr>
    </w:div>
    <w:div w:id="560293009">
      <w:bodyDiv w:val="1"/>
      <w:marLeft w:val="0"/>
      <w:marRight w:val="0"/>
      <w:marTop w:val="0"/>
      <w:marBottom w:val="0"/>
      <w:divBdr>
        <w:top w:val="none" w:sz="0" w:space="0" w:color="auto"/>
        <w:left w:val="none" w:sz="0" w:space="0" w:color="auto"/>
        <w:bottom w:val="none" w:sz="0" w:space="0" w:color="auto"/>
        <w:right w:val="none" w:sz="0" w:space="0" w:color="auto"/>
      </w:divBdr>
    </w:div>
    <w:div w:id="596256056">
      <w:bodyDiv w:val="1"/>
      <w:marLeft w:val="0"/>
      <w:marRight w:val="0"/>
      <w:marTop w:val="0"/>
      <w:marBottom w:val="0"/>
      <w:divBdr>
        <w:top w:val="none" w:sz="0" w:space="0" w:color="auto"/>
        <w:left w:val="none" w:sz="0" w:space="0" w:color="auto"/>
        <w:bottom w:val="none" w:sz="0" w:space="0" w:color="auto"/>
        <w:right w:val="none" w:sz="0" w:space="0" w:color="auto"/>
      </w:divBdr>
    </w:div>
    <w:div w:id="623077628">
      <w:bodyDiv w:val="1"/>
      <w:marLeft w:val="0"/>
      <w:marRight w:val="0"/>
      <w:marTop w:val="0"/>
      <w:marBottom w:val="0"/>
      <w:divBdr>
        <w:top w:val="none" w:sz="0" w:space="0" w:color="auto"/>
        <w:left w:val="none" w:sz="0" w:space="0" w:color="auto"/>
        <w:bottom w:val="none" w:sz="0" w:space="0" w:color="auto"/>
        <w:right w:val="none" w:sz="0" w:space="0" w:color="auto"/>
      </w:divBdr>
    </w:div>
    <w:div w:id="660080543">
      <w:bodyDiv w:val="1"/>
      <w:marLeft w:val="0"/>
      <w:marRight w:val="0"/>
      <w:marTop w:val="0"/>
      <w:marBottom w:val="0"/>
      <w:divBdr>
        <w:top w:val="none" w:sz="0" w:space="0" w:color="auto"/>
        <w:left w:val="none" w:sz="0" w:space="0" w:color="auto"/>
        <w:bottom w:val="none" w:sz="0" w:space="0" w:color="auto"/>
        <w:right w:val="none" w:sz="0" w:space="0" w:color="auto"/>
      </w:divBdr>
    </w:div>
    <w:div w:id="757680861">
      <w:bodyDiv w:val="1"/>
      <w:marLeft w:val="0"/>
      <w:marRight w:val="0"/>
      <w:marTop w:val="0"/>
      <w:marBottom w:val="0"/>
      <w:divBdr>
        <w:top w:val="none" w:sz="0" w:space="0" w:color="auto"/>
        <w:left w:val="none" w:sz="0" w:space="0" w:color="auto"/>
        <w:bottom w:val="none" w:sz="0" w:space="0" w:color="auto"/>
        <w:right w:val="none" w:sz="0" w:space="0" w:color="auto"/>
      </w:divBdr>
    </w:div>
    <w:div w:id="763453809">
      <w:bodyDiv w:val="1"/>
      <w:marLeft w:val="0"/>
      <w:marRight w:val="0"/>
      <w:marTop w:val="0"/>
      <w:marBottom w:val="0"/>
      <w:divBdr>
        <w:top w:val="none" w:sz="0" w:space="0" w:color="auto"/>
        <w:left w:val="none" w:sz="0" w:space="0" w:color="auto"/>
        <w:bottom w:val="none" w:sz="0" w:space="0" w:color="auto"/>
        <w:right w:val="none" w:sz="0" w:space="0" w:color="auto"/>
      </w:divBdr>
    </w:div>
    <w:div w:id="791484462">
      <w:bodyDiv w:val="1"/>
      <w:marLeft w:val="0"/>
      <w:marRight w:val="0"/>
      <w:marTop w:val="0"/>
      <w:marBottom w:val="0"/>
      <w:divBdr>
        <w:top w:val="none" w:sz="0" w:space="0" w:color="auto"/>
        <w:left w:val="none" w:sz="0" w:space="0" w:color="auto"/>
        <w:bottom w:val="none" w:sz="0" w:space="0" w:color="auto"/>
        <w:right w:val="none" w:sz="0" w:space="0" w:color="auto"/>
      </w:divBdr>
    </w:div>
    <w:div w:id="952521040">
      <w:bodyDiv w:val="1"/>
      <w:marLeft w:val="0"/>
      <w:marRight w:val="0"/>
      <w:marTop w:val="0"/>
      <w:marBottom w:val="0"/>
      <w:divBdr>
        <w:top w:val="none" w:sz="0" w:space="0" w:color="auto"/>
        <w:left w:val="none" w:sz="0" w:space="0" w:color="auto"/>
        <w:bottom w:val="none" w:sz="0" w:space="0" w:color="auto"/>
        <w:right w:val="none" w:sz="0" w:space="0" w:color="auto"/>
      </w:divBdr>
    </w:div>
    <w:div w:id="1009869211">
      <w:bodyDiv w:val="1"/>
      <w:marLeft w:val="0"/>
      <w:marRight w:val="0"/>
      <w:marTop w:val="0"/>
      <w:marBottom w:val="0"/>
      <w:divBdr>
        <w:top w:val="none" w:sz="0" w:space="0" w:color="auto"/>
        <w:left w:val="none" w:sz="0" w:space="0" w:color="auto"/>
        <w:bottom w:val="none" w:sz="0" w:space="0" w:color="auto"/>
        <w:right w:val="none" w:sz="0" w:space="0" w:color="auto"/>
      </w:divBdr>
    </w:div>
    <w:div w:id="1056464929">
      <w:bodyDiv w:val="1"/>
      <w:marLeft w:val="0"/>
      <w:marRight w:val="0"/>
      <w:marTop w:val="0"/>
      <w:marBottom w:val="0"/>
      <w:divBdr>
        <w:top w:val="none" w:sz="0" w:space="0" w:color="auto"/>
        <w:left w:val="none" w:sz="0" w:space="0" w:color="auto"/>
        <w:bottom w:val="none" w:sz="0" w:space="0" w:color="auto"/>
        <w:right w:val="none" w:sz="0" w:space="0" w:color="auto"/>
      </w:divBdr>
    </w:div>
    <w:div w:id="1060789193">
      <w:bodyDiv w:val="1"/>
      <w:marLeft w:val="0"/>
      <w:marRight w:val="0"/>
      <w:marTop w:val="0"/>
      <w:marBottom w:val="0"/>
      <w:divBdr>
        <w:top w:val="none" w:sz="0" w:space="0" w:color="auto"/>
        <w:left w:val="none" w:sz="0" w:space="0" w:color="auto"/>
        <w:bottom w:val="none" w:sz="0" w:space="0" w:color="auto"/>
        <w:right w:val="none" w:sz="0" w:space="0" w:color="auto"/>
      </w:divBdr>
    </w:div>
    <w:div w:id="1076975348">
      <w:bodyDiv w:val="1"/>
      <w:marLeft w:val="0"/>
      <w:marRight w:val="0"/>
      <w:marTop w:val="0"/>
      <w:marBottom w:val="0"/>
      <w:divBdr>
        <w:top w:val="none" w:sz="0" w:space="0" w:color="auto"/>
        <w:left w:val="none" w:sz="0" w:space="0" w:color="auto"/>
        <w:bottom w:val="none" w:sz="0" w:space="0" w:color="auto"/>
        <w:right w:val="none" w:sz="0" w:space="0" w:color="auto"/>
      </w:divBdr>
    </w:div>
    <w:div w:id="1112896774">
      <w:bodyDiv w:val="1"/>
      <w:marLeft w:val="0"/>
      <w:marRight w:val="0"/>
      <w:marTop w:val="0"/>
      <w:marBottom w:val="0"/>
      <w:divBdr>
        <w:top w:val="none" w:sz="0" w:space="0" w:color="auto"/>
        <w:left w:val="none" w:sz="0" w:space="0" w:color="auto"/>
        <w:bottom w:val="none" w:sz="0" w:space="0" w:color="auto"/>
        <w:right w:val="none" w:sz="0" w:space="0" w:color="auto"/>
      </w:divBdr>
    </w:div>
    <w:div w:id="1120303312">
      <w:bodyDiv w:val="1"/>
      <w:marLeft w:val="0"/>
      <w:marRight w:val="0"/>
      <w:marTop w:val="0"/>
      <w:marBottom w:val="0"/>
      <w:divBdr>
        <w:top w:val="none" w:sz="0" w:space="0" w:color="auto"/>
        <w:left w:val="none" w:sz="0" w:space="0" w:color="auto"/>
        <w:bottom w:val="none" w:sz="0" w:space="0" w:color="auto"/>
        <w:right w:val="none" w:sz="0" w:space="0" w:color="auto"/>
      </w:divBdr>
    </w:div>
    <w:div w:id="1133015149">
      <w:bodyDiv w:val="1"/>
      <w:marLeft w:val="0"/>
      <w:marRight w:val="0"/>
      <w:marTop w:val="0"/>
      <w:marBottom w:val="0"/>
      <w:divBdr>
        <w:top w:val="none" w:sz="0" w:space="0" w:color="auto"/>
        <w:left w:val="none" w:sz="0" w:space="0" w:color="auto"/>
        <w:bottom w:val="none" w:sz="0" w:space="0" w:color="auto"/>
        <w:right w:val="none" w:sz="0" w:space="0" w:color="auto"/>
      </w:divBdr>
    </w:div>
    <w:div w:id="1205212465">
      <w:bodyDiv w:val="1"/>
      <w:marLeft w:val="0"/>
      <w:marRight w:val="0"/>
      <w:marTop w:val="0"/>
      <w:marBottom w:val="0"/>
      <w:divBdr>
        <w:top w:val="none" w:sz="0" w:space="0" w:color="auto"/>
        <w:left w:val="none" w:sz="0" w:space="0" w:color="auto"/>
        <w:bottom w:val="none" w:sz="0" w:space="0" w:color="auto"/>
        <w:right w:val="none" w:sz="0" w:space="0" w:color="auto"/>
      </w:divBdr>
    </w:div>
    <w:div w:id="1300648159">
      <w:bodyDiv w:val="1"/>
      <w:marLeft w:val="0"/>
      <w:marRight w:val="0"/>
      <w:marTop w:val="0"/>
      <w:marBottom w:val="0"/>
      <w:divBdr>
        <w:top w:val="none" w:sz="0" w:space="0" w:color="auto"/>
        <w:left w:val="none" w:sz="0" w:space="0" w:color="auto"/>
        <w:bottom w:val="none" w:sz="0" w:space="0" w:color="auto"/>
        <w:right w:val="none" w:sz="0" w:space="0" w:color="auto"/>
      </w:divBdr>
    </w:div>
    <w:div w:id="1309674526">
      <w:bodyDiv w:val="1"/>
      <w:marLeft w:val="0"/>
      <w:marRight w:val="0"/>
      <w:marTop w:val="0"/>
      <w:marBottom w:val="0"/>
      <w:divBdr>
        <w:top w:val="none" w:sz="0" w:space="0" w:color="auto"/>
        <w:left w:val="none" w:sz="0" w:space="0" w:color="auto"/>
        <w:bottom w:val="none" w:sz="0" w:space="0" w:color="auto"/>
        <w:right w:val="none" w:sz="0" w:space="0" w:color="auto"/>
      </w:divBdr>
    </w:div>
    <w:div w:id="1313677352">
      <w:bodyDiv w:val="1"/>
      <w:marLeft w:val="0"/>
      <w:marRight w:val="0"/>
      <w:marTop w:val="0"/>
      <w:marBottom w:val="0"/>
      <w:divBdr>
        <w:top w:val="none" w:sz="0" w:space="0" w:color="auto"/>
        <w:left w:val="none" w:sz="0" w:space="0" w:color="auto"/>
        <w:bottom w:val="none" w:sz="0" w:space="0" w:color="auto"/>
        <w:right w:val="none" w:sz="0" w:space="0" w:color="auto"/>
      </w:divBdr>
    </w:div>
    <w:div w:id="1609704683">
      <w:bodyDiv w:val="1"/>
      <w:marLeft w:val="0"/>
      <w:marRight w:val="0"/>
      <w:marTop w:val="0"/>
      <w:marBottom w:val="0"/>
      <w:divBdr>
        <w:top w:val="none" w:sz="0" w:space="0" w:color="auto"/>
        <w:left w:val="none" w:sz="0" w:space="0" w:color="auto"/>
        <w:bottom w:val="none" w:sz="0" w:space="0" w:color="auto"/>
        <w:right w:val="none" w:sz="0" w:space="0" w:color="auto"/>
      </w:divBdr>
    </w:div>
    <w:div w:id="1738748512">
      <w:bodyDiv w:val="1"/>
      <w:marLeft w:val="0"/>
      <w:marRight w:val="0"/>
      <w:marTop w:val="0"/>
      <w:marBottom w:val="0"/>
      <w:divBdr>
        <w:top w:val="none" w:sz="0" w:space="0" w:color="auto"/>
        <w:left w:val="none" w:sz="0" w:space="0" w:color="auto"/>
        <w:bottom w:val="none" w:sz="0" w:space="0" w:color="auto"/>
        <w:right w:val="none" w:sz="0" w:space="0" w:color="auto"/>
      </w:divBdr>
    </w:div>
    <w:div w:id="1751272732">
      <w:bodyDiv w:val="1"/>
      <w:marLeft w:val="0"/>
      <w:marRight w:val="0"/>
      <w:marTop w:val="0"/>
      <w:marBottom w:val="0"/>
      <w:divBdr>
        <w:top w:val="none" w:sz="0" w:space="0" w:color="auto"/>
        <w:left w:val="none" w:sz="0" w:space="0" w:color="auto"/>
        <w:bottom w:val="none" w:sz="0" w:space="0" w:color="auto"/>
        <w:right w:val="none" w:sz="0" w:space="0" w:color="auto"/>
      </w:divBdr>
    </w:div>
    <w:div w:id="1888487688">
      <w:bodyDiv w:val="1"/>
      <w:marLeft w:val="0"/>
      <w:marRight w:val="0"/>
      <w:marTop w:val="0"/>
      <w:marBottom w:val="0"/>
      <w:divBdr>
        <w:top w:val="none" w:sz="0" w:space="0" w:color="auto"/>
        <w:left w:val="none" w:sz="0" w:space="0" w:color="auto"/>
        <w:bottom w:val="none" w:sz="0" w:space="0" w:color="auto"/>
        <w:right w:val="none" w:sz="0" w:space="0" w:color="auto"/>
      </w:divBdr>
    </w:div>
    <w:div w:id="1943687454">
      <w:bodyDiv w:val="1"/>
      <w:marLeft w:val="0"/>
      <w:marRight w:val="0"/>
      <w:marTop w:val="0"/>
      <w:marBottom w:val="0"/>
      <w:divBdr>
        <w:top w:val="none" w:sz="0" w:space="0" w:color="auto"/>
        <w:left w:val="none" w:sz="0" w:space="0" w:color="auto"/>
        <w:bottom w:val="none" w:sz="0" w:space="0" w:color="auto"/>
        <w:right w:val="none" w:sz="0" w:space="0" w:color="auto"/>
      </w:divBdr>
    </w:div>
    <w:div w:id="1945796099">
      <w:bodyDiv w:val="1"/>
      <w:marLeft w:val="0"/>
      <w:marRight w:val="0"/>
      <w:marTop w:val="0"/>
      <w:marBottom w:val="0"/>
      <w:divBdr>
        <w:top w:val="none" w:sz="0" w:space="0" w:color="auto"/>
        <w:left w:val="none" w:sz="0" w:space="0" w:color="auto"/>
        <w:bottom w:val="none" w:sz="0" w:space="0" w:color="auto"/>
        <w:right w:val="none" w:sz="0" w:space="0" w:color="auto"/>
      </w:divBdr>
    </w:div>
    <w:div w:id="1950623271">
      <w:bodyDiv w:val="1"/>
      <w:marLeft w:val="0"/>
      <w:marRight w:val="0"/>
      <w:marTop w:val="0"/>
      <w:marBottom w:val="0"/>
      <w:divBdr>
        <w:top w:val="none" w:sz="0" w:space="0" w:color="auto"/>
        <w:left w:val="none" w:sz="0" w:space="0" w:color="auto"/>
        <w:bottom w:val="none" w:sz="0" w:space="0" w:color="auto"/>
        <w:right w:val="none" w:sz="0" w:space="0" w:color="auto"/>
      </w:divBdr>
    </w:div>
    <w:div w:id="1956406140">
      <w:bodyDiv w:val="1"/>
      <w:marLeft w:val="0"/>
      <w:marRight w:val="0"/>
      <w:marTop w:val="0"/>
      <w:marBottom w:val="0"/>
      <w:divBdr>
        <w:top w:val="none" w:sz="0" w:space="0" w:color="auto"/>
        <w:left w:val="none" w:sz="0" w:space="0" w:color="auto"/>
        <w:bottom w:val="none" w:sz="0" w:space="0" w:color="auto"/>
        <w:right w:val="none" w:sz="0" w:space="0" w:color="auto"/>
      </w:divBdr>
    </w:div>
    <w:div w:id="2139032077">
      <w:bodyDiv w:val="1"/>
      <w:marLeft w:val="0"/>
      <w:marRight w:val="0"/>
      <w:marTop w:val="0"/>
      <w:marBottom w:val="0"/>
      <w:divBdr>
        <w:top w:val="none" w:sz="0" w:space="0" w:color="auto"/>
        <w:left w:val="none" w:sz="0" w:space="0" w:color="auto"/>
        <w:bottom w:val="none" w:sz="0" w:space="0" w:color="auto"/>
        <w:right w:val="none" w:sz="0" w:space="0" w:color="auto"/>
      </w:divBdr>
    </w:div>
    <w:div w:id="2146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8D21D-9682-49A1-8869-66F766B1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3556</Words>
  <Characters>21306</Characters>
  <Application>Microsoft Office Word</Application>
  <DocSecurity>0</DocSecurity>
  <Lines>734</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Pranil Kale</dc:creator>
  <cp:keywords/>
  <dc:description/>
  <cp:lastModifiedBy>christiana ukaoha</cp:lastModifiedBy>
  <cp:revision>2</cp:revision>
  <dcterms:created xsi:type="dcterms:W3CDTF">2025-05-16T13:44:00Z</dcterms:created>
  <dcterms:modified xsi:type="dcterms:W3CDTF">2025-05-16T13:44:00Z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ae5a03df-30af-41a3-9c7d-6cbd96f4622a</vt:lpwstr>
  </property>
</Properties>
</file>