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9A8E" w14:textId="29405982" w:rsidR="009F6A45" w:rsidRDefault="00055759" w:rsidP="004071CE">
      <w:pPr>
        <w:spacing w:line="480" w:lineRule="auto"/>
        <w:jc w:val="center"/>
        <w:rPr>
          <w:rFonts w:ascii="Times New Roman" w:hAnsi="Times New Roman" w:cs="Times New Roman"/>
          <w:b/>
          <w:bCs/>
          <w:szCs w:val="24"/>
        </w:rPr>
      </w:pPr>
      <w:commentRangeStart w:id="0"/>
      <w:r w:rsidRPr="004071CE">
        <w:rPr>
          <w:rFonts w:ascii="Times New Roman" w:hAnsi="Times New Roman" w:cs="Times New Roman"/>
          <w:b/>
          <w:bCs/>
          <w:szCs w:val="24"/>
        </w:rPr>
        <w:t>NUTRACEUTICALS IN REFRACTIVE DISORDERS OF THE EYE: AN EMERGING FRONTIER IN VISION CARE</w:t>
      </w:r>
      <w:commentRangeEnd w:id="0"/>
      <w:r w:rsidR="00C92882">
        <w:rPr>
          <w:rStyle w:val="CommentReference"/>
        </w:rPr>
        <w:commentReference w:id="0"/>
      </w:r>
    </w:p>
    <w:p w14:paraId="43DDBD9F" w14:textId="77777777" w:rsidR="0005084E" w:rsidRPr="004071CE" w:rsidRDefault="0005084E" w:rsidP="004071CE">
      <w:pPr>
        <w:spacing w:line="480" w:lineRule="auto"/>
        <w:jc w:val="center"/>
        <w:rPr>
          <w:rFonts w:ascii="Times New Roman" w:hAnsi="Times New Roman" w:cs="Times New Roman"/>
          <w:b/>
          <w:bCs/>
          <w:szCs w:val="24"/>
        </w:rPr>
      </w:pPr>
    </w:p>
    <w:p w14:paraId="008001F3" w14:textId="77777777" w:rsidR="00055759" w:rsidRPr="004071CE" w:rsidRDefault="009F6A45" w:rsidP="004071CE">
      <w:pPr>
        <w:spacing w:line="276" w:lineRule="auto"/>
        <w:jc w:val="both"/>
        <w:rPr>
          <w:rFonts w:ascii="Times New Roman" w:hAnsi="Times New Roman" w:cs="Times New Roman"/>
          <w:szCs w:val="24"/>
        </w:rPr>
      </w:pPr>
      <w:r w:rsidRPr="004071CE">
        <w:rPr>
          <w:rFonts w:ascii="Times New Roman" w:hAnsi="Times New Roman" w:cs="Times New Roman"/>
          <w:b/>
          <w:bCs/>
          <w:szCs w:val="24"/>
        </w:rPr>
        <w:t>Abstract</w:t>
      </w:r>
      <w:r w:rsidR="00D87047" w:rsidRPr="004071CE">
        <w:rPr>
          <w:rFonts w:ascii="Times New Roman" w:hAnsi="Times New Roman" w:cs="Times New Roman"/>
          <w:b/>
          <w:bCs/>
          <w:szCs w:val="24"/>
        </w:rPr>
        <w:t>:</w:t>
      </w:r>
      <w:r w:rsidRPr="004071CE">
        <w:rPr>
          <w:rFonts w:ascii="Times New Roman" w:hAnsi="Times New Roman" w:cs="Times New Roman"/>
          <w:szCs w:val="24"/>
        </w:rPr>
        <w:t xml:space="preserve"> </w:t>
      </w:r>
    </w:p>
    <w:p w14:paraId="72054BE1" w14:textId="2C78CCD4" w:rsidR="00055759" w:rsidRPr="00055759" w:rsidRDefault="00055759" w:rsidP="004071CE">
      <w:pPr>
        <w:spacing w:line="276" w:lineRule="auto"/>
        <w:jc w:val="both"/>
        <w:rPr>
          <w:rFonts w:ascii="Times New Roman" w:hAnsi="Times New Roman" w:cs="Times New Roman"/>
          <w:szCs w:val="24"/>
        </w:rPr>
      </w:pPr>
      <w:commentRangeStart w:id="1"/>
      <w:r w:rsidRPr="00055759">
        <w:rPr>
          <w:rFonts w:ascii="Times New Roman" w:hAnsi="Times New Roman" w:cs="Times New Roman"/>
          <w:szCs w:val="24"/>
        </w:rPr>
        <w:t>Refractive errors—such as myopia, hyperopia, astigmatism, and presbyopia—are among the most prevalent causes of vision impairment worldwide. Although corrective methods like spectacles, contact lenses, and laser surgeries are widely used, they don't address the underlying biological processes, particularly in progressive conditions like myopia. In recent years, attention has turned to nutritional approaches that may offer supportive or preventive benefits for ocular health.</w:t>
      </w:r>
      <w:r w:rsidRPr="004071CE">
        <w:rPr>
          <w:rFonts w:ascii="Times New Roman" w:hAnsi="Times New Roman" w:cs="Times New Roman"/>
          <w:szCs w:val="24"/>
        </w:rPr>
        <w:t xml:space="preserve"> </w:t>
      </w:r>
      <w:r w:rsidRPr="00055759">
        <w:rPr>
          <w:rFonts w:ascii="Times New Roman" w:hAnsi="Times New Roman" w:cs="Times New Roman"/>
          <w:szCs w:val="24"/>
        </w:rPr>
        <w:t xml:space="preserve">Research suggests that oxidative stress, chronic inflammation, and disruptions in retinal </w:t>
      </w:r>
      <w:proofErr w:type="spellStart"/>
      <w:r w:rsidRPr="00055759">
        <w:rPr>
          <w:rFonts w:ascii="Times New Roman" w:hAnsi="Times New Roman" w:cs="Times New Roman"/>
          <w:szCs w:val="24"/>
        </w:rPr>
        <w:t>signaling</w:t>
      </w:r>
      <w:proofErr w:type="spellEnd"/>
      <w:r w:rsidRPr="00055759">
        <w:rPr>
          <w:rFonts w:ascii="Times New Roman" w:hAnsi="Times New Roman" w:cs="Times New Roman"/>
          <w:szCs w:val="24"/>
        </w:rPr>
        <w:t xml:space="preserve"> may contribute to the development and progression of these disorders. Nutraceuticals—bioactive compounds found in food and supplements—have shown potential in targeting these mechanisms. Carotenoids like zeaxanthin and lutein support macular integrity; astaxanthin has been associated with improved accommodative function and reduced visual fatigue; omega-3 fatty acids (DHA and EPA) support retinal structure and function; and anthocyanins may enhance ocular blood flow and antioxidant </w:t>
      </w:r>
      <w:proofErr w:type="spellStart"/>
      <w:r w:rsidRPr="00055759">
        <w:rPr>
          <w:rFonts w:ascii="Times New Roman" w:hAnsi="Times New Roman" w:cs="Times New Roman"/>
          <w:szCs w:val="24"/>
        </w:rPr>
        <w:t>defense</w:t>
      </w:r>
      <w:proofErr w:type="spellEnd"/>
      <w:r w:rsidRPr="00055759">
        <w:rPr>
          <w:rFonts w:ascii="Times New Roman" w:hAnsi="Times New Roman" w:cs="Times New Roman"/>
          <w:szCs w:val="24"/>
        </w:rPr>
        <w:t>.</w:t>
      </w:r>
      <w:r w:rsidRPr="004071CE">
        <w:rPr>
          <w:rFonts w:ascii="Times New Roman" w:hAnsi="Times New Roman" w:cs="Times New Roman"/>
          <w:szCs w:val="24"/>
        </w:rPr>
        <w:t xml:space="preserve"> </w:t>
      </w:r>
      <w:r w:rsidRPr="00055759">
        <w:rPr>
          <w:rFonts w:ascii="Times New Roman" w:hAnsi="Times New Roman" w:cs="Times New Roman"/>
          <w:szCs w:val="24"/>
        </w:rPr>
        <w:t>Preclinical and early clinical studies suggest these compounds can improve visual performance and may slow aspects of refractive error progression. However, much of the current evidence remains preliminary. There is a clear need for larger, long-term clinical trials to determine their efficacy, ideal dosages, and safety profiles.</w:t>
      </w:r>
      <w:r w:rsidRPr="004071CE">
        <w:rPr>
          <w:rFonts w:ascii="Times New Roman" w:hAnsi="Times New Roman" w:cs="Times New Roman"/>
          <w:szCs w:val="24"/>
        </w:rPr>
        <w:t xml:space="preserve"> </w:t>
      </w:r>
      <w:r w:rsidRPr="00055759">
        <w:rPr>
          <w:rFonts w:ascii="Times New Roman" w:hAnsi="Times New Roman" w:cs="Times New Roman"/>
          <w:szCs w:val="24"/>
        </w:rPr>
        <w:t>This review explores the biological rationale and available evidence for using nutraceuticals in refractive disorder management, and considers their potential role as part of a broader, integrative approach to vision care.</w:t>
      </w:r>
      <w:commentRangeEnd w:id="1"/>
      <w:r w:rsidR="00C92882">
        <w:rPr>
          <w:rStyle w:val="CommentReference"/>
        </w:rPr>
        <w:commentReference w:id="1"/>
      </w:r>
    </w:p>
    <w:p w14:paraId="294851E6" w14:textId="77777777" w:rsidR="00D87047" w:rsidRPr="004071CE" w:rsidRDefault="00D87047" w:rsidP="004071CE">
      <w:pPr>
        <w:spacing w:line="276" w:lineRule="auto"/>
        <w:jc w:val="both"/>
        <w:rPr>
          <w:rFonts w:ascii="Times New Roman" w:hAnsi="Times New Roman" w:cs="Times New Roman"/>
          <w:szCs w:val="24"/>
        </w:rPr>
      </w:pPr>
      <w:r w:rsidRPr="004071CE">
        <w:rPr>
          <w:rFonts w:ascii="Times New Roman" w:hAnsi="Times New Roman" w:cs="Times New Roman"/>
          <w:b/>
          <w:bCs/>
          <w:szCs w:val="24"/>
        </w:rPr>
        <w:t>Keywords</w:t>
      </w:r>
      <w:commentRangeStart w:id="2"/>
      <w:r w:rsidRPr="004071CE">
        <w:rPr>
          <w:rFonts w:ascii="Times New Roman" w:hAnsi="Times New Roman" w:cs="Times New Roman"/>
          <w:b/>
          <w:bCs/>
          <w:szCs w:val="24"/>
        </w:rPr>
        <w:t>:</w:t>
      </w:r>
      <w:r w:rsidRPr="004071CE">
        <w:rPr>
          <w:rFonts w:ascii="Times New Roman" w:hAnsi="Times New Roman" w:cs="Times New Roman"/>
          <w:szCs w:val="24"/>
        </w:rPr>
        <w:t xml:space="preserve"> Refractive </w:t>
      </w:r>
      <w:proofErr w:type="spellStart"/>
      <w:proofErr w:type="gramStart"/>
      <w:r w:rsidRPr="004071CE">
        <w:rPr>
          <w:rFonts w:ascii="Times New Roman" w:hAnsi="Times New Roman" w:cs="Times New Roman"/>
          <w:szCs w:val="24"/>
        </w:rPr>
        <w:t>error,myopia</w:t>
      </w:r>
      <w:proofErr w:type="spellEnd"/>
      <w:proofErr w:type="gramEnd"/>
      <w:r w:rsidRPr="004071CE">
        <w:rPr>
          <w:rFonts w:ascii="Times New Roman" w:hAnsi="Times New Roman" w:cs="Times New Roman"/>
          <w:szCs w:val="24"/>
        </w:rPr>
        <w:t xml:space="preserve">, hypermetropia, </w:t>
      </w:r>
      <w:proofErr w:type="spellStart"/>
      <w:proofErr w:type="gramStart"/>
      <w:r w:rsidRPr="004071CE">
        <w:rPr>
          <w:rFonts w:ascii="Times New Roman" w:hAnsi="Times New Roman" w:cs="Times New Roman"/>
          <w:szCs w:val="24"/>
        </w:rPr>
        <w:t>astigmatism,Presbyopia</w:t>
      </w:r>
      <w:proofErr w:type="spellEnd"/>
      <w:proofErr w:type="gramEnd"/>
      <w:r w:rsidRPr="004071CE">
        <w:rPr>
          <w:rFonts w:ascii="Times New Roman" w:hAnsi="Times New Roman" w:cs="Times New Roman"/>
          <w:szCs w:val="24"/>
        </w:rPr>
        <w:t xml:space="preserve">, zeaxanthin, </w:t>
      </w:r>
      <w:proofErr w:type="spellStart"/>
      <w:proofErr w:type="gramStart"/>
      <w:r w:rsidRPr="004071CE">
        <w:rPr>
          <w:rFonts w:ascii="Times New Roman" w:hAnsi="Times New Roman" w:cs="Times New Roman"/>
          <w:szCs w:val="24"/>
        </w:rPr>
        <w:t>asthaxanthin,omega</w:t>
      </w:r>
      <w:proofErr w:type="spellEnd"/>
      <w:proofErr w:type="gramEnd"/>
      <w:r w:rsidRPr="004071CE">
        <w:rPr>
          <w:rFonts w:ascii="Times New Roman" w:hAnsi="Times New Roman" w:cs="Times New Roman"/>
          <w:szCs w:val="24"/>
        </w:rPr>
        <w:t xml:space="preserve"> 3 fatty </w:t>
      </w:r>
      <w:proofErr w:type="spellStart"/>
      <w:proofErr w:type="gramStart"/>
      <w:r w:rsidRPr="004071CE">
        <w:rPr>
          <w:rFonts w:ascii="Times New Roman" w:hAnsi="Times New Roman" w:cs="Times New Roman"/>
          <w:szCs w:val="24"/>
        </w:rPr>
        <w:t>acids,anthocyanin</w:t>
      </w:r>
      <w:commentRangeEnd w:id="2"/>
      <w:proofErr w:type="spellEnd"/>
      <w:proofErr w:type="gramEnd"/>
      <w:r w:rsidR="00C92882">
        <w:rPr>
          <w:rStyle w:val="CommentReference"/>
        </w:rPr>
        <w:commentReference w:id="2"/>
      </w:r>
    </w:p>
    <w:p w14:paraId="3FE5DA39" w14:textId="77777777" w:rsidR="009F6A45" w:rsidRPr="004071CE" w:rsidRDefault="009F6A45" w:rsidP="004071CE">
      <w:pPr>
        <w:spacing w:line="480" w:lineRule="auto"/>
        <w:jc w:val="both"/>
        <w:rPr>
          <w:rFonts w:ascii="Times New Roman" w:hAnsi="Times New Roman" w:cs="Times New Roman"/>
          <w:szCs w:val="24"/>
        </w:rPr>
      </w:pPr>
    </w:p>
    <w:p w14:paraId="7E9FE0FC" w14:textId="77777777" w:rsidR="00D87047" w:rsidRPr="004071CE" w:rsidRDefault="00D87047" w:rsidP="004071CE">
      <w:pPr>
        <w:spacing w:line="480" w:lineRule="auto"/>
        <w:jc w:val="both"/>
        <w:rPr>
          <w:rFonts w:ascii="Times New Roman" w:hAnsi="Times New Roman" w:cs="Times New Roman"/>
          <w:szCs w:val="24"/>
        </w:rPr>
      </w:pPr>
    </w:p>
    <w:p w14:paraId="18D5358A" w14:textId="77777777" w:rsidR="00D87047" w:rsidRPr="004071CE" w:rsidRDefault="00D87047" w:rsidP="004071CE">
      <w:pPr>
        <w:spacing w:line="480" w:lineRule="auto"/>
        <w:jc w:val="both"/>
        <w:rPr>
          <w:rFonts w:ascii="Times New Roman" w:hAnsi="Times New Roman" w:cs="Times New Roman"/>
          <w:szCs w:val="24"/>
        </w:rPr>
      </w:pPr>
    </w:p>
    <w:p w14:paraId="3540ADE7" w14:textId="77777777" w:rsidR="00D87047" w:rsidRPr="004071CE" w:rsidRDefault="00D87047" w:rsidP="004071CE">
      <w:pPr>
        <w:spacing w:line="480" w:lineRule="auto"/>
        <w:jc w:val="both"/>
        <w:rPr>
          <w:rFonts w:ascii="Times New Roman" w:hAnsi="Times New Roman" w:cs="Times New Roman"/>
          <w:szCs w:val="24"/>
        </w:rPr>
      </w:pPr>
    </w:p>
    <w:p w14:paraId="0B0A4C7A" w14:textId="77777777" w:rsidR="00C92882" w:rsidRDefault="00C92882" w:rsidP="004071CE">
      <w:pPr>
        <w:spacing w:line="480" w:lineRule="auto"/>
        <w:jc w:val="both"/>
        <w:rPr>
          <w:rFonts w:ascii="Times New Roman" w:hAnsi="Times New Roman" w:cs="Times New Roman"/>
          <w:b/>
          <w:bCs/>
          <w:szCs w:val="24"/>
        </w:rPr>
      </w:pPr>
    </w:p>
    <w:p w14:paraId="097E3A8A" w14:textId="77777777" w:rsidR="00C92882" w:rsidRDefault="00C92882" w:rsidP="004071CE">
      <w:pPr>
        <w:spacing w:line="480" w:lineRule="auto"/>
        <w:jc w:val="both"/>
        <w:rPr>
          <w:rFonts w:ascii="Times New Roman" w:hAnsi="Times New Roman" w:cs="Times New Roman"/>
          <w:b/>
          <w:bCs/>
          <w:szCs w:val="24"/>
        </w:rPr>
      </w:pPr>
    </w:p>
    <w:p w14:paraId="54DE6E99" w14:textId="2524A297" w:rsidR="00862283" w:rsidRPr="004071CE" w:rsidRDefault="004071CE" w:rsidP="004071CE">
      <w:pPr>
        <w:spacing w:line="480" w:lineRule="auto"/>
        <w:jc w:val="both"/>
        <w:rPr>
          <w:rFonts w:ascii="Times New Roman" w:hAnsi="Times New Roman" w:cs="Times New Roman"/>
          <w:b/>
          <w:bCs/>
          <w:szCs w:val="24"/>
        </w:rPr>
      </w:pPr>
      <w:commentRangeStart w:id="3"/>
      <w:r w:rsidRPr="004071CE">
        <w:rPr>
          <w:rFonts w:ascii="Times New Roman" w:hAnsi="Times New Roman" w:cs="Times New Roman"/>
          <w:b/>
          <w:bCs/>
          <w:szCs w:val="24"/>
        </w:rPr>
        <w:lastRenderedPageBreak/>
        <w:t xml:space="preserve">INTRODUCTION </w:t>
      </w:r>
      <w:commentRangeEnd w:id="3"/>
      <w:r w:rsidR="00C92882">
        <w:rPr>
          <w:rStyle w:val="CommentReference"/>
        </w:rPr>
        <w:commentReference w:id="3"/>
      </w:r>
    </w:p>
    <w:p w14:paraId="274D5DDF" w14:textId="3C62963C"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Refractive errors, including myopia, hyperopia, astigmatism, and presbyopia, affect over 2.3 billion individuals globally, with myopia being the most prevalent, particularly in children and young adults in urban environments (1). While traditional interventions such as corrective lenses and refractive surgeries have long been the primary means of managing refractive disorders, these approaches focus only on correcting the refractive error, not addressing the underlying biological </w:t>
      </w:r>
      <w:commentRangeStart w:id="4"/>
      <w:r w:rsidRPr="00862283">
        <w:rPr>
          <w:rFonts w:ascii="Times New Roman" w:hAnsi="Times New Roman" w:cs="Times New Roman"/>
          <w:szCs w:val="24"/>
        </w:rPr>
        <w:t>processes that contribute to the development and progression of these conditions</w:t>
      </w:r>
      <w:r w:rsidR="00BA0BB3">
        <w:rPr>
          <w:rFonts w:ascii="Times New Roman" w:hAnsi="Times New Roman" w:cs="Times New Roman"/>
          <w:szCs w:val="24"/>
        </w:rPr>
        <w:t xml:space="preserve"> (18,19)</w:t>
      </w:r>
      <w:r w:rsidRPr="00862283">
        <w:rPr>
          <w:rFonts w:ascii="Times New Roman" w:hAnsi="Times New Roman" w:cs="Times New Roman"/>
          <w:szCs w:val="24"/>
        </w:rPr>
        <w:t xml:space="preserve">. </w:t>
      </w:r>
      <w:commentRangeEnd w:id="4"/>
      <w:r w:rsidR="00C92882">
        <w:rPr>
          <w:rStyle w:val="CommentReference"/>
        </w:rPr>
        <w:commentReference w:id="4"/>
      </w:r>
      <w:r w:rsidRPr="00862283">
        <w:rPr>
          <w:rFonts w:ascii="Times New Roman" w:hAnsi="Times New Roman" w:cs="Times New Roman"/>
          <w:szCs w:val="24"/>
        </w:rPr>
        <w:t>Specifically, oxidative stress and inflammation play significant roles in ocular growth, structural changes, and overall eye health, which are critical in conditions like myopia (2</w:t>
      </w:r>
      <w:r w:rsidR="00BA0BB3">
        <w:rPr>
          <w:rFonts w:ascii="Times New Roman" w:hAnsi="Times New Roman" w:cs="Times New Roman"/>
          <w:szCs w:val="24"/>
        </w:rPr>
        <w:t>,16</w:t>
      </w:r>
      <w:r w:rsidRPr="00862283">
        <w:rPr>
          <w:rFonts w:ascii="Times New Roman" w:hAnsi="Times New Roman" w:cs="Times New Roman"/>
          <w:szCs w:val="24"/>
        </w:rPr>
        <w:t>).</w:t>
      </w:r>
    </w:p>
    <w:p w14:paraId="5E170921" w14:textId="4603F6EC" w:rsidR="00862283" w:rsidRPr="00862283" w:rsidRDefault="00862283" w:rsidP="004071CE">
      <w:pPr>
        <w:spacing w:line="480" w:lineRule="auto"/>
        <w:jc w:val="both"/>
        <w:rPr>
          <w:rFonts w:ascii="Times New Roman" w:hAnsi="Times New Roman" w:cs="Times New Roman"/>
          <w:szCs w:val="24"/>
        </w:rPr>
      </w:pPr>
      <w:commentRangeStart w:id="5"/>
      <w:r w:rsidRPr="00862283">
        <w:rPr>
          <w:rFonts w:ascii="Times New Roman" w:hAnsi="Times New Roman" w:cs="Times New Roman"/>
          <w:szCs w:val="24"/>
        </w:rPr>
        <w:t xml:space="preserve">In response to this, the use of </w:t>
      </w:r>
      <w:r w:rsidRPr="00862283">
        <w:rPr>
          <w:rFonts w:ascii="Times New Roman" w:hAnsi="Times New Roman" w:cs="Times New Roman"/>
          <w:b/>
          <w:bCs/>
          <w:szCs w:val="24"/>
        </w:rPr>
        <w:t>nutraceuticals</w:t>
      </w:r>
      <w:r w:rsidRPr="00862283">
        <w:rPr>
          <w:rFonts w:ascii="Times New Roman" w:hAnsi="Times New Roman" w:cs="Times New Roman"/>
          <w:szCs w:val="24"/>
        </w:rPr>
        <w:t>—naturally derived food substances with therapeutic benefits—has gained increasing attention in eye care. Nutraceuticals are gaining traction not just as treatments, but also as preventive tools for supporting ocular health. Their primary mode of action appears to involve the modulation of oxidative stress, inflammation, and extracellular matrix stability, all of which are key factors in refractive error development (3</w:t>
      </w:r>
      <w:r w:rsidR="00BA0BB3">
        <w:rPr>
          <w:rFonts w:ascii="Times New Roman" w:hAnsi="Times New Roman" w:cs="Times New Roman"/>
          <w:szCs w:val="24"/>
        </w:rPr>
        <w:t>,17,20</w:t>
      </w:r>
      <w:r w:rsidRPr="00862283">
        <w:rPr>
          <w:rFonts w:ascii="Times New Roman" w:hAnsi="Times New Roman" w:cs="Times New Roman"/>
          <w:szCs w:val="24"/>
        </w:rPr>
        <w:t>).</w:t>
      </w:r>
      <w:commentRangeEnd w:id="5"/>
      <w:r w:rsidR="00C92882">
        <w:rPr>
          <w:rStyle w:val="CommentReference"/>
        </w:rPr>
        <w:commentReference w:id="5"/>
      </w:r>
    </w:p>
    <w:p w14:paraId="2F7A4FED" w14:textId="063E5F46"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Dietary patterns in modern, urbanized environments are often deficient in essential micronutrients and antioxidants. Factors such as excessive screen time, reduced outdoor exposure, and exposure to environmental stressors further exacerbate oxidative damage in ocular tissues. The eye is particularly vulnerable to oxidative stress due to its high oxygen demand and constant exposure to light. These stressors can impair retinal function, promote 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and increase the risk of refractive errors. As a result, nutraceuticals are increasingly considered a viable strategy to prevent or slow the progression of these conditions and maintain the structural integrity of the eye.</w:t>
      </w:r>
    </w:p>
    <w:p w14:paraId="6F112BF0" w14:textId="77777777" w:rsidR="004071CE" w:rsidRDefault="004071CE" w:rsidP="004071CE">
      <w:pPr>
        <w:spacing w:line="480" w:lineRule="auto"/>
        <w:jc w:val="both"/>
        <w:rPr>
          <w:rFonts w:ascii="Times New Roman" w:hAnsi="Times New Roman" w:cs="Times New Roman"/>
          <w:b/>
          <w:bCs/>
          <w:szCs w:val="24"/>
        </w:rPr>
      </w:pPr>
    </w:p>
    <w:p w14:paraId="5CEFCBDC" w14:textId="77777777" w:rsidR="00330BFE" w:rsidRDefault="00330BFE" w:rsidP="004071CE">
      <w:pPr>
        <w:spacing w:line="480" w:lineRule="auto"/>
        <w:jc w:val="both"/>
        <w:rPr>
          <w:rFonts w:ascii="Times New Roman" w:hAnsi="Times New Roman" w:cs="Times New Roman"/>
          <w:b/>
          <w:bCs/>
          <w:szCs w:val="24"/>
        </w:rPr>
      </w:pPr>
    </w:p>
    <w:p w14:paraId="02591416" w14:textId="400D6530" w:rsidR="00862283" w:rsidRPr="00862283" w:rsidRDefault="004071CE" w:rsidP="004071CE">
      <w:pPr>
        <w:spacing w:line="480" w:lineRule="auto"/>
        <w:jc w:val="both"/>
        <w:rPr>
          <w:rFonts w:ascii="Times New Roman" w:hAnsi="Times New Roman" w:cs="Times New Roman"/>
          <w:szCs w:val="24"/>
        </w:rPr>
      </w:pPr>
      <w:commentRangeStart w:id="6"/>
      <w:r w:rsidRPr="00862283">
        <w:rPr>
          <w:rFonts w:ascii="Times New Roman" w:hAnsi="Times New Roman" w:cs="Times New Roman"/>
          <w:b/>
          <w:bCs/>
          <w:szCs w:val="24"/>
        </w:rPr>
        <w:t>BIOLOGICAL RATIONALE FOR NUTRACEUTICAL USE</w:t>
      </w:r>
    </w:p>
    <w:p w14:paraId="2E64536E"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The eye is especially vulnerable to oxidative damage due to its constant exposure to light and its high metabolic rate, which includes significant oxygen consumption. Reactive oxygen species (ROS), which are byproducts of normal cellular metabolism, contribute to cellular damage when their production exceeds the eye’s antioxidant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xml:space="preserve"> capacity. In the context of myopia, ROS have been shown to be involved in 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and axial elongation, processes central to the development of this refractive disorder (4). Given this understanding, nutraceuticals that possess antioxidant and anti-inflammatory properties may play an important role in protecting ocular tissues from oxidative damage and supporting normal eye function.</w:t>
      </w:r>
    </w:p>
    <w:p w14:paraId="59E168B8"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Several key nutraceuticals, such as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w:t>
      </w:r>
      <w:r w:rsidRPr="00862283">
        <w:rPr>
          <w:rFonts w:ascii="Times New Roman" w:hAnsi="Times New Roman" w:cs="Times New Roman"/>
          <w:b/>
          <w:bCs/>
          <w:szCs w:val="24"/>
        </w:rPr>
        <w:t>lutein</w:t>
      </w:r>
      <w:r w:rsidRPr="00862283">
        <w:rPr>
          <w:rFonts w:ascii="Times New Roman" w:hAnsi="Times New Roman" w:cs="Times New Roman"/>
          <w:szCs w:val="24"/>
        </w:rPr>
        <w:t xml:space="preserve">,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and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have been extensively studied for their antioxidant and anti-inflammatory effects. Omega-3 fatty acids, particularly </w:t>
      </w:r>
      <w:r w:rsidRPr="00862283">
        <w:rPr>
          <w:rFonts w:ascii="Times New Roman" w:hAnsi="Times New Roman" w:cs="Times New Roman"/>
          <w:b/>
          <w:bCs/>
          <w:szCs w:val="24"/>
        </w:rPr>
        <w:t>eicosapentaenoic acid (EPA)</w:t>
      </w:r>
      <w:r w:rsidRPr="00862283">
        <w:rPr>
          <w:rFonts w:ascii="Times New Roman" w:hAnsi="Times New Roman" w:cs="Times New Roman"/>
          <w:szCs w:val="24"/>
        </w:rPr>
        <w:t xml:space="preserve"> and </w:t>
      </w:r>
      <w:r w:rsidRPr="00862283">
        <w:rPr>
          <w:rFonts w:ascii="Times New Roman" w:hAnsi="Times New Roman" w:cs="Times New Roman"/>
          <w:b/>
          <w:bCs/>
          <w:szCs w:val="24"/>
        </w:rPr>
        <w:t>docosahexaenoic acid (DHA)</w:t>
      </w:r>
      <w:r w:rsidRPr="00862283">
        <w:rPr>
          <w:rFonts w:ascii="Times New Roman" w:hAnsi="Times New Roman" w:cs="Times New Roman"/>
          <w:szCs w:val="24"/>
        </w:rPr>
        <w:t xml:space="preserve">, are known to reduce inflammation and oxidative stress in the retina, potentially protecting retinal cells from damage and promoting their overall health (5). Similarly, carotenoids like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act as powerful antioxidants in the eye. These carotenoids are concentrated in the macula, where they absorb harmful blue light and neutralize ROS, thereby reducing oxidative stress in retinal tissues. They are also believed to play a protective role in preventing the progression of myopia, particularly in children whose eyes are undergoing structural changes.</w:t>
      </w:r>
    </w:p>
    <w:p w14:paraId="10B1806F" w14:textId="3A27C250"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Furthermore,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a carotenoid with even stronger antioxidant properties, has been shown to reduce oxidative damage in ocular tissues and improve accommodative function, which may be beneficial for managing conditions like presbyopia and digital eye strain. These nutraceuticals may </w:t>
      </w:r>
      <w:r w:rsidRPr="00862283">
        <w:rPr>
          <w:rFonts w:ascii="Times New Roman" w:hAnsi="Times New Roman" w:cs="Times New Roman"/>
          <w:szCs w:val="24"/>
        </w:rPr>
        <w:lastRenderedPageBreak/>
        <w:t>not only mitigate oxidative stress but also support the overall health and function of ocular tissues by enhancing cellular resilience under prolonged oxidative or inflammatory insults.</w:t>
      </w:r>
      <w:commentRangeEnd w:id="6"/>
      <w:r w:rsidR="00C92882">
        <w:rPr>
          <w:rStyle w:val="CommentReference"/>
        </w:rPr>
        <w:commentReference w:id="6"/>
      </w:r>
    </w:p>
    <w:p w14:paraId="0498D9B3" w14:textId="1181E44C" w:rsidR="00862283" w:rsidRPr="00862283" w:rsidRDefault="004071CE" w:rsidP="004071CE">
      <w:pPr>
        <w:spacing w:line="480" w:lineRule="auto"/>
        <w:jc w:val="both"/>
        <w:rPr>
          <w:rFonts w:ascii="Times New Roman" w:hAnsi="Times New Roman" w:cs="Times New Roman"/>
          <w:szCs w:val="24"/>
        </w:rPr>
      </w:pPr>
      <w:commentRangeStart w:id="7"/>
      <w:r w:rsidRPr="00862283">
        <w:rPr>
          <w:rFonts w:ascii="Times New Roman" w:hAnsi="Times New Roman" w:cs="Times New Roman"/>
          <w:b/>
          <w:bCs/>
          <w:szCs w:val="24"/>
        </w:rPr>
        <w:t>KEY NUTRACEUTICALS IN REFRACTIVE DISORDERS</w:t>
      </w:r>
    </w:p>
    <w:p w14:paraId="76E4646B" w14:textId="1927A867" w:rsidR="00862283" w:rsidRPr="00862283" w:rsidRDefault="00862283" w:rsidP="004071CE">
      <w:pPr>
        <w:numPr>
          <w:ilvl w:val="0"/>
          <w:numId w:val="1"/>
        </w:numPr>
        <w:tabs>
          <w:tab w:val="clear" w:pos="360"/>
        </w:tabs>
        <w:spacing w:line="480" w:lineRule="auto"/>
        <w:jc w:val="both"/>
        <w:rPr>
          <w:rFonts w:ascii="Times New Roman" w:hAnsi="Times New Roman" w:cs="Times New Roman"/>
          <w:szCs w:val="24"/>
        </w:rPr>
      </w:pPr>
      <w:r w:rsidRPr="00862283">
        <w:rPr>
          <w:rFonts w:ascii="Times New Roman" w:hAnsi="Times New Roman" w:cs="Times New Roman"/>
          <w:b/>
          <w:bCs/>
          <w:szCs w:val="24"/>
        </w:rPr>
        <w:t>Omega-3 Fatty Acids:</w:t>
      </w:r>
      <w:r w:rsidR="004071CE">
        <w:rPr>
          <w:rFonts w:ascii="Times New Roman" w:hAnsi="Times New Roman" w:cs="Times New Roman"/>
          <w:szCs w:val="24"/>
        </w:rPr>
        <w:t xml:space="preserve"> </w:t>
      </w:r>
      <w:r w:rsidRPr="00862283">
        <w:rPr>
          <w:rFonts w:ascii="Times New Roman" w:hAnsi="Times New Roman" w:cs="Times New Roman"/>
          <w:szCs w:val="24"/>
        </w:rPr>
        <w:t>Found predominantly in fish oil, EPA and DHA are well-established for their anti-inflammatory properties. These fatty acids have been shown to improve retinal health by reducing inflammation and oxidative damage, both of which are implicated in myopia and other refractive disorders (6). Moreover, omega-3 fatty acids have been found to improve tear film stability, alleviate dry eye symptoms commonly associated with prolonged contact lens use, and may benefit myopic patients by slowing axial elongation.</w:t>
      </w:r>
    </w:p>
    <w:p w14:paraId="32ED4625" w14:textId="66BC2BDF"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Lutein and Zeaxanthin:</w:t>
      </w:r>
      <w:r w:rsidR="004071CE">
        <w:rPr>
          <w:rFonts w:ascii="Times New Roman" w:hAnsi="Times New Roman" w:cs="Times New Roman"/>
          <w:szCs w:val="24"/>
        </w:rPr>
        <w:t xml:space="preserve"> </w:t>
      </w:r>
      <w:r w:rsidRPr="00862283">
        <w:rPr>
          <w:rFonts w:ascii="Times New Roman" w:hAnsi="Times New Roman" w:cs="Times New Roman"/>
          <w:szCs w:val="24"/>
        </w:rPr>
        <w:t>These carotenoids are concentrated in the macula, where they help to filter harmful blue light and neutralize ROS. This protective action helps maintain the integrity of the photoreceptors, particularly in the retina, where oxidative damage can lead to a decline in visual function. Clinical studies have shown that supplementation with lutein and zeaxanthin can enhance visual acuity, improve contrast sensitivity, and potentially slow the progression of myopia in children (7). Their role in preventing axial elongation highlights their potential as a preventive measure in myopia management.</w:t>
      </w:r>
    </w:p>
    <w:p w14:paraId="53A8DB39" w14:textId="08D23759"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Astaxanthin:</w:t>
      </w:r>
      <w:r w:rsidR="004071CE">
        <w:rPr>
          <w:rFonts w:ascii="Times New Roman" w:hAnsi="Times New Roman" w:cs="Times New Roman"/>
          <w:szCs w:val="24"/>
        </w:rPr>
        <w:t xml:space="preserve"> </w:t>
      </w:r>
      <w:r w:rsidRPr="00862283">
        <w:rPr>
          <w:rFonts w:ascii="Times New Roman" w:hAnsi="Times New Roman" w:cs="Times New Roman"/>
          <w:szCs w:val="24"/>
        </w:rPr>
        <w:t xml:space="preserve">A potent antioxidant derived from microalgae, astaxanthin has been studied for its ability to reduce ciliary muscle fatigue and improve accommodative function in presbyopia, as well as alleviate eye strain caused by prolonged screen time (8). Additionally, astaxanthin has been shown to modulate mitochondrial function, offering protective effects against oxidative damage in retinal cells. Given its multifaceted benefits, astaxanthin represents a </w:t>
      </w:r>
      <w:r w:rsidRPr="00862283">
        <w:rPr>
          <w:rFonts w:ascii="Times New Roman" w:hAnsi="Times New Roman" w:cs="Times New Roman"/>
          <w:szCs w:val="24"/>
        </w:rPr>
        <w:lastRenderedPageBreak/>
        <w:t>promising nutraceutical for addressing refractive errors associated with aging and digital eye strain.</w:t>
      </w:r>
    </w:p>
    <w:p w14:paraId="0FEEF51F" w14:textId="77FB9DC0"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Vitamin C and Vitamin E:</w:t>
      </w:r>
      <w:r w:rsidR="004071CE">
        <w:rPr>
          <w:rFonts w:ascii="Times New Roman" w:hAnsi="Times New Roman" w:cs="Times New Roman"/>
          <w:szCs w:val="24"/>
        </w:rPr>
        <w:t xml:space="preserve"> </w:t>
      </w:r>
      <w:r w:rsidRPr="00862283">
        <w:rPr>
          <w:rFonts w:ascii="Times New Roman" w:hAnsi="Times New Roman" w:cs="Times New Roman"/>
          <w:szCs w:val="24"/>
        </w:rPr>
        <w:t xml:space="preserve">Both vitamins are critical in the eye’s antioxidant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xml:space="preserve"> system. </w:t>
      </w:r>
      <w:r w:rsidRPr="00862283">
        <w:rPr>
          <w:rFonts w:ascii="Times New Roman" w:hAnsi="Times New Roman" w:cs="Times New Roman"/>
          <w:b/>
          <w:bCs/>
          <w:szCs w:val="24"/>
        </w:rPr>
        <w:t>Vitamin C</w:t>
      </w:r>
      <w:r w:rsidRPr="00862283">
        <w:rPr>
          <w:rFonts w:ascii="Times New Roman" w:hAnsi="Times New Roman" w:cs="Times New Roman"/>
          <w:szCs w:val="24"/>
        </w:rPr>
        <w:t xml:space="preserve"> supports the synthesis of collagen, which is essential for maintaining the structural integrity of the sclera and lens (9). Additionally, vitamin C stabilizes the aqueous </w:t>
      </w:r>
      <w:proofErr w:type="spellStart"/>
      <w:r w:rsidRPr="00862283">
        <w:rPr>
          <w:rFonts w:ascii="Times New Roman" w:hAnsi="Times New Roman" w:cs="Times New Roman"/>
          <w:szCs w:val="24"/>
        </w:rPr>
        <w:t>humor</w:t>
      </w:r>
      <w:proofErr w:type="spellEnd"/>
      <w:r w:rsidRPr="00862283">
        <w:rPr>
          <w:rFonts w:ascii="Times New Roman" w:hAnsi="Times New Roman" w:cs="Times New Roman"/>
          <w:szCs w:val="24"/>
        </w:rPr>
        <w:t xml:space="preserve"> and promotes the regeneration of epithelial cells in the cornea. </w:t>
      </w:r>
      <w:r w:rsidRPr="00862283">
        <w:rPr>
          <w:rFonts w:ascii="Times New Roman" w:hAnsi="Times New Roman" w:cs="Times New Roman"/>
          <w:b/>
          <w:bCs/>
          <w:szCs w:val="24"/>
        </w:rPr>
        <w:t>Vitamin E</w:t>
      </w:r>
      <w:r w:rsidRPr="00862283">
        <w:rPr>
          <w:rFonts w:ascii="Times New Roman" w:hAnsi="Times New Roman" w:cs="Times New Roman"/>
          <w:szCs w:val="24"/>
        </w:rPr>
        <w:t>, on the other hand, protects cell membranes from oxidative damage by preventing lipid peroxidation. Both vitamins are integral in maintaining overall ocular health and may support the prevention of refractive changes associated with aging.</w:t>
      </w:r>
    </w:p>
    <w:p w14:paraId="5D3E70D0" w14:textId="45304E1D"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Zinc and Copper:</w:t>
      </w:r>
      <w:r w:rsidR="004071CE">
        <w:rPr>
          <w:rFonts w:ascii="Times New Roman" w:hAnsi="Times New Roman" w:cs="Times New Roman"/>
          <w:szCs w:val="24"/>
        </w:rPr>
        <w:t xml:space="preserve"> </w:t>
      </w:r>
      <w:r w:rsidRPr="00862283">
        <w:rPr>
          <w:rFonts w:ascii="Times New Roman" w:hAnsi="Times New Roman" w:cs="Times New Roman"/>
          <w:szCs w:val="24"/>
        </w:rPr>
        <w:t xml:space="preserve">Zinc is an essential cofactor for various retinal enzymes, including </w:t>
      </w:r>
      <w:r w:rsidRPr="00862283">
        <w:rPr>
          <w:rFonts w:ascii="Times New Roman" w:hAnsi="Times New Roman" w:cs="Times New Roman"/>
          <w:b/>
          <w:bCs/>
          <w:szCs w:val="24"/>
        </w:rPr>
        <w:t>superoxide dismutase (SOD)</w:t>
      </w:r>
      <w:r w:rsidRPr="00862283">
        <w:rPr>
          <w:rFonts w:ascii="Times New Roman" w:hAnsi="Times New Roman" w:cs="Times New Roman"/>
          <w:szCs w:val="24"/>
        </w:rPr>
        <w:t>, an important antioxidant enzyme (10). Zinc’s role in cellular metabolism and immune function is well established, and its deficiency has been linked to impaired dark adaptation and retinal dysfunction. Copper, another essential trace element, is involved in energy metabolism and visual cycle maintenance. Together, these elements support the overall health of retinal cells and may reduce the risk of developing refractive errors.</w:t>
      </w:r>
    </w:p>
    <w:p w14:paraId="3F7AD180" w14:textId="2D88AE31"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Flavonoids:</w:t>
      </w:r>
      <w:r w:rsidR="004071CE">
        <w:rPr>
          <w:rFonts w:ascii="Times New Roman" w:hAnsi="Times New Roman" w:cs="Times New Roman"/>
          <w:szCs w:val="24"/>
        </w:rPr>
        <w:t xml:space="preserve"> </w:t>
      </w:r>
      <w:r w:rsidRPr="00862283">
        <w:rPr>
          <w:rFonts w:ascii="Times New Roman" w:hAnsi="Times New Roman" w:cs="Times New Roman"/>
          <w:szCs w:val="24"/>
        </w:rPr>
        <w:t xml:space="preserve">Flavonoids, including </w:t>
      </w:r>
      <w:r w:rsidRPr="00862283">
        <w:rPr>
          <w:rFonts w:ascii="Times New Roman" w:hAnsi="Times New Roman" w:cs="Times New Roman"/>
          <w:b/>
          <w:bCs/>
          <w:szCs w:val="24"/>
        </w:rPr>
        <w:t>quercetin</w:t>
      </w:r>
      <w:r w:rsidRPr="00862283">
        <w:rPr>
          <w:rFonts w:ascii="Times New Roman" w:hAnsi="Times New Roman" w:cs="Times New Roman"/>
          <w:szCs w:val="24"/>
        </w:rPr>
        <w:t xml:space="preserve">, </w:t>
      </w:r>
      <w:r w:rsidRPr="00862283">
        <w:rPr>
          <w:rFonts w:ascii="Times New Roman" w:hAnsi="Times New Roman" w:cs="Times New Roman"/>
          <w:b/>
          <w:bCs/>
          <w:szCs w:val="24"/>
        </w:rPr>
        <w:t>hesperidin</w:t>
      </w:r>
      <w:r w:rsidRPr="00862283">
        <w:rPr>
          <w:rFonts w:ascii="Times New Roman" w:hAnsi="Times New Roman" w:cs="Times New Roman"/>
          <w:szCs w:val="24"/>
        </w:rPr>
        <w:t xml:space="preserve">, and </w:t>
      </w:r>
      <w:r w:rsidRPr="00862283">
        <w:rPr>
          <w:rFonts w:ascii="Times New Roman" w:hAnsi="Times New Roman" w:cs="Times New Roman"/>
          <w:b/>
          <w:bCs/>
          <w:szCs w:val="24"/>
        </w:rPr>
        <w:t>bilberry extract</w:t>
      </w:r>
      <w:r w:rsidRPr="00862283">
        <w:rPr>
          <w:rFonts w:ascii="Times New Roman" w:hAnsi="Times New Roman" w:cs="Times New Roman"/>
          <w:szCs w:val="24"/>
        </w:rPr>
        <w:t xml:space="preserve">, are polyphenolic compounds found in a variety of fruits and vegetables. These compounds have been shown to support capillary health and reduce inflammation in ocular tissues (11). </w:t>
      </w:r>
      <w:r w:rsidRPr="00862283">
        <w:rPr>
          <w:rFonts w:ascii="Times New Roman" w:hAnsi="Times New Roman" w:cs="Times New Roman"/>
          <w:b/>
          <w:bCs/>
          <w:szCs w:val="24"/>
        </w:rPr>
        <w:t>Bilberry anthocyanins</w:t>
      </w:r>
      <w:r w:rsidRPr="00862283">
        <w:rPr>
          <w:rFonts w:ascii="Times New Roman" w:hAnsi="Times New Roman" w:cs="Times New Roman"/>
          <w:szCs w:val="24"/>
        </w:rPr>
        <w:t>, in particular, are well known for their ability to enhance night vision by aiding in rhodopsin regeneration, and they may also help reduce visual fatigue and improve overall retinal function.</w:t>
      </w:r>
    </w:p>
    <w:p w14:paraId="65C3F197" w14:textId="6BE6ABFB"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Anthocyanins:</w:t>
      </w:r>
      <w:r w:rsidR="004071CE">
        <w:rPr>
          <w:rFonts w:ascii="Times New Roman" w:hAnsi="Times New Roman" w:cs="Times New Roman"/>
          <w:szCs w:val="24"/>
        </w:rPr>
        <w:t xml:space="preserve"> </w:t>
      </w:r>
      <w:r w:rsidRPr="00862283">
        <w:rPr>
          <w:rFonts w:ascii="Times New Roman" w:hAnsi="Times New Roman" w:cs="Times New Roman"/>
          <w:szCs w:val="24"/>
        </w:rPr>
        <w:t>These powerful antioxidants, found in dark berries, have been shown to reduce oxidative stress in the eye and improve visual function (12). In clinical studies, anthocyanins have been found to enhance night vision and alleviate symptoms of eye fatigue, which is particularly relevant for individuals experiencing prolonged screen exposure or those with presbyopia.</w:t>
      </w:r>
    </w:p>
    <w:p w14:paraId="291822BF" w14:textId="15F79871" w:rsidR="00862283" w:rsidRPr="00862283" w:rsidRDefault="00862283" w:rsidP="004071CE">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Taurine:</w:t>
      </w:r>
      <w:r w:rsidR="004071CE">
        <w:rPr>
          <w:rFonts w:ascii="Times New Roman" w:hAnsi="Times New Roman" w:cs="Times New Roman"/>
          <w:szCs w:val="24"/>
        </w:rPr>
        <w:t xml:space="preserve"> </w:t>
      </w:r>
      <w:r w:rsidRPr="00862283">
        <w:rPr>
          <w:rFonts w:ascii="Times New Roman" w:hAnsi="Times New Roman" w:cs="Times New Roman"/>
          <w:szCs w:val="24"/>
        </w:rPr>
        <w:t xml:space="preserve">An amino sulfonic acid found abundantly in the retina, taurine plays a crucial role in photoreceptor survival, intracellular calcium regulation, and oxidative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Its deficiency has been associated with retinal degeneration, and taurine supplementation may offer therapeutic potential for retinal diseases and refractive disorders.</w:t>
      </w:r>
    </w:p>
    <w:p w14:paraId="107A542A" w14:textId="5174B1D7" w:rsidR="00862283" w:rsidRPr="00862283" w:rsidRDefault="00862283" w:rsidP="004071CE">
      <w:pPr>
        <w:numPr>
          <w:ilvl w:val="0"/>
          <w:numId w:val="1"/>
        </w:numPr>
        <w:spacing w:line="480" w:lineRule="auto"/>
        <w:jc w:val="both"/>
        <w:rPr>
          <w:rFonts w:ascii="Times New Roman" w:hAnsi="Times New Roman" w:cs="Times New Roman"/>
          <w:szCs w:val="24"/>
        </w:rPr>
      </w:pPr>
      <w:r w:rsidRPr="00862283">
        <w:rPr>
          <w:rFonts w:ascii="Times New Roman" w:hAnsi="Times New Roman" w:cs="Times New Roman"/>
          <w:b/>
          <w:bCs/>
          <w:szCs w:val="24"/>
        </w:rPr>
        <w:t>Resveratrol:</w:t>
      </w:r>
      <w:r w:rsidR="004071CE">
        <w:rPr>
          <w:rFonts w:ascii="Times New Roman" w:hAnsi="Times New Roman" w:cs="Times New Roman"/>
          <w:szCs w:val="24"/>
        </w:rPr>
        <w:t xml:space="preserve"> </w:t>
      </w:r>
      <w:r w:rsidRPr="00862283">
        <w:rPr>
          <w:rFonts w:ascii="Times New Roman" w:hAnsi="Times New Roman" w:cs="Times New Roman"/>
          <w:szCs w:val="24"/>
        </w:rPr>
        <w:t xml:space="preserve">Resveratrol, a polyphenol found in grapes and red wine, has been shown to activate </w:t>
      </w:r>
      <w:r w:rsidRPr="00862283">
        <w:rPr>
          <w:rFonts w:ascii="Times New Roman" w:hAnsi="Times New Roman" w:cs="Times New Roman"/>
          <w:b/>
          <w:bCs/>
          <w:szCs w:val="24"/>
        </w:rPr>
        <w:t>SIRT1</w:t>
      </w:r>
      <w:r w:rsidRPr="00862283">
        <w:rPr>
          <w:rFonts w:ascii="Times New Roman" w:hAnsi="Times New Roman" w:cs="Times New Roman"/>
          <w:szCs w:val="24"/>
        </w:rPr>
        <w:t>, a protein that plays a key role in protecting retinal ganglion cells from oxidative damage. Experimental models suggest that resveratrol may also prevent pathological myopia progression by modulating cellular stress pathways.</w:t>
      </w:r>
      <w:commentRangeEnd w:id="7"/>
      <w:r w:rsidR="00C92882">
        <w:rPr>
          <w:rStyle w:val="CommentReference"/>
        </w:rPr>
        <w:commentReference w:id="7"/>
      </w:r>
    </w:p>
    <w:p w14:paraId="3FFB8B47" w14:textId="68566BFD" w:rsidR="00862283" w:rsidRPr="00862283" w:rsidRDefault="00E4523A" w:rsidP="004071CE">
      <w:pPr>
        <w:spacing w:line="480" w:lineRule="auto"/>
        <w:jc w:val="both"/>
        <w:rPr>
          <w:rFonts w:ascii="Times New Roman" w:hAnsi="Times New Roman" w:cs="Times New Roman"/>
          <w:szCs w:val="24"/>
        </w:rPr>
      </w:pPr>
      <w:commentRangeStart w:id="8"/>
      <w:r w:rsidRPr="00862283">
        <w:rPr>
          <w:rFonts w:ascii="Times New Roman" w:hAnsi="Times New Roman" w:cs="Times New Roman"/>
          <w:b/>
          <w:bCs/>
          <w:szCs w:val="24"/>
        </w:rPr>
        <w:t>CLINICAL EVIDENCE AND EMERGING STUDIES</w:t>
      </w:r>
    </w:p>
    <w:p w14:paraId="301AE93A" w14:textId="15A177B0"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Emerging clinical trials suggest that nutraceuticals could play a role in slowing the progression of myopia, especially in children. For example, a randomized trial evaluating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supplementation over a 12-month period found a significant reduction in axial length progression among children with myopia (13). Another study demonstrated that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supplementation improved accommodative function and reduced eye strain in middle-aged adults with presbyopia</w:t>
      </w:r>
      <w:r w:rsidR="00E4523A">
        <w:rPr>
          <w:rFonts w:ascii="Times New Roman" w:hAnsi="Times New Roman" w:cs="Times New Roman"/>
          <w:szCs w:val="24"/>
        </w:rPr>
        <w:t xml:space="preserve"> </w:t>
      </w:r>
      <w:r w:rsidRPr="00862283">
        <w:rPr>
          <w:rFonts w:ascii="Times New Roman" w:hAnsi="Times New Roman" w:cs="Times New Roman"/>
          <w:szCs w:val="24"/>
        </w:rPr>
        <w:t>(14).</w:t>
      </w:r>
    </w:p>
    <w:p w14:paraId="13722606"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In addition, a 2021 meta-analysis reviewing 17 randomized controlled trials concluded that nutraceuticals, particularly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anthocyanin-rich supplements</w:t>
      </w:r>
      <w:r w:rsidRPr="00862283">
        <w:rPr>
          <w:rFonts w:ascii="Times New Roman" w:hAnsi="Times New Roman" w:cs="Times New Roman"/>
          <w:szCs w:val="24"/>
        </w:rPr>
        <w:t xml:space="preserve">, </w:t>
      </w:r>
      <w:r w:rsidRPr="00862283">
        <w:rPr>
          <w:rFonts w:ascii="Times New Roman" w:hAnsi="Times New Roman" w:cs="Times New Roman"/>
          <w:szCs w:val="24"/>
        </w:rPr>
        <w:lastRenderedPageBreak/>
        <w:t xml:space="preserve">significantly enhanced several visual parameters, including </w:t>
      </w:r>
      <w:r w:rsidRPr="00862283">
        <w:rPr>
          <w:rFonts w:ascii="Times New Roman" w:hAnsi="Times New Roman" w:cs="Times New Roman"/>
          <w:b/>
          <w:bCs/>
          <w:szCs w:val="24"/>
        </w:rPr>
        <w:t>contrast sensitivity</w:t>
      </w:r>
      <w:r w:rsidRPr="00862283">
        <w:rPr>
          <w:rFonts w:ascii="Times New Roman" w:hAnsi="Times New Roman" w:cs="Times New Roman"/>
          <w:szCs w:val="24"/>
        </w:rPr>
        <w:t xml:space="preserve">, </w:t>
      </w:r>
      <w:r w:rsidRPr="00862283">
        <w:rPr>
          <w:rFonts w:ascii="Times New Roman" w:hAnsi="Times New Roman" w:cs="Times New Roman"/>
          <w:b/>
          <w:bCs/>
          <w:szCs w:val="24"/>
        </w:rPr>
        <w:t>glare recovery</w:t>
      </w:r>
      <w:r w:rsidRPr="00862283">
        <w:rPr>
          <w:rFonts w:ascii="Times New Roman" w:hAnsi="Times New Roman" w:cs="Times New Roman"/>
          <w:szCs w:val="24"/>
        </w:rPr>
        <w:t xml:space="preserve">, and </w:t>
      </w:r>
      <w:r w:rsidRPr="00862283">
        <w:rPr>
          <w:rFonts w:ascii="Times New Roman" w:hAnsi="Times New Roman" w:cs="Times New Roman"/>
          <w:b/>
          <w:bCs/>
          <w:szCs w:val="24"/>
        </w:rPr>
        <w:t>tear film stability</w:t>
      </w:r>
      <w:r w:rsidRPr="00862283">
        <w:rPr>
          <w:rFonts w:ascii="Times New Roman" w:hAnsi="Times New Roman" w:cs="Times New Roman"/>
          <w:szCs w:val="24"/>
        </w:rPr>
        <w:t>. These findings highlight the potential of these compounds to improve visual performance and support overall ocular wellness. Clinical experience also suggests that combinations of these nutraceuticals may offer synergistic benefits, particularly for children with a familial predisposition to high myopia, pointing to their potential as preventive therapies for refractive errors.</w:t>
      </w:r>
      <w:commentRangeEnd w:id="8"/>
      <w:r w:rsidR="001133DF">
        <w:rPr>
          <w:rStyle w:val="CommentReference"/>
        </w:rPr>
        <w:commentReference w:id="8"/>
      </w:r>
    </w:p>
    <w:p w14:paraId="64EBCC99" w14:textId="657D8301" w:rsidR="00862283" w:rsidRPr="00862283" w:rsidRDefault="00E4523A" w:rsidP="004071CE">
      <w:pPr>
        <w:spacing w:line="480" w:lineRule="auto"/>
        <w:jc w:val="both"/>
        <w:rPr>
          <w:rFonts w:ascii="Times New Roman" w:hAnsi="Times New Roman" w:cs="Times New Roman"/>
          <w:szCs w:val="24"/>
        </w:rPr>
      </w:pPr>
      <w:commentRangeStart w:id="9"/>
      <w:r w:rsidRPr="00862283">
        <w:rPr>
          <w:rFonts w:ascii="Times New Roman" w:hAnsi="Times New Roman" w:cs="Times New Roman"/>
          <w:b/>
          <w:bCs/>
          <w:szCs w:val="24"/>
        </w:rPr>
        <w:t>MECHANISMS OF ACTION</w:t>
      </w:r>
    </w:p>
    <w:p w14:paraId="45150331"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The potential benefits of nutraceuticals in refractive health are supported by several proposed mechanisms. These include a variety of biological processes that could collectively slow down or modify the structural changes associated with refractive errors, such as progressive myopia and presbyopia. Some of the key mechanisms through which nutraceuticals may exert their effects include:</w:t>
      </w:r>
      <w:commentRangeEnd w:id="9"/>
      <w:r w:rsidR="001133DF">
        <w:rPr>
          <w:rStyle w:val="CommentReference"/>
        </w:rPr>
        <w:commentReference w:id="9"/>
      </w:r>
    </w:p>
    <w:p w14:paraId="52284112" w14:textId="6A92A679"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Reduction in Oxidative Stress and Lipid Peroxidation:</w:t>
      </w:r>
      <w:r w:rsidR="00E4523A">
        <w:rPr>
          <w:rFonts w:ascii="Times New Roman" w:hAnsi="Times New Roman" w:cs="Times New Roman"/>
          <w:szCs w:val="24"/>
        </w:rPr>
        <w:t xml:space="preserve"> </w:t>
      </w:r>
      <w:r w:rsidRPr="00862283">
        <w:rPr>
          <w:rFonts w:ascii="Times New Roman" w:hAnsi="Times New Roman" w:cs="Times New Roman"/>
          <w:szCs w:val="24"/>
        </w:rPr>
        <w:t xml:space="preserve">The eye is highly susceptible to oxidative damage due to its constant exposure to light and high metabolic rate. Reactive oxygen species (ROS) and free radicals are generated as byproducts of cellular activity and environmental factors like UV exposure and pollution. Excessive ROS can damage cellular membranes and retinal tissues through lipid peroxidation. Many nutraceuticals, such as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and </w:t>
      </w:r>
      <w:r w:rsidRPr="00862283">
        <w:rPr>
          <w:rFonts w:ascii="Times New Roman" w:hAnsi="Times New Roman" w:cs="Times New Roman"/>
          <w:b/>
          <w:bCs/>
          <w:szCs w:val="24"/>
        </w:rPr>
        <w:t>carotenoids</w:t>
      </w:r>
      <w:r w:rsidRPr="00862283">
        <w:rPr>
          <w:rFonts w:ascii="Times New Roman" w:hAnsi="Times New Roman" w:cs="Times New Roman"/>
          <w:szCs w:val="24"/>
        </w:rPr>
        <w:t xml:space="preserve"> (e.g., lutein and zeaxanthin), possess powerful antioxidant properties that neutralize ROS, thereby reducing oxidative stress and preserving the structural and functional integrity of ocular tissues (5). By mitigating oxidative damage, nutraceuticals may protect retinal cells and reduce the likelihood of refractive errors progressing.</w:t>
      </w:r>
    </w:p>
    <w:p w14:paraId="6D553A4F" w14:textId="5DF5DF86"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 xml:space="preserve">Modulation of Gene Expression Involved in Scleral </w:t>
      </w:r>
      <w:proofErr w:type="spellStart"/>
      <w:r w:rsidRPr="00862283">
        <w:rPr>
          <w:rFonts w:ascii="Times New Roman" w:hAnsi="Times New Roman" w:cs="Times New Roman"/>
          <w:b/>
          <w:bCs/>
          <w:szCs w:val="24"/>
        </w:rPr>
        <w:t>Remodeling</w:t>
      </w:r>
      <w:proofErr w:type="spellEnd"/>
      <w:r w:rsidRPr="00862283">
        <w:rPr>
          <w:rFonts w:ascii="Times New Roman" w:hAnsi="Times New Roman" w:cs="Times New Roman"/>
          <w:b/>
          <w:bCs/>
          <w:szCs w:val="24"/>
        </w:rPr>
        <w:t>:</w:t>
      </w:r>
      <w:r w:rsidR="00E4523A">
        <w:rPr>
          <w:rFonts w:ascii="Times New Roman" w:hAnsi="Times New Roman" w:cs="Times New Roman"/>
          <w:szCs w:val="24"/>
        </w:rPr>
        <w:t xml:space="preserve"> </w:t>
      </w:r>
      <w:r w:rsidRPr="00862283">
        <w:rPr>
          <w:rFonts w:ascii="Times New Roman" w:hAnsi="Times New Roman" w:cs="Times New Roman"/>
          <w:szCs w:val="24"/>
        </w:rPr>
        <w:t xml:space="preserve">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is one of the primary factors involved in myopia progression. This process involves changes in the sclera’s extracellular matrix, which can lead to axial elongation of the eye. Certain nutraceuticals, including </w:t>
      </w:r>
      <w:r w:rsidRPr="00862283">
        <w:rPr>
          <w:rFonts w:ascii="Times New Roman" w:hAnsi="Times New Roman" w:cs="Times New Roman"/>
          <w:b/>
          <w:bCs/>
          <w:szCs w:val="24"/>
        </w:rPr>
        <w:t>polyphenols</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been shown to influence gene expression related to extracellular matrix synthesis and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They may regulate the expression of genes involved in collagen synthesis, matrix metalloproteinases (MMPs), and other factors crucial for maintaining the structural integrity of the sclera. By modulating these pathways, nutraceuticals may help slow down the axial elongation that is characteristic of myopia development (10).</w:t>
      </w:r>
    </w:p>
    <w:p w14:paraId="79AAE2AE" w14:textId="0A3EFD45"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Inhibition of Inflammatory Mediators such as TNF-alpha and IL-6:</w:t>
      </w:r>
      <w:r w:rsidR="00E4523A">
        <w:rPr>
          <w:rFonts w:ascii="Times New Roman" w:hAnsi="Times New Roman" w:cs="Times New Roman"/>
          <w:szCs w:val="24"/>
        </w:rPr>
        <w:t xml:space="preserve"> </w:t>
      </w:r>
      <w:r w:rsidRPr="00862283">
        <w:rPr>
          <w:rFonts w:ascii="Times New Roman" w:hAnsi="Times New Roman" w:cs="Times New Roman"/>
          <w:szCs w:val="24"/>
        </w:rPr>
        <w:t xml:space="preserve">Chronic inflammation has been implicated in the development and progression of refractive errors, including myopia and presbyopia. Inflammatory mediators such as </w:t>
      </w:r>
      <w:proofErr w:type="spellStart"/>
      <w:r w:rsidRPr="00862283">
        <w:rPr>
          <w:rFonts w:ascii="Times New Roman" w:hAnsi="Times New Roman" w:cs="Times New Roman"/>
          <w:b/>
          <w:bCs/>
          <w:szCs w:val="24"/>
        </w:rPr>
        <w:t>tumor</w:t>
      </w:r>
      <w:proofErr w:type="spellEnd"/>
      <w:r w:rsidRPr="00862283">
        <w:rPr>
          <w:rFonts w:ascii="Times New Roman" w:hAnsi="Times New Roman" w:cs="Times New Roman"/>
          <w:b/>
          <w:bCs/>
          <w:szCs w:val="24"/>
        </w:rPr>
        <w:t xml:space="preserve"> necrosis factor-alpha (TNF-alpha)</w:t>
      </w:r>
      <w:r w:rsidRPr="00862283">
        <w:rPr>
          <w:rFonts w:ascii="Times New Roman" w:hAnsi="Times New Roman" w:cs="Times New Roman"/>
          <w:szCs w:val="24"/>
        </w:rPr>
        <w:t xml:space="preserve"> and </w:t>
      </w:r>
      <w:r w:rsidRPr="00862283">
        <w:rPr>
          <w:rFonts w:ascii="Times New Roman" w:hAnsi="Times New Roman" w:cs="Times New Roman"/>
          <w:b/>
          <w:bCs/>
          <w:szCs w:val="24"/>
        </w:rPr>
        <w:t>interleukin-6 (IL-6)</w:t>
      </w:r>
      <w:r w:rsidRPr="00862283">
        <w:rPr>
          <w:rFonts w:ascii="Times New Roman" w:hAnsi="Times New Roman" w:cs="Times New Roman"/>
          <w:szCs w:val="24"/>
        </w:rPr>
        <w:t xml:space="preserve"> play a central role in promoting ocular inflammation and damage. Nutraceuticals such as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demonstrated the ability to inhibit the production of these pro-inflammatory cytokines. By reducing inflammation in ocular tissues, these compounds may help preserve retinal function and slow down the structural changes associated with refractive disorders (11).</w:t>
      </w:r>
    </w:p>
    <w:p w14:paraId="2BC72253" w14:textId="77777777"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Improvement of Choroidal Circulation and Retinal Perfusion:</w:t>
      </w:r>
      <w:r w:rsidRPr="00862283">
        <w:rPr>
          <w:rFonts w:ascii="Times New Roman" w:hAnsi="Times New Roman" w:cs="Times New Roman"/>
          <w:szCs w:val="24"/>
        </w:rPr>
        <w:br/>
        <w:t xml:space="preserve">The choroid, a vascular layer of the eye, plays a critical role in maintaining retinal health by providing nutrients and oxygen to the retina. Poor choroidal circulation and retinal perfusion can lead to ischemic damage and contribute to conditions such as myopia. Nutraceuticals, particularly those rich in </w:t>
      </w:r>
      <w:r w:rsidRPr="00862283">
        <w:rPr>
          <w:rFonts w:ascii="Times New Roman" w:hAnsi="Times New Roman" w:cs="Times New Roman"/>
          <w:b/>
          <w:bCs/>
          <w:szCs w:val="24"/>
        </w:rPr>
        <w:t>anthocyanins</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been shown to improve microcirculation in the retina and choroid. By enhancing blood flow, these compounds may </w:t>
      </w:r>
      <w:r w:rsidRPr="00862283">
        <w:rPr>
          <w:rFonts w:ascii="Times New Roman" w:hAnsi="Times New Roman" w:cs="Times New Roman"/>
          <w:szCs w:val="24"/>
        </w:rPr>
        <w:lastRenderedPageBreak/>
        <w:t>help ensure that retinal cells receive adequate oxygen and nutrients, thereby supporting overall eye health and potentially slowing the progression of refractive errors (12).</w:t>
      </w:r>
    </w:p>
    <w:p w14:paraId="117CA066" w14:textId="2F3C7605" w:rsidR="00862283" w:rsidRPr="00862283" w:rsidRDefault="00862283" w:rsidP="004071CE">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Preservation of Retinal Ganglion Cell Integrity:</w:t>
      </w:r>
      <w:r w:rsidR="00E4523A">
        <w:rPr>
          <w:rFonts w:ascii="Times New Roman" w:hAnsi="Times New Roman" w:cs="Times New Roman"/>
          <w:szCs w:val="24"/>
        </w:rPr>
        <w:t xml:space="preserve"> </w:t>
      </w:r>
      <w:r w:rsidRPr="00862283">
        <w:rPr>
          <w:rFonts w:ascii="Times New Roman" w:hAnsi="Times New Roman" w:cs="Times New Roman"/>
          <w:szCs w:val="24"/>
        </w:rPr>
        <w:t xml:space="preserve">Retinal ganglion cells (RGCs) are essential for transmitting visual information from the retina to the brain. Damage to RGCs is a hallmark of various ocular diseases, including glaucoma, and may also contribute to refractive changes. Nutraceuticals with neuroprotective properties, such as </w:t>
      </w:r>
      <w:r w:rsidRPr="00862283">
        <w:rPr>
          <w:rFonts w:ascii="Times New Roman" w:hAnsi="Times New Roman" w:cs="Times New Roman"/>
          <w:b/>
          <w:bCs/>
          <w:szCs w:val="24"/>
        </w:rPr>
        <w:t>resveratrol</w:t>
      </w:r>
      <w:r w:rsidRPr="00862283">
        <w:rPr>
          <w:rFonts w:ascii="Times New Roman" w:hAnsi="Times New Roman" w:cs="Times New Roman"/>
          <w:szCs w:val="24"/>
        </w:rPr>
        <w:t xml:space="preserve"> and </w:t>
      </w:r>
      <w:r w:rsidRPr="00862283">
        <w:rPr>
          <w:rFonts w:ascii="Times New Roman" w:hAnsi="Times New Roman" w:cs="Times New Roman"/>
          <w:b/>
          <w:bCs/>
          <w:szCs w:val="24"/>
        </w:rPr>
        <w:t>astaxanthin</w:t>
      </w:r>
      <w:r w:rsidRPr="00862283">
        <w:rPr>
          <w:rFonts w:ascii="Times New Roman" w:hAnsi="Times New Roman" w:cs="Times New Roman"/>
          <w:szCs w:val="24"/>
        </w:rPr>
        <w:t>, may help protect RGCs from oxidative and inflammatory damage. By preserving RGC function and preventing cell loss, these nutraceuticals could play a role in maintaining visual function and preventing the progression of refractive errors (13).</w:t>
      </w:r>
    </w:p>
    <w:p w14:paraId="3911FA8D" w14:textId="2E2207DA"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These mechanisms suggest that nutraceuticals could offer multifaceted support in the management and prevention of refractive errors, particularly progressive myopia and presbyopia, by addressing the underlying biological pathways that contribute to these conditions.</w:t>
      </w:r>
    </w:p>
    <w:p w14:paraId="01C5D5E8" w14:textId="112048F2" w:rsidR="00862283" w:rsidRPr="00862283" w:rsidRDefault="00E4523A" w:rsidP="004071CE">
      <w:pPr>
        <w:spacing w:line="480" w:lineRule="auto"/>
        <w:jc w:val="both"/>
        <w:rPr>
          <w:rFonts w:ascii="Times New Roman" w:hAnsi="Times New Roman" w:cs="Times New Roman"/>
          <w:szCs w:val="24"/>
        </w:rPr>
      </w:pPr>
      <w:commentRangeStart w:id="10"/>
      <w:r w:rsidRPr="00862283">
        <w:rPr>
          <w:rFonts w:ascii="Times New Roman" w:hAnsi="Times New Roman" w:cs="Times New Roman"/>
          <w:b/>
          <w:bCs/>
          <w:szCs w:val="24"/>
        </w:rPr>
        <w:t>CHALLENGES AND CONSIDERATIONS</w:t>
      </w:r>
    </w:p>
    <w:p w14:paraId="1DABE13A" w14:textId="77777777" w:rsidR="00862283" w:rsidRPr="00862283" w:rsidRDefault="00862283" w:rsidP="004071CE">
      <w:pPr>
        <w:spacing w:line="480" w:lineRule="auto"/>
        <w:jc w:val="both"/>
        <w:rPr>
          <w:rFonts w:ascii="Times New Roman" w:hAnsi="Times New Roman" w:cs="Times New Roman"/>
          <w:szCs w:val="24"/>
        </w:rPr>
      </w:pPr>
      <w:r w:rsidRPr="00862283">
        <w:rPr>
          <w:rFonts w:ascii="Times New Roman" w:hAnsi="Times New Roman" w:cs="Times New Roman"/>
          <w:szCs w:val="24"/>
        </w:rPr>
        <w:t>Despite the promising evidence supporting the use of nutraceuticals in refractive error management, several challenges remain that must be addressed before their widespread adoption in clinical practice.</w:t>
      </w:r>
      <w:commentRangeEnd w:id="10"/>
      <w:r w:rsidR="001133DF">
        <w:rPr>
          <w:rStyle w:val="CommentReference"/>
        </w:rPr>
        <w:commentReference w:id="10"/>
      </w:r>
    </w:p>
    <w:p w14:paraId="65EC2D89" w14:textId="7033BBE6"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Variability in Formulation:</w:t>
      </w:r>
      <w:r w:rsidR="00E4523A">
        <w:rPr>
          <w:rFonts w:ascii="Times New Roman" w:hAnsi="Times New Roman" w:cs="Times New Roman"/>
          <w:szCs w:val="24"/>
        </w:rPr>
        <w:t xml:space="preserve"> </w:t>
      </w:r>
      <w:r w:rsidRPr="00862283">
        <w:rPr>
          <w:rFonts w:ascii="Times New Roman" w:hAnsi="Times New Roman" w:cs="Times New Roman"/>
          <w:szCs w:val="24"/>
        </w:rPr>
        <w:t xml:space="preserve">One of the major challenges with nutraceuticals is the </w:t>
      </w:r>
      <w:r w:rsidRPr="00862283">
        <w:rPr>
          <w:rFonts w:ascii="Times New Roman" w:hAnsi="Times New Roman" w:cs="Times New Roman"/>
          <w:b/>
          <w:bCs/>
          <w:szCs w:val="24"/>
        </w:rPr>
        <w:t>variability in formulations</w:t>
      </w:r>
      <w:r w:rsidRPr="00862283">
        <w:rPr>
          <w:rFonts w:ascii="Times New Roman" w:hAnsi="Times New Roman" w:cs="Times New Roman"/>
          <w:szCs w:val="24"/>
        </w:rPr>
        <w:t>. Different products contain varying concentrations of active ingredients, and the quality of these products can differ significantly depending on the manufacturer. This inconsistency can affect the effectiveness of the supplements and complicate their use in clinical settings. Ensuring that nutraceuticals are standardized and formulated with consistent quality is crucial for their reliable use in ocular health.</w:t>
      </w:r>
    </w:p>
    <w:p w14:paraId="309BCBD8" w14:textId="51976213"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Lack of Regulatory Oversight:</w:t>
      </w:r>
      <w:r w:rsidR="00E4523A">
        <w:rPr>
          <w:rFonts w:ascii="Times New Roman" w:hAnsi="Times New Roman" w:cs="Times New Roman"/>
          <w:szCs w:val="24"/>
        </w:rPr>
        <w:t xml:space="preserve"> </w:t>
      </w:r>
      <w:r w:rsidRPr="00862283">
        <w:rPr>
          <w:rFonts w:ascii="Times New Roman" w:hAnsi="Times New Roman" w:cs="Times New Roman"/>
          <w:szCs w:val="24"/>
        </w:rPr>
        <w:t>Unlike pharmaceutical drugs, nutraceuticals are often not subjected to the same level of regulatory scrutiny. In many countries, nutraceuticals are considered dietary supplements and are not required to undergo the rigorous clinical testing and approval process that medications must go through. This lack of oversight means that some nutraceutical products may not meet the necessary safety or efficacy standards. As a result, healthcare providers and patients must be cautious when selecting nutraceuticals for use in eye care.</w:t>
      </w:r>
    </w:p>
    <w:p w14:paraId="63E7E699" w14:textId="35034C42"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Need for Standardized Clinical Protocols:</w:t>
      </w:r>
      <w:r w:rsidR="00E4523A">
        <w:rPr>
          <w:rFonts w:ascii="Times New Roman" w:hAnsi="Times New Roman" w:cs="Times New Roman"/>
          <w:szCs w:val="24"/>
        </w:rPr>
        <w:t xml:space="preserve"> </w:t>
      </w:r>
      <w:r w:rsidRPr="00862283">
        <w:rPr>
          <w:rFonts w:ascii="Times New Roman" w:hAnsi="Times New Roman" w:cs="Times New Roman"/>
          <w:szCs w:val="24"/>
        </w:rPr>
        <w:t xml:space="preserve">While there is growing interest in nutraceuticals for refractive health, there is still a lack of standardized </w:t>
      </w:r>
      <w:r w:rsidRPr="00862283">
        <w:rPr>
          <w:rFonts w:ascii="Times New Roman" w:hAnsi="Times New Roman" w:cs="Times New Roman"/>
          <w:b/>
          <w:bCs/>
          <w:szCs w:val="24"/>
        </w:rPr>
        <w:t>clinical protocols</w:t>
      </w:r>
      <w:r w:rsidRPr="00862283">
        <w:rPr>
          <w:rFonts w:ascii="Times New Roman" w:hAnsi="Times New Roman" w:cs="Times New Roman"/>
          <w:szCs w:val="24"/>
        </w:rPr>
        <w:t xml:space="preserve"> for their use. Dosage recommendations can vary significantly between studies, and the optimal duration of supplementation remains unclear. Further research and clinical trials are needed to establish clear guidelines on dosing, timing, and the combination of nutraceuticals to maximize their effectiveness in refractive error management.</w:t>
      </w:r>
    </w:p>
    <w:p w14:paraId="52866036" w14:textId="12EDB298"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Dosage Inconsistencies and Limited Long-term Safety Data:</w:t>
      </w:r>
      <w:r w:rsidR="00E4523A">
        <w:rPr>
          <w:rFonts w:ascii="Times New Roman" w:hAnsi="Times New Roman" w:cs="Times New Roman"/>
          <w:szCs w:val="24"/>
        </w:rPr>
        <w:t xml:space="preserve"> </w:t>
      </w:r>
      <w:r w:rsidRPr="00862283">
        <w:rPr>
          <w:rFonts w:ascii="Times New Roman" w:hAnsi="Times New Roman" w:cs="Times New Roman"/>
          <w:b/>
          <w:bCs/>
          <w:szCs w:val="24"/>
        </w:rPr>
        <w:t>Dosage inconsistencies</w:t>
      </w:r>
      <w:r w:rsidRPr="00862283">
        <w:rPr>
          <w:rFonts w:ascii="Times New Roman" w:hAnsi="Times New Roman" w:cs="Times New Roman"/>
          <w:szCs w:val="24"/>
        </w:rPr>
        <w:t xml:space="preserve"> are a significant concern in the use of nutraceuticals. The lack of standardized dosages across studies makes it difficult to recommend specific amounts for optimal benefit. Furthermore, there is limited </w:t>
      </w:r>
      <w:r w:rsidRPr="00862283">
        <w:rPr>
          <w:rFonts w:ascii="Times New Roman" w:hAnsi="Times New Roman" w:cs="Times New Roman"/>
          <w:b/>
          <w:bCs/>
          <w:szCs w:val="24"/>
        </w:rPr>
        <w:t>long-term safety data</w:t>
      </w:r>
      <w:r w:rsidRPr="00862283">
        <w:rPr>
          <w:rFonts w:ascii="Times New Roman" w:hAnsi="Times New Roman" w:cs="Times New Roman"/>
          <w:szCs w:val="24"/>
        </w:rPr>
        <w:t xml:space="preserve"> regarding the use of certain nutraceuticals in large populations. While short-term studies show promising results, more research is needed to determine the long-term effects of these supplements on ocular health and their safety profile, particularly when taken over extended periods (15).</w:t>
      </w:r>
    </w:p>
    <w:p w14:paraId="0825CF49" w14:textId="65874BED"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Nutrient Bioavailability and Genetic Polymorphisms:</w:t>
      </w:r>
      <w:r w:rsidR="00E4523A">
        <w:rPr>
          <w:rFonts w:ascii="Times New Roman" w:hAnsi="Times New Roman" w:cs="Times New Roman"/>
          <w:szCs w:val="24"/>
        </w:rPr>
        <w:t xml:space="preserve"> </w:t>
      </w:r>
      <w:r w:rsidRPr="00862283">
        <w:rPr>
          <w:rFonts w:ascii="Times New Roman" w:hAnsi="Times New Roman" w:cs="Times New Roman"/>
          <w:szCs w:val="24"/>
        </w:rPr>
        <w:t xml:space="preserve">Another challenge is the issue of </w:t>
      </w:r>
      <w:r w:rsidRPr="00862283">
        <w:rPr>
          <w:rFonts w:ascii="Times New Roman" w:hAnsi="Times New Roman" w:cs="Times New Roman"/>
          <w:b/>
          <w:bCs/>
          <w:szCs w:val="24"/>
        </w:rPr>
        <w:t>bioavailability</w:t>
      </w:r>
      <w:r w:rsidRPr="00862283">
        <w:rPr>
          <w:rFonts w:ascii="Times New Roman" w:hAnsi="Times New Roman" w:cs="Times New Roman"/>
          <w:szCs w:val="24"/>
        </w:rPr>
        <w:t xml:space="preserve">, or the extent to which nutrients are absorbed and utilized by the body. Factors such as the form of the supplement, its formulation, and individual variations in metabolism </w:t>
      </w:r>
      <w:r w:rsidRPr="00862283">
        <w:rPr>
          <w:rFonts w:ascii="Times New Roman" w:hAnsi="Times New Roman" w:cs="Times New Roman"/>
          <w:szCs w:val="24"/>
        </w:rPr>
        <w:lastRenderedPageBreak/>
        <w:t xml:space="preserve">can influence the bioavailability of key nutrients. Additionally, </w:t>
      </w:r>
      <w:r w:rsidRPr="00862283">
        <w:rPr>
          <w:rFonts w:ascii="Times New Roman" w:hAnsi="Times New Roman" w:cs="Times New Roman"/>
          <w:b/>
          <w:bCs/>
          <w:szCs w:val="24"/>
        </w:rPr>
        <w:t>genetic polymorphisms</w:t>
      </w:r>
      <w:r w:rsidRPr="00862283">
        <w:rPr>
          <w:rFonts w:ascii="Times New Roman" w:hAnsi="Times New Roman" w:cs="Times New Roman"/>
          <w:szCs w:val="24"/>
        </w:rPr>
        <w:t xml:space="preserve">, such as those in </w:t>
      </w:r>
      <w:r w:rsidRPr="00862283">
        <w:rPr>
          <w:rFonts w:ascii="Times New Roman" w:hAnsi="Times New Roman" w:cs="Times New Roman"/>
          <w:b/>
          <w:bCs/>
          <w:szCs w:val="24"/>
        </w:rPr>
        <w:t>carotenoid transport proteins</w:t>
      </w:r>
      <w:r w:rsidRPr="00862283">
        <w:rPr>
          <w:rFonts w:ascii="Times New Roman" w:hAnsi="Times New Roman" w:cs="Times New Roman"/>
          <w:szCs w:val="24"/>
        </w:rPr>
        <w:t>, can impact how effectively an individual responds to supplementation. These genetic factors may cause variability in treatment outcomes, making personalized approaches to nutraceutical supplementation an important consideration in clinical practice.</w:t>
      </w:r>
    </w:p>
    <w:p w14:paraId="2D8DEAED" w14:textId="38A50F4D" w:rsidR="00862283" w:rsidRPr="00862283" w:rsidRDefault="00862283" w:rsidP="004071CE">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Patient Adherence:</w:t>
      </w:r>
      <w:r w:rsidR="00E4523A">
        <w:rPr>
          <w:rFonts w:ascii="Times New Roman" w:hAnsi="Times New Roman" w:cs="Times New Roman"/>
          <w:szCs w:val="24"/>
        </w:rPr>
        <w:t xml:space="preserve"> </w:t>
      </w:r>
      <w:r w:rsidRPr="00862283">
        <w:rPr>
          <w:rFonts w:ascii="Times New Roman" w:hAnsi="Times New Roman" w:cs="Times New Roman"/>
          <w:szCs w:val="24"/>
        </w:rPr>
        <w:t xml:space="preserve">Since </w:t>
      </w:r>
      <w:r w:rsidRPr="00862283">
        <w:rPr>
          <w:rFonts w:ascii="Times New Roman" w:hAnsi="Times New Roman" w:cs="Times New Roman"/>
          <w:b/>
          <w:bCs/>
          <w:szCs w:val="24"/>
        </w:rPr>
        <w:t>nutraceuticals</w:t>
      </w:r>
      <w:r w:rsidRPr="00862283">
        <w:rPr>
          <w:rFonts w:ascii="Times New Roman" w:hAnsi="Times New Roman" w:cs="Times New Roman"/>
          <w:szCs w:val="24"/>
        </w:rPr>
        <w:t xml:space="preserve"> are typically taken orally, patient adherence becomes a critical factor in their effectiveness. The benefits of nutraceuticals may only become apparent after prolonged use, and some patients may not adhere to the supplementation regimen consistently. Ensuring that patients are educated on the potential benefits of long-term supplementation and addressing any concerns they may have about the supplements could help improve adherence.</w:t>
      </w:r>
    </w:p>
    <w:p w14:paraId="4A57A501" w14:textId="14C54502" w:rsidR="00862283" w:rsidRPr="00862283" w:rsidRDefault="00862283" w:rsidP="004071CE">
      <w:pPr>
        <w:numPr>
          <w:ilvl w:val="0"/>
          <w:numId w:val="3"/>
        </w:numPr>
        <w:spacing w:line="480" w:lineRule="auto"/>
        <w:jc w:val="both"/>
        <w:rPr>
          <w:rFonts w:ascii="Times New Roman" w:hAnsi="Times New Roman" w:cs="Times New Roman"/>
          <w:szCs w:val="24"/>
        </w:rPr>
      </w:pPr>
      <w:r w:rsidRPr="00862283">
        <w:rPr>
          <w:rFonts w:ascii="Times New Roman" w:hAnsi="Times New Roman" w:cs="Times New Roman"/>
          <w:b/>
          <w:bCs/>
          <w:szCs w:val="24"/>
        </w:rPr>
        <w:t>Risk of Over-Supplementation or Adverse Effects:</w:t>
      </w:r>
      <w:r w:rsidR="00E4523A">
        <w:rPr>
          <w:rFonts w:ascii="Times New Roman" w:hAnsi="Times New Roman" w:cs="Times New Roman"/>
          <w:szCs w:val="24"/>
        </w:rPr>
        <w:t xml:space="preserve"> </w:t>
      </w:r>
      <w:r w:rsidRPr="00862283">
        <w:rPr>
          <w:rFonts w:ascii="Times New Roman" w:hAnsi="Times New Roman" w:cs="Times New Roman"/>
          <w:szCs w:val="24"/>
        </w:rPr>
        <w:t xml:space="preserve">While nutraceuticals are generally considered safe, there is a risk of </w:t>
      </w:r>
      <w:r w:rsidRPr="00862283">
        <w:rPr>
          <w:rFonts w:ascii="Times New Roman" w:hAnsi="Times New Roman" w:cs="Times New Roman"/>
          <w:b/>
          <w:bCs/>
          <w:szCs w:val="24"/>
        </w:rPr>
        <w:t>over-supplementation</w:t>
      </w:r>
      <w:r w:rsidRPr="00862283">
        <w:rPr>
          <w:rFonts w:ascii="Times New Roman" w:hAnsi="Times New Roman" w:cs="Times New Roman"/>
          <w:szCs w:val="24"/>
        </w:rPr>
        <w:t xml:space="preserve"> or inappropriate combinations, which can lead to </w:t>
      </w:r>
      <w:r w:rsidRPr="00862283">
        <w:rPr>
          <w:rFonts w:ascii="Times New Roman" w:hAnsi="Times New Roman" w:cs="Times New Roman"/>
          <w:b/>
          <w:bCs/>
          <w:szCs w:val="24"/>
        </w:rPr>
        <w:t>adverse effects</w:t>
      </w:r>
      <w:r w:rsidRPr="00862283">
        <w:rPr>
          <w:rFonts w:ascii="Times New Roman" w:hAnsi="Times New Roman" w:cs="Times New Roman"/>
          <w:szCs w:val="24"/>
        </w:rPr>
        <w:t>. For example, certain antioxidants may interact with medications, reducing their efficacy or causing negative side effects. Healthcare providers must carefully assess the risk of interactions and tailor supplementation regimens to each patient’s unique health needs.</w:t>
      </w:r>
    </w:p>
    <w:p w14:paraId="4CC517F0" w14:textId="77777777" w:rsidR="00092E39" w:rsidRPr="004071CE" w:rsidRDefault="00092E39"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Nutraceuticals present an intriguing and potentially beneficial addition to managing refractive disorders, working alongside traditional methods like glasses, contact lenses, and refractive surgeries to boost eye health. While they aren't meant to replace these conventional approaches, their potential to support the eye's natural functions and possibly slow down refractive changes makes them a fascinating area for further exploration. By tackling issues like oxidative stress, inflammation, and cellular health, nutraceuticals could enhance existing treatments and offer extra </w:t>
      </w:r>
      <w:r w:rsidRPr="004071CE">
        <w:rPr>
          <w:rFonts w:ascii="Times New Roman" w:hAnsi="Times New Roman" w:cs="Times New Roman"/>
          <w:szCs w:val="24"/>
        </w:rPr>
        <w:lastRenderedPageBreak/>
        <w:t>help for conditions such as myopia, hyperopia, astigmatism, and presbyopia. That said, the real promise of nutraceuticals in managing refractive errors lies in personalized supplementation plans. Customizing these plans to fit an individual's unique risk factors, eating habits, and eye health is likely to lead to better results. For example, those at a higher risk for myopia progression or presbyopia might find targeted nutrient interventions—like omega-3 fatty acids, lutein, zeaxanthin, or astaxanthin—particularly beneficial, as these have shown potential in promoting retinal health and reducing inflammation. As research continues to advance, backed by an increasing amount of clinical evidence, nutraceuticals could play a key role in both preventive and therapeutic strategies for managing refractive errors. Moreover, enhanced regulatory frameworks and clearer guidelines on dosage and formulation will be crucial for ensuring the safe and effective use of nutraceuticals in clinical settings. Ultimately, a more holistic approach to refractive health—merging optical correction, surgery, and focused nutritional interventions—might just be the best way to maintain long-term eye health.</w:t>
      </w:r>
    </w:p>
    <w:p w14:paraId="018BA482" w14:textId="19E808A9" w:rsidR="004071CE" w:rsidRPr="004071CE" w:rsidRDefault="00E4523A" w:rsidP="004071CE">
      <w:pPr>
        <w:spacing w:line="480" w:lineRule="auto"/>
        <w:jc w:val="both"/>
        <w:rPr>
          <w:rFonts w:ascii="Times New Roman" w:hAnsi="Times New Roman" w:cs="Times New Roman"/>
          <w:b/>
          <w:bCs/>
          <w:szCs w:val="24"/>
        </w:rPr>
      </w:pPr>
      <w:commentRangeStart w:id="11"/>
      <w:r w:rsidRPr="004071CE">
        <w:rPr>
          <w:rFonts w:ascii="Times New Roman" w:hAnsi="Times New Roman" w:cs="Times New Roman"/>
          <w:b/>
          <w:bCs/>
          <w:szCs w:val="24"/>
        </w:rPr>
        <w:t>DISCUSSION</w:t>
      </w:r>
    </w:p>
    <w:p w14:paraId="6532B9A2"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This review explored the potential of nutraceuticals as adjunctive therapies in the management of refractive disorders, such as myopia, hyperopia, astigmatism, and presbyopia. The evidence from clinical, preclinical, and mechanistic studies suggests that nutraceuticals, particularly those with antioxidant and anti-inflammatory properties, may play an important role in supporting ocular health and possibly slowing the progression of refractive errors.</w:t>
      </w:r>
      <w:commentRangeEnd w:id="11"/>
      <w:r w:rsidR="00777180">
        <w:rPr>
          <w:rStyle w:val="CommentReference"/>
        </w:rPr>
        <w:commentReference w:id="11"/>
      </w:r>
    </w:p>
    <w:p w14:paraId="660874B6"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Synthesis of Findings</w:t>
      </w:r>
    </w:p>
    <w:p w14:paraId="6D724EE5"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The body of evidence reviewed indicates that key nutraceuticals, including omega-3 fatty acids, lutein, zeaxanthin, astaxanthin, and anthocyanins, show promise in improving visual health. </w:t>
      </w:r>
      <w:r w:rsidRPr="004071CE">
        <w:rPr>
          <w:rFonts w:ascii="Times New Roman" w:hAnsi="Times New Roman" w:cs="Times New Roman"/>
          <w:szCs w:val="24"/>
        </w:rPr>
        <w:lastRenderedPageBreak/>
        <w:t>Omega-3 fatty acids (EPA and DHA) are particularly notable for their anti-inflammatory properties and potential to support retinal integrity, which could have implications for managing conditions like myopia and dry eye associated with prolonged screen time. Lutein and zeaxanthin, known for their antioxidant properties, are concentrated in the macula and offer protective effects against blue light-induced oxidative stress. Clinical studies suggest that they may even slow axial elongation in children with progressive myopia, offering a preventive strategy for refractive error progression.</w:t>
      </w:r>
    </w:p>
    <w:p w14:paraId="55498CCB"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Astaxanthin, a potent antioxidant, has demonstrated benefits in reducing eye strain and improving accommodative function, particularly in individuals with presbyopia. The evidence also suggests that anthocyanins, found in berries, have the potential to improve night vision and alleviate visual fatigue, both of which are common concerns in individuals with refractive errors. These nutraceuticals may work synergistically, as their combined effects could target multiple aspects of ocular health, from reducing inflammation to protecting retinal tissues from oxidative damage.</w:t>
      </w:r>
    </w:p>
    <w:p w14:paraId="01AB2D47"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Clinical Implications</w:t>
      </w:r>
    </w:p>
    <w:p w14:paraId="1EF4B4FE"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Despite promising findings, the clinical application of nutraceuticals in refractive error management is still in its early stages. The studies reviewed indicate that nutraceuticals may not replace conventional treatments such as spectacles or surgery but could complement these approaches. For instance, incorporating omega-3 supplementation into the regimen of patients with myopia or presbyopia may enhance visual comfort and possibly slow the progression of refractive errors. Given the growing prevalence of myopia, particularly in urban populations, preventive strategies involving nutraceuticals could be of great value in reducing the burden of refractive disorders.</w:t>
      </w:r>
    </w:p>
    <w:p w14:paraId="2CD03098"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However, it is important to recognize that the existing evidence on nutraceuticals for refractive errors is largely derived from small-scale clinical trials, with some studies showing inconsistent results. Many of the trials have been of short duration, which limits the ability to assess long-term effects and safety. Furthermore, there is significant variability in the dosages of supplements used across studies, making it difficult to establish standardized treatment protocols. Therefore, while the potential benefits of nutraceuticals are promising, larger, well-designed, and long-term studies are needed to validate their efficacy and safety.</w:t>
      </w:r>
    </w:p>
    <w:p w14:paraId="49E50A2A"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Challenges and Limitations</w:t>
      </w:r>
    </w:p>
    <w:p w14:paraId="72C3CA04"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Several challenges need to be addressed before nutraceuticals can be more widely recommended as part of refractive disorder management. First, the bioavailability of certain nutrients can vary significantly between individuals, influenced by factors such as diet, genetics, and overall health. For example, carotenoid transport proteins play a crucial role in the absorption and distribution of lutein and zeaxanthin, and genetic polymorphisms may affect how individuals respond to supplementation.</w:t>
      </w:r>
    </w:p>
    <w:p w14:paraId="5C29F6B5"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Second, while nutraceuticals have demonstrated antioxidant and anti-inflammatory properties, the long-term impact of sustained supplementation remains uncertain. Excessive or inappropriate supplementation could potentially lead to adverse effects, such as nutrient imbalances or interactions with other medications. Furthermore, healthcare providers must be cautious about patient adherence, as the benefits of nutraceutical supplementation require consistent use over time, and patients may not experience immediate results.</w:t>
      </w:r>
    </w:p>
    <w:p w14:paraId="50EA7650" w14:textId="77777777" w:rsidR="004071CE" w:rsidRPr="004071CE" w:rsidRDefault="004071CE" w:rsidP="004071CE">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Future Directions</w:t>
      </w:r>
    </w:p>
    <w:p w14:paraId="4DC9BEDE"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To fully understand the potential of nutraceuticals in refractive error management, future research should focus on several key areas. First, larger clinical trials with well-defined dosages, longer durations, and standardized outcome measures are necessary to confirm the efficacy of nutraceuticals in preventing or slowing refractive error progression. Additionally, studies exploring the synergistic effects of combining multiple nutraceuticals could provide valuable insights into how these compounds might work together to optimize ocular health.</w:t>
      </w:r>
    </w:p>
    <w:p w14:paraId="4FAC2264" w14:textId="77777777"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Another area of future research involves personalized supplementation strategies. Given the variability in individual responses to supplements, future studies should consider genetic profiling and other patient-specific factors to tailor nutraceutical interventions. Furthermore, there is a need for exploration of new nutraceuticals and their effects on ocular health, particularly in the context of emerging conditions like myopia and presbyopia in younger populations.</w:t>
      </w:r>
    </w:p>
    <w:p w14:paraId="194AF463" w14:textId="073CD849" w:rsidR="004071CE" w:rsidRPr="004071CE" w:rsidRDefault="004071CE"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Finally, regulatory frameworks around nutraceuticals need to be strengthened. Clear guidelines for dosages, safety, and quality control will ensure that these supplements are both effective and safe for widespread use in clinical practice.</w:t>
      </w:r>
    </w:p>
    <w:p w14:paraId="1F61FC85" w14:textId="4228261D" w:rsidR="00862283" w:rsidRPr="00862283" w:rsidRDefault="00862283" w:rsidP="004071CE">
      <w:pPr>
        <w:spacing w:line="480" w:lineRule="auto"/>
        <w:jc w:val="both"/>
        <w:rPr>
          <w:rFonts w:ascii="Times New Roman" w:hAnsi="Times New Roman" w:cs="Times New Roman"/>
          <w:b/>
          <w:bCs/>
          <w:szCs w:val="24"/>
        </w:rPr>
      </w:pPr>
      <w:commentRangeStart w:id="12"/>
      <w:r w:rsidRPr="00862283">
        <w:rPr>
          <w:rFonts w:ascii="Times New Roman" w:hAnsi="Times New Roman" w:cs="Times New Roman"/>
          <w:b/>
          <w:bCs/>
          <w:szCs w:val="24"/>
        </w:rPr>
        <w:t>Conclusion</w:t>
      </w:r>
    </w:p>
    <w:p w14:paraId="148921C2" w14:textId="361F0D57" w:rsidR="009F6A45" w:rsidRPr="004071CE" w:rsidRDefault="009F6A45"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t>Nutraceuticals offer a promising adjunctive approach in the management of refractive disorders. While they do not replace optical correction or surgical interventions, their role in supporting ocular health and possibly slowing refractive changes deserves further exploration. Personalized supplementation strategies based on risk factors, dietary habits, and ocular assessments may optimize outcomes. With ongoing research and improved regulatory frameworks, nutraceuticals may become integral to preventive and therapeutic strategies in refractive error management.</w:t>
      </w:r>
      <w:commentRangeEnd w:id="12"/>
      <w:r w:rsidR="00777180">
        <w:rPr>
          <w:rStyle w:val="CommentReference"/>
        </w:rPr>
        <w:commentReference w:id="12"/>
      </w:r>
    </w:p>
    <w:p w14:paraId="6BE0CCEA" w14:textId="77777777" w:rsidR="009F6A45" w:rsidRPr="004071CE" w:rsidRDefault="009F6A45" w:rsidP="004071CE">
      <w:pPr>
        <w:spacing w:line="480" w:lineRule="auto"/>
        <w:jc w:val="both"/>
        <w:rPr>
          <w:rFonts w:ascii="Times New Roman" w:hAnsi="Times New Roman" w:cs="Times New Roman"/>
          <w:szCs w:val="24"/>
        </w:rPr>
      </w:pPr>
    </w:p>
    <w:p w14:paraId="2A222B1D" w14:textId="77777777" w:rsidR="009F6A45" w:rsidRPr="004071CE" w:rsidRDefault="009F6A45" w:rsidP="004071CE">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References</w:t>
      </w:r>
    </w:p>
    <w:p w14:paraId="0EFD99C7"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Holden BA, Fricke TR, Wilson DA, et al. Global prevalence of myopia and high myopia and temporal trends from 2000 through 2050: A systematic review and meta-analysis. </w:t>
      </w:r>
      <w:r w:rsidRPr="004071CE">
        <w:rPr>
          <w:rFonts w:ascii="Times New Roman" w:hAnsi="Times New Roman" w:cs="Times New Roman"/>
          <w:i/>
          <w:iCs/>
          <w:szCs w:val="24"/>
        </w:rPr>
        <w:t>Ophthalmology</w:t>
      </w:r>
      <w:r w:rsidRPr="004071CE">
        <w:rPr>
          <w:rFonts w:ascii="Times New Roman" w:hAnsi="Times New Roman" w:cs="Times New Roman"/>
          <w:szCs w:val="24"/>
        </w:rPr>
        <w:t>. 2016;123(5):1036-1042.</w:t>
      </w:r>
    </w:p>
    <w:p w14:paraId="320123E9"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McBrien NA, Metroka CE, Kennedy R, et al. Mechanisms of axial elongation and the development of myopia in the form-deprivation monkey model. </w:t>
      </w:r>
      <w:r w:rsidRPr="004071CE">
        <w:rPr>
          <w:rFonts w:ascii="Times New Roman" w:hAnsi="Times New Roman" w:cs="Times New Roman"/>
          <w:i/>
          <w:iCs/>
          <w:szCs w:val="24"/>
        </w:rPr>
        <w:t>Prog Retin Eye Res</w:t>
      </w:r>
      <w:r w:rsidRPr="004071CE">
        <w:rPr>
          <w:rFonts w:ascii="Times New Roman" w:hAnsi="Times New Roman" w:cs="Times New Roman"/>
          <w:szCs w:val="24"/>
        </w:rPr>
        <w:t>. 2009;28(6):363-380.</w:t>
      </w:r>
    </w:p>
    <w:p w14:paraId="70CB7975"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Lobo V, Patil A, Phatak A, et al. Free radicals, antioxidants, and functional foods: Impact on human health. </w:t>
      </w:r>
      <w:proofErr w:type="spellStart"/>
      <w:r w:rsidRPr="004071CE">
        <w:rPr>
          <w:rFonts w:ascii="Times New Roman" w:hAnsi="Times New Roman" w:cs="Times New Roman"/>
          <w:i/>
          <w:iCs/>
          <w:szCs w:val="24"/>
        </w:rPr>
        <w:t>Pharmacogn</w:t>
      </w:r>
      <w:proofErr w:type="spellEnd"/>
      <w:r w:rsidRPr="004071CE">
        <w:rPr>
          <w:rFonts w:ascii="Times New Roman" w:hAnsi="Times New Roman" w:cs="Times New Roman"/>
          <w:i/>
          <w:iCs/>
          <w:szCs w:val="24"/>
        </w:rPr>
        <w:t xml:space="preserve"> Rev</w:t>
      </w:r>
      <w:r w:rsidRPr="004071CE">
        <w:rPr>
          <w:rFonts w:ascii="Times New Roman" w:hAnsi="Times New Roman" w:cs="Times New Roman"/>
          <w:szCs w:val="24"/>
        </w:rPr>
        <w:t>. 2010;4(8):118-126.</w:t>
      </w:r>
    </w:p>
    <w:p w14:paraId="48FF7936"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Chen Z, Xu L, Zhang Y, et al. The relationship between serum cholesterol levels and age-related macular degeneration in the Chinese population. </w:t>
      </w:r>
      <w:r w:rsidRPr="004071CE">
        <w:rPr>
          <w:rFonts w:ascii="Times New Roman" w:hAnsi="Times New Roman" w:cs="Times New Roman"/>
          <w:i/>
          <w:iCs/>
          <w:szCs w:val="24"/>
        </w:rPr>
        <w:t xml:space="preserve">Int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2012;5(6):750-754.</w:t>
      </w:r>
    </w:p>
    <w:p w14:paraId="0BD9E244"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Carpentier S, Lemp KA, Bohman TM, et al. The effect of lutein and zeaxanthin on retinal structure and function. </w:t>
      </w:r>
      <w:proofErr w:type="spellStart"/>
      <w:r w:rsidRPr="004071CE">
        <w:rPr>
          <w:rFonts w:ascii="Times New Roman" w:hAnsi="Times New Roman" w:cs="Times New Roman"/>
          <w:i/>
          <w:iCs/>
          <w:szCs w:val="24"/>
        </w:rPr>
        <w:t>Eur</w:t>
      </w:r>
      <w:proofErr w:type="spellEnd"/>
      <w:r w:rsidRPr="004071CE">
        <w:rPr>
          <w:rFonts w:ascii="Times New Roman" w:hAnsi="Times New Roman" w:cs="Times New Roman"/>
          <w:i/>
          <w:iCs/>
          <w:szCs w:val="24"/>
        </w:rPr>
        <w:t xml:space="preserve">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2009;19(6):1007-1019.</w:t>
      </w:r>
    </w:p>
    <w:p w14:paraId="40C9EF6B"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Bhargava R, Agarwal A, Khatri M, et al. Role of omega-3 fatty acids in retinal health and neuroprotection. </w:t>
      </w:r>
      <w:r w:rsidRPr="004071CE">
        <w:rPr>
          <w:rFonts w:ascii="Times New Roman" w:hAnsi="Times New Roman" w:cs="Times New Roman"/>
          <w:i/>
          <w:iCs/>
          <w:szCs w:val="24"/>
        </w:rPr>
        <w:t>Ophthalmology</w:t>
      </w:r>
      <w:r w:rsidRPr="004071CE">
        <w:rPr>
          <w:rFonts w:ascii="Times New Roman" w:hAnsi="Times New Roman" w:cs="Times New Roman"/>
          <w:szCs w:val="24"/>
        </w:rPr>
        <w:t>. 2013;120(11):2191-2196.</w:t>
      </w:r>
    </w:p>
    <w:p w14:paraId="1DF2B5DD"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Stringham JM, Hammond BR, Wooten BR. Lutein, zeaxanthin, and visual performance in children. </w:t>
      </w:r>
      <w:proofErr w:type="spellStart"/>
      <w:r w:rsidRPr="004071CE">
        <w:rPr>
          <w:rFonts w:ascii="Times New Roman" w:hAnsi="Times New Roman" w:cs="Times New Roman"/>
          <w:i/>
          <w:iCs/>
          <w:szCs w:val="24"/>
        </w:rPr>
        <w:t>Nutr</w:t>
      </w:r>
      <w:proofErr w:type="spellEnd"/>
      <w:r w:rsidRPr="004071CE">
        <w:rPr>
          <w:rFonts w:ascii="Times New Roman" w:hAnsi="Times New Roman" w:cs="Times New Roman"/>
          <w:i/>
          <w:iCs/>
          <w:szCs w:val="24"/>
        </w:rPr>
        <w:t xml:space="preserve"> Rev</w:t>
      </w:r>
      <w:r w:rsidRPr="004071CE">
        <w:rPr>
          <w:rFonts w:ascii="Times New Roman" w:hAnsi="Times New Roman" w:cs="Times New Roman"/>
          <w:szCs w:val="24"/>
        </w:rPr>
        <w:t>. 2008;66(9):486-496.</w:t>
      </w:r>
    </w:p>
    <w:p w14:paraId="03379889"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Nakamura A, Okamoto F, Saito T, et al. Clinical effects of astaxanthin on retinal function and oxidative stress. </w:t>
      </w:r>
      <w:r w:rsidRPr="004071CE">
        <w:rPr>
          <w:rFonts w:ascii="Times New Roman" w:hAnsi="Times New Roman" w:cs="Times New Roman"/>
          <w:i/>
          <w:iCs/>
          <w:szCs w:val="24"/>
        </w:rPr>
        <w:t>J Clin Ther Med</w:t>
      </w:r>
      <w:r w:rsidRPr="004071CE">
        <w:rPr>
          <w:rFonts w:ascii="Times New Roman" w:hAnsi="Times New Roman" w:cs="Times New Roman"/>
          <w:szCs w:val="24"/>
        </w:rPr>
        <w:t xml:space="preserve">. </w:t>
      </w:r>
      <w:proofErr w:type="gramStart"/>
      <w:r w:rsidRPr="004071CE">
        <w:rPr>
          <w:rFonts w:ascii="Times New Roman" w:hAnsi="Times New Roman" w:cs="Times New Roman"/>
          <w:szCs w:val="24"/>
        </w:rPr>
        <w:t>2004;20:73</w:t>
      </w:r>
      <w:proofErr w:type="gramEnd"/>
      <w:r w:rsidRPr="004071CE">
        <w:rPr>
          <w:rFonts w:ascii="Times New Roman" w:hAnsi="Times New Roman" w:cs="Times New Roman"/>
          <w:szCs w:val="24"/>
        </w:rPr>
        <w:t>-80.</w:t>
      </w:r>
    </w:p>
    <w:p w14:paraId="06E36A8F"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Traber MG, Atkinson J, Brown E, et al. Vitamin E and oxidative stress. </w:t>
      </w:r>
      <w:r w:rsidRPr="004071CE">
        <w:rPr>
          <w:rFonts w:ascii="Times New Roman" w:hAnsi="Times New Roman" w:cs="Times New Roman"/>
          <w:i/>
          <w:iCs/>
          <w:szCs w:val="24"/>
        </w:rPr>
        <w:t>Free Radic Biol Med</w:t>
      </w:r>
      <w:r w:rsidRPr="004071CE">
        <w:rPr>
          <w:rFonts w:ascii="Times New Roman" w:hAnsi="Times New Roman" w:cs="Times New Roman"/>
          <w:szCs w:val="24"/>
        </w:rPr>
        <w:t>. 2005;38(1):94-97.</w:t>
      </w:r>
    </w:p>
    <w:p w14:paraId="5D7B9890"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 xml:space="preserve">Age-Related Eye Disease Study Research Group. The Age-Related Eye Disease Study (AREDS): Design and baseline characteristics. </w:t>
      </w:r>
      <w:r w:rsidRPr="004071CE">
        <w:rPr>
          <w:rFonts w:ascii="Times New Roman" w:hAnsi="Times New Roman" w:cs="Times New Roman"/>
          <w:i/>
          <w:iCs/>
          <w:szCs w:val="24"/>
        </w:rPr>
        <w:t xml:space="preserve">Arch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2001;119(10):1417-1436.</w:t>
      </w:r>
    </w:p>
    <w:p w14:paraId="6998A803"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Muth ER, Hunnicutt JL, Gutierrez C, et al. The efficacy of anthocyanins in the treatment of macular degeneration. </w:t>
      </w:r>
      <w:r w:rsidRPr="004071CE">
        <w:rPr>
          <w:rFonts w:ascii="Times New Roman" w:hAnsi="Times New Roman" w:cs="Times New Roman"/>
          <w:i/>
          <w:iCs/>
          <w:szCs w:val="24"/>
        </w:rPr>
        <w:t>Altern Med Rev</w:t>
      </w:r>
      <w:r w:rsidRPr="004071CE">
        <w:rPr>
          <w:rFonts w:ascii="Times New Roman" w:hAnsi="Times New Roman" w:cs="Times New Roman"/>
          <w:szCs w:val="24"/>
        </w:rPr>
        <w:t>. 2000;5(2):164-173.</w:t>
      </w:r>
    </w:p>
    <w:p w14:paraId="20727899"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lang w:val="nn-NO"/>
        </w:rPr>
        <w:t xml:space="preserve">Nakaishi H, Miyata T, Tanaka S, et al. </w:t>
      </w:r>
      <w:r w:rsidRPr="004071CE">
        <w:rPr>
          <w:rFonts w:ascii="Times New Roman" w:hAnsi="Times New Roman" w:cs="Times New Roman"/>
          <w:szCs w:val="24"/>
        </w:rPr>
        <w:t xml:space="preserve">Effects of anthocyanins on macular function in age-related macular degeneration. </w:t>
      </w:r>
      <w:proofErr w:type="spellStart"/>
      <w:r w:rsidRPr="004071CE">
        <w:rPr>
          <w:rFonts w:ascii="Times New Roman" w:hAnsi="Times New Roman" w:cs="Times New Roman"/>
          <w:i/>
          <w:iCs/>
          <w:szCs w:val="24"/>
        </w:rPr>
        <w:t>Jpn</w:t>
      </w:r>
      <w:proofErr w:type="spellEnd"/>
      <w:r w:rsidRPr="004071CE">
        <w:rPr>
          <w:rFonts w:ascii="Times New Roman" w:hAnsi="Times New Roman" w:cs="Times New Roman"/>
          <w:i/>
          <w:iCs/>
          <w:szCs w:val="24"/>
        </w:rPr>
        <w:t xml:space="preserve">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2000;44(6):606-612.</w:t>
      </w:r>
    </w:p>
    <w:p w14:paraId="62894292" w14:textId="77777777" w:rsidR="004071CE" w:rsidRPr="004071CE" w:rsidRDefault="004071CE" w:rsidP="004071CE">
      <w:pPr>
        <w:numPr>
          <w:ilvl w:val="0"/>
          <w:numId w:val="5"/>
        </w:numPr>
        <w:spacing w:line="480" w:lineRule="auto"/>
        <w:jc w:val="both"/>
        <w:rPr>
          <w:rFonts w:ascii="Times New Roman" w:hAnsi="Times New Roman" w:cs="Times New Roman"/>
          <w:szCs w:val="24"/>
        </w:rPr>
      </w:pPr>
      <w:commentRangeStart w:id="13"/>
      <w:r w:rsidRPr="004071CE">
        <w:rPr>
          <w:rFonts w:ascii="Times New Roman" w:hAnsi="Times New Roman" w:cs="Times New Roman"/>
          <w:szCs w:val="24"/>
        </w:rPr>
        <w:t xml:space="preserve">Ma L, Chen X, Lu L, et al. Efficacy of omega-3 fatty acids on the prevention of myopia progression in children. </w:t>
      </w:r>
      <w:r w:rsidRPr="004071CE">
        <w:rPr>
          <w:rFonts w:ascii="Times New Roman" w:hAnsi="Times New Roman" w:cs="Times New Roman"/>
          <w:i/>
          <w:iCs/>
          <w:szCs w:val="24"/>
        </w:rPr>
        <w:t xml:space="preserve">Am J Clin </w:t>
      </w:r>
      <w:proofErr w:type="spellStart"/>
      <w:r w:rsidRPr="004071CE">
        <w:rPr>
          <w:rFonts w:ascii="Times New Roman" w:hAnsi="Times New Roman" w:cs="Times New Roman"/>
          <w:i/>
          <w:iCs/>
          <w:szCs w:val="24"/>
        </w:rPr>
        <w:t>Nutr</w:t>
      </w:r>
      <w:proofErr w:type="spellEnd"/>
      <w:r w:rsidRPr="004071CE">
        <w:rPr>
          <w:rFonts w:ascii="Times New Roman" w:hAnsi="Times New Roman" w:cs="Times New Roman"/>
          <w:szCs w:val="24"/>
        </w:rPr>
        <w:t>. 2012;96(6):1471-1478.</w:t>
      </w:r>
    </w:p>
    <w:p w14:paraId="46CBD5B2" w14:textId="77777777" w:rsidR="004071CE" w:rsidRP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Nagaki Y, Kubo T, Nishikawa K, et al. Effects of lutein supplementation on visual function in patients with presbyopia. </w:t>
      </w:r>
      <w:r w:rsidRPr="004071CE">
        <w:rPr>
          <w:rFonts w:ascii="Times New Roman" w:hAnsi="Times New Roman" w:cs="Times New Roman"/>
          <w:i/>
          <w:iCs/>
          <w:szCs w:val="24"/>
        </w:rPr>
        <w:t>J Clin Ther Med</w:t>
      </w:r>
      <w:r w:rsidRPr="004071CE">
        <w:rPr>
          <w:rFonts w:ascii="Times New Roman" w:hAnsi="Times New Roman" w:cs="Times New Roman"/>
          <w:szCs w:val="24"/>
        </w:rPr>
        <w:t>. 2002;18(6):829-834.</w:t>
      </w:r>
      <w:commentRangeEnd w:id="13"/>
      <w:r w:rsidR="00777180">
        <w:rPr>
          <w:rStyle w:val="CommentReference"/>
        </w:rPr>
        <w:commentReference w:id="13"/>
      </w:r>
    </w:p>
    <w:p w14:paraId="14D1F4C5" w14:textId="10DA17F2" w:rsidR="004071CE" w:rsidRDefault="004071CE" w:rsidP="004071CE">
      <w:pPr>
        <w:numPr>
          <w:ilvl w:val="0"/>
          <w:numId w:val="5"/>
        </w:num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Vishwanathan R, Dey S, Mishra S, et al. The role of nutraceuticals in ocular health and disease prevention. </w:t>
      </w:r>
      <w:r w:rsidRPr="004071CE">
        <w:rPr>
          <w:rFonts w:ascii="Times New Roman" w:hAnsi="Times New Roman" w:cs="Times New Roman"/>
          <w:i/>
          <w:iCs/>
          <w:szCs w:val="24"/>
        </w:rPr>
        <w:t>Nutrients</w:t>
      </w:r>
      <w:r w:rsidRPr="004071CE">
        <w:rPr>
          <w:rFonts w:ascii="Times New Roman" w:hAnsi="Times New Roman" w:cs="Times New Roman"/>
          <w:szCs w:val="24"/>
        </w:rPr>
        <w:t>. 2013;5(4):1163-1171.</w:t>
      </w:r>
    </w:p>
    <w:p w14:paraId="19D56BF1" w14:textId="7676F8B9" w:rsidR="00BA0BB3" w:rsidRDefault="00BA0BB3" w:rsidP="004071CE">
      <w:pPr>
        <w:numPr>
          <w:ilvl w:val="0"/>
          <w:numId w:val="5"/>
        </w:numPr>
        <w:spacing w:line="480" w:lineRule="auto"/>
        <w:jc w:val="both"/>
        <w:rPr>
          <w:rFonts w:ascii="Times New Roman" w:hAnsi="Times New Roman" w:cs="Times New Roman"/>
          <w:szCs w:val="24"/>
        </w:rPr>
      </w:pPr>
      <w:proofErr w:type="spellStart"/>
      <w:r w:rsidRPr="00BA0BB3">
        <w:rPr>
          <w:rFonts w:ascii="Times New Roman" w:hAnsi="Times New Roman" w:cs="Times New Roman"/>
          <w:szCs w:val="24"/>
        </w:rPr>
        <w:t>Maiuolo</w:t>
      </w:r>
      <w:proofErr w:type="spellEnd"/>
      <w:r w:rsidRPr="00BA0BB3">
        <w:rPr>
          <w:rFonts w:ascii="Times New Roman" w:hAnsi="Times New Roman" w:cs="Times New Roman"/>
          <w:szCs w:val="24"/>
        </w:rPr>
        <w:t xml:space="preserve">, J., </w:t>
      </w:r>
      <w:proofErr w:type="spellStart"/>
      <w:r w:rsidRPr="00BA0BB3">
        <w:rPr>
          <w:rFonts w:ascii="Times New Roman" w:hAnsi="Times New Roman" w:cs="Times New Roman"/>
          <w:szCs w:val="24"/>
        </w:rPr>
        <w:t>Bulotta</w:t>
      </w:r>
      <w:proofErr w:type="spellEnd"/>
      <w:r w:rsidRPr="00BA0BB3">
        <w:rPr>
          <w:rFonts w:ascii="Times New Roman" w:hAnsi="Times New Roman" w:cs="Times New Roman"/>
          <w:szCs w:val="24"/>
        </w:rPr>
        <w:t>, R. M., Oppedisano, F., Bosco, F., Scarano, F., Nucera, S., ... &amp; Mollace, V. (2022). Potential properties of natural nutraceuticals and antioxidants in age-related eye disorders. Life, 13(1), 77.</w:t>
      </w:r>
    </w:p>
    <w:p w14:paraId="4D30CC3D" w14:textId="2335E996" w:rsidR="00BA0BB3"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t>Castro-Castaneda, C. R., Altamirano-Lamarque, F., Ortega-Macías, A. G., Santa Cruz-Pavlovich, F. J., Gonzalez-De la Rosa, A., Armendariz-Borunda, J., ... &amp; Navarro-Partida, J. (2022). Nutraceuticals: a promising therapeutic approach in ophthalmology. Nutrients, 14(23), 5014.</w:t>
      </w:r>
    </w:p>
    <w:p w14:paraId="664EE300" w14:textId="4C72C25A" w:rsidR="00BA0BB3"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t xml:space="preserve">Stice, S. A., &amp; </w:t>
      </w:r>
      <w:proofErr w:type="spellStart"/>
      <w:r w:rsidRPr="00BA0BB3">
        <w:rPr>
          <w:rFonts w:ascii="Times New Roman" w:hAnsi="Times New Roman" w:cs="Times New Roman"/>
          <w:szCs w:val="24"/>
        </w:rPr>
        <w:t>Kolanos</w:t>
      </w:r>
      <w:proofErr w:type="spellEnd"/>
      <w:r w:rsidRPr="00BA0BB3">
        <w:rPr>
          <w:rFonts w:ascii="Times New Roman" w:hAnsi="Times New Roman" w:cs="Times New Roman"/>
          <w:szCs w:val="24"/>
        </w:rPr>
        <w:t>, R. (2021). Nutraceuticals in ophthalmic diseases. In Nutraceuticals (pp. 167-180). Academic Press.</w:t>
      </w:r>
    </w:p>
    <w:p w14:paraId="6996DC25" w14:textId="70946AB4" w:rsidR="00BA0BB3"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lastRenderedPageBreak/>
        <w:t xml:space="preserve">Olivares-González, L., Salom, D., González-García, E., </w:t>
      </w:r>
      <w:proofErr w:type="spellStart"/>
      <w:r w:rsidRPr="00BA0BB3">
        <w:rPr>
          <w:rFonts w:ascii="Times New Roman" w:hAnsi="Times New Roman" w:cs="Times New Roman"/>
          <w:szCs w:val="24"/>
        </w:rPr>
        <w:t>Hervás</w:t>
      </w:r>
      <w:proofErr w:type="spellEnd"/>
      <w:r w:rsidRPr="00BA0BB3">
        <w:rPr>
          <w:rFonts w:ascii="Times New Roman" w:hAnsi="Times New Roman" w:cs="Times New Roman"/>
          <w:szCs w:val="24"/>
        </w:rPr>
        <w:t xml:space="preserve">, D., Mejía-Chiqui, N., Melero, M., ... &amp; Rodrigo, R. (2022). </w:t>
      </w:r>
      <w:proofErr w:type="spellStart"/>
      <w:r w:rsidRPr="00BA0BB3">
        <w:rPr>
          <w:rFonts w:ascii="Times New Roman" w:hAnsi="Times New Roman" w:cs="Times New Roman"/>
          <w:szCs w:val="24"/>
        </w:rPr>
        <w:t>Nutraret</w:t>
      </w:r>
      <w:proofErr w:type="spellEnd"/>
      <w:r w:rsidRPr="00BA0BB3">
        <w:rPr>
          <w:rFonts w:ascii="Times New Roman" w:hAnsi="Times New Roman" w:cs="Times New Roman"/>
          <w:szCs w:val="24"/>
        </w:rPr>
        <w:t>: effect of 2-year nutraceutical supplementation on redox status and visual function of patients with retinitis Pigmentosa: a randomized, double-blind, placebo-controlled trial. Frontiers in Nutrition, 9, 847910.</w:t>
      </w:r>
    </w:p>
    <w:p w14:paraId="08CE7514" w14:textId="3EA86D0F" w:rsidR="00BA0BB3" w:rsidRPr="004071CE" w:rsidRDefault="00BA0BB3" w:rsidP="004071CE">
      <w:pPr>
        <w:numPr>
          <w:ilvl w:val="0"/>
          <w:numId w:val="5"/>
        </w:numPr>
        <w:spacing w:line="480" w:lineRule="auto"/>
        <w:jc w:val="both"/>
        <w:rPr>
          <w:rFonts w:ascii="Times New Roman" w:hAnsi="Times New Roman" w:cs="Times New Roman"/>
          <w:szCs w:val="24"/>
        </w:rPr>
      </w:pPr>
      <w:r w:rsidRPr="00BA0BB3">
        <w:rPr>
          <w:rFonts w:ascii="Times New Roman" w:hAnsi="Times New Roman" w:cs="Times New Roman"/>
          <w:szCs w:val="24"/>
        </w:rPr>
        <w:t>Jadhav, S. P., Patil, D. M., Sonawane, D. D., &amp; Surana, K. R. (2024). Vitamins as a Nutraceutical for Blindness. In Preventive and Therapeutic Role of Vitamins as Nutraceuticals (pp. 193-210). Apple Academic Press.</w:t>
      </w:r>
    </w:p>
    <w:p w14:paraId="34421428" w14:textId="55A7DAA5" w:rsidR="009F6A45" w:rsidRPr="004071CE" w:rsidRDefault="009F6A45" w:rsidP="004071CE">
      <w:pPr>
        <w:spacing w:line="480" w:lineRule="auto"/>
        <w:jc w:val="both"/>
        <w:rPr>
          <w:rFonts w:ascii="Times New Roman" w:hAnsi="Times New Roman" w:cs="Times New Roman"/>
          <w:szCs w:val="24"/>
        </w:rPr>
      </w:pPr>
    </w:p>
    <w:sectPr w:rsidR="009F6A45" w:rsidRPr="004071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zanur Rahman" w:date="2025-05-11T12:58:00Z" w:initials="MR">
    <w:p w14:paraId="6B49B315" w14:textId="77777777" w:rsidR="00C92882" w:rsidRDefault="00C92882" w:rsidP="00C92882">
      <w:pPr>
        <w:numPr>
          <w:ilvl w:val="0"/>
          <w:numId w:val="6"/>
        </w:numPr>
        <w:spacing w:after="200" w:line="276" w:lineRule="auto"/>
      </w:pPr>
      <w:r>
        <w:rPr>
          <w:rStyle w:val="CommentReference"/>
        </w:rPr>
        <w:annotationRef/>
      </w:r>
      <w:r w:rsidRPr="00427514">
        <w:t>The Role of Nutraceuticals in Refractive Eye Disorders: A New Horizon in Vision Care</w:t>
      </w:r>
      <w:r>
        <w:t>.</w:t>
      </w:r>
    </w:p>
    <w:p w14:paraId="05681814" w14:textId="77777777" w:rsidR="00C92882" w:rsidRPr="00427514" w:rsidRDefault="00C92882" w:rsidP="00C92882">
      <w:pPr>
        <w:numPr>
          <w:ilvl w:val="0"/>
          <w:numId w:val="6"/>
        </w:numPr>
        <w:spacing w:after="200" w:line="276" w:lineRule="auto"/>
      </w:pPr>
      <w:r w:rsidRPr="00427514">
        <w:t>The Role of Nutraceuticals in Refractive Eye Disorders: A New Avenue in Vision Care.</w:t>
      </w:r>
    </w:p>
    <w:p w14:paraId="5FF8E530" w14:textId="05707D07" w:rsidR="00C92882" w:rsidRDefault="00C92882">
      <w:pPr>
        <w:pStyle w:val="CommentText"/>
      </w:pPr>
    </w:p>
  </w:comment>
  <w:comment w:id="1" w:author="Mizanur Rahman" w:date="2025-05-11T13:00:00Z" w:initials="MR">
    <w:p w14:paraId="6362A054" w14:textId="43F01935" w:rsidR="00C92882" w:rsidRPr="00C92882" w:rsidRDefault="00C92882" w:rsidP="00C92882">
      <w:pPr>
        <w:jc w:val="both"/>
      </w:pPr>
      <w:r>
        <w:rPr>
          <w:rStyle w:val="CommentReference"/>
        </w:rPr>
        <w:annotationRef/>
      </w:r>
      <w:r w:rsidRPr="00525E9E">
        <w:rPr>
          <w:lang w:bidi="ar-SA"/>
        </w:rPr>
        <w:t xml:space="preserve">Include more quantitative claims or specify the nature of </w:t>
      </w:r>
      <w:r>
        <w:rPr>
          <w:lang w:bidi="ar-SA"/>
        </w:rPr>
        <w:t xml:space="preserve">the </w:t>
      </w:r>
      <w:r w:rsidRPr="00525E9E">
        <w:rPr>
          <w:lang w:bidi="ar-SA"/>
        </w:rPr>
        <w:t xml:space="preserve">evidence </w:t>
      </w:r>
    </w:p>
    <w:p w14:paraId="06A36B6A" w14:textId="59ADB2BF" w:rsidR="00C92882" w:rsidRPr="00C92882" w:rsidRDefault="00C92882">
      <w:pPr>
        <w:pStyle w:val="CommentText"/>
      </w:pPr>
    </w:p>
  </w:comment>
  <w:comment w:id="2" w:author="Mizanur Rahman" w:date="2025-05-11T13:02:00Z" w:initials="MR">
    <w:p w14:paraId="5425F323" w14:textId="3774278F" w:rsidR="00C92882" w:rsidRDefault="00C92882">
      <w:pPr>
        <w:pStyle w:val="CommentText"/>
      </w:pPr>
      <w:r>
        <w:rPr>
          <w:rStyle w:val="CommentReference"/>
        </w:rPr>
        <w:annotationRef/>
      </w:r>
      <w:r w:rsidRPr="00525E9E">
        <w:rPr>
          <w:i/>
          <w:iCs/>
          <w:lang w:bidi="ar-SA"/>
        </w:rPr>
        <w:t>"</w:t>
      </w:r>
      <w:proofErr w:type="spellStart"/>
      <w:r w:rsidRPr="00525E9E">
        <w:rPr>
          <w:i/>
          <w:iCs/>
          <w:lang w:bidi="ar-SA"/>
        </w:rPr>
        <w:t>asthaxanthin</w:t>
      </w:r>
      <w:proofErr w:type="spellEnd"/>
      <w:r w:rsidRPr="00525E9E">
        <w:rPr>
          <w:i/>
          <w:iCs/>
          <w:lang w:bidi="ar-SA"/>
        </w:rPr>
        <w:t>"</w:t>
      </w:r>
      <w:r w:rsidRPr="00525E9E">
        <w:rPr>
          <w:lang w:bidi="ar-SA"/>
        </w:rPr>
        <w:t xml:space="preserve"> should be </w:t>
      </w:r>
      <w:r w:rsidRPr="00525E9E">
        <w:rPr>
          <w:b/>
          <w:bCs/>
          <w:lang w:bidi="ar-SA"/>
        </w:rPr>
        <w:t>"astaxanthin"</w:t>
      </w:r>
      <w:r w:rsidRPr="00525E9E">
        <w:rPr>
          <w:lang w:bidi="ar-SA"/>
        </w:rPr>
        <w:t>.</w:t>
      </w:r>
    </w:p>
  </w:comment>
  <w:comment w:id="3" w:author="Mizanur Rahman" w:date="2025-05-11T13:05:00Z" w:initials="MR">
    <w:p w14:paraId="67C497E2" w14:textId="77777777" w:rsidR="00C92882" w:rsidRDefault="00C92882">
      <w:pPr>
        <w:pStyle w:val="CommentText"/>
        <w:rPr>
          <w:lang w:bidi="ar-SA"/>
        </w:rPr>
      </w:pPr>
      <w:r>
        <w:rPr>
          <w:rStyle w:val="CommentReference"/>
        </w:rPr>
        <w:annotationRef/>
      </w:r>
      <w:r w:rsidRPr="00525E9E">
        <w:rPr>
          <w:lang w:bidi="ar-SA"/>
        </w:rPr>
        <w:t>Clarify study design—RCTs vs observational</w:t>
      </w:r>
    </w:p>
    <w:p w14:paraId="144E4676" w14:textId="3CA26D98" w:rsidR="00C92882" w:rsidRDefault="00C92882">
      <w:pPr>
        <w:pStyle w:val="CommentText"/>
      </w:pPr>
    </w:p>
  </w:comment>
  <w:comment w:id="4" w:author="Mizanur Rahman" w:date="2025-05-11T13:09:00Z" w:initials="MR">
    <w:p w14:paraId="5766496F" w14:textId="77777777" w:rsidR="00C92882" w:rsidRPr="00525E9E" w:rsidRDefault="00C92882" w:rsidP="00C92882">
      <w:pPr>
        <w:spacing w:after="200" w:line="276" w:lineRule="auto"/>
        <w:rPr>
          <w:lang w:bidi="ar-SA"/>
        </w:rPr>
      </w:pPr>
      <w:r>
        <w:rPr>
          <w:rStyle w:val="CommentReference"/>
        </w:rPr>
        <w:annotationRef/>
      </w:r>
      <w:r w:rsidRPr="00525E9E">
        <w:rPr>
          <w:lang w:bidi="ar-SA"/>
        </w:rPr>
        <w:t>Reference numbers like (18,19) are used before they're listed—please cross-check.</w:t>
      </w:r>
    </w:p>
    <w:p w14:paraId="20E59117" w14:textId="0A1C1014" w:rsidR="00C92882" w:rsidRDefault="00C92882">
      <w:pPr>
        <w:pStyle w:val="CommentText"/>
      </w:pPr>
    </w:p>
  </w:comment>
  <w:comment w:id="5" w:author="Mizanur Rahman" w:date="2025-05-11T13:10:00Z" w:initials="MR">
    <w:p w14:paraId="3E53229B" w14:textId="7F23BDDF" w:rsidR="00C92882" w:rsidRDefault="00C92882">
      <w:pPr>
        <w:pStyle w:val="CommentText"/>
      </w:pPr>
      <w:r>
        <w:rPr>
          <w:rStyle w:val="CommentReference"/>
        </w:rPr>
        <w:annotationRef/>
      </w:r>
      <w:r w:rsidRPr="00525E9E">
        <w:rPr>
          <w:lang w:bidi="ar-SA"/>
        </w:rPr>
        <w:t>Define “nutraceuticals” more precisely in the first mention</w:t>
      </w:r>
    </w:p>
  </w:comment>
  <w:comment w:id="6" w:author="Mizanur Rahman" w:date="2025-05-11T13:10:00Z" w:initials="MR">
    <w:p w14:paraId="21EA9D62" w14:textId="77777777" w:rsidR="00C92882" w:rsidRPr="00525E9E" w:rsidRDefault="00C92882" w:rsidP="00C92882">
      <w:pPr>
        <w:spacing w:after="200" w:line="276" w:lineRule="auto"/>
        <w:rPr>
          <w:rFonts w:ascii="Times New Roman" w:hAnsi="Times New Roman" w:cs="Times New Roman"/>
          <w:sz w:val="36"/>
          <w:szCs w:val="36"/>
          <w:lang w:bidi="ar-SA"/>
        </w:rPr>
      </w:pPr>
      <w:r>
        <w:rPr>
          <w:rStyle w:val="CommentReference"/>
        </w:rPr>
        <w:annotationRef/>
      </w:r>
      <w:r w:rsidRPr="00525E9E">
        <w:rPr>
          <w:rFonts w:ascii="Times New Roman" w:hAnsi="Times New Roman" w:cs="Times New Roman"/>
          <w:sz w:val="36"/>
          <w:szCs w:val="36"/>
          <w:lang w:bidi="ar-SA"/>
        </w:rPr>
        <w:t xml:space="preserve">Add a </w:t>
      </w:r>
      <w:r w:rsidRPr="00525E9E">
        <w:rPr>
          <w:rFonts w:ascii="Times New Roman" w:hAnsi="Times New Roman" w:cs="Times New Roman"/>
          <w:b/>
          <w:bCs/>
          <w:sz w:val="36"/>
          <w:szCs w:val="36"/>
          <w:lang w:bidi="ar-SA"/>
        </w:rPr>
        <w:t>schematic diagram</w:t>
      </w:r>
      <w:r w:rsidRPr="00525E9E">
        <w:rPr>
          <w:rFonts w:ascii="Times New Roman" w:hAnsi="Times New Roman" w:cs="Times New Roman"/>
          <w:sz w:val="36"/>
          <w:szCs w:val="36"/>
          <w:lang w:bidi="ar-SA"/>
        </w:rPr>
        <w:t xml:space="preserve"> or table summarizing mechanisms of action for quick reference.</w:t>
      </w:r>
    </w:p>
    <w:p w14:paraId="40A47392" w14:textId="77777777" w:rsidR="00C92882" w:rsidRPr="00525E9E" w:rsidRDefault="00C92882" w:rsidP="00C92882">
      <w:pPr>
        <w:spacing w:after="200" w:line="276" w:lineRule="auto"/>
        <w:rPr>
          <w:rFonts w:ascii="Times New Roman" w:hAnsi="Times New Roman" w:cs="Times New Roman"/>
          <w:sz w:val="36"/>
          <w:szCs w:val="36"/>
          <w:lang w:bidi="ar-SA"/>
        </w:rPr>
      </w:pPr>
      <w:r w:rsidRPr="00525E9E">
        <w:rPr>
          <w:rFonts w:ascii="Times New Roman" w:hAnsi="Times New Roman" w:cs="Times New Roman"/>
          <w:sz w:val="36"/>
          <w:szCs w:val="36"/>
          <w:lang w:bidi="ar-SA"/>
        </w:rPr>
        <w:t>Clarify terms like “extracellular matrix stability” for readers unfamiliar with the topic.</w:t>
      </w:r>
    </w:p>
    <w:p w14:paraId="0CE8A1C0" w14:textId="7FF28000" w:rsidR="00C92882" w:rsidRPr="00C92882" w:rsidRDefault="00C92882">
      <w:pPr>
        <w:pStyle w:val="CommentText"/>
        <w:rPr>
          <w:rFonts w:ascii="Times New Roman" w:hAnsi="Times New Roman" w:cs="Times New Roman"/>
          <w:sz w:val="36"/>
          <w:szCs w:val="36"/>
        </w:rPr>
      </w:pPr>
    </w:p>
  </w:comment>
  <w:comment w:id="7" w:author="Mizanur Rahman" w:date="2025-05-11T13:12:00Z" w:initials="MR">
    <w:p w14:paraId="2D576B7F" w14:textId="77777777" w:rsidR="00C92882" w:rsidRPr="00525E9E" w:rsidRDefault="00C92882" w:rsidP="00C92882">
      <w:pPr>
        <w:spacing w:after="200" w:line="276" w:lineRule="auto"/>
        <w:rPr>
          <w:rFonts w:ascii="Times New Roman" w:hAnsi="Times New Roman" w:cs="Times New Roman"/>
          <w:szCs w:val="24"/>
          <w:lang w:bidi="ar-SA"/>
        </w:rPr>
      </w:pPr>
      <w:r>
        <w:rPr>
          <w:rStyle w:val="CommentReference"/>
        </w:rPr>
        <w:annotationRef/>
      </w:r>
      <w:r w:rsidRPr="00525E9E">
        <w:rPr>
          <w:rFonts w:ascii="Times New Roman" w:hAnsi="Times New Roman" w:cs="Times New Roman"/>
          <w:szCs w:val="24"/>
          <w:lang w:bidi="ar-SA"/>
        </w:rPr>
        <w:t xml:space="preserve">Create a </w:t>
      </w:r>
      <w:r w:rsidRPr="00525E9E">
        <w:rPr>
          <w:rFonts w:ascii="Times New Roman" w:hAnsi="Times New Roman" w:cs="Times New Roman"/>
          <w:b/>
          <w:bCs/>
          <w:szCs w:val="24"/>
          <w:lang w:bidi="ar-SA"/>
        </w:rPr>
        <w:t>summary table</w:t>
      </w:r>
      <w:r w:rsidRPr="00525E9E">
        <w:rPr>
          <w:rFonts w:ascii="Times New Roman" w:hAnsi="Times New Roman" w:cs="Times New Roman"/>
          <w:szCs w:val="24"/>
          <w:lang w:bidi="ar-SA"/>
        </w:rPr>
        <w:t xml:space="preserve"> for all listed nutraceuticals with their source, action, and evidence status (e.g., preclinical/clinical).</w:t>
      </w:r>
    </w:p>
    <w:p w14:paraId="0DC3A4CE" w14:textId="77777777" w:rsidR="00C92882" w:rsidRPr="00525E9E" w:rsidRDefault="00C92882" w:rsidP="001133DF">
      <w:pPr>
        <w:spacing w:after="200" w:line="276" w:lineRule="auto"/>
        <w:rPr>
          <w:lang w:bidi="ar-SA"/>
        </w:rPr>
      </w:pPr>
      <w:r w:rsidRPr="00525E9E">
        <w:rPr>
          <w:rFonts w:ascii="Times New Roman" w:hAnsi="Times New Roman" w:cs="Times New Roman"/>
          <w:szCs w:val="24"/>
          <w:lang w:bidi="ar-SA"/>
        </w:rPr>
        <w:t xml:space="preserve">Add </w:t>
      </w:r>
      <w:r w:rsidRPr="00525E9E">
        <w:rPr>
          <w:rFonts w:ascii="Times New Roman" w:hAnsi="Times New Roman" w:cs="Times New Roman"/>
          <w:b/>
          <w:bCs/>
          <w:szCs w:val="24"/>
          <w:lang w:bidi="ar-SA"/>
        </w:rPr>
        <w:t>dosage ranges</w:t>
      </w:r>
      <w:r w:rsidRPr="00525E9E">
        <w:rPr>
          <w:rFonts w:ascii="Times New Roman" w:hAnsi="Times New Roman" w:cs="Times New Roman"/>
          <w:szCs w:val="24"/>
          <w:lang w:bidi="ar-SA"/>
        </w:rPr>
        <w:t xml:space="preserve"> where evidence is available (e.g., DHA 500 mg/day).</w:t>
      </w:r>
    </w:p>
    <w:p w14:paraId="294AAE15" w14:textId="2596391F" w:rsidR="00C92882" w:rsidRDefault="00C92882">
      <w:pPr>
        <w:pStyle w:val="CommentText"/>
      </w:pPr>
    </w:p>
  </w:comment>
  <w:comment w:id="8" w:author="Mizanur Rahman" w:date="2025-05-11T13:13:00Z" w:initials="MR">
    <w:p w14:paraId="3CDA42DE" w14:textId="77777777" w:rsidR="001133DF" w:rsidRPr="00525E9E" w:rsidRDefault="001133DF" w:rsidP="001133DF">
      <w:pPr>
        <w:spacing w:after="200" w:line="276" w:lineRule="auto"/>
        <w:rPr>
          <w:rFonts w:ascii="Times New Roman" w:hAnsi="Times New Roman" w:cs="Times New Roman"/>
          <w:lang w:bidi="ar-SA"/>
        </w:rPr>
      </w:pPr>
      <w:r>
        <w:rPr>
          <w:rStyle w:val="CommentReference"/>
        </w:rPr>
        <w:annotationRef/>
      </w:r>
      <w:r w:rsidRPr="00525E9E">
        <w:rPr>
          <w:rFonts w:ascii="Times New Roman" w:hAnsi="Times New Roman" w:cs="Times New Roman"/>
          <w:lang w:bidi="ar-SA"/>
        </w:rPr>
        <w:t xml:space="preserve">Add more </w:t>
      </w:r>
      <w:r w:rsidRPr="00525E9E">
        <w:rPr>
          <w:rFonts w:ascii="Times New Roman" w:hAnsi="Times New Roman" w:cs="Times New Roman"/>
          <w:b/>
          <w:bCs/>
          <w:lang w:bidi="ar-SA"/>
        </w:rPr>
        <w:t>comparative or control group outcomes</w:t>
      </w:r>
      <w:r w:rsidRPr="00525E9E">
        <w:rPr>
          <w:rFonts w:ascii="Times New Roman" w:hAnsi="Times New Roman" w:cs="Times New Roman"/>
          <w:lang w:bidi="ar-SA"/>
        </w:rPr>
        <w:t>.</w:t>
      </w:r>
    </w:p>
    <w:p w14:paraId="1C441BC9" w14:textId="77777777" w:rsidR="001133DF" w:rsidRPr="00525E9E" w:rsidRDefault="001133DF" w:rsidP="001133DF">
      <w:pPr>
        <w:spacing w:after="200" w:line="276" w:lineRule="auto"/>
        <w:rPr>
          <w:rFonts w:ascii="Times New Roman" w:hAnsi="Times New Roman" w:cs="Times New Roman"/>
          <w:lang w:bidi="ar-SA"/>
        </w:rPr>
      </w:pPr>
      <w:r w:rsidRPr="00525E9E">
        <w:rPr>
          <w:rFonts w:ascii="Times New Roman" w:hAnsi="Times New Roman" w:cs="Times New Roman"/>
          <w:lang w:bidi="ar-SA"/>
        </w:rPr>
        <w:t>Clarify study design—RCTs vs observational.</w:t>
      </w:r>
    </w:p>
    <w:p w14:paraId="58A823F7" w14:textId="7BEABF63" w:rsidR="001133DF" w:rsidRPr="001133DF" w:rsidRDefault="001133DF">
      <w:pPr>
        <w:pStyle w:val="CommentText"/>
        <w:rPr>
          <w:rFonts w:ascii="Times New Roman" w:hAnsi="Times New Roman" w:cs="Times New Roman"/>
        </w:rPr>
      </w:pPr>
    </w:p>
  </w:comment>
  <w:comment w:id="9" w:author="Mizanur Rahman" w:date="2025-05-11T13:14:00Z" w:initials="MR">
    <w:p w14:paraId="34DB6027" w14:textId="7DB12697" w:rsidR="001133DF" w:rsidRPr="001133DF" w:rsidRDefault="001133DF" w:rsidP="001133DF">
      <w:pPr>
        <w:spacing w:after="200" w:line="276" w:lineRule="auto"/>
        <w:rPr>
          <w:rFonts w:ascii="Times New Roman" w:hAnsi="Times New Roman" w:cs="Times New Roman"/>
          <w:szCs w:val="24"/>
          <w:lang w:bidi="ar-SA"/>
        </w:rPr>
      </w:pPr>
      <w:r>
        <w:rPr>
          <w:rStyle w:val="CommentReference"/>
        </w:rPr>
        <w:annotationRef/>
      </w:r>
      <w:r w:rsidRPr="00525E9E">
        <w:rPr>
          <w:rFonts w:ascii="Times New Roman" w:hAnsi="Times New Roman" w:cs="Times New Roman"/>
          <w:szCs w:val="24"/>
          <w:lang w:bidi="ar-SA"/>
        </w:rPr>
        <w:t>Use figures or flowcharts to show mechanistic pathways.</w:t>
      </w:r>
      <w:r>
        <w:rPr>
          <w:rFonts w:ascii="Times New Roman" w:hAnsi="Times New Roman" w:cs="Times New Roman"/>
          <w:szCs w:val="24"/>
          <w:lang w:bidi="ar-SA"/>
        </w:rPr>
        <w:t xml:space="preserve"> </w:t>
      </w:r>
      <w:r w:rsidRPr="00525E9E">
        <w:rPr>
          <w:rFonts w:ascii="Times New Roman" w:hAnsi="Times New Roman" w:cs="Times New Roman"/>
          <w:szCs w:val="24"/>
          <w:lang w:bidi="ar-SA"/>
        </w:rPr>
        <w:t>Discuss possible confounders or limitations of each mechanism's supporting evidence.</w:t>
      </w:r>
    </w:p>
  </w:comment>
  <w:comment w:id="10" w:author="Mizanur Rahman" w:date="2025-05-11T13:16:00Z" w:initials="MR">
    <w:p w14:paraId="58F3C420" w14:textId="18BFEBD5" w:rsidR="001133DF" w:rsidRPr="00777180" w:rsidRDefault="001133DF">
      <w:pPr>
        <w:pStyle w:val="CommentText"/>
        <w:rPr>
          <w:rFonts w:ascii="Times New Roman" w:hAnsi="Times New Roman" w:cs="Times New Roman"/>
        </w:rPr>
      </w:pPr>
      <w:r>
        <w:rPr>
          <w:rStyle w:val="CommentReference"/>
        </w:rPr>
        <w:annotationRef/>
      </w:r>
      <w:r w:rsidR="00777180" w:rsidRPr="00777180">
        <w:rPr>
          <w:rFonts w:ascii="Times New Roman" w:hAnsi="Times New Roman" w:cs="Times New Roman"/>
        </w:rPr>
        <w:t xml:space="preserve">Please </w:t>
      </w:r>
      <w:r w:rsidR="00777180">
        <w:rPr>
          <w:rFonts w:ascii="Times New Roman" w:hAnsi="Times New Roman" w:cs="Times New Roman"/>
        </w:rPr>
        <w:t>follow</w:t>
      </w:r>
      <w:r w:rsidR="00777180" w:rsidRPr="00777180">
        <w:rPr>
          <w:rFonts w:ascii="Times New Roman" w:hAnsi="Times New Roman" w:cs="Times New Roman"/>
        </w:rPr>
        <w:t xml:space="preserve"> the </w:t>
      </w:r>
      <w:r w:rsidR="00777180" w:rsidRPr="00525E9E">
        <w:rPr>
          <w:rFonts w:ascii="Times New Roman" w:hAnsi="Times New Roman" w:cs="Times New Roman"/>
          <w:lang w:bidi="ar-SA"/>
        </w:rPr>
        <w:t>WHO guidelines</w:t>
      </w:r>
    </w:p>
  </w:comment>
  <w:comment w:id="11" w:author="Mizanur Rahman" w:date="2025-05-11T14:39:00Z" w:initials="MR">
    <w:p w14:paraId="4E0412CC" w14:textId="1E4F2631" w:rsidR="00777180" w:rsidRPr="00777180" w:rsidRDefault="00777180">
      <w:pPr>
        <w:pStyle w:val="CommentText"/>
        <w:rPr>
          <w:rFonts w:ascii="Times New Roman" w:hAnsi="Times New Roman" w:cs="Times New Roman"/>
        </w:rPr>
      </w:pPr>
      <w:r>
        <w:rPr>
          <w:rStyle w:val="CommentReference"/>
        </w:rPr>
        <w:annotationRef/>
      </w:r>
      <w:r w:rsidRPr="00525E9E">
        <w:rPr>
          <w:rFonts w:ascii="Times New Roman" w:hAnsi="Times New Roman" w:cs="Times New Roman"/>
          <w:lang w:bidi="ar-SA"/>
        </w:rPr>
        <w:t xml:space="preserve">Add a subsection comparing nutraceutical use across countries </w:t>
      </w:r>
    </w:p>
  </w:comment>
  <w:comment w:id="12" w:author="Mizanur Rahman" w:date="2025-05-11T14:40:00Z" w:initials="MR">
    <w:p w14:paraId="0C71DFBB" w14:textId="0A9BBB70" w:rsidR="00777180" w:rsidRPr="00777180" w:rsidRDefault="00777180">
      <w:pPr>
        <w:pStyle w:val="CommentText"/>
        <w:rPr>
          <w:rFonts w:ascii="Times New Roman" w:hAnsi="Times New Roman" w:cs="Times New Roman"/>
        </w:rPr>
      </w:pPr>
      <w:r>
        <w:rPr>
          <w:rStyle w:val="CommentReference"/>
        </w:rPr>
        <w:annotationRef/>
      </w:r>
      <w:r w:rsidRPr="00525E9E">
        <w:rPr>
          <w:rFonts w:ascii="Times New Roman" w:hAnsi="Times New Roman" w:cs="Times New Roman"/>
          <w:lang w:bidi="ar-SA"/>
        </w:rPr>
        <w:t xml:space="preserve">Add a sentence </w:t>
      </w:r>
      <w:r w:rsidRPr="00777180">
        <w:rPr>
          <w:rFonts w:ascii="Times New Roman" w:hAnsi="Times New Roman" w:cs="Times New Roman"/>
          <w:lang w:bidi="ar-SA"/>
        </w:rPr>
        <w:t>summarising</w:t>
      </w:r>
      <w:r w:rsidRPr="00525E9E">
        <w:rPr>
          <w:rFonts w:ascii="Times New Roman" w:hAnsi="Times New Roman" w:cs="Times New Roman"/>
          <w:lang w:bidi="ar-SA"/>
        </w:rPr>
        <w:t xml:space="preserve"> </w:t>
      </w:r>
      <w:r w:rsidRPr="00777180">
        <w:rPr>
          <w:rFonts w:ascii="Times New Roman" w:hAnsi="Times New Roman" w:cs="Times New Roman"/>
          <w:lang w:bidi="ar-SA"/>
        </w:rPr>
        <w:t xml:space="preserve">the </w:t>
      </w:r>
      <w:r w:rsidRPr="00525E9E">
        <w:rPr>
          <w:rFonts w:ascii="Times New Roman" w:hAnsi="Times New Roman" w:cs="Times New Roman"/>
          <w:lang w:bidi="ar-SA"/>
        </w:rPr>
        <w:t xml:space="preserve">next research steps, </w:t>
      </w:r>
      <w:r>
        <w:rPr>
          <w:rFonts w:ascii="Times New Roman" w:hAnsi="Times New Roman" w:cs="Times New Roman"/>
          <w:lang w:bidi="ar-SA"/>
        </w:rPr>
        <w:t xml:space="preserve">Example </w:t>
      </w:r>
      <w:r w:rsidRPr="00525E9E">
        <w:rPr>
          <w:rFonts w:ascii="Times New Roman" w:hAnsi="Times New Roman" w:cs="Times New Roman"/>
          <w:lang w:bidi="ar-SA"/>
        </w:rPr>
        <w:t xml:space="preserve">Future </w:t>
      </w:r>
      <w:r w:rsidRPr="00525E9E">
        <w:rPr>
          <w:rFonts w:ascii="Times New Roman" w:hAnsi="Times New Roman" w:cs="Times New Roman"/>
          <w:lang w:bidi="ar-SA"/>
        </w:rPr>
        <w:t>multicentre</w:t>
      </w:r>
      <w:r w:rsidRPr="00525E9E">
        <w:rPr>
          <w:rFonts w:ascii="Times New Roman" w:hAnsi="Times New Roman" w:cs="Times New Roman"/>
          <w:lang w:bidi="ar-SA"/>
        </w:rPr>
        <w:t xml:space="preserve"> trials should investigate</w:t>
      </w:r>
    </w:p>
  </w:comment>
  <w:comment w:id="13" w:author="Mizanur Rahman" w:date="2025-05-11T14:42:00Z" w:initials="MR">
    <w:p w14:paraId="12C8FEC2" w14:textId="110F3567" w:rsidR="00777180" w:rsidRPr="00525E9E" w:rsidRDefault="00777180" w:rsidP="00777180">
      <w:pPr>
        <w:spacing w:after="200" w:line="276" w:lineRule="auto"/>
        <w:rPr>
          <w:rFonts w:ascii="Times New Roman" w:hAnsi="Times New Roman" w:cs="Times New Roman"/>
          <w:lang w:bidi="ar-SA"/>
        </w:rPr>
      </w:pPr>
      <w:r>
        <w:rPr>
          <w:rStyle w:val="CommentReference"/>
        </w:rPr>
        <w:annotationRef/>
      </w:r>
      <w:r w:rsidRPr="00525E9E">
        <w:rPr>
          <w:lang w:bidi="ar-SA"/>
        </w:rPr>
        <w:t xml:space="preserve"> </w:t>
      </w:r>
      <w:r w:rsidRPr="00525E9E">
        <w:rPr>
          <w:rFonts w:ascii="Times New Roman" w:hAnsi="Times New Roman" w:cs="Times New Roman"/>
          <w:lang w:bidi="ar-SA"/>
        </w:rPr>
        <w:t>appear mismatched to the in-text claims.</w:t>
      </w:r>
    </w:p>
    <w:p w14:paraId="5789CC5C" w14:textId="43E20343" w:rsidR="00777180" w:rsidRDefault="0077718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8E530" w15:done="0"/>
  <w15:commentEx w15:paraId="06A36B6A" w15:done="0"/>
  <w15:commentEx w15:paraId="5425F323" w15:done="0"/>
  <w15:commentEx w15:paraId="144E4676" w15:done="0"/>
  <w15:commentEx w15:paraId="20E59117" w15:done="0"/>
  <w15:commentEx w15:paraId="3E53229B" w15:done="0"/>
  <w15:commentEx w15:paraId="0CE8A1C0" w15:done="0"/>
  <w15:commentEx w15:paraId="294AAE15" w15:done="0"/>
  <w15:commentEx w15:paraId="58A823F7" w15:done="0"/>
  <w15:commentEx w15:paraId="34DB6027" w15:done="0"/>
  <w15:commentEx w15:paraId="58F3C420" w15:done="0"/>
  <w15:commentEx w15:paraId="4E0412CC" w15:done="0"/>
  <w15:commentEx w15:paraId="0C71DFBB" w15:done="0"/>
  <w15:commentEx w15:paraId="5789C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E6FD3" w16cex:dateUtc="2025-05-11T04:58:00Z"/>
  <w16cex:commentExtensible w16cex:durableId="654356F5" w16cex:dateUtc="2025-05-11T05:00:00Z"/>
  <w16cex:commentExtensible w16cex:durableId="0B58C77B" w16cex:dateUtc="2025-05-11T05:02:00Z"/>
  <w16cex:commentExtensible w16cex:durableId="764DEF3D" w16cex:dateUtc="2025-05-11T05:05:00Z"/>
  <w16cex:commentExtensible w16cex:durableId="1344B009" w16cex:dateUtc="2025-05-11T05:09:00Z"/>
  <w16cex:commentExtensible w16cex:durableId="30238912" w16cex:dateUtc="2025-05-11T05:10:00Z"/>
  <w16cex:commentExtensible w16cex:durableId="1BA3E16D" w16cex:dateUtc="2025-05-11T05:10:00Z"/>
  <w16cex:commentExtensible w16cex:durableId="12D6024E" w16cex:dateUtc="2025-05-11T05:12:00Z"/>
  <w16cex:commentExtensible w16cex:durableId="610848DE" w16cex:dateUtc="2025-05-11T05:13:00Z"/>
  <w16cex:commentExtensible w16cex:durableId="23C17931" w16cex:dateUtc="2025-05-11T05:14:00Z"/>
  <w16cex:commentExtensible w16cex:durableId="648E7A2C" w16cex:dateUtc="2025-05-11T05:16:00Z"/>
  <w16cex:commentExtensible w16cex:durableId="52D54CCA" w16cex:dateUtc="2025-05-11T06:39:00Z"/>
  <w16cex:commentExtensible w16cex:durableId="361427E0" w16cex:dateUtc="2025-05-11T06:40:00Z"/>
  <w16cex:commentExtensible w16cex:durableId="63AECC69" w16cex:dateUtc="2025-05-1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8E530" w16cid:durableId="2E0E6FD3"/>
  <w16cid:commentId w16cid:paraId="06A36B6A" w16cid:durableId="654356F5"/>
  <w16cid:commentId w16cid:paraId="5425F323" w16cid:durableId="0B58C77B"/>
  <w16cid:commentId w16cid:paraId="144E4676" w16cid:durableId="764DEF3D"/>
  <w16cid:commentId w16cid:paraId="20E59117" w16cid:durableId="1344B009"/>
  <w16cid:commentId w16cid:paraId="3E53229B" w16cid:durableId="30238912"/>
  <w16cid:commentId w16cid:paraId="0CE8A1C0" w16cid:durableId="1BA3E16D"/>
  <w16cid:commentId w16cid:paraId="294AAE15" w16cid:durableId="12D6024E"/>
  <w16cid:commentId w16cid:paraId="58A823F7" w16cid:durableId="610848DE"/>
  <w16cid:commentId w16cid:paraId="34DB6027" w16cid:durableId="23C17931"/>
  <w16cid:commentId w16cid:paraId="58F3C420" w16cid:durableId="648E7A2C"/>
  <w16cid:commentId w16cid:paraId="4E0412CC" w16cid:durableId="52D54CCA"/>
  <w16cid:commentId w16cid:paraId="0C71DFBB" w16cid:durableId="361427E0"/>
  <w16cid:commentId w16cid:paraId="5789CC5C" w16cid:durableId="63AEC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5E2C" w14:textId="77777777" w:rsidR="000D3D73" w:rsidRDefault="000D3D73" w:rsidP="00AC04F3">
      <w:pPr>
        <w:spacing w:after="0" w:line="240" w:lineRule="auto"/>
      </w:pPr>
      <w:r>
        <w:separator/>
      </w:r>
    </w:p>
  </w:endnote>
  <w:endnote w:type="continuationSeparator" w:id="0">
    <w:p w14:paraId="371C8E93" w14:textId="77777777" w:rsidR="000D3D73" w:rsidRDefault="000D3D73" w:rsidP="00AC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F54A" w14:textId="77777777" w:rsidR="00AC04F3" w:rsidRDefault="00AC0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2545" w14:textId="77777777" w:rsidR="00AC04F3" w:rsidRDefault="00AC0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DD1C" w14:textId="77777777" w:rsidR="00AC04F3" w:rsidRDefault="00AC0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938A" w14:textId="77777777" w:rsidR="000D3D73" w:rsidRDefault="000D3D73" w:rsidP="00AC04F3">
      <w:pPr>
        <w:spacing w:after="0" w:line="240" w:lineRule="auto"/>
      </w:pPr>
      <w:r>
        <w:separator/>
      </w:r>
    </w:p>
  </w:footnote>
  <w:footnote w:type="continuationSeparator" w:id="0">
    <w:p w14:paraId="31E04B58" w14:textId="77777777" w:rsidR="000D3D73" w:rsidRDefault="000D3D73" w:rsidP="00AC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9693" w14:textId="413A7DF5" w:rsidR="00AC04F3" w:rsidRDefault="00000000">
    <w:pPr>
      <w:pStyle w:val="Header"/>
    </w:pPr>
    <w:r>
      <w:rPr>
        <w:noProof/>
      </w:rPr>
      <w:pict w14:anchorId="61ACE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03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C394" w14:textId="596BD644" w:rsidR="00AC04F3" w:rsidRDefault="00000000">
    <w:pPr>
      <w:pStyle w:val="Header"/>
    </w:pPr>
    <w:r>
      <w:rPr>
        <w:noProof/>
      </w:rPr>
      <w:pict w14:anchorId="297DC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03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850A" w14:textId="3CE9D5B1" w:rsidR="00AC04F3" w:rsidRDefault="00000000">
    <w:pPr>
      <w:pStyle w:val="Header"/>
    </w:pPr>
    <w:r>
      <w:rPr>
        <w:noProof/>
      </w:rPr>
      <w:pict w14:anchorId="0D8ED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03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E99"/>
    <w:multiLevelType w:val="multilevel"/>
    <w:tmpl w:val="72EE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618D5"/>
    <w:multiLevelType w:val="multilevel"/>
    <w:tmpl w:val="D60E6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3735B"/>
    <w:multiLevelType w:val="multilevel"/>
    <w:tmpl w:val="66E6ED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3200646"/>
    <w:multiLevelType w:val="multilevel"/>
    <w:tmpl w:val="D5DAA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4544841"/>
    <w:multiLevelType w:val="multilevel"/>
    <w:tmpl w:val="3ED8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46FF5"/>
    <w:multiLevelType w:val="multilevel"/>
    <w:tmpl w:val="BABE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45422"/>
    <w:multiLevelType w:val="multilevel"/>
    <w:tmpl w:val="B50AD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D3851CB"/>
    <w:multiLevelType w:val="multilevel"/>
    <w:tmpl w:val="4BE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E498B"/>
    <w:multiLevelType w:val="hybridMultilevel"/>
    <w:tmpl w:val="1A22F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133EC"/>
    <w:multiLevelType w:val="multilevel"/>
    <w:tmpl w:val="35880B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68C66D3"/>
    <w:multiLevelType w:val="multilevel"/>
    <w:tmpl w:val="DC3C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F70FE"/>
    <w:multiLevelType w:val="multilevel"/>
    <w:tmpl w:val="0D4EE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253477">
    <w:abstractNumId w:val="3"/>
  </w:num>
  <w:num w:numId="2" w16cid:durableId="1577520142">
    <w:abstractNumId w:val="6"/>
  </w:num>
  <w:num w:numId="3" w16cid:durableId="102916951">
    <w:abstractNumId w:val="2"/>
  </w:num>
  <w:num w:numId="4" w16cid:durableId="1785225554">
    <w:abstractNumId w:val="7"/>
  </w:num>
  <w:num w:numId="5" w16cid:durableId="1842888467">
    <w:abstractNumId w:val="9"/>
  </w:num>
  <w:num w:numId="6" w16cid:durableId="322241115">
    <w:abstractNumId w:val="8"/>
  </w:num>
  <w:num w:numId="7" w16cid:durableId="2074431022">
    <w:abstractNumId w:val="10"/>
  </w:num>
  <w:num w:numId="8" w16cid:durableId="1393196278">
    <w:abstractNumId w:val="11"/>
  </w:num>
  <w:num w:numId="9" w16cid:durableId="1548250586">
    <w:abstractNumId w:val="5"/>
  </w:num>
  <w:num w:numId="10" w16cid:durableId="797644565">
    <w:abstractNumId w:val="1"/>
  </w:num>
  <w:num w:numId="11" w16cid:durableId="539588228">
    <w:abstractNumId w:val="4"/>
  </w:num>
  <w:num w:numId="12" w16cid:durableId="6731874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zanur Rahman">
    <w15:presenceInfo w15:providerId="Windows Live" w15:userId="7d74e6edaac6c5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45"/>
    <w:rsid w:val="0005084E"/>
    <w:rsid w:val="00052C1E"/>
    <w:rsid w:val="00055759"/>
    <w:rsid w:val="00092E39"/>
    <w:rsid w:val="000D3D73"/>
    <w:rsid w:val="001133DF"/>
    <w:rsid w:val="001E5A5F"/>
    <w:rsid w:val="002614CB"/>
    <w:rsid w:val="002E5E10"/>
    <w:rsid w:val="002E7A3B"/>
    <w:rsid w:val="00322C7A"/>
    <w:rsid w:val="00330BFE"/>
    <w:rsid w:val="003E66A8"/>
    <w:rsid w:val="004071CE"/>
    <w:rsid w:val="0055365D"/>
    <w:rsid w:val="0068226E"/>
    <w:rsid w:val="00694F8B"/>
    <w:rsid w:val="00777180"/>
    <w:rsid w:val="00782BF5"/>
    <w:rsid w:val="007878CA"/>
    <w:rsid w:val="007B1EB2"/>
    <w:rsid w:val="007F2BEE"/>
    <w:rsid w:val="00852ACD"/>
    <w:rsid w:val="00862283"/>
    <w:rsid w:val="00874B42"/>
    <w:rsid w:val="009F33C3"/>
    <w:rsid w:val="009F6A45"/>
    <w:rsid w:val="00AC04F3"/>
    <w:rsid w:val="00B573D6"/>
    <w:rsid w:val="00BA0BB3"/>
    <w:rsid w:val="00C92882"/>
    <w:rsid w:val="00D44976"/>
    <w:rsid w:val="00D87047"/>
    <w:rsid w:val="00E34553"/>
    <w:rsid w:val="00E4523A"/>
    <w:rsid w:val="00E877D2"/>
    <w:rsid w:val="00F1450A"/>
    <w:rsid w:val="00F945A8"/>
    <w:rsid w:val="00FD5B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DC17A"/>
  <w15:chartTrackingRefBased/>
  <w15:docId w15:val="{A6660024-8656-CD47-A175-8BD5DDEE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A4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F6A4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F6A4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F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A4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F6A4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F6A4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F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A45"/>
    <w:rPr>
      <w:rFonts w:eastAsiaTheme="majorEastAsia" w:cstheme="majorBidi"/>
      <w:color w:val="272727" w:themeColor="text1" w:themeTint="D8"/>
    </w:rPr>
  </w:style>
  <w:style w:type="paragraph" w:styleId="Title">
    <w:name w:val="Title"/>
    <w:basedOn w:val="Normal"/>
    <w:next w:val="Normal"/>
    <w:link w:val="TitleChar"/>
    <w:uiPriority w:val="10"/>
    <w:qFormat/>
    <w:rsid w:val="009F6A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F6A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F6A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F6A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F6A45"/>
    <w:pPr>
      <w:spacing w:before="160"/>
      <w:jc w:val="center"/>
    </w:pPr>
    <w:rPr>
      <w:i/>
      <w:iCs/>
      <w:color w:val="404040" w:themeColor="text1" w:themeTint="BF"/>
    </w:rPr>
  </w:style>
  <w:style w:type="character" w:customStyle="1" w:styleId="QuoteChar">
    <w:name w:val="Quote Char"/>
    <w:basedOn w:val="DefaultParagraphFont"/>
    <w:link w:val="Quote"/>
    <w:uiPriority w:val="29"/>
    <w:rsid w:val="009F6A45"/>
    <w:rPr>
      <w:i/>
      <w:iCs/>
      <w:color w:val="404040" w:themeColor="text1" w:themeTint="BF"/>
    </w:rPr>
  </w:style>
  <w:style w:type="paragraph" w:styleId="ListParagraph">
    <w:name w:val="List Paragraph"/>
    <w:basedOn w:val="Normal"/>
    <w:uiPriority w:val="34"/>
    <w:qFormat/>
    <w:rsid w:val="009F6A45"/>
    <w:pPr>
      <w:ind w:left="720"/>
      <w:contextualSpacing/>
    </w:pPr>
  </w:style>
  <w:style w:type="character" w:styleId="IntenseEmphasis">
    <w:name w:val="Intense Emphasis"/>
    <w:basedOn w:val="DefaultParagraphFont"/>
    <w:uiPriority w:val="21"/>
    <w:qFormat/>
    <w:rsid w:val="009F6A45"/>
    <w:rPr>
      <w:i/>
      <w:iCs/>
      <w:color w:val="0F4761" w:themeColor="accent1" w:themeShade="BF"/>
    </w:rPr>
  </w:style>
  <w:style w:type="paragraph" w:styleId="IntenseQuote">
    <w:name w:val="Intense Quote"/>
    <w:basedOn w:val="Normal"/>
    <w:next w:val="Normal"/>
    <w:link w:val="IntenseQuoteChar"/>
    <w:uiPriority w:val="30"/>
    <w:qFormat/>
    <w:rsid w:val="009F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A45"/>
    <w:rPr>
      <w:i/>
      <w:iCs/>
      <w:color w:val="0F4761" w:themeColor="accent1" w:themeShade="BF"/>
    </w:rPr>
  </w:style>
  <w:style w:type="character" w:styleId="IntenseReference">
    <w:name w:val="Intense Reference"/>
    <w:basedOn w:val="DefaultParagraphFont"/>
    <w:uiPriority w:val="32"/>
    <w:qFormat/>
    <w:rsid w:val="009F6A45"/>
    <w:rPr>
      <w:b/>
      <w:bCs/>
      <w:smallCaps/>
      <w:color w:val="0F4761" w:themeColor="accent1" w:themeShade="BF"/>
      <w:spacing w:val="5"/>
    </w:rPr>
  </w:style>
  <w:style w:type="character" w:styleId="Hyperlink">
    <w:name w:val="Hyperlink"/>
    <w:basedOn w:val="DefaultParagraphFont"/>
    <w:uiPriority w:val="99"/>
    <w:unhideWhenUsed/>
    <w:rsid w:val="0005084E"/>
    <w:rPr>
      <w:color w:val="467886" w:themeColor="hyperlink"/>
      <w:u w:val="single"/>
    </w:rPr>
  </w:style>
  <w:style w:type="character" w:styleId="UnresolvedMention">
    <w:name w:val="Unresolved Mention"/>
    <w:basedOn w:val="DefaultParagraphFont"/>
    <w:uiPriority w:val="99"/>
    <w:semiHidden/>
    <w:unhideWhenUsed/>
    <w:rsid w:val="0005084E"/>
    <w:rPr>
      <w:color w:val="605E5C"/>
      <w:shd w:val="clear" w:color="auto" w:fill="E1DFDD"/>
    </w:rPr>
  </w:style>
  <w:style w:type="paragraph" w:styleId="Header">
    <w:name w:val="header"/>
    <w:basedOn w:val="Normal"/>
    <w:link w:val="HeaderChar"/>
    <w:uiPriority w:val="99"/>
    <w:unhideWhenUsed/>
    <w:rsid w:val="00AC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4F3"/>
  </w:style>
  <w:style w:type="paragraph" w:styleId="Footer">
    <w:name w:val="footer"/>
    <w:basedOn w:val="Normal"/>
    <w:link w:val="FooterChar"/>
    <w:uiPriority w:val="99"/>
    <w:unhideWhenUsed/>
    <w:rsid w:val="00AC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4F3"/>
  </w:style>
  <w:style w:type="character" w:styleId="CommentReference">
    <w:name w:val="annotation reference"/>
    <w:basedOn w:val="DefaultParagraphFont"/>
    <w:uiPriority w:val="99"/>
    <w:semiHidden/>
    <w:unhideWhenUsed/>
    <w:rsid w:val="00C92882"/>
    <w:rPr>
      <w:sz w:val="16"/>
      <w:szCs w:val="16"/>
    </w:rPr>
  </w:style>
  <w:style w:type="paragraph" w:styleId="CommentText">
    <w:name w:val="annotation text"/>
    <w:basedOn w:val="Normal"/>
    <w:link w:val="CommentTextChar"/>
    <w:uiPriority w:val="99"/>
    <w:semiHidden/>
    <w:unhideWhenUsed/>
    <w:rsid w:val="00C92882"/>
    <w:pPr>
      <w:spacing w:line="240" w:lineRule="auto"/>
    </w:pPr>
    <w:rPr>
      <w:sz w:val="20"/>
      <w:szCs w:val="18"/>
    </w:rPr>
  </w:style>
  <w:style w:type="character" w:customStyle="1" w:styleId="CommentTextChar">
    <w:name w:val="Comment Text Char"/>
    <w:basedOn w:val="DefaultParagraphFont"/>
    <w:link w:val="CommentText"/>
    <w:uiPriority w:val="99"/>
    <w:semiHidden/>
    <w:rsid w:val="00C92882"/>
    <w:rPr>
      <w:sz w:val="20"/>
      <w:szCs w:val="18"/>
    </w:rPr>
  </w:style>
  <w:style w:type="paragraph" w:styleId="CommentSubject">
    <w:name w:val="annotation subject"/>
    <w:basedOn w:val="CommentText"/>
    <w:next w:val="CommentText"/>
    <w:link w:val="CommentSubjectChar"/>
    <w:uiPriority w:val="99"/>
    <w:semiHidden/>
    <w:unhideWhenUsed/>
    <w:rsid w:val="00C92882"/>
    <w:rPr>
      <w:b/>
      <w:bCs/>
    </w:rPr>
  </w:style>
  <w:style w:type="character" w:customStyle="1" w:styleId="CommentSubjectChar">
    <w:name w:val="Comment Subject Char"/>
    <w:basedOn w:val="CommentTextChar"/>
    <w:link w:val="CommentSubject"/>
    <w:uiPriority w:val="99"/>
    <w:semiHidden/>
    <w:rsid w:val="00C9288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7426">
      <w:bodyDiv w:val="1"/>
      <w:marLeft w:val="0"/>
      <w:marRight w:val="0"/>
      <w:marTop w:val="0"/>
      <w:marBottom w:val="0"/>
      <w:divBdr>
        <w:top w:val="none" w:sz="0" w:space="0" w:color="auto"/>
        <w:left w:val="none" w:sz="0" w:space="0" w:color="auto"/>
        <w:bottom w:val="none" w:sz="0" w:space="0" w:color="auto"/>
        <w:right w:val="none" w:sz="0" w:space="0" w:color="auto"/>
      </w:divBdr>
    </w:div>
    <w:div w:id="280232466">
      <w:bodyDiv w:val="1"/>
      <w:marLeft w:val="0"/>
      <w:marRight w:val="0"/>
      <w:marTop w:val="0"/>
      <w:marBottom w:val="0"/>
      <w:divBdr>
        <w:top w:val="none" w:sz="0" w:space="0" w:color="auto"/>
        <w:left w:val="none" w:sz="0" w:space="0" w:color="auto"/>
        <w:bottom w:val="none" w:sz="0" w:space="0" w:color="auto"/>
        <w:right w:val="none" w:sz="0" w:space="0" w:color="auto"/>
      </w:divBdr>
    </w:div>
    <w:div w:id="354620614">
      <w:bodyDiv w:val="1"/>
      <w:marLeft w:val="0"/>
      <w:marRight w:val="0"/>
      <w:marTop w:val="0"/>
      <w:marBottom w:val="0"/>
      <w:divBdr>
        <w:top w:val="none" w:sz="0" w:space="0" w:color="auto"/>
        <w:left w:val="none" w:sz="0" w:space="0" w:color="auto"/>
        <w:bottom w:val="none" w:sz="0" w:space="0" w:color="auto"/>
        <w:right w:val="none" w:sz="0" w:space="0" w:color="auto"/>
      </w:divBdr>
      <w:divsChild>
        <w:div w:id="190923134">
          <w:marLeft w:val="0"/>
          <w:marRight w:val="0"/>
          <w:marTop w:val="0"/>
          <w:marBottom w:val="0"/>
          <w:divBdr>
            <w:top w:val="none" w:sz="0" w:space="0" w:color="auto"/>
            <w:left w:val="none" w:sz="0" w:space="0" w:color="auto"/>
            <w:bottom w:val="none" w:sz="0" w:space="0" w:color="auto"/>
            <w:right w:val="none" w:sz="0" w:space="0" w:color="auto"/>
          </w:divBdr>
          <w:divsChild>
            <w:div w:id="435950480">
              <w:marLeft w:val="0"/>
              <w:marRight w:val="0"/>
              <w:marTop w:val="0"/>
              <w:marBottom w:val="0"/>
              <w:divBdr>
                <w:top w:val="none" w:sz="0" w:space="0" w:color="auto"/>
                <w:left w:val="none" w:sz="0" w:space="0" w:color="auto"/>
                <w:bottom w:val="none" w:sz="0" w:space="0" w:color="auto"/>
                <w:right w:val="none" w:sz="0" w:space="0" w:color="auto"/>
              </w:divBdr>
              <w:divsChild>
                <w:div w:id="1817407323">
                  <w:marLeft w:val="0"/>
                  <w:marRight w:val="0"/>
                  <w:marTop w:val="0"/>
                  <w:marBottom w:val="0"/>
                  <w:divBdr>
                    <w:top w:val="none" w:sz="0" w:space="0" w:color="auto"/>
                    <w:left w:val="none" w:sz="0" w:space="0" w:color="auto"/>
                    <w:bottom w:val="none" w:sz="0" w:space="0" w:color="auto"/>
                    <w:right w:val="none" w:sz="0" w:space="0" w:color="auto"/>
                  </w:divBdr>
                  <w:divsChild>
                    <w:div w:id="466053801">
                      <w:marLeft w:val="0"/>
                      <w:marRight w:val="0"/>
                      <w:marTop w:val="0"/>
                      <w:marBottom w:val="0"/>
                      <w:divBdr>
                        <w:top w:val="none" w:sz="0" w:space="0" w:color="auto"/>
                        <w:left w:val="none" w:sz="0" w:space="0" w:color="auto"/>
                        <w:bottom w:val="none" w:sz="0" w:space="0" w:color="auto"/>
                        <w:right w:val="none" w:sz="0" w:space="0" w:color="auto"/>
                      </w:divBdr>
                      <w:divsChild>
                        <w:div w:id="1458252647">
                          <w:marLeft w:val="0"/>
                          <w:marRight w:val="0"/>
                          <w:marTop w:val="0"/>
                          <w:marBottom w:val="0"/>
                          <w:divBdr>
                            <w:top w:val="none" w:sz="0" w:space="0" w:color="auto"/>
                            <w:left w:val="none" w:sz="0" w:space="0" w:color="auto"/>
                            <w:bottom w:val="none" w:sz="0" w:space="0" w:color="auto"/>
                            <w:right w:val="none" w:sz="0" w:space="0" w:color="auto"/>
                          </w:divBdr>
                          <w:divsChild>
                            <w:div w:id="937295897">
                              <w:marLeft w:val="0"/>
                              <w:marRight w:val="0"/>
                              <w:marTop w:val="0"/>
                              <w:marBottom w:val="0"/>
                              <w:divBdr>
                                <w:top w:val="none" w:sz="0" w:space="0" w:color="auto"/>
                                <w:left w:val="none" w:sz="0" w:space="0" w:color="auto"/>
                                <w:bottom w:val="none" w:sz="0" w:space="0" w:color="auto"/>
                                <w:right w:val="none" w:sz="0" w:space="0" w:color="auto"/>
                              </w:divBdr>
                              <w:divsChild>
                                <w:div w:id="2143578408">
                                  <w:marLeft w:val="0"/>
                                  <w:marRight w:val="0"/>
                                  <w:marTop w:val="0"/>
                                  <w:marBottom w:val="0"/>
                                  <w:divBdr>
                                    <w:top w:val="none" w:sz="0" w:space="0" w:color="auto"/>
                                    <w:left w:val="none" w:sz="0" w:space="0" w:color="auto"/>
                                    <w:bottom w:val="none" w:sz="0" w:space="0" w:color="auto"/>
                                    <w:right w:val="none" w:sz="0" w:space="0" w:color="auto"/>
                                  </w:divBdr>
                                  <w:divsChild>
                                    <w:div w:id="4991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4627">
      <w:bodyDiv w:val="1"/>
      <w:marLeft w:val="0"/>
      <w:marRight w:val="0"/>
      <w:marTop w:val="0"/>
      <w:marBottom w:val="0"/>
      <w:divBdr>
        <w:top w:val="none" w:sz="0" w:space="0" w:color="auto"/>
        <w:left w:val="none" w:sz="0" w:space="0" w:color="auto"/>
        <w:bottom w:val="none" w:sz="0" w:space="0" w:color="auto"/>
        <w:right w:val="none" w:sz="0" w:space="0" w:color="auto"/>
      </w:divBdr>
    </w:div>
    <w:div w:id="432747829">
      <w:bodyDiv w:val="1"/>
      <w:marLeft w:val="0"/>
      <w:marRight w:val="0"/>
      <w:marTop w:val="0"/>
      <w:marBottom w:val="0"/>
      <w:divBdr>
        <w:top w:val="none" w:sz="0" w:space="0" w:color="auto"/>
        <w:left w:val="none" w:sz="0" w:space="0" w:color="auto"/>
        <w:bottom w:val="none" w:sz="0" w:space="0" w:color="auto"/>
        <w:right w:val="none" w:sz="0" w:space="0" w:color="auto"/>
      </w:divBdr>
    </w:div>
    <w:div w:id="598295579">
      <w:bodyDiv w:val="1"/>
      <w:marLeft w:val="0"/>
      <w:marRight w:val="0"/>
      <w:marTop w:val="0"/>
      <w:marBottom w:val="0"/>
      <w:divBdr>
        <w:top w:val="none" w:sz="0" w:space="0" w:color="auto"/>
        <w:left w:val="none" w:sz="0" w:space="0" w:color="auto"/>
        <w:bottom w:val="none" w:sz="0" w:space="0" w:color="auto"/>
        <w:right w:val="none" w:sz="0" w:space="0" w:color="auto"/>
      </w:divBdr>
    </w:div>
    <w:div w:id="672955027">
      <w:bodyDiv w:val="1"/>
      <w:marLeft w:val="0"/>
      <w:marRight w:val="0"/>
      <w:marTop w:val="0"/>
      <w:marBottom w:val="0"/>
      <w:divBdr>
        <w:top w:val="none" w:sz="0" w:space="0" w:color="auto"/>
        <w:left w:val="none" w:sz="0" w:space="0" w:color="auto"/>
        <w:bottom w:val="none" w:sz="0" w:space="0" w:color="auto"/>
        <w:right w:val="none" w:sz="0" w:space="0" w:color="auto"/>
      </w:divBdr>
      <w:divsChild>
        <w:div w:id="1607536805">
          <w:marLeft w:val="0"/>
          <w:marRight w:val="0"/>
          <w:marTop w:val="0"/>
          <w:marBottom w:val="0"/>
          <w:divBdr>
            <w:top w:val="none" w:sz="0" w:space="0" w:color="auto"/>
            <w:left w:val="none" w:sz="0" w:space="0" w:color="auto"/>
            <w:bottom w:val="none" w:sz="0" w:space="0" w:color="auto"/>
            <w:right w:val="none" w:sz="0" w:space="0" w:color="auto"/>
          </w:divBdr>
          <w:divsChild>
            <w:div w:id="604194106">
              <w:marLeft w:val="0"/>
              <w:marRight w:val="0"/>
              <w:marTop w:val="0"/>
              <w:marBottom w:val="0"/>
              <w:divBdr>
                <w:top w:val="none" w:sz="0" w:space="0" w:color="auto"/>
                <w:left w:val="none" w:sz="0" w:space="0" w:color="auto"/>
                <w:bottom w:val="none" w:sz="0" w:space="0" w:color="auto"/>
                <w:right w:val="none" w:sz="0" w:space="0" w:color="auto"/>
              </w:divBdr>
              <w:divsChild>
                <w:div w:id="337388671">
                  <w:marLeft w:val="0"/>
                  <w:marRight w:val="0"/>
                  <w:marTop w:val="0"/>
                  <w:marBottom w:val="0"/>
                  <w:divBdr>
                    <w:top w:val="none" w:sz="0" w:space="0" w:color="auto"/>
                    <w:left w:val="none" w:sz="0" w:space="0" w:color="auto"/>
                    <w:bottom w:val="none" w:sz="0" w:space="0" w:color="auto"/>
                    <w:right w:val="none" w:sz="0" w:space="0" w:color="auto"/>
                  </w:divBdr>
                  <w:divsChild>
                    <w:div w:id="515778089">
                      <w:marLeft w:val="0"/>
                      <w:marRight w:val="0"/>
                      <w:marTop w:val="0"/>
                      <w:marBottom w:val="0"/>
                      <w:divBdr>
                        <w:top w:val="none" w:sz="0" w:space="0" w:color="auto"/>
                        <w:left w:val="none" w:sz="0" w:space="0" w:color="auto"/>
                        <w:bottom w:val="none" w:sz="0" w:space="0" w:color="auto"/>
                        <w:right w:val="none" w:sz="0" w:space="0" w:color="auto"/>
                      </w:divBdr>
                      <w:divsChild>
                        <w:div w:id="1361662022">
                          <w:marLeft w:val="0"/>
                          <w:marRight w:val="0"/>
                          <w:marTop w:val="0"/>
                          <w:marBottom w:val="0"/>
                          <w:divBdr>
                            <w:top w:val="none" w:sz="0" w:space="0" w:color="auto"/>
                            <w:left w:val="none" w:sz="0" w:space="0" w:color="auto"/>
                            <w:bottom w:val="none" w:sz="0" w:space="0" w:color="auto"/>
                            <w:right w:val="none" w:sz="0" w:space="0" w:color="auto"/>
                          </w:divBdr>
                          <w:divsChild>
                            <w:div w:id="1007757567">
                              <w:marLeft w:val="0"/>
                              <w:marRight w:val="0"/>
                              <w:marTop w:val="0"/>
                              <w:marBottom w:val="0"/>
                              <w:divBdr>
                                <w:top w:val="none" w:sz="0" w:space="0" w:color="auto"/>
                                <w:left w:val="none" w:sz="0" w:space="0" w:color="auto"/>
                                <w:bottom w:val="none" w:sz="0" w:space="0" w:color="auto"/>
                                <w:right w:val="none" w:sz="0" w:space="0" w:color="auto"/>
                              </w:divBdr>
                              <w:divsChild>
                                <w:div w:id="1391078128">
                                  <w:marLeft w:val="0"/>
                                  <w:marRight w:val="0"/>
                                  <w:marTop w:val="0"/>
                                  <w:marBottom w:val="0"/>
                                  <w:divBdr>
                                    <w:top w:val="none" w:sz="0" w:space="0" w:color="auto"/>
                                    <w:left w:val="none" w:sz="0" w:space="0" w:color="auto"/>
                                    <w:bottom w:val="none" w:sz="0" w:space="0" w:color="auto"/>
                                    <w:right w:val="none" w:sz="0" w:space="0" w:color="auto"/>
                                  </w:divBdr>
                                  <w:divsChild>
                                    <w:div w:id="1278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25423">
      <w:bodyDiv w:val="1"/>
      <w:marLeft w:val="0"/>
      <w:marRight w:val="0"/>
      <w:marTop w:val="0"/>
      <w:marBottom w:val="0"/>
      <w:divBdr>
        <w:top w:val="none" w:sz="0" w:space="0" w:color="auto"/>
        <w:left w:val="none" w:sz="0" w:space="0" w:color="auto"/>
        <w:bottom w:val="none" w:sz="0" w:space="0" w:color="auto"/>
        <w:right w:val="none" w:sz="0" w:space="0" w:color="auto"/>
      </w:divBdr>
    </w:div>
    <w:div w:id="744229683">
      <w:bodyDiv w:val="1"/>
      <w:marLeft w:val="0"/>
      <w:marRight w:val="0"/>
      <w:marTop w:val="0"/>
      <w:marBottom w:val="0"/>
      <w:divBdr>
        <w:top w:val="none" w:sz="0" w:space="0" w:color="auto"/>
        <w:left w:val="none" w:sz="0" w:space="0" w:color="auto"/>
        <w:bottom w:val="none" w:sz="0" w:space="0" w:color="auto"/>
        <w:right w:val="none" w:sz="0" w:space="0" w:color="auto"/>
      </w:divBdr>
    </w:div>
    <w:div w:id="784082353">
      <w:bodyDiv w:val="1"/>
      <w:marLeft w:val="0"/>
      <w:marRight w:val="0"/>
      <w:marTop w:val="0"/>
      <w:marBottom w:val="0"/>
      <w:divBdr>
        <w:top w:val="none" w:sz="0" w:space="0" w:color="auto"/>
        <w:left w:val="none" w:sz="0" w:space="0" w:color="auto"/>
        <w:bottom w:val="none" w:sz="0" w:space="0" w:color="auto"/>
        <w:right w:val="none" w:sz="0" w:space="0" w:color="auto"/>
      </w:divBdr>
    </w:div>
    <w:div w:id="1005977889">
      <w:bodyDiv w:val="1"/>
      <w:marLeft w:val="0"/>
      <w:marRight w:val="0"/>
      <w:marTop w:val="0"/>
      <w:marBottom w:val="0"/>
      <w:divBdr>
        <w:top w:val="none" w:sz="0" w:space="0" w:color="auto"/>
        <w:left w:val="none" w:sz="0" w:space="0" w:color="auto"/>
        <w:bottom w:val="none" w:sz="0" w:space="0" w:color="auto"/>
        <w:right w:val="none" w:sz="0" w:space="0" w:color="auto"/>
      </w:divBdr>
    </w:div>
    <w:div w:id="1013383732">
      <w:bodyDiv w:val="1"/>
      <w:marLeft w:val="0"/>
      <w:marRight w:val="0"/>
      <w:marTop w:val="0"/>
      <w:marBottom w:val="0"/>
      <w:divBdr>
        <w:top w:val="none" w:sz="0" w:space="0" w:color="auto"/>
        <w:left w:val="none" w:sz="0" w:space="0" w:color="auto"/>
        <w:bottom w:val="none" w:sz="0" w:space="0" w:color="auto"/>
        <w:right w:val="none" w:sz="0" w:space="0" w:color="auto"/>
      </w:divBdr>
    </w:div>
    <w:div w:id="1049719917">
      <w:bodyDiv w:val="1"/>
      <w:marLeft w:val="0"/>
      <w:marRight w:val="0"/>
      <w:marTop w:val="0"/>
      <w:marBottom w:val="0"/>
      <w:divBdr>
        <w:top w:val="none" w:sz="0" w:space="0" w:color="auto"/>
        <w:left w:val="none" w:sz="0" w:space="0" w:color="auto"/>
        <w:bottom w:val="none" w:sz="0" w:space="0" w:color="auto"/>
        <w:right w:val="none" w:sz="0" w:space="0" w:color="auto"/>
      </w:divBdr>
    </w:div>
    <w:div w:id="1113939054">
      <w:bodyDiv w:val="1"/>
      <w:marLeft w:val="0"/>
      <w:marRight w:val="0"/>
      <w:marTop w:val="0"/>
      <w:marBottom w:val="0"/>
      <w:divBdr>
        <w:top w:val="none" w:sz="0" w:space="0" w:color="auto"/>
        <w:left w:val="none" w:sz="0" w:space="0" w:color="auto"/>
        <w:bottom w:val="none" w:sz="0" w:space="0" w:color="auto"/>
        <w:right w:val="none" w:sz="0" w:space="0" w:color="auto"/>
      </w:divBdr>
    </w:div>
    <w:div w:id="1279290296">
      <w:bodyDiv w:val="1"/>
      <w:marLeft w:val="0"/>
      <w:marRight w:val="0"/>
      <w:marTop w:val="0"/>
      <w:marBottom w:val="0"/>
      <w:divBdr>
        <w:top w:val="none" w:sz="0" w:space="0" w:color="auto"/>
        <w:left w:val="none" w:sz="0" w:space="0" w:color="auto"/>
        <w:bottom w:val="none" w:sz="0" w:space="0" w:color="auto"/>
        <w:right w:val="none" w:sz="0" w:space="0" w:color="auto"/>
      </w:divBdr>
    </w:div>
    <w:div w:id="1325939130">
      <w:bodyDiv w:val="1"/>
      <w:marLeft w:val="0"/>
      <w:marRight w:val="0"/>
      <w:marTop w:val="0"/>
      <w:marBottom w:val="0"/>
      <w:divBdr>
        <w:top w:val="none" w:sz="0" w:space="0" w:color="auto"/>
        <w:left w:val="none" w:sz="0" w:space="0" w:color="auto"/>
        <w:bottom w:val="none" w:sz="0" w:space="0" w:color="auto"/>
        <w:right w:val="none" w:sz="0" w:space="0" w:color="auto"/>
      </w:divBdr>
    </w:div>
    <w:div w:id="1383019432">
      <w:bodyDiv w:val="1"/>
      <w:marLeft w:val="0"/>
      <w:marRight w:val="0"/>
      <w:marTop w:val="0"/>
      <w:marBottom w:val="0"/>
      <w:divBdr>
        <w:top w:val="none" w:sz="0" w:space="0" w:color="auto"/>
        <w:left w:val="none" w:sz="0" w:space="0" w:color="auto"/>
        <w:bottom w:val="none" w:sz="0" w:space="0" w:color="auto"/>
        <w:right w:val="none" w:sz="0" w:space="0" w:color="auto"/>
      </w:divBdr>
    </w:div>
    <w:div w:id="1412771091">
      <w:bodyDiv w:val="1"/>
      <w:marLeft w:val="0"/>
      <w:marRight w:val="0"/>
      <w:marTop w:val="0"/>
      <w:marBottom w:val="0"/>
      <w:divBdr>
        <w:top w:val="none" w:sz="0" w:space="0" w:color="auto"/>
        <w:left w:val="none" w:sz="0" w:space="0" w:color="auto"/>
        <w:bottom w:val="none" w:sz="0" w:space="0" w:color="auto"/>
        <w:right w:val="none" w:sz="0" w:space="0" w:color="auto"/>
      </w:divBdr>
    </w:div>
    <w:div w:id="14754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18</Pages>
  <Words>4280</Words>
  <Characters>26925</Characters>
  <Application>Microsoft Office Word</Application>
  <DocSecurity>0</DocSecurity>
  <Lines>384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MRINAL SRIVASTAVA</dc:creator>
  <cp:keywords/>
  <dc:description/>
  <cp:lastModifiedBy>Mizanur Rahman</cp:lastModifiedBy>
  <cp:revision>6</cp:revision>
  <dcterms:created xsi:type="dcterms:W3CDTF">2025-05-11T03:36:00Z</dcterms:created>
  <dcterms:modified xsi:type="dcterms:W3CDTF">2025-05-11T06:42:00Z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43006626-c5e8-420d-a269-278106b95ce2</vt:lpwstr>
  </property>
</Properties>
</file>