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CA70" w14:textId="77777777" w:rsidR="00AC61D1" w:rsidRDefault="00AC61D1" w:rsidP="00685394">
      <w:pPr>
        <w:spacing w:line="360" w:lineRule="auto"/>
        <w:jc w:val="center"/>
        <w:rPr>
          <w:rFonts w:ascii="Arial" w:hAnsi="Arial" w:cs="Arial"/>
          <w:b/>
          <w:bCs/>
          <w:sz w:val="28"/>
          <w:szCs w:val="28"/>
        </w:rPr>
      </w:pPr>
      <w:r w:rsidRPr="00C91D7C">
        <w:rPr>
          <w:rFonts w:ascii="Arial" w:hAnsi="Arial" w:cs="Arial"/>
          <w:b/>
          <w:bCs/>
          <w:sz w:val="28"/>
          <w:szCs w:val="28"/>
        </w:rPr>
        <w:t>Global Market Analysis of India's Silk Industry: Trade Dynamics and Competitiveness Assessment</w:t>
      </w:r>
    </w:p>
    <w:p w14:paraId="40C73A7D" w14:textId="77777777" w:rsidR="00D65B73" w:rsidRPr="00C91D7C" w:rsidRDefault="00D65B73" w:rsidP="00685394">
      <w:pPr>
        <w:spacing w:line="360" w:lineRule="auto"/>
        <w:jc w:val="center"/>
        <w:rPr>
          <w:rFonts w:ascii="Arial" w:hAnsi="Arial" w:cs="Arial"/>
          <w:b/>
          <w:bCs/>
          <w:sz w:val="28"/>
          <w:szCs w:val="28"/>
        </w:rPr>
      </w:pPr>
    </w:p>
    <w:p w14:paraId="218740DA" w14:textId="77777777" w:rsidR="00CF09A9" w:rsidRDefault="00CF09A9" w:rsidP="00736AAF">
      <w:pPr>
        <w:tabs>
          <w:tab w:val="left" w:pos="1239"/>
        </w:tabs>
        <w:spacing w:line="360" w:lineRule="auto"/>
        <w:jc w:val="both"/>
        <w:rPr>
          <w:rStyle w:val="Hyperlink"/>
          <w:rFonts w:ascii="Arial" w:hAnsi="Arial" w:cs="Arial"/>
          <w:color w:val="000000" w:themeColor="text1"/>
          <w:u w:val="none"/>
          <w:shd w:val="clear" w:color="auto" w:fill="FFFFFF"/>
        </w:rPr>
      </w:pPr>
    </w:p>
    <w:p w14:paraId="26BBBEFE" w14:textId="77777777" w:rsidR="00CF09A9" w:rsidRDefault="00CF09A9" w:rsidP="00736AAF">
      <w:pPr>
        <w:tabs>
          <w:tab w:val="left" w:pos="1239"/>
        </w:tabs>
        <w:spacing w:line="360" w:lineRule="auto"/>
        <w:jc w:val="both"/>
        <w:rPr>
          <w:rStyle w:val="Hyperlink"/>
          <w:rFonts w:ascii="Arial" w:hAnsi="Arial" w:cs="Arial"/>
          <w:color w:val="000000" w:themeColor="text1"/>
          <w:u w:val="none"/>
          <w:shd w:val="clear" w:color="auto" w:fill="FFFFFF"/>
        </w:rPr>
      </w:pPr>
    </w:p>
    <w:p w14:paraId="5FE32058" w14:textId="5CCFB0BA" w:rsidR="00736AAF" w:rsidRPr="00C91D7C" w:rsidRDefault="00736AAF" w:rsidP="00736AAF">
      <w:pPr>
        <w:tabs>
          <w:tab w:val="left" w:pos="1239"/>
        </w:tabs>
        <w:spacing w:line="360" w:lineRule="auto"/>
        <w:jc w:val="both"/>
        <w:rPr>
          <w:rStyle w:val="Hyperlink"/>
          <w:rFonts w:ascii="Arial" w:hAnsi="Arial" w:cs="Arial"/>
          <w:b/>
          <w:bCs/>
          <w:color w:val="000000" w:themeColor="text1"/>
          <w:u w:val="none"/>
          <w:shd w:val="clear" w:color="auto" w:fill="FFFFFF"/>
        </w:rPr>
      </w:pP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b/>
          <w:bCs/>
          <w:color w:val="000000" w:themeColor="text1"/>
          <w:u w:val="none"/>
          <w:shd w:val="clear" w:color="auto" w:fill="FFFFFF"/>
        </w:rPr>
        <w:t>ABSTRACT</w:t>
      </w:r>
    </w:p>
    <w:p w14:paraId="275CBD84" w14:textId="77777777" w:rsidR="00D6445F" w:rsidRPr="00C91D7C" w:rsidRDefault="007E00D0" w:rsidP="00D6445F">
      <w:pPr>
        <w:tabs>
          <w:tab w:val="left" w:pos="0"/>
        </w:tabs>
        <w:spacing w:line="360" w:lineRule="auto"/>
        <w:jc w:val="both"/>
        <w:rPr>
          <w:rStyle w:val="Hyperlink"/>
          <w:rFonts w:ascii="Arial" w:hAnsi="Arial" w:cs="Arial"/>
          <w:color w:val="auto"/>
          <w:u w:val="none"/>
          <w:shd w:val="clear" w:color="auto" w:fill="FFFFFF"/>
        </w:rPr>
      </w:pPr>
      <w:r w:rsidRPr="00C91D7C">
        <w:rPr>
          <w:rStyle w:val="Hyperlink"/>
          <w:rFonts w:ascii="Arial" w:hAnsi="Arial" w:cs="Arial"/>
          <w:color w:val="000000" w:themeColor="text1"/>
          <w:u w:val="none"/>
          <w:shd w:val="clear" w:color="auto" w:fill="FFFFFF"/>
        </w:rPr>
        <w:tab/>
      </w:r>
      <w:r w:rsidR="00D6445F" w:rsidRPr="00C91D7C">
        <w:rPr>
          <w:rStyle w:val="Hyperlink"/>
          <w:rFonts w:ascii="Arial" w:hAnsi="Arial" w:cs="Arial"/>
          <w:color w:val="auto"/>
          <w:u w:val="none"/>
          <w:shd w:val="clear" w:color="auto" w:fill="FFFFFF"/>
        </w:rPr>
        <w:t>India's silk industry holds a significant position in the globa</w:t>
      </w:r>
      <w:r w:rsidR="00D66560" w:rsidRPr="00C91D7C">
        <w:rPr>
          <w:rStyle w:val="Hyperlink"/>
          <w:rFonts w:ascii="Arial" w:hAnsi="Arial" w:cs="Arial"/>
          <w:color w:val="auto"/>
          <w:u w:val="none"/>
          <w:shd w:val="clear" w:color="auto" w:fill="FFFFFF"/>
        </w:rPr>
        <w:t xml:space="preserve">l market, ranking as the second </w:t>
      </w:r>
      <w:r w:rsidR="00D6445F" w:rsidRPr="00C91D7C">
        <w:rPr>
          <w:rStyle w:val="Hyperlink"/>
          <w:rFonts w:ascii="Arial" w:hAnsi="Arial" w:cs="Arial"/>
          <w:color w:val="auto"/>
          <w:u w:val="none"/>
          <w:shd w:val="clear" w:color="auto" w:fill="FFFFFF"/>
        </w:rPr>
        <w:t>largest producer after China. An analysis of trade dynamics and competitiveness reveals notable trends in both exports and imports. Bangladesh leads India's export destinations with a robust Compound Annual Growth Rate (CAGR) of 21.63 per cent, followed by China at 8.01 per cent, indicating expanding market presence. On the import front, Vietnam and Brazil emerge as key suppliers, with high CAGRs of 42.03 per cent and 33.36per cent, respectively, suggesting growing dependence on these countries for raw silk or silk yarn. Revealed Comparative Advantage (RCA) analysis from 2011 to 2021 shows that Uzbekistan (25.04) and Romania (10.02) have shown comparative advantage and strong positions in silk exports, whereas two countries show a comparative disadvantage. Market concentration, the global silk export market has a high concentration with an HHI of 0.305, as per the thresholds defined by the UK CMA and US FTC. Meanwhile, global silk imports have an HHI of 0.194, indicating moderate concentration. India’s silk exports show an HHI of 0.188 moderate by UK standards but high by US standards suggesting limited export market diversification and dependency on select importing countries.</w:t>
      </w:r>
    </w:p>
    <w:p w14:paraId="2BDF39DC" w14:textId="77777777" w:rsidR="00736AAF" w:rsidRDefault="00736AAF" w:rsidP="00D6445F">
      <w:pPr>
        <w:tabs>
          <w:tab w:val="left" w:pos="0"/>
        </w:tabs>
        <w:spacing w:line="360" w:lineRule="auto"/>
        <w:jc w:val="both"/>
        <w:rPr>
          <w:rFonts w:ascii="Arial" w:hAnsi="Arial" w:cs="Arial"/>
        </w:rPr>
      </w:pPr>
      <w:r w:rsidRPr="00C91D7C">
        <w:rPr>
          <w:rFonts w:ascii="Arial" w:hAnsi="Arial" w:cs="Arial"/>
          <w:b/>
          <w:bCs/>
        </w:rPr>
        <w:t>Keywords:</w:t>
      </w:r>
      <w:r w:rsidRPr="00C91D7C">
        <w:rPr>
          <w:rFonts w:ascii="Arial" w:hAnsi="Arial" w:cs="Arial"/>
        </w:rPr>
        <w:t xml:space="preserve"> India's Silk Industry, Trade Dynamics, </w:t>
      </w:r>
      <w:r w:rsidR="00C91D7C">
        <w:rPr>
          <w:rFonts w:ascii="Arial" w:hAnsi="Arial" w:cs="Arial"/>
        </w:rPr>
        <w:t>Revealed Comparative Advantage, Silk Products and</w:t>
      </w:r>
      <w:r w:rsidRPr="00C91D7C">
        <w:rPr>
          <w:rFonts w:ascii="Arial" w:hAnsi="Arial" w:cs="Arial"/>
        </w:rPr>
        <w:t xml:space="preserve"> Market Concentration.</w:t>
      </w:r>
    </w:p>
    <w:p w14:paraId="5F9B4085" w14:textId="77777777" w:rsidR="00D65B73" w:rsidRDefault="00D65B73" w:rsidP="00D6445F">
      <w:pPr>
        <w:tabs>
          <w:tab w:val="left" w:pos="0"/>
        </w:tabs>
        <w:spacing w:line="360" w:lineRule="auto"/>
        <w:jc w:val="both"/>
        <w:rPr>
          <w:rFonts w:ascii="Arial" w:hAnsi="Arial" w:cs="Arial"/>
        </w:rPr>
      </w:pPr>
    </w:p>
    <w:p w14:paraId="47D87E44" w14:textId="77777777" w:rsidR="00D65B73" w:rsidRDefault="00D65B73" w:rsidP="00D6445F">
      <w:pPr>
        <w:tabs>
          <w:tab w:val="left" w:pos="0"/>
        </w:tabs>
        <w:spacing w:line="360" w:lineRule="auto"/>
        <w:jc w:val="both"/>
        <w:rPr>
          <w:rFonts w:ascii="Arial" w:hAnsi="Arial" w:cs="Arial"/>
        </w:rPr>
      </w:pPr>
    </w:p>
    <w:p w14:paraId="1D33FF39" w14:textId="77777777" w:rsidR="00D65B73" w:rsidRPr="00C91D7C" w:rsidRDefault="00D65B73" w:rsidP="00D6445F">
      <w:pPr>
        <w:tabs>
          <w:tab w:val="left" w:pos="0"/>
        </w:tabs>
        <w:spacing w:line="360" w:lineRule="auto"/>
        <w:jc w:val="both"/>
        <w:rPr>
          <w:rFonts w:ascii="Arial" w:hAnsi="Arial" w:cs="Arial"/>
        </w:rPr>
      </w:pPr>
    </w:p>
    <w:p w14:paraId="2DBB7CA6" w14:textId="77777777" w:rsidR="000C1AE7" w:rsidRPr="00C91D7C" w:rsidRDefault="000C1AE7" w:rsidP="00370518">
      <w:pPr>
        <w:pStyle w:val="ListParagraph"/>
        <w:numPr>
          <w:ilvl w:val="0"/>
          <w:numId w:val="6"/>
        </w:numPr>
        <w:spacing w:line="360" w:lineRule="auto"/>
        <w:ind w:left="284" w:hanging="284"/>
        <w:rPr>
          <w:rFonts w:ascii="Arial" w:hAnsi="Arial" w:cs="Arial"/>
          <w:b/>
          <w:bCs/>
        </w:rPr>
      </w:pPr>
      <w:r w:rsidRPr="00C91D7C">
        <w:rPr>
          <w:rFonts w:ascii="Arial" w:hAnsi="Arial" w:cs="Arial"/>
          <w:b/>
          <w:bCs/>
        </w:rPr>
        <w:t>Introduction</w:t>
      </w:r>
    </w:p>
    <w:p w14:paraId="0CA9A9F9" w14:textId="77777777" w:rsidR="00DB1351" w:rsidRPr="00C91D7C" w:rsidRDefault="00DB1351" w:rsidP="00AC61D1">
      <w:pPr>
        <w:spacing w:line="360" w:lineRule="auto"/>
        <w:jc w:val="both"/>
        <w:rPr>
          <w:rFonts w:ascii="Arial" w:hAnsi="Arial" w:cs="Arial"/>
        </w:rPr>
      </w:pPr>
      <w:r w:rsidRPr="00C91D7C">
        <w:rPr>
          <w:rFonts w:ascii="Arial" w:hAnsi="Arial" w:cs="Arial"/>
        </w:rPr>
        <w:tab/>
      </w:r>
      <w:r w:rsidR="006B147A" w:rsidRPr="00C91D7C">
        <w:rPr>
          <w:rFonts w:ascii="Arial" w:hAnsi="Arial" w:cs="Arial"/>
        </w:rPr>
        <w:t>India holds a prominent place in the global silk industry as the second largest producer of silk in the world and the only country that produces all five com</w:t>
      </w:r>
      <w:r w:rsidR="00D66560" w:rsidRPr="00C91D7C">
        <w:rPr>
          <w:rFonts w:ascii="Arial" w:hAnsi="Arial" w:cs="Arial"/>
        </w:rPr>
        <w:t xml:space="preserve">mercially significant varieties viz., </w:t>
      </w:r>
      <w:r w:rsidR="006B147A" w:rsidRPr="00C91D7C">
        <w:rPr>
          <w:rFonts w:ascii="Arial" w:hAnsi="Arial" w:cs="Arial"/>
        </w:rPr>
        <w:t xml:space="preserve">mulberry, </w:t>
      </w:r>
      <w:proofErr w:type="spellStart"/>
      <w:r w:rsidR="006B147A" w:rsidRPr="00C91D7C">
        <w:rPr>
          <w:rFonts w:ascii="Arial" w:hAnsi="Arial" w:cs="Arial"/>
        </w:rPr>
        <w:t>eri</w:t>
      </w:r>
      <w:proofErr w:type="spellEnd"/>
      <w:r w:rsidR="006B147A" w:rsidRPr="00C91D7C">
        <w:rPr>
          <w:rFonts w:ascii="Arial" w:hAnsi="Arial" w:cs="Arial"/>
        </w:rPr>
        <w:t xml:space="preserve">, </w:t>
      </w:r>
      <w:proofErr w:type="spellStart"/>
      <w:r w:rsidR="006B147A" w:rsidRPr="00C91D7C">
        <w:rPr>
          <w:rFonts w:ascii="Arial" w:hAnsi="Arial" w:cs="Arial"/>
        </w:rPr>
        <w:t>tasar</w:t>
      </w:r>
      <w:proofErr w:type="spellEnd"/>
      <w:r w:rsidR="006B147A" w:rsidRPr="00C91D7C">
        <w:rPr>
          <w:rFonts w:ascii="Arial" w:hAnsi="Arial" w:cs="Arial"/>
        </w:rPr>
        <w:t xml:space="preserve">, </w:t>
      </w:r>
      <w:proofErr w:type="spellStart"/>
      <w:r w:rsidR="006B147A" w:rsidRPr="00C91D7C">
        <w:rPr>
          <w:rFonts w:ascii="Arial" w:hAnsi="Arial" w:cs="Arial"/>
        </w:rPr>
        <w:t>muga</w:t>
      </w:r>
      <w:proofErr w:type="spellEnd"/>
      <w:r w:rsidR="006B147A" w:rsidRPr="00C91D7C">
        <w:rPr>
          <w:rFonts w:ascii="Arial" w:hAnsi="Arial" w:cs="Arial"/>
        </w:rPr>
        <w:t xml:space="preserve">, and tropical </w:t>
      </w:r>
      <w:proofErr w:type="spellStart"/>
      <w:r w:rsidR="006B147A" w:rsidRPr="00C91D7C">
        <w:rPr>
          <w:rFonts w:ascii="Arial" w:hAnsi="Arial" w:cs="Arial"/>
        </w:rPr>
        <w:t>tasar</w:t>
      </w:r>
      <w:proofErr w:type="spellEnd"/>
      <w:r w:rsidR="006B147A" w:rsidRPr="00C91D7C">
        <w:rPr>
          <w:rFonts w:ascii="Arial" w:hAnsi="Arial" w:cs="Arial"/>
        </w:rPr>
        <w:t>. The Indian silk sector is deeply rooted in the country's cultural heritage and contributes significantly to rural employment, particularly empowering women and marginalized communities</w:t>
      </w:r>
      <w:r w:rsidR="009832ED" w:rsidRPr="00C91D7C">
        <w:rPr>
          <w:rFonts w:ascii="Arial" w:hAnsi="Arial" w:cs="Arial"/>
        </w:rPr>
        <w:t xml:space="preserve"> (Madhu </w:t>
      </w:r>
      <w:r w:rsidR="009832ED" w:rsidRPr="00C91D7C">
        <w:rPr>
          <w:rFonts w:ascii="Arial" w:hAnsi="Arial" w:cs="Arial"/>
          <w:i/>
          <w:iCs/>
        </w:rPr>
        <w:t>et al</w:t>
      </w:r>
      <w:r w:rsidR="009832ED" w:rsidRPr="00C91D7C">
        <w:rPr>
          <w:rFonts w:ascii="Arial" w:hAnsi="Arial" w:cs="Arial"/>
        </w:rPr>
        <w:t>., 2023)</w:t>
      </w:r>
      <w:r w:rsidR="006B147A" w:rsidRPr="00C91D7C">
        <w:rPr>
          <w:rFonts w:ascii="Arial" w:hAnsi="Arial" w:cs="Arial"/>
        </w:rPr>
        <w:t xml:space="preserve">. Over the years, the </w:t>
      </w:r>
      <w:r w:rsidR="006B147A" w:rsidRPr="00C91D7C">
        <w:rPr>
          <w:rFonts w:ascii="Arial" w:hAnsi="Arial" w:cs="Arial"/>
        </w:rPr>
        <w:lastRenderedPageBreak/>
        <w:t>industry has evolved from traditional sericulture practices to a semi-commercialized and increasingly organized sector</w:t>
      </w:r>
      <w:r w:rsidR="00D66560" w:rsidRPr="00C91D7C">
        <w:rPr>
          <w:rFonts w:ascii="Arial" w:hAnsi="Arial" w:cs="Arial"/>
        </w:rPr>
        <w:t xml:space="preserve"> </w:t>
      </w:r>
      <w:r w:rsidR="00D66560" w:rsidRPr="00C91D7C">
        <w:rPr>
          <w:rStyle w:val="Hyperlink"/>
          <w:rFonts w:ascii="Arial" w:hAnsi="Arial" w:cs="Arial"/>
          <w:color w:val="auto"/>
          <w:u w:val="none"/>
          <w:shd w:val="clear" w:color="auto" w:fill="FFFFFF"/>
        </w:rPr>
        <w:t xml:space="preserve">(Madhu </w:t>
      </w:r>
      <w:r w:rsidR="00D66560" w:rsidRPr="00C91D7C">
        <w:rPr>
          <w:rStyle w:val="Hyperlink"/>
          <w:rFonts w:ascii="Arial" w:hAnsi="Arial" w:cs="Arial"/>
          <w:i/>
          <w:iCs/>
          <w:color w:val="auto"/>
          <w:u w:val="none"/>
          <w:shd w:val="clear" w:color="auto" w:fill="FFFFFF"/>
        </w:rPr>
        <w:t>et al</w:t>
      </w:r>
      <w:r w:rsidR="00D66560" w:rsidRPr="00C91D7C">
        <w:rPr>
          <w:rStyle w:val="Hyperlink"/>
          <w:rFonts w:ascii="Arial" w:hAnsi="Arial" w:cs="Arial"/>
          <w:color w:val="auto"/>
          <w:u w:val="none"/>
          <w:shd w:val="clear" w:color="auto" w:fill="FFFFFF"/>
        </w:rPr>
        <w:t>., 2024)</w:t>
      </w:r>
      <w:r w:rsidR="006B147A" w:rsidRPr="00C91D7C">
        <w:rPr>
          <w:rFonts w:ascii="Arial" w:hAnsi="Arial" w:cs="Arial"/>
        </w:rPr>
        <w:t xml:space="preserve">. However, despite these advancements, India's position in the global silk market has witnessed fluctuating trends, owing to intense international competition, evolving trade policies, and rapidly changing consumer preferences across the globe </w:t>
      </w:r>
      <w:r w:rsidR="00F637DC" w:rsidRPr="00C91D7C">
        <w:rPr>
          <w:rFonts w:ascii="Arial" w:hAnsi="Arial" w:cs="Arial"/>
        </w:rPr>
        <w:t xml:space="preserve">(Kumar, </w:t>
      </w:r>
      <w:r w:rsidR="00F637DC" w:rsidRPr="00C91D7C">
        <w:rPr>
          <w:rFonts w:ascii="Arial" w:hAnsi="Arial" w:cs="Arial"/>
          <w:i/>
          <w:iCs/>
        </w:rPr>
        <w:t>et al</w:t>
      </w:r>
      <w:r w:rsidR="009145B9" w:rsidRPr="00C91D7C">
        <w:rPr>
          <w:rFonts w:ascii="Arial" w:hAnsi="Arial" w:cs="Arial"/>
          <w:i/>
          <w:iCs/>
        </w:rPr>
        <w:t>.</w:t>
      </w:r>
      <w:r w:rsidR="009145B9" w:rsidRPr="00C91D7C">
        <w:rPr>
          <w:rFonts w:ascii="Arial" w:hAnsi="Arial" w:cs="Arial"/>
        </w:rPr>
        <w:t xml:space="preserve"> </w:t>
      </w:r>
      <w:r w:rsidR="009832ED" w:rsidRPr="00C91D7C">
        <w:rPr>
          <w:rFonts w:ascii="Arial" w:hAnsi="Arial" w:cs="Arial"/>
        </w:rPr>
        <w:t>2019</w:t>
      </w:r>
      <w:r w:rsidR="00F637DC" w:rsidRPr="00C91D7C">
        <w:rPr>
          <w:rFonts w:ascii="Arial" w:hAnsi="Arial" w:cs="Arial"/>
          <w:color w:val="222222"/>
          <w:shd w:val="clear" w:color="auto" w:fill="FFFFFF"/>
        </w:rPr>
        <w:t>)</w:t>
      </w:r>
      <w:r w:rsidR="005B6D1D" w:rsidRPr="00C91D7C">
        <w:rPr>
          <w:rFonts w:ascii="Arial" w:hAnsi="Arial" w:cs="Arial"/>
        </w:rPr>
        <w:t>.</w:t>
      </w:r>
    </w:p>
    <w:p w14:paraId="63EA7BBD" w14:textId="77777777" w:rsidR="004F714A" w:rsidRPr="00C91D7C" w:rsidRDefault="00D4099B" w:rsidP="00E16DCA">
      <w:pPr>
        <w:pStyle w:val="ListParagraph"/>
        <w:spacing w:after="120" w:line="360" w:lineRule="auto"/>
        <w:ind w:left="0"/>
        <w:jc w:val="both"/>
        <w:rPr>
          <w:rFonts w:ascii="Arial" w:hAnsi="Arial" w:cs="Arial"/>
          <w:bCs/>
        </w:rPr>
      </w:pPr>
      <w:r w:rsidRPr="00C91D7C">
        <w:rPr>
          <w:rFonts w:ascii="Arial" w:hAnsi="Arial" w:cs="Arial"/>
        </w:rPr>
        <w:tab/>
      </w:r>
      <w:r w:rsidR="005B6D1D" w:rsidRPr="00C91D7C">
        <w:rPr>
          <w:rFonts w:ascii="Arial" w:hAnsi="Arial" w:cs="Arial"/>
        </w:rPr>
        <w:t>In India, the agricultural labour force is predominantly composed of women, surpassing the halfway mark. Despite toiling for 16 to 18 hours a day, balancing domestic responsibilities with external work, rural Indian women's invaluable role and contributions to the family's progress remain inadequately recognized (</w:t>
      </w:r>
      <w:r w:rsidRPr="00C91D7C">
        <w:rPr>
          <w:rFonts w:ascii="Arial" w:hAnsi="Arial" w:cs="Arial"/>
        </w:rPr>
        <w:t xml:space="preserve">Bukhari, </w:t>
      </w:r>
      <w:r w:rsidRPr="00C91D7C">
        <w:rPr>
          <w:rFonts w:ascii="Arial" w:hAnsi="Arial" w:cs="Arial"/>
          <w:i/>
          <w:iCs/>
        </w:rPr>
        <w:t>et al.</w:t>
      </w:r>
      <w:r w:rsidRPr="00C91D7C">
        <w:rPr>
          <w:rFonts w:ascii="Arial" w:hAnsi="Arial" w:cs="Arial"/>
        </w:rPr>
        <w:t xml:space="preserve"> 2019)</w:t>
      </w:r>
      <w:r w:rsidR="005B6D1D" w:rsidRPr="00C91D7C">
        <w:rPr>
          <w:rFonts w:ascii="Arial" w:hAnsi="Arial" w:cs="Arial"/>
        </w:rPr>
        <w:t>.</w:t>
      </w:r>
      <w:r w:rsidR="004F714A" w:rsidRPr="00C91D7C">
        <w:rPr>
          <w:rFonts w:ascii="Arial" w:hAnsi="Arial" w:cs="Arial"/>
        </w:rPr>
        <w:t xml:space="preserve"> </w:t>
      </w:r>
      <w:r w:rsidR="00E16DCA" w:rsidRPr="00C91D7C">
        <w:rPr>
          <w:rFonts w:ascii="Arial" w:hAnsi="Arial" w:cs="Arial"/>
        </w:rPr>
        <w:t>The Indian sericulture sector stands out for its remarkable attributes, including substantial job opportunities, minimal capital investment prerequisites, and the capacity to generate lucrative incomes for silk producers</w:t>
      </w:r>
      <w:r w:rsidR="009832ED" w:rsidRPr="00C91D7C">
        <w:rPr>
          <w:rFonts w:ascii="Arial" w:hAnsi="Arial" w:cs="Arial"/>
        </w:rPr>
        <w:t xml:space="preserve"> (Madhu </w:t>
      </w:r>
      <w:r w:rsidR="009832ED" w:rsidRPr="00C91D7C">
        <w:rPr>
          <w:rFonts w:ascii="Arial" w:hAnsi="Arial" w:cs="Arial"/>
          <w:i/>
          <w:iCs/>
        </w:rPr>
        <w:t>et al</w:t>
      </w:r>
      <w:r w:rsidR="009832ED" w:rsidRPr="00C91D7C">
        <w:rPr>
          <w:rFonts w:ascii="Arial" w:hAnsi="Arial" w:cs="Arial"/>
        </w:rPr>
        <w:t>., 2023b)</w:t>
      </w:r>
      <w:r w:rsidR="00E16DCA" w:rsidRPr="00C91D7C">
        <w:rPr>
          <w:rFonts w:ascii="Arial" w:hAnsi="Arial" w:cs="Arial"/>
        </w:rPr>
        <w:t>. Both rural men and women actively participate in a wide range of on-farm and off-farm sericulture activities throughout the nation. Notably, women account for a majority, contributing to 60</w:t>
      </w:r>
      <w:r w:rsidR="00EF535C" w:rsidRPr="00C91D7C">
        <w:rPr>
          <w:rFonts w:ascii="Arial" w:hAnsi="Arial" w:cs="Arial"/>
        </w:rPr>
        <w:t xml:space="preserve"> per cent</w:t>
      </w:r>
      <w:r w:rsidR="00E16DCA" w:rsidRPr="00C91D7C">
        <w:rPr>
          <w:rFonts w:ascii="Arial" w:hAnsi="Arial" w:cs="Arial"/>
        </w:rPr>
        <w:t xml:space="preserve"> of the sericulture workforce</w:t>
      </w:r>
      <w:r w:rsidR="004F714A" w:rsidRPr="00C91D7C">
        <w:rPr>
          <w:rFonts w:ascii="Arial" w:hAnsi="Arial" w:cs="Arial"/>
          <w:bCs/>
          <w:lang w:val="en-GB"/>
        </w:rPr>
        <w:t xml:space="preserve"> (</w:t>
      </w:r>
      <w:r w:rsidR="004F714A" w:rsidRPr="00C91D7C">
        <w:rPr>
          <w:rFonts w:ascii="Arial" w:hAnsi="Arial" w:cs="Arial"/>
          <w:color w:val="222222"/>
          <w:shd w:val="clear" w:color="auto" w:fill="FFFFFF"/>
        </w:rPr>
        <w:t xml:space="preserve">Madhu, </w:t>
      </w:r>
      <w:r w:rsidR="004F714A" w:rsidRPr="00C91D7C">
        <w:rPr>
          <w:rFonts w:ascii="Arial" w:hAnsi="Arial" w:cs="Arial"/>
          <w:i/>
          <w:iCs/>
          <w:color w:val="222222"/>
          <w:shd w:val="clear" w:color="auto" w:fill="FFFFFF"/>
        </w:rPr>
        <w:t>et al.</w:t>
      </w:r>
      <w:r w:rsidR="004F714A" w:rsidRPr="00C91D7C">
        <w:rPr>
          <w:rFonts w:ascii="Arial" w:hAnsi="Arial" w:cs="Arial"/>
          <w:color w:val="222222"/>
          <w:shd w:val="clear" w:color="auto" w:fill="FFFFFF"/>
        </w:rPr>
        <w:t xml:space="preserve"> 2023; </w:t>
      </w:r>
      <w:r w:rsidR="004F714A" w:rsidRPr="00C91D7C">
        <w:rPr>
          <w:rFonts w:ascii="Arial" w:hAnsi="Arial" w:cs="Arial"/>
          <w:bCs/>
          <w:lang w:val="en-GB"/>
        </w:rPr>
        <w:t>Central silk Board, 2023)</w:t>
      </w:r>
      <w:r w:rsidR="00E16DCA" w:rsidRPr="00C91D7C">
        <w:rPr>
          <w:rFonts w:ascii="Arial" w:hAnsi="Arial" w:cs="Arial"/>
          <w:bCs/>
          <w:lang w:val="en-GB"/>
        </w:rPr>
        <w:t>.</w:t>
      </w:r>
      <w:r w:rsidR="002E15B2" w:rsidRPr="00C91D7C">
        <w:rPr>
          <w:rFonts w:ascii="Arial" w:hAnsi="Arial" w:cs="Arial"/>
          <w:bCs/>
        </w:rPr>
        <w:t xml:space="preserve"> </w:t>
      </w:r>
      <w:r w:rsidR="004F714A" w:rsidRPr="00C91D7C">
        <w:rPr>
          <w:rFonts w:ascii="Arial" w:hAnsi="Arial" w:cs="Arial"/>
          <w:bCs/>
        </w:rPr>
        <w:t>More than 7.6 million people in 51,000 villages work in the sector, which employs 8,14,616 weavers to run 328,627 handlooms and 45,867 power looms.  Its silk exports are valued at roughly 360 million US dollars, of which 70</w:t>
      </w:r>
      <w:r w:rsidR="00EF535C" w:rsidRPr="00C91D7C">
        <w:rPr>
          <w:rFonts w:ascii="Arial" w:hAnsi="Arial" w:cs="Arial"/>
          <w:bCs/>
        </w:rPr>
        <w:t xml:space="preserve"> </w:t>
      </w:r>
      <w:r w:rsidR="00EF535C" w:rsidRPr="00C91D7C">
        <w:rPr>
          <w:rFonts w:ascii="Arial" w:hAnsi="Arial" w:cs="Arial"/>
        </w:rPr>
        <w:t>per cent</w:t>
      </w:r>
      <w:r w:rsidR="004F714A" w:rsidRPr="00C91D7C">
        <w:rPr>
          <w:rFonts w:ascii="Arial" w:hAnsi="Arial" w:cs="Arial"/>
          <w:bCs/>
        </w:rPr>
        <w:t xml:space="preserve"> are made up of na</w:t>
      </w:r>
      <w:r w:rsidR="00EF535C" w:rsidRPr="00C91D7C">
        <w:rPr>
          <w:rFonts w:ascii="Arial" w:hAnsi="Arial" w:cs="Arial"/>
          <w:bCs/>
        </w:rPr>
        <w:t>tural silk yarn and fabrics, 13</w:t>
      </w:r>
      <w:r w:rsidR="00EF535C" w:rsidRPr="00C91D7C">
        <w:rPr>
          <w:rFonts w:ascii="Arial" w:hAnsi="Arial" w:cs="Arial"/>
        </w:rPr>
        <w:t>per cent</w:t>
      </w:r>
      <w:r w:rsidR="004F714A" w:rsidRPr="00C91D7C">
        <w:rPr>
          <w:rFonts w:ascii="Arial" w:hAnsi="Arial" w:cs="Arial"/>
          <w:bCs/>
        </w:rPr>
        <w:t xml:space="preserve"> are manufactured goods, and 26</w:t>
      </w:r>
      <w:r w:rsidR="00EF535C" w:rsidRPr="00C91D7C">
        <w:rPr>
          <w:rFonts w:ascii="Arial" w:hAnsi="Arial" w:cs="Arial"/>
          <w:bCs/>
        </w:rPr>
        <w:t xml:space="preserve"> </w:t>
      </w:r>
      <w:r w:rsidR="00EF535C" w:rsidRPr="00C91D7C">
        <w:rPr>
          <w:rFonts w:ascii="Arial" w:hAnsi="Arial" w:cs="Arial"/>
        </w:rPr>
        <w:t>per cent</w:t>
      </w:r>
      <w:r w:rsidR="004F714A" w:rsidRPr="00C91D7C">
        <w:rPr>
          <w:rFonts w:ascii="Arial" w:hAnsi="Arial" w:cs="Arial"/>
          <w:bCs/>
        </w:rPr>
        <w:t xml:space="preserve"> are clothing. Increasing demand from Indian women for silk fabrics and sarees has increased domestic demand from 23679 MT per year to 28800 MT (International sericulture commission, 2023).</w:t>
      </w:r>
    </w:p>
    <w:p w14:paraId="3599EA09" w14:textId="77777777" w:rsidR="004F714A" w:rsidRPr="00C91D7C" w:rsidRDefault="004F714A" w:rsidP="00AC61D1">
      <w:pPr>
        <w:pStyle w:val="ListParagraph"/>
        <w:spacing w:line="360" w:lineRule="auto"/>
        <w:ind w:left="0"/>
        <w:jc w:val="both"/>
        <w:rPr>
          <w:rFonts w:ascii="Arial" w:hAnsi="Arial" w:cs="Arial"/>
          <w:bCs/>
          <w:lang w:val="en-GB"/>
        </w:rPr>
      </w:pPr>
      <w:r w:rsidRPr="00C91D7C">
        <w:rPr>
          <w:rFonts w:ascii="Arial" w:hAnsi="Arial" w:cs="Arial"/>
          <w:bCs/>
        </w:rPr>
        <w:tab/>
      </w:r>
      <w:r w:rsidR="00E16DCA" w:rsidRPr="00C91D7C">
        <w:rPr>
          <w:rFonts w:ascii="Arial" w:hAnsi="Arial" w:cs="Arial"/>
          <w:bCs/>
        </w:rPr>
        <w:t>India ranks as the world's second-largest silk producer, following China, with an annual production of 33,770 metric tons. This production is distributed across four main silk varieties: Mulberry, which constitutes the majority at 70.76</w:t>
      </w:r>
      <w:r w:rsidR="009832ED" w:rsidRPr="00C91D7C">
        <w:rPr>
          <w:rFonts w:ascii="Arial" w:hAnsi="Arial" w:cs="Arial"/>
          <w:bCs/>
        </w:rPr>
        <w:t xml:space="preserve"> </w:t>
      </w:r>
      <w:r w:rsidR="00EF535C" w:rsidRPr="00C91D7C">
        <w:rPr>
          <w:rFonts w:ascii="Arial" w:hAnsi="Arial" w:cs="Arial"/>
        </w:rPr>
        <w:t>per cent</w:t>
      </w:r>
      <w:r w:rsidR="00E16DCA" w:rsidRPr="00C91D7C">
        <w:rPr>
          <w:rFonts w:ascii="Arial" w:hAnsi="Arial" w:cs="Arial"/>
          <w:bCs/>
        </w:rPr>
        <w:t xml:space="preserve"> (23,896 metric tons), followed by Tasar at 7.96</w:t>
      </w:r>
      <w:r w:rsidR="00EF535C" w:rsidRPr="00C91D7C">
        <w:rPr>
          <w:rFonts w:ascii="Arial" w:hAnsi="Arial" w:cs="Arial"/>
        </w:rPr>
        <w:t>per cent</w:t>
      </w:r>
      <w:r w:rsidR="00E16DCA" w:rsidRPr="00C91D7C">
        <w:rPr>
          <w:rFonts w:ascii="Arial" w:hAnsi="Arial" w:cs="Arial"/>
          <w:bCs/>
        </w:rPr>
        <w:t xml:space="preserve"> (2,689 metric tons), Eri at 20.57</w:t>
      </w:r>
      <w:r w:rsidR="009832ED" w:rsidRPr="00C91D7C">
        <w:rPr>
          <w:rFonts w:ascii="Arial" w:hAnsi="Arial" w:cs="Arial"/>
          <w:bCs/>
        </w:rPr>
        <w:t xml:space="preserve"> </w:t>
      </w:r>
      <w:r w:rsidR="00EF535C" w:rsidRPr="00C91D7C">
        <w:rPr>
          <w:rFonts w:ascii="Arial" w:hAnsi="Arial" w:cs="Arial"/>
        </w:rPr>
        <w:t>per cent</w:t>
      </w:r>
      <w:r w:rsidR="00E16DCA" w:rsidRPr="00C91D7C">
        <w:rPr>
          <w:rFonts w:ascii="Arial" w:hAnsi="Arial" w:cs="Arial"/>
          <w:bCs/>
        </w:rPr>
        <w:t xml:space="preserve"> (6,946 metric tons), and Muga at 0.71</w:t>
      </w:r>
      <w:r w:rsidR="00EF535C" w:rsidRPr="00C91D7C">
        <w:rPr>
          <w:rFonts w:ascii="Arial" w:hAnsi="Arial" w:cs="Arial"/>
        </w:rPr>
        <w:t>per cent</w:t>
      </w:r>
      <w:r w:rsidR="00E16DCA" w:rsidRPr="00C91D7C">
        <w:rPr>
          <w:rFonts w:ascii="Arial" w:hAnsi="Arial" w:cs="Arial"/>
          <w:bCs/>
        </w:rPr>
        <w:t xml:space="preserve"> (239 metric tons) of the total silk output.</w:t>
      </w:r>
      <w:r w:rsidRPr="00C91D7C">
        <w:rPr>
          <w:rFonts w:ascii="Arial" w:hAnsi="Arial" w:cs="Arial"/>
        </w:rPr>
        <w:t xml:space="preserve"> The bivoltine raw silk production has declined by 3.2</w:t>
      </w:r>
      <w:r w:rsidR="00EF535C" w:rsidRPr="00C91D7C">
        <w:rPr>
          <w:rFonts w:ascii="Arial" w:hAnsi="Arial" w:cs="Arial"/>
        </w:rPr>
        <w:t>per cent</w:t>
      </w:r>
      <w:r w:rsidRPr="00C91D7C">
        <w:rPr>
          <w:rFonts w:ascii="Arial" w:hAnsi="Arial" w:cs="Arial"/>
        </w:rPr>
        <w:t xml:space="preserve"> to 6,783 MT during 2020-21 from 7,009 MT during 2019-20. Similarly, vanya silk, which includes Tasar, Eri and Muga silks, have reduced by 14.3</w:t>
      </w:r>
      <w:r w:rsidR="00EF535C" w:rsidRPr="00C91D7C">
        <w:rPr>
          <w:rFonts w:ascii="Arial" w:hAnsi="Arial" w:cs="Arial"/>
        </w:rPr>
        <w:t xml:space="preserve"> per cent</w:t>
      </w:r>
      <w:r w:rsidRPr="00C91D7C">
        <w:rPr>
          <w:rFonts w:ascii="Arial" w:hAnsi="Arial" w:cs="Arial"/>
        </w:rPr>
        <w:t>, 3.6</w:t>
      </w:r>
      <w:r w:rsidR="00EF535C" w:rsidRPr="00C91D7C">
        <w:rPr>
          <w:rFonts w:ascii="Arial" w:hAnsi="Arial" w:cs="Arial"/>
        </w:rPr>
        <w:t xml:space="preserve"> per cent</w:t>
      </w:r>
      <w:r w:rsidRPr="00C91D7C">
        <w:rPr>
          <w:rFonts w:ascii="Arial" w:hAnsi="Arial" w:cs="Arial"/>
        </w:rPr>
        <w:t xml:space="preserve"> and 0.8</w:t>
      </w:r>
      <w:r w:rsidR="00EF535C" w:rsidRPr="00C91D7C">
        <w:rPr>
          <w:rFonts w:ascii="Arial" w:hAnsi="Arial" w:cs="Arial"/>
        </w:rPr>
        <w:t xml:space="preserve"> per cent</w:t>
      </w:r>
      <w:r w:rsidRPr="00C91D7C">
        <w:rPr>
          <w:rFonts w:ascii="Arial" w:hAnsi="Arial" w:cs="Arial"/>
        </w:rPr>
        <w:t xml:space="preserve"> respectively during 2020-21 over 2019-20. The silk production reduced during 2020-21 due to the disruptions caused by the Covid-19 pandemic</w:t>
      </w:r>
      <w:r w:rsidRPr="00C91D7C">
        <w:rPr>
          <w:rFonts w:ascii="Arial" w:hAnsi="Arial" w:cs="Arial"/>
          <w:bCs/>
          <w:lang w:val="en-GB"/>
        </w:rPr>
        <w:t xml:space="preserve"> (</w:t>
      </w:r>
      <w:proofErr w:type="spellStart"/>
      <w:r w:rsidR="00044758" w:rsidRPr="00C91D7C">
        <w:rPr>
          <w:rFonts w:ascii="Arial" w:hAnsi="Arial" w:cs="Arial"/>
          <w:color w:val="222222"/>
          <w:shd w:val="clear" w:color="auto" w:fill="FFFFFF"/>
        </w:rPr>
        <w:t>Annonymous</w:t>
      </w:r>
      <w:proofErr w:type="spellEnd"/>
      <w:r w:rsidR="00044758" w:rsidRPr="00C91D7C">
        <w:rPr>
          <w:rFonts w:ascii="Arial" w:hAnsi="Arial" w:cs="Arial"/>
          <w:color w:val="222222"/>
          <w:shd w:val="clear" w:color="auto" w:fill="FFFFFF"/>
        </w:rPr>
        <w:t>, 2021</w:t>
      </w:r>
      <w:r w:rsidR="009832ED" w:rsidRPr="00C91D7C">
        <w:rPr>
          <w:rFonts w:ascii="Arial" w:hAnsi="Arial" w:cs="Arial"/>
          <w:color w:val="222222"/>
          <w:shd w:val="clear" w:color="auto" w:fill="FFFFFF"/>
        </w:rPr>
        <w:t xml:space="preserve">; Madhu </w:t>
      </w:r>
      <w:r w:rsidR="009832ED" w:rsidRPr="00C91D7C">
        <w:rPr>
          <w:rFonts w:ascii="Arial" w:hAnsi="Arial" w:cs="Arial"/>
          <w:i/>
          <w:iCs/>
          <w:color w:val="222222"/>
          <w:shd w:val="clear" w:color="auto" w:fill="FFFFFF"/>
        </w:rPr>
        <w:t>et al</w:t>
      </w:r>
      <w:r w:rsidR="009832ED" w:rsidRPr="00C91D7C">
        <w:rPr>
          <w:rFonts w:ascii="Arial" w:hAnsi="Arial" w:cs="Arial"/>
          <w:color w:val="222222"/>
          <w:shd w:val="clear" w:color="auto" w:fill="FFFFFF"/>
        </w:rPr>
        <w:t>., 2024</w:t>
      </w:r>
      <w:r w:rsidR="00044758" w:rsidRPr="00C91D7C">
        <w:rPr>
          <w:rFonts w:ascii="Arial" w:hAnsi="Arial" w:cs="Arial"/>
          <w:color w:val="222222"/>
          <w:shd w:val="clear" w:color="auto" w:fill="FFFFFF"/>
        </w:rPr>
        <w:t>)</w:t>
      </w:r>
      <w:r w:rsidRPr="00C91D7C">
        <w:rPr>
          <w:rFonts w:ascii="Arial" w:hAnsi="Arial" w:cs="Arial"/>
          <w:bCs/>
          <w:lang w:val="en-GB"/>
        </w:rPr>
        <w:t>.</w:t>
      </w:r>
    </w:p>
    <w:p w14:paraId="6CB43615" w14:textId="77777777" w:rsidR="00DF10C4" w:rsidRPr="00C91D7C" w:rsidRDefault="00DF10C4" w:rsidP="00AC61D1">
      <w:pPr>
        <w:pStyle w:val="ListParagraph"/>
        <w:spacing w:line="360" w:lineRule="auto"/>
        <w:ind w:left="0"/>
        <w:jc w:val="both"/>
        <w:rPr>
          <w:rFonts w:ascii="Arial" w:hAnsi="Arial" w:cs="Arial"/>
          <w:bCs/>
          <w:lang w:val="en-GB"/>
        </w:rPr>
      </w:pPr>
      <w:r w:rsidRPr="00C91D7C">
        <w:rPr>
          <w:rFonts w:ascii="Arial" w:hAnsi="Arial" w:cs="Arial"/>
          <w:bCs/>
          <w:lang w:val="en-GB"/>
        </w:rPr>
        <w:tab/>
        <w:t xml:space="preserve">In the context of globalization and liberalized trade regimes, India's silk industry faces both opportunities and challenges. Competing nations like China, Vietnam and Brazil have aggressively expanded their presence in the global silk market, compelling India to assess and realign its trade strategies. A comprehensive analysis of India's silk trade performance, export destinations and its competitive positioning is essential to understand its role in the global market. By examining trade dynamics, including export trends, trade competitiveness, </w:t>
      </w:r>
      <w:r w:rsidRPr="00C91D7C">
        <w:rPr>
          <w:rFonts w:ascii="Arial" w:hAnsi="Arial" w:cs="Arial"/>
          <w:bCs/>
          <w:lang w:val="en-GB"/>
        </w:rPr>
        <w:lastRenderedPageBreak/>
        <w:t>market concentration and export and import unit value, can gain a clearer picture of the industry's global outlook and potential.</w:t>
      </w:r>
    </w:p>
    <w:p w14:paraId="588BA329" w14:textId="77777777" w:rsidR="00E717D3" w:rsidRPr="00C91D7C" w:rsidRDefault="00E717D3" w:rsidP="00AC61D1">
      <w:pPr>
        <w:pStyle w:val="ListParagraph"/>
        <w:spacing w:line="360" w:lineRule="auto"/>
        <w:ind w:left="0"/>
        <w:jc w:val="both"/>
        <w:rPr>
          <w:rFonts w:ascii="Arial" w:hAnsi="Arial" w:cs="Arial"/>
          <w:bCs/>
          <w:lang w:val="en-GB"/>
        </w:rPr>
      </w:pPr>
      <w:r w:rsidRPr="00C91D7C">
        <w:rPr>
          <w:rFonts w:ascii="Arial" w:hAnsi="Arial" w:cs="Arial"/>
          <w:bCs/>
          <w:lang w:val="en-GB"/>
        </w:rPr>
        <w:tab/>
        <w:t>The present study is crucial to identify India's relative strength in the international silk trade and to evaluate its competitiveness through tools such as growth rates, revealed comparative advantage indices and market concentration. It will enable the identification of key export destinations, emerging markets, and areas where India lags behind its competitors. Furthermore, such an analysis will provide valuable insights for policymakers, exporters and stakeholders across the value chain, guiding them in formulating data-driven strategies to enhance trade performance, negotiate better trade terms and overcome existing bottlenecks. Ultimately, this study aims to contribute to the sustainable growth and global competitiveness of India’s silk industry.</w:t>
      </w:r>
    </w:p>
    <w:p w14:paraId="7FFF4C82" w14:textId="77777777" w:rsidR="00CA5FD9" w:rsidRPr="00C91D7C" w:rsidRDefault="00370518" w:rsidP="00CA5FD9">
      <w:pPr>
        <w:pStyle w:val="ListParagraph"/>
        <w:spacing w:line="360" w:lineRule="auto"/>
        <w:ind w:left="0"/>
        <w:jc w:val="both"/>
        <w:rPr>
          <w:rFonts w:ascii="Arial" w:hAnsi="Arial" w:cs="Arial"/>
        </w:rPr>
      </w:pPr>
      <w:r w:rsidRPr="00C91D7C">
        <w:rPr>
          <w:rFonts w:ascii="Arial" w:hAnsi="Arial" w:cs="Arial"/>
          <w:b/>
          <w:bCs/>
        </w:rPr>
        <w:t xml:space="preserve">2. </w:t>
      </w:r>
      <w:r w:rsidR="00CD709E" w:rsidRPr="00C91D7C">
        <w:rPr>
          <w:rFonts w:ascii="Arial" w:hAnsi="Arial" w:cs="Arial"/>
          <w:b/>
          <w:bCs/>
        </w:rPr>
        <w:t>Methodology</w:t>
      </w:r>
      <w:r w:rsidR="00CD709E" w:rsidRPr="00C91D7C">
        <w:rPr>
          <w:rFonts w:ascii="Arial" w:hAnsi="Arial" w:cs="Arial"/>
        </w:rPr>
        <w:t xml:space="preserve"> </w:t>
      </w:r>
    </w:p>
    <w:p w14:paraId="002717A8" w14:textId="77777777" w:rsidR="00CD709E" w:rsidRPr="00C91D7C" w:rsidRDefault="00CD709E" w:rsidP="00CA5FD9">
      <w:pPr>
        <w:pStyle w:val="ListParagraph"/>
        <w:spacing w:line="360" w:lineRule="auto"/>
        <w:ind w:left="0"/>
        <w:jc w:val="both"/>
        <w:rPr>
          <w:rFonts w:ascii="Arial" w:hAnsi="Arial" w:cs="Arial"/>
        </w:rPr>
      </w:pPr>
      <w:r w:rsidRPr="00C91D7C">
        <w:rPr>
          <w:rFonts w:ascii="Arial" w:hAnsi="Arial" w:cs="Arial"/>
          <w:b/>
          <w:bCs/>
        </w:rPr>
        <w:t>2.1 Data collection</w:t>
      </w:r>
    </w:p>
    <w:p w14:paraId="76C34864" w14:textId="77777777" w:rsidR="00CA5FD9" w:rsidRPr="00C91D7C" w:rsidRDefault="00CA5FD9" w:rsidP="00CA5FD9">
      <w:pPr>
        <w:pStyle w:val="ListParagraph"/>
        <w:spacing w:after="0" w:line="360" w:lineRule="auto"/>
        <w:ind w:left="0"/>
        <w:jc w:val="both"/>
        <w:rPr>
          <w:rFonts w:ascii="Arial" w:hAnsi="Arial" w:cs="Arial"/>
        </w:rPr>
      </w:pPr>
      <w:r w:rsidRPr="00C91D7C">
        <w:rPr>
          <w:rFonts w:ascii="Arial" w:hAnsi="Arial" w:cs="Arial"/>
        </w:rPr>
        <w:tab/>
      </w:r>
      <w:r w:rsidR="00CD709E" w:rsidRPr="00C91D7C">
        <w:rPr>
          <w:rFonts w:ascii="Arial" w:hAnsi="Arial" w:cs="Arial"/>
        </w:rPr>
        <w:t>The data regarding the Exports and Imports are collected from</w:t>
      </w:r>
      <w:r w:rsidR="0036163C" w:rsidRPr="00C91D7C">
        <w:rPr>
          <w:rFonts w:ascii="Arial" w:hAnsi="Arial" w:cs="Arial"/>
        </w:rPr>
        <w:t xml:space="preserve"> the trade map from 2011 to 2021</w:t>
      </w:r>
      <w:r w:rsidR="00CD709E" w:rsidRPr="00C91D7C">
        <w:rPr>
          <w:rFonts w:ascii="Arial" w:hAnsi="Arial" w:cs="Arial"/>
        </w:rPr>
        <w:t xml:space="preserve"> for calculation of compound annual growth rates, percentage of imports and exports</w:t>
      </w:r>
      <w:r w:rsidR="009832ED" w:rsidRPr="00C91D7C">
        <w:rPr>
          <w:rFonts w:ascii="Arial" w:hAnsi="Arial" w:cs="Arial"/>
        </w:rPr>
        <w:t>,</w:t>
      </w:r>
      <w:r w:rsidR="00CD709E" w:rsidRPr="00C91D7C">
        <w:rPr>
          <w:rFonts w:ascii="Arial" w:hAnsi="Arial" w:cs="Arial"/>
        </w:rPr>
        <w:t xml:space="preserve"> Revealed Comparative Advantage (RCA)</w:t>
      </w:r>
      <w:r w:rsidR="009832ED" w:rsidRPr="00C91D7C">
        <w:rPr>
          <w:rFonts w:ascii="Arial" w:hAnsi="Arial" w:cs="Arial"/>
        </w:rPr>
        <w:t>, market concentration and export and import unit value</w:t>
      </w:r>
      <w:r w:rsidR="00CD709E" w:rsidRPr="00C91D7C">
        <w:rPr>
          <w:rFonts w:ascii="Arial" w:hAnsi="Arial" w:cs="Arial"/>
        </w:rPr>
        <w:t>.</w:t>
      </w:r>
    </w:p>
    <w:p w14:paraId="3CBD25A8" w14:textId="77777777" w:rsidR="004154B3" w:rsidRPr="00C91D7C" w:rsidRDefault="004154B3" w:rsidP="00CA5FD9">
      <w:pPr>
        <w:pStyle w:val="ListParagraph"/>
        <w:spacing w:after="0" w:line="360" w:lineRule="auto"/>
        <w:ind w:left="0"/>
        <w:jc w:val="both"/>
        <w:rPr>
          <w:rFonts w:ascii="Arial" w:hAnsi="Arial" w:cs="Arial"/>
        </w:rPr>
      </w:pPr>
      <w:r w:rsidRPr="00C91D7C">
        <w:rPr>
          <w:rFonts w:ascii="Arial" w:hAnsi="Arial" w:cs="Arial"/>
          <w:b/>
          <w:bCs/>
        </w:rPr>
        <w:t>2.2 Exponential Growth Model</w:t>
      </w:r>
    </w:p>
    <w:p w14:paraId="3F5A7386" w14:textId="77777777" w:rsidR="004154B3" w:rsidRPr="00C91D7C" w:rsidRDefault="00CA5FD9" w:rsidP="004154B3">
      <w:pPr>
        <w:shd w:val="clear" w:color="auto" w:fill="FFFFFF"/>
        <w:spacing w:after="0" w:line="360" w:lineRule="auto"/>
        <w:jc w:val="both"/>
        <w:rPr>
          <w:rFonts w:ascii="Arial" w:eastAsia="Times New Roman" w:hAnsi="Arial" w:cs="Arial"/>
          <w:spacing w:val="2"/>
          <w:lang w:eastAsia="en-IN"/>
        </w:rPr>
      </w:pPr>
      <w:r w:rsidRPr="00C91D7C">
        <w:rPr>
          <w:rFonts w:ascii="Arial" w:eastAsia="Times New Roman" w:hAnsi="Arial" w:cs="Arial"/>
          <w:spacing w:val="2"/>
          <w:lang w:eastAsia="en-IN"/>
        </w:rPr>
        <w:tab/>
      </w:r>
      <w:r w:rsidR="004154B3" w:rsidRPr="00C91D7C">
        <w:rPr>
          <w:rFonts w:ascii="Arial" w:eastAsia="Times New Roman" w:hAnsi="Arial" w:cs="Arial"/>
          <w:spacing w:val="2"/>
          <w:lang w:eastAsia="en-IN"/>
        </w:rPr>
        <w:t xml:space="preserve">The data on exports and imports value of silk products and countries collected from 2001 to 2021. Compound Growth rates were calculated to know growth in exports and imports of silk product values </w:t>
      </w:r>
      <w:commentRangeStart w:id="0"/>
      <w:r w:rsidR="004154B3" w:rsidRPr="00C91D7C">
        <w:rPr>
          <w:rFonts w:ascii="Arial" w:eastAsia="Times New Roman" w:hAnsi="Arial" w:cs="Arial"/>
          <w:spacing w:val="2"/>
          <w:lang w:eastAsia="en-IN"/>
        </w:rPr>
        <w:t xml:space="preserve">of from </w:t>
      </w:r>
      <w:commentRangeEnd w:id="0"/>
      <w:r w:rsidR="00B551F9">
        <w:rPr>
          <w:rStyle w:val="CommentReference"/>
        </w:rPr>
        <w:commentReference w:id="0"/>
      </w:r>
      <w:r w:rsidR="004154B3" w:rsidRPr="00C91D7C">
        <w:rPr>
          <w:rFonts w:ascii="Arial" w:eastAsia="Times New Roman" w:hAnsi="Arial" w:cs="Arial"/>
          <w:spacing w:val="2"/>
          <w:lang w:eastAsia="en-IN"/>
        </w:rPr>
        <w:t xml:space="preserve">India and counties import and export value of growth.  </w:t>
      </w:r>
    </w:p>
    <w:p w14:paraId="0C0EBF30"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proofErr w:type="spellStart"/>
      <w:r w:rsidRPr="00C91D7C">
        <w:rPr>
          <w:rFonts w:ascii="Arial" w:eastAsia="Times New Roman" w:hAnsi="Arial" w:cs="Arial"/>
          <w:spacing w:val="2"/>
          <w:lang w:eastAsia="en-IN"/>
        </w:rPr>
        <w:t>Y</w:t>
      </w:r>
      <w:r w:rsidRPr="00C91D7C">
        <w:rPr>
          <w:rFonts w:ascii="Arial" w:eastAsia="Times New Roman" w:hAnsi="Arial" w:cs="Arial"/>
          <w:spacing w:val="2"/>
          <w:vertAlign w:val="subscript"/>
          <w:lang w:eastAsia="en-IN"/>
        </w:rPr>
        <w:t>t</w:t>
      </w:r>
      <w:proofErr w:type="spellEnd"/>
      <w:r w:rsidRPr="00C91D7C">
        <w:rPr>
          <w:rFonts w:ascii="Arial" w:eastAsia="Times New Roman" w:hAnsi="Arial" w:cs="Arial"/>
          <w:spacing w:val="2"/>
          <w:lang w:eastAsia="en-IN"/>
        </w:rPr>
        <w:t xml:space="preserve"> = </w:t>
      </w:r>
      <w:proofErr w:type="spellStart"/>
      <w:r w:rsidRPr="00C91D7C">
        <w:rPr>
          <w:rFonts w:ascii="Arial" w:eastAsia="Times New Roman" w:hAnsi="Arial" w:cs="Arial"/>
          <w:spacing w:val="2"/>
          <w:lang w:eastAsia="en-IN"/>
        </w:rPr>
        <w:t>ab</w:t>
      </w:r>
      <w:r w:rsidRPr="00C91D7C">
        <w:rPr>
          <w:rFonts w:ascii="Arial" w:eastAsia="Times New Roman" w:hAnsi="Arial" w:cs="Arial"/>
          <w:spacing w:val="2"/>
          <w:vertAlign w:val="superscript"/>
          <w:lang w:eastAsia="en-IN"/>
        </w:rPr>
        <w:t>t</w:t>
      </w:r>
      <w:r w:rsidRPr="00C91D7C">
        <w:rPr>
          <w:rFonts w:ascii="Arial" w:eastAsia="Times New Roman" w:hAnsi="Arial" w:cs="Arial"/>
          <w:spacing w:val="2"/>
          <w:lang w:eastAsia="en-IN"/>
        </w:rPr>
        <w:t>u</w:t>
      </w:r>
      <w:r w:rsidRPr="00C91D7C">
        <w:rPr>
          <w:rFonts w:ascii="Arial" w:eastAsia="Times New Roman" w:hAnsi="Arial" w:cs="Arial"/>
          <w:spacing w:val="2"/>
          <w:vertAlign w:val="subscript"/>
          <w:lang w:eastAsia="en-IN"/>
        </w:rPr>
        <w:t>t</w:t>
      </w:r>
      <w:proofErr w:type="spellEnd"/>
    </w:p>
    <w:p w14:paraId="2CC9504F"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 xml:space="preserve">Where, </w:t>
      </w:r>
      <w:proofErr w:type="spellStart"/>
      <w:r w:rsidRPr="00C91D7C">
        <w:rPr>
          <w:rFonts w:ascii="Arial" w:eastAsia="Times New Roman" w:hAnsi="Arial" w:cs="Arial"/>
          <w:spacing w:val="2"/>
          <w:lang w:eastAsia="en-IN"/>
        </w:rPr>
        <w:t>Y</w:t>
      </w:r>
      <w:r w:rsidRPr="00C91D7C">
        <w:rPr>
          <w:rFonts w:ascii="Arial" w:eastAsia="Times New Roman" w:hAnsi="Arial" w:cs="Arial"/>
          <w:spacing w:val="2"/>
          <w:vertAlign w:val="subscript"/>
          <w:lang w:eastAsia="en-IN"/>
        </w:rPr>
        <w:t>t</w:t>
      </w:r>
      <w:proofErr w:type="spellEnd"/>
      <w:r w:rsidRPr="00C91D7C">
        <w:rPr>
          <w:rFonts w:ascii="Arial" w:eastAsia="Times New Roman" w:hAnsi="Arial" w:cs="Arial"/>
          <w:spacing w:val="2"/>
          <w:vertAlign w:val="subscript"/>
          <w:lang w:eastAsia="en-IN"/>
        </w:rPr>
        <w:t xml:space="preserve"> </w:t>
      </w:r>
      <w:r w:rsidRPr="00C91D7C">
        <w:rPr>
          <w:rFonts w:ascii="Arial" w:eastAsia="Times New Roman" w:hAnsi="Arial" w:cs="Arial"/>
          <w:spacing w:val="2"/>
          <w:lang w:eastAsia="en-IN"/>
        </w:rPr>
        <w:t xml:space="preserve">= area/production/productivity/exports in the </w:t>
      </w:r>
      <w:proofErr w:type="spellStart"/>
      <w:proofErr w:type="gramStart"/>
      <w:r w:rsidRPr="00C91D7C">
        <w:rPr>
          <w:rFonts w:ascii="Arial" w:eastAsia="Times New Roman" w:hAnsi="Arial" w:cs="Arial"/>
          <w:spacing w:val="2"/>
          <w:lang w:eastAsia="en-IN"/>
        </w:rPr>
        <w:t>years‘</w:t>
      </w:r>
      <w:proofErr w:type="gramEnd"/>
      <w:r w:rsidRPr="00C91D7C">
        <w:rPr>
          <w:rFonts w:ascii="Arial" w:eastAsia="Times New Roman" w:hAnsi="Arial" w:cs="Arial"/>
          <w:spacing w:val="2"/>
          <w:lang w:eastAsia="en-IN"/>
        </w:rPr>
        <w:t>t</w:t>
      </w:r>
      <w:proofErr w:type="spellEnd"/>
      <w:r w:rsidRPr="00C91D7C">
        <w:rPr>
          <w:rFonts w:ascii="Arial" w:eastAsia="Times New Roman" w:hAnsi="Arial" w:cs="Arial"/>
          <w:spacing w:val="2"/>
          <w:lang w:eastAsia="en-IN"/>
        </w:rPr>
        <w:t>’</w:t>
      </w:r>
    </w:p>
    <w:p w14:paraId="421A9F32"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a = intercept indicating Y in the base period (t=0)</w:t>
      </w:r>
    </w:p>
    <w:p w14:paraId="125A195C"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b = Regression coefficient</w:t>
      </w:r>
    </w:p>
    <w:p w14:paraId="258B89E2"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t = time period in years</w:t>
      </w:r>
    </w:p>
    <w:p w14:paraId="75356410" w14:textId="77777777" w:rsidR="00CA5FD9" w:rsidRPr="00C91D7C" w:rsidRDefault="004154B3" w:rsidP="00CA5FD9">
      <w:pPr>
        <w:shd w:val="clear" w:color="auto" w:fill="FFFFFF"/>
        <w:spacing w:after="0" w:line="360" w:lineRule="auto"/>
        <w:ind w:left="720"/>
        <w:jc w:val="both"/>
        <w:rPr>
          <w:rFonts w:ascii="Arial" w:eastAsia="Times New Roman" w:hAnsi="Arial" w:cs="Arial"/>
          <w:spacing w:val="2"/>
          <w:lang w:eastAsia="en-IN"/>
        </w:rPr>
      </w:pPr>
      <w:proofErr w:type="spellStart"/>
      <w:r w:rsidRPr="00C91D7C">
        <w:rPr>
          <w:rFonts w:ascii="Arial" w:eastAsia="Times New Roman" w:hAnsi="Arial" w:cs="Arial"/>
          <w:spacing w:val="2"/>
          <w:lang w:eastAsia="en-IN"/>
        </w:rPr>
        <w:t>u</w:t>
      </w:r>
      <w:r w:rsidRPr="00C91D7C">
        <w:rPr>
          <w:rFonts w:ascii="Arial" w:eastAsia="Times New Roman" w:hAnsi="Arial" w:cs="Arial"/>
          <w:spacing w:val="2"/>
          <w:vertAlign w:val="subscript"/>
          <w:lang w:eastAsia="en-IN"/>
        </w:rPr>
        <w:t>t</w:t>
      </w:r>
      <w:proofErr w:type="spellEnd"/>
      <w:r w:rsidRPr="00C91D7C">
        <w:rPr>
          <w:rFonts w:ascii="Arial" w:eastAsia="Times New Roman" w:hAnsi="Arial" w:cs="Arial"/>
          <w:spacing w:val="2"/>
          <w:vertAlign w:val="subscript"/>
          <w:lang w:eastAsia="en-IN"/>
        </w:rPr>
        <w:t xml:space="preserve"> </w:t>
      </w:r>
      <w:r w:rsidRPr="00C91D7C">
        <w:rPr>
          <w:rFonts w:ascii="Arial" w:eastAsia="Times New Roman" w:hAnsi="Arial" w:cs="Arial"/>
          <w:spacing w:val="2"/>
          <w:lang w:eastAsia="en-IN"/>
        </w:rPr>
        <w:t>= disturbance term for year t</w:t>
      </w:r>
    </w:p>
    <w:p w14:paraId="1C4CA629" w14:textId="77777777" w:rsidR="009832ED" w:rsidRPr="00C91D7C" w:rsidRDefault="009832ED" w:rsidP="009832ED">
      <w:pPr>
        <w:shd w:val="clear" w:color="auto" w:fill="FFFFFF"/>
        <w:spacing w:after="0" w:line="360" w:lineRule="auto"/>
        <w:jc w:val="both"/>
        <w:rPr>
          <w:rFonts w:ascii="Arial" w:eastAsia="Times New Roman" w:hAnsi="Arial" w:cs="Arial"/>
          <w:spacing w:val="2"/>
          <w:lang w:eastAsia="en-IN"/>
        </w:rPr>
      </w:pPr>
      <w:r w:rsidRPr="00C91D7C">
        <w:rPr>
          <w:rFonts w:ascii="Arial" w:eastAsia="Times New Roman" w:hAnsi="Arial" w:cs="Arial"/>
          <w:spacing w:val="2"/>
          <w:lang w:eastAsia="en-IN"/>
        </w:rPr>
        <w:t xml:space="preserve">The equation was estimated after transforming into linear form as follows; </w:t>
      </w:r>
    </w:p>
    <w:p w14:paraId="438F3F8C" w14:textId="77777777" w:rsidR="009832ED" w:rsidRPr="00C91D7C" w:rsidRDefault="009832ED" w:rsidP="00CA5FD9">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 xml:space="preserve">Log </w:t>
      </w:r>
      <w:proofErr w:type="spellStart"/>
      <w:r w:rsidRPr="00C91D7C">
        <w:rPr>
          <w:rFonts w:ascii="Arial" w:eastAsia="Times New Roman" w:hAnsi="Arial" w:cs="Arial"/>
          <w:spacing w:val="2"/>
          <w:lang w:eastAsia="en-IN"/>
        </w:rPr>
        <w:t>Yt</w:t>
      </w:r>
      <w:proofErr w:type="spellEnd"/>
      <w:r w:rsidRPr="00C91D7C">
        <w:rPr>
          <w:rFonts w:ascii="Arial" w:eastAsia="Times New Roman" w:hAnsi="Arial" w:cs="Arial"/>
          <w:spacing w:val="2"/>
          <w:lang w:eastAsia="en-IN"/>
        </w:rPr>
        <w:t xml:space="preserve"> = Log a+ t Log b</w:t>
      </w:r>
    </w:p>
    <w:p w14:paraId="6985B0BA" w14:textId="77777777" w:rsidR="009832ED" w:rsidRPr="00C91D7C" w:rsidRDefault="009832ED" w:rsidP="009832ED">
      <w:pPr>
        <w:shd w:val="clear" w:color="auto" w:fill="FFFFFF"/>
        <w:spacing w:after="0" w:line="360" w:lineRule="auto"/>
        <w:jc w:val="both"/>
        <w:rPr>
          <w:rFonts w:ascii="Arial" w:eastAsia="Times New Roman" w:hAnsi="Arial" w:cs="Arial"/>
          <w:spacing w:val="2"/>
          <w:lang w:eastAsia="en-IN"/>
        </w:rPr>
      </w:pPr>
      <w:r w:rsidRPr="00C91D7C">
        <w:rPr>
          <w:rFonts w:ascii="Arial" w:eastAsia="Times New Roman" w:hAnsi="Arial" w:cs="Arial"/>
          <w:spacing w:val="2"/>
          <w:lang w:eastAsia="en-IN"/>
        </w:rPr>
        <w:t>The compound annual growth rate (CAGR) was obtained as [(antilog of b)-1] x 100</w:t>
      </w:r>
    </w:p>
    <w:p w14:paraId="48D9CBBA" w14:textId="77777777" w:rsidR="004154B3" w:rsidRPr="00C91D7C" w:rsidRDefault="004154B3" w:rsidP="00CA5FD9">
      <w:pPr>
        <w:shd w:val="clear" w:color="auto" w:fill="FFFFFF"/>
        <w:spacing w:after="0" w:line="360" w:lineRule="auto"/>
        <w:jc w:val="both"/>
        <w:rPr>
          <w:rFonts w:ascii="Arial" w:eastAsia="Times New Roman" w:hAnsi="Arial" w:cs="Arial"/>
          <w:spacing w:val="2"/>
          <w:lang w:eastAsia="en-IN"/>
        </w:rPr>
      </w:pPr>
      <w:r w:rsidRPr="00C91D7C">
        <w:rPr>
          <w:rFonts w:ascii="Arial" w:hAnsi="Arial" w:cs="Arial"/>
          <w:b/>
          <w:bCs/>
        </w:rPr>
        <w:t>2.3 Revealed Comparative Advantage Index</w:t>
      </w:r>
    </w:p>
    <w:p w14:paraId="66697795" w14:textId="77777777" w:rsidR="004154B3" w:rsidRPr="00C91D7C" w:rsidRDefault="004154B3" w:rsidP="004154B3">
      <w:pPr>
        <w:shd w:val="clear" w:color="auto" w:fill="FFFFFF"/>
        <w:spacing w:after="0" w:line="360" w:lineRule="auto"/>
        <w:jc w:val="both"/>
        <w:rPr>
          <w:rFonts w:ascii="Arial" w:hAnsi="Arial" w:cs="Arial"/>
        </w:rPr>
      </w:pPr>
      <w:r w:rsidRPr="00C91D7C">
        <w:rPr>
          <w:rFonts w:ascii="Arial" w:hAnsi="Arial" w:cs="Arial"/>
        </w:rPr>
        <w:tab/>
      </w:r>
      <w:r w:rsidR="00401CD7" w:rsidRPr="00C91D7C">
        <w:rPr>
          <w:rFonts w:ascii="Arial" w:hAnsi="Arial" w:cs="Arial"/>
        </w:rPr>
        <w:t>To assess the competitiveness of different countries in the silk trade and evaluate the competitiveness of Indian silk products, analysts frequently calculate the Revealed Comparative Advantage (RCA) index</w:t>
      </w:r>
      <w:r w:rsidR="00037918" w:rsidRPr="00C91D7C">
        <w:rPr>
          <w:rFonts w:ascii="Arial" w:hAnsi="Arial" w:cs="Arial"/>
        </w:rPr>
        <w:t xml:space="preserve"> (Balassa, 1965).</w:t>
      </w:r>
      <w:r w:rsidR="00401CD7" w:rsidRPr="00C91D7C">
        <w:rPr>
          <w:rFonts w:ascii="Arial" w:hAnsi="Arial" w:cs="Arial"/>
        </w:rPr>
        <w:t xml:space="preserve"> This index is typically derived using the following formula:</w:t>
      </w:r>
    </w:p>
    <w:p w14:paraId="771D873C" w14:textId="77777777" w:rsidR="004154B3" w:rsidRPr="00C91D7C" w:rsidRDefault="004154B3" w:rsidP="004154B3">
      <w:pPr>
        <w:shd w:val="clear" w:color="auto" w:fill="FFFFFF"/>
        <w:spacing w:after="0" w:line="360" w:lineRule="auto"/>
        <w:jc w:val="both"/>
        <w:rPr>
          <w:rFonts w:ascii="Arial" w:hAnsi="Arial" w:cs="Arial"/>
        </w:rPr>
      </w:pPr>
      <m:oMathPara>
        <m:oMath>
          <m:r>
            <w:rPr>
              <w:rFonts w:ascii="Cambria Math" w:hAnsi="Cambria Math" w:cs="Arial"/>
            </w:rPr>
            <m:t>RCA ic =</m:t>
          </m:r>
          <m:f>
            <m:fPr>
              <m:ctrlPr>
                <w:rPr>
                  <w:rFonts w:ascii="Cambria Math" w:eastAsiaTheme="minorEastAsia" w:hAnsi="Cambria Math" w:cs="Arial"/>
                  <w:i/>
                </w:rPr>
              </m:ctrlPr>
            </m:fPr>
            <m:num>
              <m:r>
                <w:rPr>
                  <w:rFonts w:ascii="Cambria Math" w:hAnsi="Cambria Math" w:cs="Arial"/>
                </w:rPr>
                <m:t>xic/Xiw</m:t>
              </m:r>
              <m:ctrlPr>
                <w:rPr>
                  <w:rFonts w:ascii="Cambria Math" w:hAnsi="Cambria Math" w:cs="Arial"/>
                  <w:i/>
                </w:rPr>
              </m:ctrlPr>
            </m:num>
            <m:den>
              <m:r>
                <w:rPr>
                  <w:rFonts w:ascii="Cambria Math" w:hAnsi="Cambria Math" w:cs="Arial"/>
                </w:rPr>
                <m:t>xcw/Xw</m:t>
              </m:r>
            </m:den>
          </m:f>
        </m:oMath>
      </m:oMathPara>
    </w:p>
    <w:p w14:paraId="42DA0F85" w14:textId="77777777" w:rsidR="004154B3" w:rsidRPr="00C91D7C" w:rsidRDefault="004154B3" w:rsidP="004154B3">
      <w:pPr>
        <w:shd w:val="clear" w:color="auto" w:fill="FFFFFF"/>
        <w:spacing w:after="0" w:line="360" w:lineRule="auto"/>
        <w:jc w:val="both"/>
        <w:rPr>
          <w:rFonts w:ascii="Arial" w:hAnsi="Arial" w:cs="Arial"/>
        </w:rPr>
      </w:pPr>
      <w:r w:rsidRPr="00C91D7C">
        <w:rPr>
          <w:rFonts w:ascii="Arial" w:hAnsi="Arial" w:cs="Arial"/>
        </w:rPr>
        <w:lastRenderedPageBreak/>
        <w:t xml:space="preserve">Where </w:t>
      </w:r>
      <w:proofErr w:type="spellStart"/>
      <w:r w:rsidRPr="00C91D7C">
        <w:rPr>
          <w:rFonts w:ascii="Arial" w:hAnsi="Arial" w:cs="Arial"/>
        </w:rPr>
        <w:t>RCA</w:t>
      </w:r>
      <w:r w:rsidRPr="00C91D7C">
        <w:rPr>
          <w:rFonts w:ascii="Arial" w:hAnsi="Arial" w:cs="Arial"/>
          <w:vertAlign w:val="subscript"/>
        </w:rPr>
        <w:t>ic</w:t>
      </w:r>
      <w:proofErr w:type="spellEnd"/>
      <w:r w:rsidRPr="00C91D7C">
        <w:rPr>
          <w:rFonts w:ascii="Arial" w:hAnsi="Arial" w:cs="Arial"/>
        </w:rPr>
        <w:t xml:space="preserve"> = Is the revealed comparative advantage index of commodity group c for country </w:t>
      </w:r>
      <w:proofErr w:type="spellStart"/>
      <w:r w:rsidRPr="00C91D7C">
        <w:rPr>
          <w:rFonts w:ascii="Arial" w:hAnsi="Arial" w:cs="Arial"/>
          <w:b/>
          <w:bCs/>
        </w:rPr>
        <w:t>i</w:t>
      </w:r>
      <w:proofErr w:type="spellEnd"/>
      <w:r w:rsidRPr="00C91D7C">
        <w:rPr>
          <w:rFonts w:ascii="Arial" w:hAnsi="Arial" w:cs="Arial"/>
        </w:rPr>
        <w:t xml:space="preserve">, </w:t>
      </w:r>
    </w:p>
    <w:p w14:paraId="42922B92" w14:textId="77777777" w:rsidR="004154B3" w:rsidRPr="00C91D7C" w:rsidRDefault="004154B3" w:rsidP="004154B3">
      <w:pPr>
        <w:shd w:val="clear" w:color="auto" w:fill="FFFFFF"/>
        <w:spacing w:after="0" w:line="360" w:lineRule="auto"/>
        <w:jc w:val="both"/>
        <w:rPr>
          <w:rFonts w:ascii="Arial" w:hAnsi="Arial" w:cs="Arial"/>
          <w:b/>
          <w:bCs/>
        </w:rPr>
      </w:pPr>
      <w:proofErr w:type="spellStart"/>
      <w:r w:rsidRPr="00C91D7C">
        <w:rPr>
          <w:rFonts w:ascii="Arial" w:hAnsi="Arial" w:cs="Arial"/>
        </w:rPr>
        <w:t>x</w:t>
      </w:r>
      <w:r w:rsidRPr="00C91D7C">
        <w:rPr>
          <w:rFonts w:ascii="Arial" w:hAnsi="Arial" w:cs="Arial"/>
          <w:vertAlign w:val="subscript"/>
        </w:rPr>
        <w:t>ic</w:t>
      </w:r>
      <w:proofErr w:type="spellEnd"/>
      <w:r w:rsidRPr="00C91D7C">
        <w:rPr>
          <w:rFonts w:ascii="Arial" w:hAnsi="Arial" w:cs="Arial"/>
        </w:rPr>
        <w:t xml:space="preserve"> = The value of exports of commodity group c by country </w:t>
      </w:r>
      <w:proofErr w:type="spellStart"/>
      <w:r w:rsidRPr="00C91D7C">
        <w:rPr>
          <w:rFonts w:ascii="Arial" w:hAnsi="Arial" w:cs="Arial"/>
          <w:b/>
          <w:bCs/>
        </w:rPr>
        <w:t>i</w:t>
      </w:r>
      <w:proofErr w:type="spellEnd"/>
      <w:r w:rsidRPr="00C91D7C">
        <w:rPr>
          <w:rFonts w:ascii="Arial" w:hAnsi="Arial" w:cs="Arial"/>
          <w:b/>
          <w:bCs/>
        </w:rPr>
        <w:t xml:space="preserve">, </w:t>
      </w:r>
    </w:p>
    <w:p w14:paraId="7C9E5A19" w14:textId="77777777" w:rsidR="004154B3" w:rsidRPr="00C91D7C" w:rsidRDefault="004154B3" w:rsidP="004154B3">
      <w:pPr>
        <w:shd w:val="clear" w:color="auto" w:fill="FFFFFF"/>
        <w:spacing w:after="0" w:line="360" w:lineRule="auto"/>
        <w:jc w:val="both"/>
        <w:rPr>
          <w:rFonts w:ascii="Arial" w:hAnsi="Arial" w:cs="Arial"/>
          <w:b/>
          <w:bCs/>
        </w:rPr>
      </w:pPr>
      <w:proofErr w:type="spellStart"/>
      <w:r w:rsidRPr="00C91D7C">
        <w:rPr>
          <w:rFonts w:ascii="Arial" w:hAnsi="Arial" w:cs="Arial"/>
          <w:b/>
          <w:bCs/>
        </w:rPr>
        <w:t>X</w:t>
      </w:r>
      <w:r w:rsidRPr="00C91D7C">
        <w:rPr>
          <w:rFonts w:ascii="Arial" w:hAnsi="Arial" w:cs="Arial"/>
          <w:b/>
          <w:bCs/>
          <w:vertAlign w:val="subscript"/>
        </w:rPr>
        <w:t>iw</w:t>
      </w:r>
      <w:proofErr w:type="spellEnd"/>
      <w:r w:rsidRPr="00C91D7C">
        <w:rPr>
          <w:rFonts w:ascii="Arial" w:hAnsi="Arial" w:cs="Arial"/>
        </w:rPr>
        <w:t xml:space="preserve"> = The value of total exports by country </w:t>
      </w:r>
      <w:proofErr w:type="spellStart"/>
      <w:r w:rsidRPr="00C91D7C">
        <w:rPr>
          <w:rFonts w:ascii="Arial" w:hAnsi="Arial" w:cs="Arial"/>
          <w:b/>
          <w:bCs/>
        </w:rPr>
        <w:t>i</w:t>
      </w:r>
      <w:proofErr w:type="spellEnd"/>
      <w:r w:rsidRPr="00C91D7C">
        <w:rPr>
          <w:rFonts w:ascii="Arial" w:hAnsi="Arial" w:cs="Arial"/>
          <w:b/>
          <w:bCs/>
        </w:rPr>
        <w:t>,</w:t>
      </w:r>
    </w:p>
    <w:p w14:paraId="61F37E05" w14:textId="77777777" w:rsidR="004154B3" w:rsidRPr="00C91D7C" w:rsidRDefault="004154B3" w:rsidP="004154B3">
      <w:pPr>
        <w:shd w:val="clear" w:color="auto" w:fill="FFFFFF"/>
        <w:spacing w:after="0" w:line="360" w:lineRule="auto"/>
        <w:jc w:val="both"/>
        <w:rPr>
          <w:rFonts w:ascii="Arial" w:hAnsi="Arial" w:cs="Arial"/>
        </w:rPr>
      </w:pPr>
      <w:proofErr w:type="spellStart"/>
      <w:r w:rsidRPr="00C91D7C">
        <w:rPr>
          <w:rFonts w:ascii="Arial" w:hAnsi="Arial" w:cs="Arial"/>
          <w:b/>
          <w:bCs/>
        </w:rPr>
        <w:t>x</w:t>
      </w:r>
      <w:r w:rsidRPr="00C91D7C">
        <w:rPr>
          <w:rFonts w:ascii="Arial" w:hAnsi="Arial" w:cs="Arial"/>
          <w:b/>
          <w:bCs/>
          <w:vertAlign w:val="subscript"/>
        </w:rPr>
        <w:t>cw</w:t>
      </w:r>
      <w:proofErr w:type="spellEnd"/>
      <w:r w:rsidRPr="00C91D7C">
        <w:rPr>
          <w:rFonts w:ascii="Arial" w:hAnsi="Arial" w:cs="Arial"/>
          <w:b/>
          <w:bCs/>
          <w:vertAlign w:val="subscript"/>
        </w:rPr>
        <w:t xml:space="preserve"> =</w:t>
      </w:r>
      <w:r w:rsidRPr="00C91D7C">
        <w:rPr>
          <w:rFonts w:ascii="Arial" w:hAnsi="Arial" w:cs="Arial"/>
          <w:vertAlign w:val="subscript"/>
        </w:rPr>
        <w:t xml:space="preserve"> </w:t>
      </w:r>
      <w:r w:rsidRPr="00C91D7C">
        <w:rPr>
          <w:rFonts w:ascii="Arial" w:hAnsi="Arial" w:cs="Arial"/>
        </w:rPr>
        <w:t>The value of world exports of commodity group c, and</w:t>
      </w:r>
    </w:p>
    <w:p w14:paraId="55367948" w14:textId="77777777" w:rsidR="004154B3" w:rsidRPr="00C91D7C" w:rsidRDefault="004154B3" w:rsidP="004154B3">
      <w:pPr>
        <w:shd w:val="clear" w:color="auto" w:fill="FFFFFF"/>
        <w:spacing w:after="0" w:line="360" w:lineRule="auto"/>
        <w:jc w:val="both"/>
        <w:rPr>
          <w:rFonts w:ascii="Arial" w:hAnsi="Arial" w:cs="Arial"/>
        </w:rPr>
      </w:pPr>
      <w:r w:rsidRPr="00C91D7C">
        <w:rPr>
          <w:rFonts w:ascii="Arial" w:hAnsi="Arial" w:cs="Arial"/>
        </w:rPr>
        <w:t xml:space="preserve"> </w:t>
      </w:r>
      <w:proofErr w:type="spellStart"/>
      <w:r w:rsidRPr="00C91D7C">
        <w:rPr>
          <w:rFonts w:ascii="Arial" w:hAnsi="Arial" w:cs="Arial"/>
          <w:b/>
          <w:bCs/>
        </w:rPr>
        <w:t>X</w:t>
      </w:r>
      <w:r w:rsidRPr="00C91D7C">
        <w:rPr>
          <w:rFonts w:ascii="Arial" w:hAnsi="Arial" w:cs="Arial"/>
          <w:b/>
          <w:bCs/>
          <w:vertAlign w:val="subscript"/>
        </w:rPr>
        <w:t>w</w:t>
      </w:r>
      <w:proofErr w:type="spellEnd"/>
      <w:r w:rsidRPr="00C91D7C">
        <w:rPr>
          <w:rFonts w:ascii="Arial" w:hAnsi="Arial" w:cs="Arial"/>
          <w:b/>
          <w:bCs/>
        </w:rPr>
        <w:t xml:space="preserve"> =</w:t>
      </w:r>
      <w:r w:rsidRPr="00C91D7C">
        <w:rPr>
          <w:rFonts w:ascii="Arial" w:hAnsi="Arial" w:cs="Arial"/>
        </w:rPr>
        <w:t xml:space="preserve">Is the value of total world exports. </w:t>
      </w:r>
    </w:p>
    <w:p w14:paraId="25D7957A" w14:textId="77777777" w:rsidR="00CA5FD9" w:rsidRPr="00C91D7C" w:rsidRDefault="00401F91" w:rsidP="00401F91">
      <w:pPr>
        <w:pStyle w:val="ListParagraph"/>
        <w:spacing w:line="360" w:lineRule="auto"/>
        <w:ind w:left="426" w:hanging="142"/>
        <w:jc w:val="both"/>
        <w:rPr>
          <w:rFonts w:ascii="Arial" w:eastAsia="Calibri" w:hAnsi="Arial" w:cs="Arial"/>
        </w:rPr>
      </w:pPr>
      <w:r w:rsidRPr="00C91D7C">
        <w:rPr>
          <w:rFonts w:ascii="Arial" w:eastAsia="Calibri" w:hAnsi="Arial" w:cs="Arial"/>
        </w:rPr>
        <w:t>A country possesses a comparative advantage in exporting a specific commodity group (denoted as 'c') when the Relative Comparative Advantage (RCA) index for that country and commodity group (</w:t>
      </w:r>
      <w:proofErr w:type="spellStart"/>
      <w:r w:rsidRPr="00C91D7C">
        <w:rPr>
          <w:rFonts w:ascii="Arial" w:eastAsia="Calibri" w:hAnsi="Arial" w:cs="Arial"/>
        </w:rPr>
        <w:t>RCAic</w:t>
      </w:r>
      <w:proofErr w:type="spellEnd"/>
      <w:r w:rsidRPr="00C91D7C">
        <w:rPr>
          <w:rFonts w:ascii="Arial" w:eastAsia="Calibri" w:hAnsi="Arial" w:cs="Arial"/>
        </w:rPr>
        <w:t xml:space="preserve">) exceeds one. This signifies that the country's share of exports in commodity group 'c' is greater than the global export share for the same commodity group. Conversely, when </w:t>
      </w:r>
      <w:proofErr w:type="spellStart"/>
      <w:r w:rsidRPr="00C91D7C">
        <w:rPr>
          <w:rFonts w:ascii="Arial" w:eastAsia="Calibri" w:hAnsi="Arial" w:cs="Arial"/>
        </w:rPr>
        <w:t>RCAic</w:t>
      </w:r>
      <w:proofErr w:type="spellEnd"/>
      <w:r w:rsidRPr="00C91D7C">
        <w:rPr>
          <w:rFonts w:ascii="Arial" w:eastAsia="Calibri" w:hAnsi="Arial" w:cs="Arial"/>
        </w:rPr>
        <w:t xml:space="preserve"> falls below one, it indicates that the country experiences a comparative disadvantage in exporting that particular commodity group.</w:t>
      </w:r>
    </w:p>
    <w:p w14:paraId="5A8E2663" w14:textId="77777777" w:rsidR="004154B3" w:rsidRPr="00C91D7C" w:rsidRDefault="004154B3" w:rsidP="00CA5FD9">
      <w:pPr>
        <w:pStyle w:val="ListParagraph"/>
        <w:spacing w:line="360" w:lineRule="auto"/>
        <w:ind w:left="0"/>
        <w:jc w:val="both"/>
        <w:rPr>
          <w:rFonts w:ascii="Arial" w:eastAsia="Calibri" w:hAnsi="Arial" w:cs="Arial"/>
        </w:rPr>
      </w:pPr>
      <w:r w:rsidRPr="00C91D7C">
        <w:rPr>
          <w:rFonts w:ascii="Arial" w:hAnsi="Arial" w:cs="Arial"/>
          <w:b/>
          <w:bCs/>
        </w:rPr>
        <w:t>2.4. Herfindahl-Hirschman Index of Concentration</w:t>
      </w:r>
    </w:p>
    <w:p w14:paraId="1A637F3B" w14:textId="77777777" w:rsidR="004154B3" w:rsidRPr="00C91D7C" w:rsidRDefault="004154B3" w:rsidP="004154B3">
      <w:pPr>
        <w:spacing w:line="360" w:lineRule="auto"/>
        <w:jc w:val="both"/>
        <w:rPr>
          <w:rFonts w:ascii="Arial" w:hAnsi="Arial" w:cs="Arial"/>
        </w:rPr>
      </w:pPr>
      <w:r w:rsidRPr="00C91D7C">
        <w:rPr>
          <w:rFonts w:ascii="Arial" w:hAnsi="Arial" w:cs="Arial"/>
        </w:rPr>
        <w:tab/>
        <w:t>Herfindahl-Hirschman Index (HHI) is a commonly accepted measure of market concentration. It is calculated by squaring the market share of each commodity exported from India and then summing the resulting number. The HHI is expressed as:</w:t>
      </w:r>
    </w:p>
    <w:p w14:paraId="7614B70C" w14:textId="77777777" w:rsidR="004154B3" w:rsidRPr="00C91D7C" w:rsidRDefault="004154B3" w:rsidP="004154B3">
      <w:pPr>
        <w:spacing w:line="360" w:lineRule="auto"/>
        <w:ind w:left="1440"/>
        <w:jc w:val="both"/>
        <w:rPr>
          <w:rFonts w:ascii="Arial" w:hAnsi="Arial" w:cs="Arial"/>
        </w:rPr>
      </w:pPr>
      <w:r w:rsidRPr="00C91D7C">
        <w:rPr>
          <w:rFonts w:ascii="Cambria Math" w:hAnsi="Cambria Math" w:cs="Cambria Math"/>
        </w:rPr>
        <w:t>𝐻𝐻𝐼</w:t>
      </w:r>
      <w:r w:rsidRPr="00C91D7C">
        <w:rPr>
          <w:rFonts w:ascii="Arial" w:hAnsi="Arial" w:cs="Arial"/>
        </w:rPr>
        <w:t xml:space="preserve"> = </w:t>
      </w:r>
      <m:oMath>
        <m:nary>
          <m:naryPr>
            <m:chr m:val="∑"/>
            <m:grow m:val="1"/>
            <m:ctrlPr>
              <w:rPr>
                <w:rFonts w:ascii="Cambria Math" w:hAnsi="Cambria Math" w:cs="Arial"/>
              </w:rPr>
            </m:ctrlPr>
          </m:naryPr>
          <m:sub>
            <m:r>
              <w:rPr>
                <w:rFonts w:ascii="Cambria Math" w:eastAsia="Cambria Math" w:hAnsi="Cambria Math" w:cs="Arial"/>
              </w:rPr>
              <m:t>i=1</m:t>
            </m:r>
          </m:sub>
          <m:sup>
            <m:r>
              <w:rPr>
                <w:rFonts w:ascii="Cambria Math" w:eastAsia="Cambria Math" w:hAnsi="Cambria Math" w:cs="Arial"/>
              </w:rPr>
              <m:t>N</m:t>
            </m:r>
          </m:sup>
          <m:e>
            <m:sSup>
              <m:sSupPr>
                <m:ctrlPr>
                  <w:rPr>
                    <w:rFonts w:ascii="Cambria Math" w:hAnsi="Cambria Math" w:cs="Arial"/>
                  </w:rPr>
                </m:ctrlPr>
              </m:sSupPr>
              <m:e>
                <m:r>
                  <w:rPr>
                    <w:rFonts w:ascii="Cambria Math" w:eastAsia="Cambria Math" w:hAnsi="Cambria Math" w:cs="Arial"/>
                  </w:rPr>
                  <m:t>Si</m:t>
                </m:r>
              </m:e>
              <m:sup>
                <m:r>
                  <w:rPr>
                    <w:rFonts w:ascii="Cambria Math" w:eastAsia="Cambria Math" w:hAnsi="Cambria Math" w:cs="Arial"/>
                  </w:rPr>
                  <m:t>2</m:t>
                </m:r>
              </m:sup>
            </m:sSup>
          </m:e>
        </m:nary>
      </m:oMath>
    </w:p>
    <w:p w14:paraId="13BF458B" w14:textId="77777777" w:rsidR="004154B3" w:rsidRPr="00C91D7C" w:rsidRDefault="004154B3" w:rsidP="004154B3">
      <w:pPr>
        <w:spacing w:line="360" w:lineRule="auto"/>
        <w:ind w:left="1440"/>
        <w:jc w:val="both"/>
        <w:rPr>
          <w:rFonts w:ascii="Arial" w:hAnsi="Arial" w:cs="Arial"/>
        </w:rPr>
      </w:pPr>
      <w:r w:rsidRPr="00C91D7C">
        <w:rPr>
          <w:rFonts w:ascii="Arial" w:hAnsi="Arial" w:cs="Arial"/>
        </w:rPr>
        <w:t xml:space="preserve">where Si = Is the market share of country </w:t>
      </w:r>
      <w:proofErr w:type="spellStart"/>
      <w:r w:rsidRPr="00C91D7C">
        <w:rPr>
          <w:rFonts w:ascii="Arial" w:hAnsi="Arial" w:cs="Arial"/>
        </w:rPr>
        <w:t>i</w:t>
      </w:r>
      <w:proofErr w:type="spellEnd"/>
      <w:r w:rsidRPr="00C91D7C">
        <w:rPr>
          <w:rFonts w:ascii="Arial" w:hAnsi="Arial" w:cs="Arial"/>
        </w:rPr>
        <w:t xml:space="preserve"> in the market, and</w:t>
      </w:r>
    </w:p>
    <w:p w14:paraId="2BDB947A" w14:textId="77777777" w:rsidR="004154B3" w:rsidRPr="00C91D7C" w:rsidRDefault="004154B3" w:rsidP="004154B3">
      <w:pPr>
        <w:spacing w:line="360" w:lineRule="auto"/>
        <w:ind w:left="1440"/>
        <w:jc w:val="both"/>
        <w:rPr>
          <w:rFonts w:ascii="Arial" w:hAnsi="Arial" w:cs="Arial"/>
        </w:rPr>
      </w:pPr>
      <w:r w:rsidRPr="00C91D7C">
        <w:rPr>
          <w:rFonts w:ascii="Arial" w:hAnsi="Arial" w:cs="Arial"/>
        </w:rPr>
        <w:t xml:space="preserve"> N = Is the number of countries. </w:t>
      </w:r>
    </w:p>
    <w:p w14:paraId="21DBE1E4" w14:textId="77777777" w:rsidR="004154B3" w:rsidRPr="00C91D7C" w:rsidRDefault="004154B3" w:rsidP="004154B3">
      <w:pPr>
        <w:spacing w:line="360" w:lineRule="auto"/>
        <w:jc w:val="both"/>
        <w:rPr>
          <w:rFonts w:ascii="Arial" w:hAnsi="Arial" w:cs="Arial"/>
        </w:rPr>
      </w:pPr>
      <w:r w:rsidRPr="00C91D7C">
        <w:rPr>
          <w:rFonts w:ascii="Arial" w:hAnsi="Arial" w:cs="Arial"/>
        </w:rPr>
        <w:t xml:space="preserve">The result is a weighted average of market shares, with values ranging from 0 to 1, where 0 indicates no concentration and 1 full concentration in the market (this would be the case of a monopoly). </w:t>
      </w:r>
    </w:p>
    <w:p w14:paraId="0B75ABF1" w14:textId="77777777" w:rsidR="004154B3" w:rsidRPr="00C91D7C" w:rsidRDefault="004154B3" w:rsidP="004154B3">
      <w:pPr>
        <w:spacing w:line="360" w:lineRule="auto"/>
        <w:jc w:val="both"/>
        <w:rPr>
          <w:rFonts w:ascii="Arial" w:hAnsi="Arial" w:cs="Arial"/>
        </w:rPr>
      </w:pPr>
      <w:r w:rsidRPr="00C91D7C">
        <w:rPr>
          <w:rFonts w:ascii="Arial" w:hAnsi="Arial" w:cs="Arial"/>
        </w:rPr>
        <w:tab/>
        <w:t>The UK’s Competition and Markets Authority (CMA) defines a market as ‘concentrated’ (CMA, 2010) if the HHI is higher than 0.1 (or 10</w:t>
      </w:r>
      <w:r w:rsidR="00037918" w:rsidRPr="00C91D7C">
        <w:rPr>
          <w:rFonts w:ascii="Arial" w:hAnsi="Arial" w:cs="Arial"/>
        </w:rPr>
        <w:t xml:space="preserve"> </w:t>
      </w:r>
      <w:r w:rsidRPr="00C91D7C">
        <w:rPr>
          <w:rFonts w:ascii="Arial" w:hAnsi="Arial" w:cs="Arial"/>
        </w:rPr>
        <w:t xml:space="preserve">%) and as ‘highly concentrated’ if the HHI is higher than 0.2. </w:t>
      </w:r>
    </w:p>
    <w:p w14:paraId="3C51F44C" w14:textId="77777777" w:rsidR="0037692A" w:rsidRPr="00C91D7C" w:rsidRDefault="004154B3" w:rsidP="0037692A">
      <w:pPr>
        <w:spacing w:line="360" w:lineRule="auto"/>
        <w:jc w:val="both"/>
        <w:rPr>
          <w:rFonts w:ascii="Arial" w:hAnsi="Arial" w:cs="Arial"/>
        </w:rPr>
      </w:pPr>
      <w:r w:rsidRPr="00C91D7C">
        <w:rPr>
          <w:rFonts w:ascii="Arial" w:hAnsi="Arial" w:cs="Arial"/>
        </w:rPr>
        <w:tab/>
        <w:t>The US Federal Trade Commission (US FTC) defines a slightly different threshold with HHI values above 0.18 as a ‘highly concentrated market’, and above 0.1 as ‘moderately concentrated’ (FTC, 2015). A market with a HHI below 0.1 is usually considered as ‘non-concentrated’.</w:t>
      </w:r>
    </w:p>
    <w:p w14:paraId="2F15E6D8" w14:textId="77777777" w:rsidR="00CD709E" w:rsidRPr="00C91D7C" w:rsidRDefault="00370518" w:rsidP="0037692A">
      <w:pPr>
        <w:spacing w:line="360" w:lineRule="auto"/>
        <w:jc w:val="both"/>
        <w:rPr>
          <w:rFonts w:ascii="Arial" w:hAnsi="Arial" w:cs="Arial"/>
        </w:rPr>
      </w:pPr>
      <w:r w:rsidRPr="00C91D7C">
        <w:rPr>
          <w:rFonts w:ascii="Arial" w:hAnsi="Arial" w:cs="Arial"/>
          <w:b/>
          <w:bCs/>
        </w:rPr>
        <w:t>3.</w:t>
      </w:r>
      <w:r w:rsidRPr="00C91D7C">
        <w:rPr>
          <w:rFonts w:ascii="Arial" w:hAnsi="Arial" w:cs="Arial"/>
        </w:rPr>
        <w:t xml:space="preserve"> </w:t>
      </w:r>
      <w:r w:rsidR="00D76DF1" w:rsidRPr="00C91D7C">
        <w:rPr>
          <w:rFonts w:ascii="Arial" w:hAnsi="Arial" w:cs="Arial"/>
          <w:b/>
          <w:bCs/>
        </w:rPr>
        <w:t>Results and Discussion</w:t>
      </w:r>
    </w:p>
    <w:p w14:paraId="7645C122" w14:textId="77777777" w:rsidR="00ED703E" w:rsidRPr="00C91D7C" w:rsidRDefault="00D76DF1" w:rsidP="00AC61D1">
      <w:pPr>
        <w:spacing w:line="360" w:lineRule="auto"/>
        <w:rPr>
          <w:rFonts w:ascii="Arial" w:hAnsi="Arial" w:cs="Arial"/>
          <w:b/>
          <w:bCs/>
        </w:rPr>
      </w:pPr>
      <w:r w:rsidRPr="00C91D7C">
        <w:rPr>
          <w:rFonts w:ascii="Arial" w:hAnsi="Arial" w:cs="Arial"/>
          <w:b/>
          <w:bCs/>
        </w:rPr>
        <w:t xml:space="preserve">3.1 </w:t>
      </w:r>
      <w:r w:rsidR="00ED703E" w:rsidRPr="00C91D7C">
        <w:rPr>
          <w:rFonts w:ascii="Arial" w:hAnsi="Arial" w:cs="Arial"/>
          <w:b/>
          <w:bCs/>
        </w:rPr>
        <w:t>Compound annual growth rate (CAGR) of major Indian silk export destinations</w:t>
      </w:r>
    </w:p>
    <w:p w14:paraId="6D0F3F4B" w14:textId="77777777" w:rsidR="008324B2" w:rsidRPr="00C91D7C" w:rsidRDefault="00AD0912" w:rsidP="008324B2">
      <w:pPr>
        <w:spacing w:line="360" w:lineRule="auto"/>
        <w:jc w:val="both"/>
        <w:rPr>
          <w:rFonts w:ascii="Arial" w:hAnsi="Arial" w:cs="Arial"/>
        </w:rPr>
      </w:pPr>
      <w:r w:rsidRPr="00C91D7C">
        <w:rPr>
          <w:rFonts w:ascii="Arial" w:hAnsi="Arial" w:cs="Arial"/>
        </w:rPr>
        <w:tab/>
      </w:r>
      <w:r w:rsidR="008324B2" w:rsidRPr="00C91D7C">
        <w:rPr>
          <w:rFonts w:ascii="Arial" w:hAnsi="Arial" w:cs="Arial"/>
        </w:rPr>
        <w:t xml:space="preserve">The table 1 on the Compound Annual Growth Rate (CAGR) for the export destinations of Indian silk from 2011 to 2021 provides key insights into the evolving trends in the </w:t>
      </w:r>
      <w:r w:rsidR="008324B2" w:rsidRPr="00C91D7C">
        <w:rPr>
          <w:rFonts w:ascii="Arial" w:hAnsi="Arial" w:cs="Arial"/>
        </w:rPr>
        <w:lastRenderedPageBreak/>
        <w:t>international market. Bangladesh emerges as the top importer of Indian silk, with a remarkable CAGR of 21.63</w:t>
      </w:r>
      <w:r w:rsidR="000F1147" w:rsidRPr="00C91D7C">
        <w:rPr>
          <w:rFonts w:ascii="Arial" w:hAnsi="Arial" w:cs="Arial"/>
        </w:rPr>
        <w:t xml:space="preserve"> per cent per annum</w:t>
      </w:r>
      <w:r w:rsidR="008324B2" w:rsidRPr="00C91D7C">
        <w:rPr>
          <w:rFonts w:ascii="Arial" w:hAnsi="Arial" w:cs="Arial"/>
        </w:rPr>
        <w:t>. This indicates a significant increase in demand for Indian silk in Bangladesh over the period, suggesting strong market growth and a deeper trade relationship. On the other hand, China, a major global player in the silk industry, experienced a mo</w:t>
      </w:r>
      <w:r w:rsidR="000F1147" w:rsidRPr="00C91D7C">
        <w:rPr>
          <w:rFonts w:ascii="Arial" w:hAnsi="Arial" w:cs="Arial"/>
        </w:rPr>
        <w:t>re moderate growth rate of 8.01 per cent</w:t>
      </w:r>
      <w:r w:rsidR="008324B2" w:rsidRPr="00C91D7C">
        <w:rPr>
          <w:rFonts w:ascii="Arial" w:hAnsi="Arial" w:cs="Arial"/>
        </w:rPr>
        <w:t>, reflecting steady demand but not the sharp growth seen in some other markets.</w:t>
      </w:r>
      <w:r w:rsidR="000F1147" w:rsidRPr="00C91D7C">
        <w:rPr>
          <w:rFonts w:ascii="Arial" w:hAnsi="Arial" w:cs="Arial"/>
        </w:rPr>
        <w:tab/>
      </w:r>
    </w:p>
    <w:p w14:paraId="7CFC0984" w14:textId="77777777" w:rsidR="000F1147" w:rsidRPr="00C91D7C" w:rsidRDefault="000F1147" w:rsidP="000F1147">
      <w:pPr>
        <w:spacing w:line="360" w:lineRule="auto"/>
        <w:jc w:val="both"/>
        <w:rPr>
          <w:rFonts w:ascii="Arial" w:hAnsi="Arial" w:cs="Arial"/>
        </w:rPr>
      </w:pPr>
      <w:r w:rsidRPr="00C91D7C">
        <w:rPr>
          <w:rFonts w:ascii="Arial" w:hAnsi="Arial" w:cs="Arial"/>
        </w:rPr>
        <w:tab/>
      </w:r>
      <w:r w:rsidR="008324B2" w:rsidRPr="00C91D7C">
        <w:rPr>
          <w:rFonts w:ascii="Arial" w:hAnsi="Arial" w:cs="Arial"/>
        </w:rPr>
        <w:t>The United States and Italy have seen</w:t>
      </w:r>
      <w:r w:rsidRPr="00C91D7C">
        <w:rPr>
          <w:rFonts w:ascii="Arial" w:hAnsi="Arial" w:cs="Arial"/>
        </w:rPr>
        <w:t xml:space="preserve"> negative growth rates of -3.74 per cent </w:t>
      </w:r>
      <w:r w:rsidR="008324B2" w:rsidRPr="00C91D7C">
        <w:rPr>
          <w:rFonts w:ascii="Arial" w:hAnsi="Arial" w:cs="Arial"/>
        </w:rPr>
        <w:t>and -9.89</w:t>
      </w:r>
      <w:r w:rsidRPr="00C91D7C">
        <w:rPr>
          <w:rFonts w:ascii="Arial" w:hAnsi="Arial" w:cs="Arial"/>
        </w:rPr>
        <w:t xml:space="preserve"> per cent</w:t>
      </w:r>
      <w:r w:rsidR="008324B2" w:rsidRPr="00C91D7C">
        <w:rPr>
          <w:rFonts w:ascii="Arial" w:hAnsi="Arial" w:cs="Arial"/>
        </w:rPr>
        <w:t xml:space="preserve">, respectively, </w:t>
      </w:r>
      <w:r w:rsidRPr="00C91D7C">
        <w:rPr>
          <w:rFonts w:ascii="Arial" w:hAnsi="Arial" w:cs="Arial"/>
        </w:rPr>
        <w:t>signalling</w:t>
      </w:r>
      <w:r w:rsidR="008324B2" w:rsidRPr="00C91D7C">
        <w:rPr>
          <w:rFonts w:ascii="Arial" w:hAnsi="Arial" w:cs="Arial"/>
        </w:rPr>
        <w:t xml:space="preserve"> a decrease in the demand for Indian silk in these countries. This downward trend continues across several other markets, including Singapore, United Arab Emirates, Malaysia, France, United Kingdom, Germany, and Others, with CAGRs ranging from -10.33</w:t>
      </w:r>
      <w:r w:rsidRPr="00C91D7C">
        <w:rPr>
          <w:rFonts w:ascii="Arial" w:hAnsi="Arial" w:cs="Arial"/>
        </w:rPr>
        <w:t xml:space="preserve"> per cent </w:t>
      </w:r>
      <w:r w:rsidR="008324B2" w:rsidRPr="00C91D7C">
        <w:rPr>
          <w:rFonts w:ascii="Arial" w:hAnsi="Arial" w:cs="Arial"/>
        </w:rPr>
        <w:t>to -19.03</w:t>
      </w:r>
      <w:r w:rsidR="00852798" w:rsidRPr="00C91D7C">
        <w:rPr>
          <w:rFonts w:ascii="Arial" w:hAnsi="Arial" w:cs="Arial"/>
        </w:rPr>
        <w:t xml:space="preserve"> </w:t>
      </w:r>
      <w:r w:rsidRPr="00C91D7C">
        <w:rPr>
          <w:rFonts w:ascii="Arial" w:hAnsi="Arial" w:cs="Arial"/>
        </w:rPr>
        <w:t>per cent</w:t>
      </w:r>
      <w:r w:rsidR="008324B2" w:rsidRPr="00C91D7C">
        <w:rPr>
          <w:rFonts w:ascii="Arial" w:hAnsi="Arial" w:cs="Arial"/>
        </w:rPr>
        <w:t>. This suggests that Indian silk exports have been facing challe</w:t>
      </w:r>
      <w:r w:rsidR="00852798" w:rsidRPr="00C91D7C">
        <w:rPr>
          <w:rFonts w:ascii="Arial" w:hAnsi="Arial" w:cs="Arial"/>
        </w:rPr>
        <w:t xml:space="preserve">nges in these regions, possibly </w:t>
      </w:r>
      <w:r w:rsidR="008324B2" w:rsidRPr="00C91D7C">
        <w:rPr>
          <w:rFonts w:ascii="Arial" w:hAnsi="Arial" w:cs="Arial"/>
        </w:rPr>
        <w:t>due to changes in consumer preferences, competition from other silk-producing countries, or economic factors affecting these markets.</w:t>
      </w:r>
      <w:r w:rsidRPr="00C91D7C">
        <w:rPr>
          <w:rFonts w:ascii="Arial" w:hAnsi="Arial" w:cs="Arial"/>
        </w:rPr>
        <w:t xml:space="preserve"> </w:t>
      </w:r>
      <w:r w:rsidR="008324B2" w:rsidRPr="00C91D7C">
        <w:rPr>
          <w:rFonts w:ascii="Arial" w:hAnsi="Arial" w:cs="Arial"/>
        </w:rPr>
        <w:t>The overall CAGR for the World at -8.85</w:t>
      </w:r>
      <w:r w:rsidRPr="00C91D7C">
        <w:rPr>
          <w:rFonts w:ascii="Arial" w:hAnsi="Arial" w:cs="Arial"/>
        </w:rPr>
        <w:t xml:space="preserve"> per cent </w:t>
      </w:r>
      <w:r w:rsidR="008324B2" w:rsidRPr="00C91D7C">
        <w:rPr>
          <w:rFonts w:ascii="Arial" w:hAnsi="Arial" w:cs="Arial"/>
        </w:rPr>
        <w:t>reinforces the global decline in demand for Indian silk exports, with most of the key markets experiencing reduced imports over the decade. This indicates that while there may be growth in some regions like Bangladesh, the overall global demand for Indian silk has been on a downward trajectory.</w:t>
      </w:r>
      <w:r w:rsidRPr="00C91D7C">
        <w:rPr>
          <w:rFonts w:ascii="Arial" w:hAnsi="Arial" w:cs="Arial"/>
        </w:rPr>
        <w:t xml:space="preserve"> </w:t>
      </w:r>
    </w:p>
    <w:p w14:paraId="6C061518" w14:textId="77777777" w:rsidR="00ED703E" w:rsidRPr="00C91D7C" w:rsidRDefault="00ED703E" w:rsidP="000F1147">
      <w:pPr>
        <w:spacing w:line="360" w:lineRule="auto"/>
        <w:jc w:val="both"/>
        <w:rPr>
          <w:rFonts w:ascii="Arial" w:hAnsi="Arial" w:cs="Arial"/>
          <w:b/>
          <w:bCs/>
          <w:lang w:val="en-GB"/>
        </w:rPr>
      </w:pPr>
      <w:r w:rsidRPr="00C91D7C">
        <w:rPr>
          <w:rFonts w:ascii="Arial" w:hAnsi="Arial" w:cs="Arial"/>
          <w:b/>
          <w:bCs/>
          <w:lang w:val="en-GB"/>
        </w:rPr>
        <w:t xml:space="preserve">Table </w:t>
      </w:r>
      <w:r w:rsidR="007D3E8F" w:rsidRPr="00C91D7C">
        <w:rPr>
          <w:rFonts w:ascii="Arial" w:hAnsi="Arial" w:cs="Arial"/>
          <w:b/>
          <w:bCs/>
          <w:lang w:val="en-GB"/>
        </w:rPr>
        <w:t>1</w:t>
      </w:r>
      <w:r w:rsidRPr="00C91D7C">
        <w:rPr>
          <w:rFonts w:ascii="Arial" w:hAnsi="Arial" w:cs="Arial"/>
          <w:b/>
          <w:bCs/>
          <w:lang w:val="en-GB"/>
        </w:rPr>
        <w:t xml:space="preserve">: </w:t>
      </w:r>
      <w:r w:rsidR="00AD0912" w:rsidRPr="00C91D7C">
        <w:rPr>
          <w:rFonts w:ascii="Arial" w:hAnsi="Arial" w:cs="Arial"/>
          <w:b/>
          <w:bCs/>
          <w:lang w:val="en-GB"/>
        </w:rPr>
        <w:t>CAGR for the export destinations of Indian silk</w:t>
      </w:r>
      <w:r w:rsidR="00EE086B" w:rsidRPr="00C91D7C">
        <w:rPr>
          <w:rFonts w:ascii="Arial" w:hAnsi="Arial" w:cs="Arial"/>
          <w:b/>
          <w:bCs/>
          <w:lang w:val="en-GB"/>
        </w:rPr>
        <w:t xml:space="preserve"> (2011 to 2021)</w:t>
      </w: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085"/>
        <w:gridCol w:w="2655"/>
      </w:tblGrid>
      <w:tr w:rsidR="00AD0912" w:rsidRPr="00C91D7C" w14:paraId="69BC0B8F" w14:textId="77777777" w:rsidTr="00AD0912">
        <w:trPr>
          <w:trHeight w:val="300"/>
        </w:trPr>
        <w:tc>
          <w:tcPr>
            <w:tcW w:w="493" w:type="pct"/>
            <w:shd w:val="clear" w:color="auto" w:fill="auto"/>
            <w:vAlign w:val="bottom"/>
          </w:tcPr>
          <w:p w14:paraId="40643B92" w14:textId="77777777" w:rsidR="00AD0912" w:rsidRPr="00C91D7C" w:rsidRDefault="00AD0912"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Sl. No</w:t>
            </w:r>
          </w:p>
        </w:tc>
        <w:tc>
          <w:tcPr>
            <w:tcW w:w="2961" w:type="pct"/>
            <w:shd w:val="clear" w:color="auto" w:fill="auto"/>
            <w:noWrap/>
            <w:vAlign w:val="bottom"/>
            <w:hideMark/>
          </w:tcPr>
          <w:p w14:paraId="604E21A2" w14:textId="77777777" w:rsidR="00AD0912" w:rsidRPr="00C91D7C" w:rsidRDefault="00AD0912"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Importers</w:t>
            </w:r>
          </w:p>
        </w:tc>
        <w:tc>
          <w:tcPr>
            <w:tcW w:w="1546" w:type="pct"/>
            <w:shd w:val="clear" w:color="auto" w:fill="auto"/>
            <w:noWrap/>
            <w:vAlign w:val="bottom"/>
            <w:hideMark/>
          </w:tcPr>
          <w:p w14:paraId="306D3CA3" w14:textId="77777777" w:rsidR="00AD0912" w:rsidRPr="00C91D7C" w:rsidRDefault="00BD6F81"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 (%</w:t>
            </w:r>
            <w:r w:rsidR="00AD0912" w:rsidRPr="00C91D7C">
              <w:rPr>
                <w:rFonts w:ascii="Arial" w:eastAsia="Times New Roman" w:hAnsi="Arial" w:cs="Arial"/>
                <w:b/>
                <w:bCs/>
                <w:color w:val="000000"/>
                <w:lang w:eastAsia="en-IN"/>
              </w:rPr>
              <w:t>)</w:t>
            </w:r>
          </w:p>
        </w:tc>
      </w:tr>
      <w:tr w:rsidR="00721563" w:rsidRPr="00C91D7C" w14:paraId="40793E19" w14:textId="77777777" w:rsidTr="00DB1351">
        <w:trPr>
          <w:trHeight w:val="300"/>
        </w:trPr>
        <w:tc>
          <w:tcPr>
            <w:tcW w:w="493" w:type="pct"/>
            <w:vAlign w:val="bottom"/>
          </w:tcPr>
          <w:p w14:paraId="6E145EB0"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2961" w:type="pct"/>
            <w:shd w:val="clear" w:color="auto" w:fill="auto"/>
            <w:noWrap/>
            <w:vAlign w:val="center"/>
            <w:hideMark/>
          </w:tcPr>
          <w:p w14:paraId="1E817BCD"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Bangladesh</w:t>
            </w:r>
          </w:p>
        </w:tc>
        <w:tc>
          <w:tcPr>
            <w:tcW w:w="1546" w:type="pct"/>
            <w:shd w:val="clear" w:color="auto" w:fill="auto"/>
            <w:noWrap/>
            <w:vAlign w:val="center"/>
            <w:hideMark/>
          </w:tcPr>
          <w:p w14:paraId="687736AB"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21.63</w:t>
            </w:r>
          </w:p>
        </w:tc>
      </w:tr>
      <w:tr w:rsidR="00721563" w:rsidRPr="00C91D7C" w14:paraId="33610F5B" w14:textId="77777777" w:rsidTr="00DB1351">
        <w:trPr>
          <w:trHeight w:val="300"/>
        </w:trPr>
        <w:tc>
          <w:tcPr>
            <w:tcW w:w="493" w:type="pct"/>
            <w:vAlign w:val="bottom"/>
          </w:tcPr>
          <w:p w14:paraId="06502837"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2961" w:type="pct"/>
            <w:shd w:val="clear" w:color="auto" w:fill="auto"/>
            <w:noWrap/>
            <w:vAlign w:val="center"/>
            <w:hideMark/>
          </w:tcPr>
          <w:p w14:paraId="4C23855F"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China</w:t>
            </w:r>
          </w:p>
        </w:tc>
        <w:tc>
          <w:tcPr>
            <w:tcW w:w="1546" w:type="pct"/>
            <w:shd w:val="clear" w:color="auto" w:fill="auto"/>
            <w:noWrap/>
            <w:vAlign w:val="center"/>
            <w:hideMark/>
          </w:tcPr>
          <w:p w14:paraId="09C05A9E"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8.01</w:t>
            </w:r>
          </w:p>
        </w:tc>
      </w:tr>
      <w:tr w:rsidR="00721563" w:rsidRPr="00C91D7C" w14:paraId="35A54D3B" w14:textId="77777777" w:rsidTr="00DB1351">
        <w:trPr>
          <w:trHeight w:val="300"/>
        </w:trPr>
        <w:tc>
          <w:tcPr>
            <w:tcW w:w="493" w:type="pct"/>
            <w:vAlign w:val="bottom"/>
          </w:tcPr>
          <w:p w14:paraId="2D96D320"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2961" w:type="pct"/>
            <w:shd w:val="clear" w:color="auto" w:fill="auto"/>
            <w:noWrap/>
            <w:vAlign w:val="center"/>
            <w:hideMark/>
          </w:tcPr>
          <w:p w14:paraId="0E2E4DE4"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States of America</w:t>
            </w:r>
          </w:p>
        </w:tc>
        <w:tc>
          <w:tcPr>
            <w:tcW w:w="1546" w:type="pct"/>
            <w:shd w:val="clear" w:color="auto" w:fill="auto"/>
            <w:noWrap/>
            <w:vAlign w:val="center"/>
            <w:hideMark/>
          </w:tcPr>
          <w:p w14:paraId="216EE073"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-3.74</w:t>
            </w:r>
          </w:p>
        </w:tc>
      </w:tr>
      <w:tr w:rsidR="00721563" w:rsidRPr="00C91D7C" w14:paraId="5CD672CD" w14:textId="77777777" w:rsidTr="00DB1351">
        <w:trPr>
          <w:trHeight w:val="300"/>
        </w:trPr>
        <w:tc>
          <w:tcPr>
            <w:tcW w:w="493" w:type="pct"/>
            <w:vAlign w:val="bottom"/>
          </w:tcPr>
          <w:p w14:paraId="2190A5C7"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2961" w:type="pct"/>
            <w:shd w:val="clear" w:color="auto" w:fill="auto"/>
            <w:noWrap/>
            <w:vAlign w:val="center"/>
            <w:hideMark/>
          </w:tcPr>
          <w:p w14:paraId="453498DC"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Italy</w:t>
            </w:r>
          </w:p>
        </w:tc>
        <w:tc>
          <w:tcPr>
            <w:tcW w:w="1546" w:type="pct"/>
            <w:shd w:val="clear" w:color="auto" w:fill="auto"/>
            <w:noWrap/>
            <w:vAlign w:val="center"/>
            <w:hideMark/>
          </w:tcPr>
          <w:p w14:paraId="0DD91A66"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-9.89</w:t>
            </w:r>
          </w:p>
        </w:tc>
      </w:tr>
      <w:tr w:rsidR="00721563" w:rsidRPr="00C91D7C" w14:paraId="00AD37C4" w14:textId="77777777" w:rsidTr="00DB1351">
        <w:trPr>
          <w:trHeight w:val="300"/>
        </w:trPr>
        <w:tc>
          <w:tcPr>
            <w:tcW w:w="493" w:type="pct"/>
            <w:vAlign w:val="bottom"/>
          </w:tcPr>
          <w:p w14:paraId="29FF01B5"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2961" w:type="pct"/>
            <w:shd w:val="clear" w:color="auto" w:fill="auto"/>
            <w:noWrap/>
            <w:vAlign w:val="center"/>
            <w:hideMark/>
          </w:tcPr>
          <w:p w14:paraId="36F1516C"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Singapore</w:t>
            </w:r>
          </w:p>
        </w:tc>
        <w:tc>
          <w:tcPr>
            <w:tcW w:w="1546" w:type="pct"/>
            <w:shd w:val="clear" w:color="auto" w:fill="auto"/>
            <w:noWrap/>
            <w:vAlign w:val="center"/>
            <w:hideMark/>
          </w:tcPr>
          <w:p w14:paraId="62CD7FD0"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-10.33</w:t>
            </w:r>
          </w:p>
        </w:tc>
      </w:tr>
      <w:tr w:rsidR="00721563" w:rsidRPr="00C91D7C" w14:paraId="11D96E95" w14:textId="77777777" w:rsidTr="00DB1351">
        <w:trPr>
          <w:trHeight w:val="300"/>
        </w:trPr>
        <w:tc>
          <w:tcPr>
            <w:tcW w:w="493" w:type="pct"/>
            <w:vAlign w:val="bottom"/>
          </w:tcPr>
          <w:p w14:paraId="10410E95"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2961" w:type="pct"/>
            <w:shd w:val="clear" w:color="auto" w:fill="auto"/>
            <w:noWrap/>
            <w:vAlign w:val="center"/>
            <w:hideMark/>
          </w:tcPr>
          <w:p w14:paraId="2AD91C55"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Arab Emirates</w:t>
            </w:r>
          </w:p>
        </w:tc>
        <w:tc>
          <w:tcPr>
            <w:tcW w:w="1546" w:type="pct"/>
            <w:shd w:val="clear" w:color="auto" w:fill="auto"/>
            <w:noWrap/>
            <w:vAlign w:val="center"/>
            <w:hideMark/>
          </w:tcPr>
          <w:p w14:paraId="6620C2AE"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-11.78</w:t>
            </w:r>
          </w:p>
        </w:tc>
      </w:tr>
      <w:tr w:rsidR="00721563" w:rsidRPr="00C91D7C" w14:paraId="23E60FCC" w14:textId="77777777" w:rsidTr="00DB1351">
        <w:trPr>
          <w:trHeight w:val="300"/>
        </w:trPr>
        <w:tc>
          <w:tcPr>
            <w:tcW w:w="493" w:type="pct"/>
            <w:vAlign w:val="bottom"/>
          </w:tcPr>
          <w:p w14:paraId="5D74125C"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2961" w:type="pct"/>
            <w:shd w:val="clear" w:color="auto" w:fill="auto"/>
            <w:noWrap/>
            <w:vAlign w:val="center"/>
            <w:hideMark/>
          </w:tcPr>
          <w:p w14:paraId="48F13128"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Malaysia</w:t>
            </w:r>
          </w:p>
        </w:tc>
        <w:tc>
          <w:tcPr>
            <w:tcW w:w="1546" w:type="pct"/>
            <w:shd w:val="clear" w:color="auto" w:fill="auto"/>
            <w:noWrap/>
            <w:vAlign w:val="center"/>
            <w:hideMark/>
          </w:tcPr>
          <w:p w14:paraId="67F7AE49"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-12.86</w:t>
            </w:r>
          </w:p>
        </w:tc>
      </w:tr>
      <w:tr w:rsidR="00721563" w:rsidRPr="00C91D7C" w14:paraId="282CEBD2" w14:textId="77777777" w:rsidTr="00DB1351">
        <w:trPr>
          <w:trHeight w:val="300"/>
        </w:trPr>
        <w:tc>
          <w:tcPr>
            <w:tcW w:w="493" w:type="pct"/>
            <w:vAlign w:val="bottom"/>
          </w:tcPr>
          <w:p w14:paraId="4BF8C074"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2961" w:type="pct"/>
            <w:shd w:val="clear" w:color="auto" w:fill="auto"/>
            <w:noWrap/>
            <w:vAlign w:val="center"/>
            <w:hideMark/>
          </w:tcPr>
          <w:p w14:paraId="20FBF696"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France</w:t>
            </w:r>
          </w:p>
        </w:tc>
        <w:tc>
          <w:tcPr>
            <w:tcW w:w="1546" w:type="pct"/>
            <w:shd w:val="clear" w:color="auto" w:fill="auto"/>
            <w:noWrap/>
            <w:vAlign w:val="center"/>
            <w:hideMark/>
          </w:tcPr>
          <w:p w14:paraId="7D2FA72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-13.39</w:t>
            </w:r>
          </w:p>
        </w:tc>
      </w:tr>
      <w:tr w:rsidR="00721563" w:rsidRPr="00C91D7C" w14:paraId="7407D8D6" w14:textId="77777777" w:rsidTr="00DB1351">
        <w:trPr>
          <w:trHeight w:val="300"/>
        </w:trPr>
        <w:tc>
          <w:tcPr>
            <w:tcW w:w="493" w:type="pct"/>
            <w:vAlign w:val="bottom"/>
          </w:tcPr>
          <w:p w14:paraId="5E5FB0F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w:t>
            </w:r>
          </w:p>
        </w:tc>
        <w:tc>
          <w:tcPr>
            <w:tcW w:w="2961" w:type="pct"/>
            <w:shd w:val="clear" w:color="auto" w:fill="auto"/>
            <w:noWrap/>
            <w:vAlign w:val="center"/>
            <w:hideMark/>
          </w:tcPr>
          <w:p w14:paraId="181550EC"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Kingdom</w:t>
            </w:r>
          </w:p>
        </w:tc>
        <w:tc>
          <w:tcPr>
            <w:tcW w:w="1546" w:type="pct"/>
            <w:shd w:val="clear" w:color="auto" w:fill="auto"/>
            <w:noWrap/>
            <w:vAlign w:val="center"/>
            <w:hideMark/>
          </w:tcPr>
          <w:p w14:paraId="04CE2902"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-16.79</w:t>
            </w:r>
          </w:p>
        </w:tc>
      </w:tr>
      <w:tr w:rsidR="00721563" w:rsidRPr="00C91D7C" w14:paraId="511CD407" w14:textId="77777777" w:rsidTr="00DB1351">
        <w:trPr>
          <w:trHeight w:val="300"/>
        </w:trPr>
        <w:tc>
          <w:tcPr>
            <w:tcW w:w="493" w:type="pct"/>
            <w:vAlign w:val="bottom"/>
          </w:tcPr>
          <w:p w14:paraId="6C1682E6"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w:t>
            </w:r>
          </w:p>
        </w:tc>
        <w:tc>
          <w:tcPr>
            <w:tcW w:w="2961" w:type="pct"/>
            <w:shd w:val="clear" w:color="auto" w:fill="auto"/>
            <w:noWrap/>
            <w:vAlign w:val="center"/>
            <w:hideMark/>
          </w:tcPr>
          <w:p w14:paraId="36A8A6D2"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Germany</w:t>
            </w:r>
          </w:p>
        </w:tc>
        <w:tc>
          <w:tcPr>
            <w:tcW w:w="1546" w:type="pct"/>
            <w:shd w:val="clear" w:color="auto" w:fill="auto"/>
            <w:noWrap/>
            <w:vAlign w:val="center"/>
            <w:hideMark/>
          </w:tcPr>
          <w:p w14:paraId="7F14841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-19.03</w:t>
            </w:r>
          </w:p>
        </w:tc>
      </w:tr>
      <w:tr w:rsidR="00721563" w:rsidRPr="00C91D7C" w14:paraId="1B14B08D" w14:textId="77777777" w:rsidTr="00DB1351">
        <w:trPr>
          <w:trHeight w:val="300"/>
        </w:trPr>
        <w:tc>
          <w:tcPr>
            <w:tcW w:w="493" w:type="pct"/>
            <w:vAlign w:val="bottom"/>
          </w:tcPr>
          <w:p w14:paraId="59FEF0AD"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w:t>
            </w:r>
          </w:p>
        </w:tc>
        <w:tc>
          <w:tcPr>
            <w:tcW w:w="2961" w:type="pct"/>
            <w:shd w:val="clear" w:color="auto" w:fill="auto"/>
            <w:noWrap/>
            <w:vAlign w:val="center"/>
            <w:hideMark/>
          </w:tcPr>
          <w:p w14:paraId="2463F869"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Others</w:t>
            </w:r>
          </w:p>
        </w:tc>
        <w:tc>
          <w:tcPr>
            <w:tcW w:w="1546" w:type="pct"/>
            <w:shd w:val="clear" w:color="auto" w:fill="auto"/>
            <w:noWrap/>
            <w:vAlign w:val="center"/>
            <w:hideMark/>
          </w:tcPr>
          <w:p w14:paraId="2A3DACA3"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-16.99</w:t>
            </w:r>
          </w:p>
        </w:tc>
      </w:tr>
      <w:tr w:rsidR="00721563" w:rsidRPr="00C91D7C" w14:paraId="6A5262FC" w14:textId="77777777" w:rsidTr="00DB1351">
        <w:trPr>
          <w:trHeight w:val="300"/>
        </w:trPr>
        <w:tc>
          <w:tcPr>
            <w:tcW w:w="493" w:type="pct"/>
            <w:vAlign w:val="bottom"/>
          </w:tcPr>
          <w:p w14:paraId="03C5C1B5"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w:t>
            </w:r>
          </w:p>
        </w:tc>
        <w:tc>
          <w:tcPr>
            <w:tcW w:w="2961" w:type="pct"/>
            <w:shd w:val="clear" w:color="auto" w:fill="auto"/>
            <w:noWrap/>
            <w:vAlign w:val="center"/>
            <w:hideMark/>
          </w:tcPr>
          <w:p w14:paraId="54A4DDDF"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World</w:t>
            </w:r>
          </w:p>
        </w:tc>
        <w:tc>
          <w:tcPr>
            <w:tcW w:w="1546" w:type="pct"/>
            <w:shd w:val="clear" w:color="auto" w:fill="auto"/>
            <w:noWrap/>
            <w:vAlign w:val="center"/>
            <w:hideMark/>
          </w:tcPr>
          <w:p w14:paraId="53E098C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-8.85</w:t>
            </w:r>
          </w:p>
        </w:tc>
      </w:tr>
    </w:tbl>
    <w:p w14:paraId="75AC4312" w14:textId="77777777" w:rsidR="00EE086B" w:rsidRDefault="00EE086B" w:rsidP="00AC61D1">
      <w:pPr>
        <w:spacing w:line="360" w:lineRule="auto"/>
        <w:rPr>
          <w:rFonts w:ascii="Arial" w:hAnsi="Arial" w:cs="Arial"/>
        </w:rPr>
      </w:pPr>
    </w:p>
    <w:p w14:paraId="6C960E76" w14:textId="77777777" w:rsidR="00076DD0" w:rsidRPr="00C91D7C" w:rsidRDefault="00076DD0" w:rsidP="00AC61D1">
      <w:pPr>
        <w:spacing w:line="360" w:lineRule="auto"/>
        <w:rPr>
          <w:rFonts w:ascii="Arial" w:hAnsi="Arial" w:cs="Arial"/>
        </w:rPr>
      </w:pPr>
    </w:p>
    <w:p w14:paraId="53B5A7B2" w14:textId="77777777" w:rsidR="00EE086B" w:rsidRPr="00C91D7C" w:rsidRDefault="00D76DF1" w:rsidP="00AC61D1">
      <w:pPr>
        <w:spacing w:line="360" w:lineRule="auto"/>
        <w:rPr>
          <w:rFonts w:ascii="Arial" w:hAnsi="Arial" w:cs="Arial"/>
          <w:b/>
          <w:bCs/>
        </w:rPr>
      </w:pPr>
      <w:r w:rsidRPr="00C91D7C">
        <w:rPr>
          <w:rFonts w:ascii="Arial" w:hAnsi="Arial" w:cs="Arial"/>
          <w:b/>
          <w:bCs/>
        </w:rPr>
        <w:t xml:space="preserve">3.2 </w:t>
      </w:r>
      <w:r w:rsidR="00EE086B" w:rsidRPr="00C91D7C">
        <w:rPr>
          <w:rFonts w:ascii="Arial" w:hAnsi="Arial" w:cs="Arial"/>
          <w:b/>
          <w:bCs/>
        </w:rPr>
        <w:t>Compound annual growth rate (CAGR)</w:t>
      </w:r>
      <w:r w:rsidR="00721563" w:rsidRPr="00C91D7C">
        <w:rPr>
          <w:rFonts w:ascii="Arial" w:hAnsi="Arial" w:cs="Arial"/>
          <w:b/>
          <w:bCs/>
        </w:rPr>
        <w:t xml:space="preserve"> of major silk im</w:t>
      </w:r>
      <w:r w:rsidR="00EE086B" w:rsidRPr="00C91D7C">
        <w:rPr>
          <w:rFonts w:ascii="Arial" w:hAnsi="Arial" w:cs="Arial"/>
          <w:b/>
          <w:bCs/>
        </w:rPr>
        <w:t>port destinations</w:t>
      </w:r>
      <w:r w:rsidR="00721563" w:rsidRPr="00C91D7C">
        <w:rPr>
          <w:rFonts w:ascii="Arial" w:hAnsi="Arial" w:cs="Arial"/>
          <w:b/>
          <w:bCs/>
        </w:rPr>
        <w:t xml:space="preserve"> for India</w:t>
      </w:r>
    </w:p>
    <w:p w14:paraId="7AEF47FA" w14:textId="77777777" w:rsidR="0033572A" w:rsidRPr="00C91D7C" w:rsidRDefault="00721563" w:rsidP="0033572A">
      <w:pPr>
        <w:spacing w:after="0" w:line="360" w:lineRule="auto"/>
        <w:jc w:val="both"/>
        <w:rPr>
          <w:rFonts w:ascii="Arial" w:hAnsi="Arial" w:cs="Arial"/>
        </w:rPr>
      </w:pPr>
      <w:r w:rsidRPr="00C91D7C">
        <w:rPr>
          <w:rFonts w:ascii="Arial" w:hAnsi="Arial" w:cs="Arial"/>
          <w:b/>
          <w:bCs/>
        </w:rPr>
        <w:lastRenderedPageBreak/>
        <w:tab/>
      </w:r>
      <w:r w:rsidR="0033572A" w:rsidRPr="00C91D7C">
        <w:rPr>
          <w:rFonts w:ascii="Arial" w:hAnsi="Arial" w:cs="Arial"/>
        </w:rPr>
        <w:t>India’s silk import trends from 2011 to 2021 reflect a structural shift driven by policy interventions, changing global dynamics and diversification of trade partners. The overall negative CAGR of –8.05 per cent indicates a decline in total imports, largely due to India's increased domestic silk production and reduced dependency on traditional import sources. Government initiatives such as the Silk Samagra scheme and promotion of bivoltine sericulture have played a pivotal role in reducing raw silk imports, which declined from 4,959 tonnes in 2011–12 to just 1,377 tonnes in 2021–22 (CSB, 2022).</w:t>
      </w:r>
    </w:p>
    <w:p w14:paraId="48A94CBD" w14:textId="77777777" w:rsidR="0033572A" w:rsidRPr="00C91D7C" w:rsidRDefault="0033572A" w:rsidP="0033572A">
      <w:pPr>
        <w:spacing w:after="0" w:line="360" w:lineRule="auto"/>
        <w:jc w:val="both"/>
        <w:rPr>
          <w:rFonts w:ascii="Arial" w:hAnsi="Arial" w:cs="Arial"/>
        </w:rPr>
      </w:pPr>
      <w:r w:rsidRPr="00C91D7C">
        <w:rPr>
          <w:rFonts w:ascii="Arial" w:hAnsi="Arial" w:cs="Arial"/>
        </w:rPr>
        <w:tab/>
        <w:t xml:space="preserve">Notably, Vietnam (42.03 %) and Brazil (33.36 %) exhibited strong positive growth rates, emerging as key new suppliers. Vietnam benefited from the ASEAN–India Free Trade Agreement, offering competitively priced mulberry silk and expanding its presence in India’s silk market (Kumar </w:t>
      </w:r>
      <w:r w:rsidRPr="00C91D7C">
        <w:rPr>
          <w:rFonts w:ascii="Arial" w:hAnsi="Arial" w:cs="Arial"/>
          <w:i/>
          <w:iCs/>
        </w:rPr>
        <w:t>et al</w:t>
      </w:r>
      <w:r w:rsidRPr="00C91D7C">
        <w:rPr>
          <w:rFonts w:ascii="Arial" w:hAnsi="Arial" w:cs="Arial"/>
        </w:rPr>
        <w:t>., 2021). Brazil’s surge is attributed to advancements in sericulture research &amp; development and strict quality standards, which have made its silk yarn attractive for India’s growing eco-conscious textile sector (FAO, 2020).</w:t>
      </w:r>
    </w:p>
    <w:p w14:paraId="21F1BF83" w14:textId="77777777" w:rsidR="0033572A" w:rsidRPr="00C91D7C" w:rsidRDefault="0033572A" w:rsidP="0033572A">
      <w:pPr>
        <w:spacing w:after="0" w:line="360" w:lineRule="auto"/>
        <w:jc w:val="both"/>
        <w:rPr>
          <w:rFonts w:ascii="Arial" w:hAnsi="Arial" w:cs="Arial"/>
        </w:rPr>
      </w:pPr>
      <w:r w:rsidRPr="00C91D7C">
        <w:rPr>
          <w:rFonts w:ascii="Arial" w:hAnsi="Arial" w:cs="Arial"/>
        </w:rPr>
        <w:tab/>
        <w:t>Moderate growth from the UAE (5.78 %) and Uzbekistan (4.47 %) also reflects shifting dynamics. The UAE’s role as a trade re-export hub facilitated silk routing through Dubai’s free zones to other regions, while Uzbekistan’s gains are linked to sericulture revival efforts supported by international collabora</w:t>
      </w:r>
      <w:r w:rsidR="00C47B55" w:rsidRPr="00C91D7C">
        <w:rPr>
          <w:rFonts w:ascii="Arial" w:hAnsi="Arial" w:cs="Arial"/>
        </w:rPr>
        <w:t>tions such as BACSA (Yuldashev and</w:t>
      </w:r>
      <w:r w:rsidRPr="00C91D7C">
        <w:rPr>
          <w:rFonts w:ascii="Arial" w:hAnsi="Arial" w:cs="Arial"/>
        </w:rPr>
        <w:t xml:space="preserve"> Nazarova, 2019).</w:t>
      </w:r>
    </w:p>
    <w:p w14:paraId="524CB7B1" w14:textId="77777777" w:rsidR="0033572A" w:rsidRPr="00C91D7C" w:rsidRDefault="00C47B55" w:rsidP="0033572A">
      <w:pPr>
        <w:spacing w:after="0" w:line="360" w:lineRule="auto"/>
        <w:jc w:val="both"/>
        <w:rPr>
          <w:rFonts w:ascii="Arial" w:hAnsi="Arial" w:cs="Arial"/>
        </w:rPr>
      </w:pPr>
      <w:r w:rsidRPr="00C91D7C">
        <w:rPr>
          <w:rFonts w:ascii="Arial" w:hAnsi="Arial" w:cs="Arial"/>
        </w:rPr>
        <w:tab/>
        <w:t xml:space="preserve">The </w:t>
      </w:r>
      <w:r w:rsidR="0033572A" w:rsidRPr="00C91D7C">
        <w:rPr>
          <w:rFonts w:ascii="Arial" w:hAnsi="Arial" w:cs="Arial"/>
        </w:rPr>
        <w:t>major declines were seen from traditional exporters such as China (–15.36</w:t>
      </w:r>
      <w:r w:rsidRPr="00C91D7C">
        <w:rPr>
          <w:rFonts w:ascii="Arial" w:hAnsi="Arial" w:cs="Arial"/>
        </w:rPr>
        <w:t xml:space="preserve"> </w:t>
      </w:r>
      <w:r w:rsidR="0033572A" w:rsidRPr="00C91D7C">
        <w:rPr>
          <w:rFonts w:ascii="Arial" w:hAnsi="Arial" w:cs="Arial"/>
        </w:rPr>
        <w:t>%), the USA (–20.53</w:t>
      </w:r>
      <w:r w:rsidRPr="00C91D7C">
        <w:rPr>
          <w:rFonts w:ascii="Arial" w:hAnsi="Arial" w:cs="Arial"/>
        </w:rPr>
        <w:t xml:space="preserve"> </w:t>
      </w:r>
      <w:r w:rsidR="0033572A" w:rsidRPr="00C91D7C">
        <w:rPr>
          <w:rFonts w:ascii="Arial" w:hAnsi="Arial" w:cs="Arial"/>
        </w:rPr>
        <w:t>%), Italy (–13.30</w:t>
      </w:r>
      <w:r w:rsidRPr="00C91D7C">
        <w:rPr>
          <w:rFonts w:ascii="Arial" w:hAnsi="Arial" w:cs="Arial"/>
        </w:rPr>
        <w:t xml:space="preserve"> </w:t>
      </w:r>
      <w:r w:rsidR="0033572A" w:rsidRPr="00C91D7C">
        <w:rPr>
          <w:rFonts w:ascii="Arial" w:hAnsi="Arial" w:cs="Arial"/>
        </w:rPr>
        <w:t>%), and France (–8.09</w:t>
      </w:r>
      <w:r w:rsidRPr="00C91D7C">
        <w:rPr>
          <w:rFonts w:ascii="Arial" w:hAnsi="Arial" w:cs="Arial"/>
        </w:rPr>
        <w:t xml:space="preserve"> </w:t>
      </w:r>
      <w:r w:rsidR="0033572A" w:rsidRPr="00C91D7C">
        <w:rPr>
          <w:rFonts w:ascii="Arial" w:hAnsi="Arial" w:cs="Arial"/>
        </w:rPr>
        <w:t>%). China, once a dominant player, faced pandemic-related disruptions and redirected its silk output</w:t>
      </w:r>
      <w:r w:rsidRPr="00C91D7C">
        <w:rPr>
          <w:rFonts w:ascii="Arial" w:hAnsi="Arial" w:cs="Arial"/>
        </w:rPr>
        <w:t xml:space="preserve"> to domestic consumption (Zhao and</w:t>
      </w:r>
      <w:r w:rsidR="0033572A" w:rsidRPr="00C91D7C">
        <w:rPr>
          <w:rFonts w:ascii="Arial" w:hAnsi="Arial" w:cs="Arial"/>
        </w:rPr>
        <w:t xml:space="preserve"> Liu, 2022). The USA and EU markets have seen declining demand due to fiber substitution, fashion shifts, and increased preference for synthetic alternatives (Bag, 2023). Italy and France, once leaders in luxury silk, struggled with high production costs and reduced competitiveness in India’s evolving textile landscape.</w:t>
      </w:r>
    </w:p>
    <w:p w14:paraId="642FD67E" w14:textId="77777777" w:rsidR="000F57F4" w:rsidRPr="00C91D7C" w:rsidRDefault="007D3E8F" w:rsidP="00C47B55">
      <w:pPr>
        <w:spacing w:after="0" w:line="360" w:lineRule="auto"/>
        <w:jc w:val="both"/>
        <w:rPr>
          <w:rFonts w:ascii="Arial" w:hAnsi="Arial" w:cs="Arial"/>
          <w:b/>
          <w:bCs/>
          <w:lang w:val="en-GB"/>
        </w:rPr>
      </w:pPr>
      <w:r w:rsidRPr="00C91D7C">
        <w:rPr>
          <w:rFonts w:ascii="Arial" w:hAnsi="Arial" w:cs="Arial"/>
          <w:b/>
          <w:bCs/>
          <w:lang w:val="en-GB"/>
        </w:rPr>
        <w:t>Table 2</w:t>
      </w:r>
      <w:r w:rsidR="000F57F4" w:rsidRPr="00C91D7C">
        <w:rPr>
          <w:rFonts w:ascii="Arial" w:hAnsi="Arial" w:cs="Arial"/>
          <w:b/>
          <w:bCs/>
          <w:lang w:val="en-GB"/>
        </w:rPr>
        <w:t xml:space="preserve">: </w:t>
      </w:r>
      <w:r w:rsidR="002731BA" w:rsidRPr="00C91D7C">
        <w:rPr>
          <w:rFonts w:ascii="Arial" w:hAnsi="Arial" w:cs="Arial"/>
          <w:b/>
          <w:bCs/>
          <w:lang w:val="en-GB"/>
        </w:rPr>
        <w:t>CAGR for m</w:t>
      </w:r>
      <w:r w:rsidR="000F57F4" w:rsidRPr="00C91D7C">
        <w:rPr>
          <w:rFonts w:ascii="Arial" w:hAnsi="Arial" w:cs="Arial"/>
          <w:b/>
          <w:bCs/>
          <w:lang w:val="en-GB"/>
        </w:rPr>
        <w:t>ajor Indian import destinations for Silk (2011 to 2021)</w:t>
      </w:r>
    </w:p>
    <w:tbl>
      <w:tblPr>
        <w:tblW w:w="5000" w:type="pct"/>
        <w:tblLook w:val="04A0" w:firstRow="1" w:lastRow="0" w:firstColumn="1" w:lastColumn="0" w:noHBand="0" w:noVBand="1"/>
      </w:tblPr>
      <w:tblGrid>
        <w:gridCol w:w="1035"/>
        <w:gridCol w:w="5065"/>
        <w:gridCol w:w="2916"/>
      </w:tblGrid>
      <w:tr w:rsidR="002731BA" w:rsidRPr="00C91D7C" w14:paraId="681D8A35" w14:textId="77777777" w:rsidTr="00721563">
        <w:trPr>
          <w:trHeight w:val="300"/>
        </w:trPr>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48DC5" w14:textId="77777777" w:rsidR="002731BA" w:rsidRPr="00C91D7C" w:rsidRDefault="002731BA" w:rsidP="00C47B55">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Sl. No</w:t>
            </w:r>
          </w:p>
        </w:tc>
        <w:tc>
          <w:tcPr>
            <w:tcW w:w="2809" w:type="pct"/>
            <w:tcBorders>
              <w:top w:val="single" w:sz="4" w:space="0" w:color="auto"/>
              <w:left w:val="nil"/>
              <w:bottom w:val="single" w:sz="4" w:space="0" w:color="auto"/>
              <w:right w:val="single" w:sz="4" w:space="0" w:color="auto"/>
            </w:tcBorders>
            <w:shd w:val="clear" w:color="auto" w:fill="auto"/>
            <w:noWrap/>
            <w:vAlign w:val="bottom"/>
            <w:hideMark/>
          </w:tcPr>
          <w:p w14:paraId="52FF8AEB" w14:textId="77777777" w:rsidR="002731BA" w:rsidRPr="00C91D7C" w:rsidRDefault="002731BA" w:rsidP="00C47B55">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Exporters</w:t>
            </w:r>
          </w:p>
        </w:tc>
        <w:tc>
          <w:tcPr>
            <w:tcW w:w="1617" w:type="pct"/>
            <w:tcBorders>
              <w:top w:val="single" w:sz="4" w:space="0" w:color="auto"/>
              <w:left w:val="nil"/>
              <w:bottom w:val="single" w:sz="4" w:space="0" w:color="auto"/>
              <w:right w:val="single" w:sz="4" w:space="0" w:color="auto"/>
            </w:tcBorders>
            <w:shd w:val="clear" w:color="auto" w:fill="auto"/>
            <w:noWrap/>
            <w:vAlign w:val="bottom"/>
            <w:hideMark/>
          </w:tcPr>
          <w:p w14:paraId="308136BC" w14:textId="77777777" w:rsidR="002731BA" w:rsidRPr="00C91D7C" w:rsidRDefault="00C47B55" w:rsidP="00C47B55">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 (%</w:t>
            </w:r>
            <w:r w:rsidR="00721563" w:rsidRPr="00C91D7C">
              <w:rPr>
                <w:rFonts w:ascii="Arial" w:eastAsia="Times New Roman" w:hAnsi="Arial" w:cs="Arial"/>
                <w:b/>
                <w:bCs/>
                <w:color w:val="000000"/>
                <w:lang w:eastAsia="en-IN"/>
              </w:rPr>
              <w:t>)</w:t>
            </w:r>
          </w:p>
        </w:tc>
      </w:tr>
      <w:tr w:rsidR="002731BA" w:rsidRPr="00C91D7C" w14:paraId="760E4E99"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504C112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2809" w:type="pct"/>
            <w:tcBorders>
              <w:top w:val="nil"/>
              <w:left w:val="nil"/>
              <w:bottom w:val="single" w:sz="4" w:space="0" w:color="auto"/>
              <w:right w:val="single" w:sz="4" w:space="0" w:color="auto"/>
            </w:tcBorders>
            <w:shd w:val="clear" w:color="auto" w:fill="auto"/>
            <w:noWrap/>
            <w:vAlign w:val="center"/>
            <w:hideMark/>
          </w:tcPr>
          <w:p w14:paraId="113A2530"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Viet Nam</w:t>
            </w:r>
          </w:p>
        </w:tc>
        <w:tc>
          <w:tcPr>
            <w:tcW w:w="1617" w:type="pct"/>
            <w:tcBorders>
              <w:top w:val="nil"/>
              <w:left w:val="nil"/>
              <w:bottom w:val="single" w:sz="4" w:space="0" w:color="auto"/>
              <w:right w:val="single" w:sz="4" w:space="0" w:color="auto"/>
            </w:tcBorders>
            <w:shd w:val="clear" w:color="auto" w:fill="auto"/>
            <w:noWrap/>
            <w:vAlign w:val="center"/>
            <w:hideMark/>
          </w:tcPr>
          <w:p w14:paraId="7EB16220"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42.03</w:t>
            </w:r>
          </w:p>
        </w:tc>
      </w:tr>
      <w:tr w:rsidR="002731BA" w:rsidRPr="00C91D7C" w14:paraId="3C5BAA7B"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DEA2FDB"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2809" w:type="pct"/>
            <w:tcBorders>
              <w:top w:val="nil"/>
              <w:left w:val="nil"/>
              <w:bottom w:val="single" w:sz="4" w:space="0" w:color="auto"/>
              <w:right w:val="single" w:sz="4" w:space="0" w:color="auto"/>
            </w:tcBorders>
            <w:shd w:val="clear" w:color="auto" w:fill="auto"/>
            <w:noWrap/>
            <w:vAlign w:val="center"/>
            <w:hideMark/>
          </w:tcPr>
          <w:p w14:paraId="3C3AAA2B"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Brazil</w:t>
            </w:r>
          </w:p>
        </w:tc>
        <w:tc>
          <w:tcPr>
            <w:tcW w:w="1617" w:type="pct"/>
            <w:tcBorders>
              <w:top w:val="nil"/>
              <w:left w:val="nil"/>
              <w:bottom w:val="single" w:sz="4" w:space="0" w:color="auto"/>
              <w:right w:val="single" w:sz="4" w:space="0" w:color="auto"/>
            </w:tcBorders>
            <w:shd w:val="clear" w:color="auto" w:fill="auto"/>
            <w:noWrap/>
            <w:vAlign w:val="center"/>
            <w:hideMark/>
          </w:tcPr>
          <w:p w14:paraId="319F03A5"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33.36</w:t>
            </w:r>
          </w:p>
        </w:tc>
      </w:tr>
      <w:tr w:rsidR="002731BA" w:rsidRPr="00C91D7C" w14:paraId="2B5DD681"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23A80CD9"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2809" w:type="pct"/>
            <w:tcBorders>
              <w:top w:val="nil"/>
              <w:left w:val="nil"/>
              <w:bottom w:val="single" w:sz="4" w:space="0" w:color="auto"/>
              <w:right w:val="single" w:sz="4" w:space="0" w:color="auto"/>
            </w:tcBorders>
            <w:shd w:val="clear" w:color="auto" w:fill="auto"/>
            <w:noWrap/>
            <w:vAlign w:val="center"/>
            <w:hideMark/>
          </w:tcPr>
          <w:p w14:paraId="0101A459"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Arab Emirates</w:t>
            </w:r>
          </w:p>
        </w:tc>
        <w:tc>
          <w:tcPr>
            <w:tcW w:w="1617" w:type="pct"/>
            <w:tcBorders>
              <w:top w:val="nil"/>
              <w:left w:val="nil"/>
              <w:bottom w:val="single" w:sz="4" w:space="0" w:color="auto"/>
              <w:right w:val="single" w:sz="4" w:space="0" w:color="auto"/>
            </w:tcBorders>
            <w:shd w:val="clear" w:color="auto" w:fill="auto"/>
            <w:noWrap/>
            <w:vAlign w:val="center"/>
            <w:hideMark/>
          </w:tcPr>
          <w:p w14:paraId="370A90B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5.78</w:t>
            </w:r>
          </w:p>
        </w:tc>
      </w:tr>
      <w:tr w:rsidR="002731BA" w:rsidRPr="00C91D7C" w14:paraId="6A7A4409"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49FAF000"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2809" w:type="pct"/>
            <w:tcBorders>
              <w:top w:val="nil"/>
              <w:left w:val="nil"/>
              <w:bottom w:val="single" w:sz="4" w:space="0" w:color="auto"/>
              <w:right w:val="single" w:sz="4" w:space="0" w:color="auto"/>
            </w:tcBorders>
            <w:shd w:val="clear" w:color="auto" w:fill="auto"/>
            <w:noWrap/>
            <w:vAlign w:val="center"/>
            <w:hideMark/>
          </w:tcPr>
          <w:p w14:paraId="3AD6015F"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Uzbekistan</w:t>
            </w:r>
          </w:p>
        </w:tc>
        <w:tc>
          <w:tcPr>
            <w:tcW w:w="1617" w:type="pct"/>
            <w:tcBorders>
              <w:top w:val="nil"/>
              <w:left w:val="nil"/>
              <w:bottom w:val="single" w:sz="4" w:space="0" w:color="auto"/>
              <w:right w:val="single" w:sz="4" w:space="0" w:color="auto"/>
            </w:tcBorders>
            <w:shd w:val="clear" w:color="auto" w:fill="auto"/>
            <w:noWrap/>
            <w:vAlign w:val="center"/>
            <w:hideMark/>
          </w:tcPr>
          <w:p w14:paraId="3EFF7D64"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4.47</w:t>
            </w:r>
          </w:p>
        </w:tc>
      </w:tr>
      <w:tr w:rsidR="002731BA" w:rsidRPr="00C91D7C" w14:paraId="6F489C87"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6F90FDE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2809" w:type="pct"/>
            <w:tcBorders>
              <w:top w:val="nil"/>
              <w:left w:val="nil"/>
              <w:bottom w:val="single" w:sz="4" w:space="0" w:color="auto"/>
              <w:right w:val="single" w:sz="4" w:space="0" w:color="auto"/>
            </w:tcBorders>
            <w:shd w:val="clear" w:color="auto" w:fill="auto"/>
            <w:noWrap/>
            <w:vAlign w:val="center"/>
            <w:hideMark/>
          </w:tcPr>
          <w:p w14:paraId="2868C788"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Singapore</w:t>
            </w:r>
          </w:p>
        </w:tc>
        <w:tc>
          <w:tcPr>
            <w:tcW w:w="1617" w:type="pct"/>
            <w:tcBorders>
              <w:top w:val="nil"/>
              <w:left w:val="nil"/>
              <w:bottom w:val="single" w:sz="4" w:space="0" w:color="auto"/>
              <w:right w:val="single" w:sz="4" w:space="0" w:color="auto"/>
            </w:tcBorders>
            <w:shd w:val="clear" w:color="auto" w:fill="auto"/>
            <w:noWrap/>
            <w:vAlign w:val="center"/>
            <w:hideMark/>
          </w:tcPr>
          <w:p w14:paraId="56BB6CC5"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-7.85</w:t>
            </w:r>
          </w:p>
        </w:tc>
      </w:tr>
      <w:tr w:rsidR="002731BA" w:rsidRPr="00C91D7C" w14:paraId="63D50F07"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4FA9D483"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2809" w:type="pct"/>
            <w:tcBorders>
              <w:top w:val="nil"/>
              <w:left w:val="nil"/>
              <w:bottom w:val="single" w:sz="4" w:space="0" w:color="auto"/>
              <w:right w:val="single" w:sz="4" w:space="0" w:color="auto"/>
            </w:tcBorders>
            <w:shd w:val="clear" w:color="auto" w:fill="auto"/>
            <w:noWrap/>
            <w:vAlign w:val="center"/>
            <w:hideMark/>
          </w:tcPr>
          <w:p w14:paraId="414A8DF7"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France</w:t>
            </w:r>
          </w:p>
        </w:tc>
        <w:tc>
          <w:tcPr>
            <w:tcW w:w="1617" w:type="pct"/>
            <w:tcBorders>
              <w:top w:val="nil"/>
              <w:left w:val="nil"/>
              <w:bottom w:val="single" w:sz="4" w:space="0" w:color="auto"/>
              <w:right w:val="single" w:sz="4" w:space="0" w:color="auto"/>
            </w:tcBorders>
            <w:shd w:val="clear" w:color="auto" w:fill="auto"/>
            <w:noWrap/>
            <w:vAlign w:val="center"/>
            <w:hideMark/>
          </w:tcPr>
          <w:p w14:paraId="6435178B"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-8.09</w:t>
            </w:r>
          </w:p>
        </w:tc>
      </w:tr>
      <w:tr w:rsidR="002731BA" w:rsidRPr="00C91D7C" w14:paraId="358557D3"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7FAE7015"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2809" w:type="pct"/>
            <w:tcBorders>
              <w:top w:val="nil"/>
              <w:left w:val="nil"/>
              <w:bottom w:val="single" w:sz="4" w:space="0" w:color="auto"/>
              <w:right w:val="single" w:sz="4" w:space="0" w:color="auto"/>
            </w:tcBorders>
            <w:shd w:val="clear" w:color="auto" w:fill="auto"/>
            <w:noWrap/>
            <w:vAlign w:val="center"/>
            <w:hideMark/>
          </w:tcPr>
          <w:p w14:paraId="620ECF16"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Thailand</w:t>
            </w:r>
          </w:p>
        </w:tc>
        <w:tc>
          <w:tcPr>
            <w:tcW w:w="1617" w:type="pct"/>
            <w:tcBorders>
              <w:top w:val="nil"/>
              <w:left w:val="nil"/>
              <w:bottom w:val="single" w:sz="4" w:space="0" w:color="auto"/>
              <w:right w:val="single" w:sz="4" w:space="0" w:color="auto"/>
            </w:tcBorders>
            <w:shd w:val="clear" w:color="auto" w:fill="auto"/>
            <w:noWrap/>
            <w:vAlign w:val="center"/>
            <w:hideMark/>
          </w:tcPr>
          <w:p w14:paraId="6D2B69C3"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-9.78</w:t>
            </w:r>
          </w:p>
        </w:tc>
      </w:tr>
      <w:tr w:rsidR="002731BA" w:rsidRPr="00C91D7C" w14:paraId="23C6AF21"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57870867"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2809" w:type="pct"/>
            <w:tcBorders>
              <w:top w:val="nil"/>
              <w:left w:val="nil"/>
              <w:bottom w:val="single" w:sz="4" w:space="0" w:color="auto"/>
              <w:right w:val="single" w:sz="4" w:space="0" w:color="auto"/>
            </w:tcBorders>
            <w:shd w:val="clear" w:color="auto" w:fill="auto"/>
            <w:noWrap/>
            <w:vAlign w:val="center"/>
            <w:hideMark/>
          </w:tcPr>
          <w:p w14:paraId="725A2D95"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Italy</w:t>
            </w:r>
          </w:p>
        </w:tc>
        <w:tc>
          <w:tcPr>
            <w:tcW w:w="1617" w:type="pct"/>
            <w:tcBorders>
              <w:top w:val="nil"/>
              <w:left w:val="nil"/>
              <w:bottom w:val="single" w:sz="4" w:space="0" w:color="auto"/>
              <w:right w:val="single" w:sz="4" w:space="0" w:color="auto"/>
            </w:tcBorders>
            <w:shd w:val="clear" w:color="auto" w:fill="auto"/>
            <w:noWrap/>
            <w:vAlign w:val="center"/>
            <w:hideMark/>
          </w:tcPr>
          <w:p w14:paraId="0893A8FD"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-13.30</w:t>
            </w:r>
          </w:p>
        </w:tc>
      </w:tr>
      <w:tr w:rsidR="002731BA" w:rsidRPr="00C91D7C" w14:paraId="4599877E"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83947D4"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w:t>
            </w:r>
          </w:p>
        </w:tc>
        <w:tc>
          <w:tcPr>
            <w:tcW w:w="2809" w:type="pct"/>
            <w:tcBorders>
              <w:top w:val="nil"/>
              <w:left w:val="nil"/>
              <w:bottom w:val="single" w:sz="4" w:space="0" w:color="auto"/>
              <w:right w:val="single" w:sz="4" w:space="0" w:color="auto"/>
            </w:tcBorders>
            <w:shd w:val="clear" w:color="auto" w:fill="auto"/>
            <w:noWrap/>
            <w:vAlign w:val="center"/>
            <w:hideMark/>
          </w:tcPr>
          <w:p w14:paraId="68854463"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China</w:t>
            </w:r>
          </w:p>
        </w:tc>
        <w:tc>
          <w:tcPr>
            <w:tcW w:w="1617" w:type="pct"/>
            <w:tcBorders>
              <w:top w:val="nil"/>
              <w:left w:val="nil"/>
              <w:bottom w:val="single" w:sz="4" w:space="0" w:color="auto"/>
              <w:right w:val="single" w:sz="4" w:space="0" w:color="auto"/>
            </w:tcBorders>
            <w:shd w:val="clear" w:color="auto" w:fill="auto"/>
            <w:noWrap/>
            <w:vAlign w:val="center"/>
            <w:hideMark/>
          </w:tcPr>
          <w:p w14:paraId="5B9D88E4"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-15.36</w:t>
            </w:r>
          </w:p>
        </w:tc>
      </w:tr>
      <w:tr w:rsidR="002731BA" w:rsidRPr="00C91D7C" w14:paraId="651C0167"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2DEFBF7F"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w:t>
            </w:r>
          </w:p>
        </w:tc>
        <w:tc>
          <w:tcPr>
            <w:tcW w:w="2809" w:type="pct"/>
            <w:tcBorders>
              <w:top w:val="nil"/>
              <w:left w:val="nil"/>
              <w:bottom w:val="single" w:sz="4" w:space="0" w:color="auto"/>
              <w:right w:val="single" w:sz="4" w:space="0" w:color="auto"/>
            </w:tcBorders>
            <w:shd w:val="clear" w:color="auto" w:fill="auto"/>
            <w:noWrap/>
            <w:vAlign w:val="center"/>
            <w:hideMark/>
          </w:tcPr>
          <w:p w14:paraId="619232FE"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States of America</w:t>
            </w:r>
          </w:p>
        </w:tc>
        <w:tc>
          <w:tcPr>
            <w:tcW w:w="1617" w:type="pct"/>
            <w:tcBorders>
              <w:top w:val="nil"/>
              <w:left w:val="nil"/>
              <w:bottom w:val="single" w:sz="4" w:space="0" w:color="auto"/>
              <w:right w:val="single" w:sz="4" w:space="0" w:color="auto"/>
            </w:tcBorders>
            <w:shd w:val="clear" w:color="auto" w:fill="auto"/>
            <w:noWrap/>
            <w:vAlign w:val="center"/>
            <w:hideMark/>
          </w:tcPr>
          <w:p w14:paraId="40BB1B88"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-20.53</w:t>
            </w:r>
          </w:p>
        </w:tc>
      </w:tr>
      <w:tr w:rsidR="002731BA" w:rsidRPr="00C91D7C" w14:paraId="35979F89"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7E6EB3D1"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lastRenderedPageBreak/>
              <w:t>11</w:t>
            </w:r>
          </w:p>
        </w:tc>
        <w:tc>
          <w:tcPr>
            <w:tcW w:w="2809" w:type="pct"/>
            <w:tcBorders>
              <w:top w:val="nil"/>
              <w:left w:val="nil"/>
              <w:bottom w:val="single" w:sz="4" w:space="0" w:color="auto"/>
              <w:right w:val="single" w:sz="4" w:space="0" w:color="auto"/>
            </w:tcBorders>
            <w:shd w:val="clear" w:color="auto" w:fill="auto"/>
            <w:noWrap/>
            <w:vAlign w:val="center"/>
            <w:hideMark/>
          </w:tcPr>
          <w:p w14:paraId="77F54C3D"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Others</w:t>
            </w:r>
          </w:p>
        </w:tc>
        <w:tc>
          <w:tcPr>
            <w:tcW w:w="1617" w:type="pct"/>
            <w:tcBorders>
              <w:top w:val="nil"/>
              <w:left w:val="nil"/>
              <w:bottom w:val="single" w:sz="4" w:space="0" w:color="auto"/>
              <w:right w:val="single" w:sz="4" w:space="0" w:color="auto"/>
            </w:tcBorders>
            <w:shd w:val="clear" w:color="auto" w:fill="auto"/>
            <w:noWrap/>
            <w:vAlign w:val="center"/>
            <w:hideMark/>
          </w:tcPr>
          <w:p w14:paraId="187AAEFB"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-12.54</w:t>
            </w:r>
          </w:p>
        </w:tc>
      </w:tr>
      <w:tr w:rsidR="002731BA" w:rsidRPr="00C91D7C" w14:paraId="726E8C2D"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4D0282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w:t>
            </w:r>
          </w:p>
        </w:tc>
        <w:tc>
          <w:tcPr>
            <w:tcW w:w="2809" w:type="pct"/>
            <w:tcBorders>
              <w:top w:val="nil"/>
              <w:left w:val="nil"/>
              <w:bottom w:val="single" w:sz="4" w:space="0" w:color="auto"/>
              <w:right w:val="single" w:sz="4" w:space="0" w:color="auto"/>
            </w:tcBorders>
            <w:shd w:val="clear" w:color="auto" w:fill="auto"/>
            <w:noWrap/>
            <w:vAlign w:val="center"/>
            <w:hideMark/>
          </w:tcPr>
          <w:p w14:paraId="10A06045"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World</w:t>
            </w:r>
          </w:p>
        </w:tc>
        <w:tc>
          <w:tcPr>
            <w:tcW w:w="1617" w:type="pct"/>
            <w:tcBorders>
              <w:top w:val="nil"/>
              <w:left w:val="nil"/>
              <w:bottom w:val="single" w:sz="4" w:space="0" w:color="auto"/>
              <w:right w:val="single" w:sz="4" w:space="0" w:color="auto"/>
            </w:tcBorders>
            <w:shd w:val="clear" w:color="auto" w:fill="auto"/>
            <w:noWrap/>
            <w:vAlign w:val="center"/>
            <w:hideMark/>
          </w:tcPr>
          <w:p w14:paraId="7399E837"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-8.05</w:t>
            </w:r>
          </w:p>
        </w:tc>
      </w:tr>
    </w:tbl>
    <w:p w14:paraId="1604807A" w14:textId="77777777" w:rsidR="002E15B2" w:rsidRPr="00C91D7C" w:rsidRDefault="002E15B2" w:rsidP="00AC61D1">
      <w:pPr>
        <w:spacing w:line="360" w:lineRule="auto"/>
        <w:jc w:val="both"/>
        <w:rPr>
          <w:rFonts w:ascii="Arial" w:hAnsi="Arial" w:cs="Arial"/>
          <w:b/>
          <w:bCs/>
        </w:rPr>
      </w:pPr>
    </w:p>
    <w:p w14:paraId="45C191FA" w14:textId="77777777" w:rsidR="00837114" w:rsidRPr="00C91D7C" w:rsidRDefault="00D76DF1" w:rsidP="00AC61D1">
      <w:pPr>
        <w:spacing w:line="360" w:lineRule="auto"/>
        <w:jc w:val="both"/>
        <w:rPr>
          <w:rFonts w:ascii="Arial" w:hAnsi="Arial" w:cs="Arial"/>
          <w:lang w:val="en-GB"/>
        </w:rPr>
      </w:pPr>
      <w:r w:rsidRPr="00C91D7C">
        <w:rPr>
          <w:rFonts w:ascii="Arial" w:hAnsi="Arial" w:cs="Arial"/>
          <w:b/>
          <w:bCs/>
        </w:rPr>
        <w:t xml:space="preserve">3.3 </w:t>
      </w:r>
      <w:r w:rsidR="00837114" w:rsidRPr="00C91D7C">
        <w:rPr>
          <w:rFonts w:ascii="Arial" w:hAnsi="Arial" w:cs="Arial"/>
          <w:b/>
          <w:bCs/>
        </w:rPr>
        <w:t>Compound annual growth rate</w:t>
      </w:r>
      <w:r w:rsidR="00837114" w:rsidRPr="00C91D7C">
        <w:rPr>
          <w:rFonts w:ascii="Arial" w:hAnsi="Arial" w:cs="Arial"/>
          <w:b/>
          <w:bCs/>
          <w:lang w:val="en-GB"/>
        </w:rPr>
        <w:t xml:space="preserve"> of Indian exported silk products</w:t>
      </w:r>
    </w:p>
    <w:p w14:paraId="2E09EC81" w14:textId="77777777" w:rsidR="0095507F" w:rsidRPr="00C91D7C" w:rsidRDefault="00837114" w:rsidP="008D1910">
      <w:pPr>
        <w:spacing w:line="360" w:lineRule="auto"/>
        <w:jc w:val="both"/>
        <w:rPr>
          <w:rFonts w:ascii="Arial" w:eastAsia="Times New Roman" w:hAnsi="Arial" w:cs="Arial"/>
          <w:color w:val="000000"/>
          <w:lang w:eastAsia="en-IN"/>
        </w:rPr>
      </w:pPr>
      <w:r w:rsidRPr="00C91D7C">
        <w:rPr>
          <w:rFonts w:ascii="Arial" w:hAnsi="Arial" w:cs="Arial"/>
          <w:lang w:val="en-GB"/>
        </w:rPr>
        <w:tab/>
      </w:r>
      <w:r w:rsidR="0095507F" w:rsidRPr="00C91D7C">
        <w:rPr>
          <w:rFonts w:ascii="Arial" w:eastAsia="Times New Roman" w:hAnsi="Arial" w:cs="Arial"/>
          <w:color w:val="000000"/>
          <w:lang w:eastAsia="en-IN"/>
        </w:rPr>
        <w:t xml:space="preserve">The Compound Annual Growth Rate (CAGR) of Indian silk exports from 2011 to 2021 presents a mixed but predominantly declining trend across most product categories was presented in the Table 3. Notably, high-value silk items such as woven fabrics of noil silk (HS code 500710) and woven fabrics containing ≥85 per cent silk (500720) registered steep negative growth rates of -14.39 per cent and -12.48 per cent, respectively. Similarly, silk yarn (500400) and woven fabrics with &lt;85 per cent silk (500790) also showed declining trends, indicating a contraction in demand for processed silk products from India in the international market. This pattern suggests a loss of India’s global competitiveness in value-added silk exports, possibly due to higher production costs, limited modernization in silk weaving units and strong competition from countries like China and Vietnam, which offer cheaper and more uniform products (Rao </w:t>
      </w:r>
      <w:r w:rsidR="0095507F" w:rsidRPr="00C91D7C">
        <w:rPr>
          <w:rFonts w:ascii="Arial" w:eastAsia="Times New Roman" w:hAnsi="Arial" w:cs="Arial"/>
          <w:i/>
          <w:iCs/>
          <w:color w:val="000000"/>
          <w:lang w:eastAsia="en-IN"/>
        </w:rPr>
        <w:t>et al</w:t>
      </w:r>
      <w:r w:rsidR="0095507F" w:rsidRPr="00C91D7C">
        <w:rPr>
          <w:rFonts w:ascii="Arial" w:eastAsia="Times New Roman" w:hAnsi="Arial" w:cs="Arial"/>
          <w:color w:val="000000"/>
          <w:lang w:eastAsia="en-IN"/>
        </w:rPr>
        <w:t>., 2018; CSB, 2022).</w:t>
      </w:r>
    </w:p>
    <w:p w14:paraId="4DC2CBAE" w14:textId="77777777" w:rsidR="0095507F" w:rsidRPr="00C91D7C" w:rsidRDefault="0095507F" w:rsidP="0095507F">
      <w:pPr>
        <w:spacing w:line="360" w:lineRule="auto"/>
        <w:jc w:val="both"/>
        <w:rPr>
          <w:rFonts w:ascii="Arial" w:eastAsia="Times New Roman" w:hAnsi="Arial" w:cs="Arial"/>
          <w:color w:val="000000"/>
          <w:lang w:eastAsia="en-IN"/>
        </w:rPr>
      </w:pPr>
      <w:r w:rsidRPr="00C91D7C">
        <w:rPr>
          <w:rFonts w:ascii="Arial" w:eastAsia="Times New Roman" w:hAnsi="Arial" w:cs="Arial"/>
          <w:color w:val="000000"/>
          <w:lang w:eastAsia="en-IN"/>
        </w:rPr>
        <w:tab/>
        <w:t>Interestingly, positive growth was observed in the export of silk waste (500300), which recorded a CAGR of 6.67 per cent, and silkworm cocoons suitable for reeling (500100), which grew at 1.84 per cent. The increase in silk waste exports may reflect rising global demand for recycled or low-cost silk products, particularly in emerging textile industries in Southeast Asia and Africa (Ghosh and Sharma, 2020). The modest growth in cocoons could be attributed to the niche demand for raw materials in specific high-end silk processing countries and the increasing preference for reeling quality cocoon lots over processed yarn, due to cost efficiency and customization needs.</w:t>
      </w:r>
    </w:p>
    <w:p w14:paraId="450CC29A" w14:textId="77777777" w:rsidR="0095507F" w:rsidRPr="00C91D7C" w:rsidRDefault="0095507F" w:rsidP="0095507F">
      <w:pPr>
        <w:spacing w:line="360" w:lineRule="auto"/>
        <w:jc w:val="both"/>
        <w:rPr>
          <w:rFonts w:ascii="Arial" w:eastAsia="Times New Roman" w:hAnsi="Arial" w:cs="Arial"/>
          <w:color w:val="000000"/>
          <w:lang w:eastAsia="en-IN"/>
        </w:rPr>
      </w:pPr>
      <w:r w:rsidRPr="00C91D7C">
        <w:rPr>
          <w:rFonts w:ascii="Arial" w:eastAsia="Times New Roman" w:hAnsi="Arial" w:cs="Arial"/>
          <w:color w:val="000000"/>
          <w:lang w:eastAsia="en-IN"/>
        </w:rPr>
        <w:tab/>
        <w:t>The decline in raw silk (500200, -7.23 %) and silk yarn for retail sale (500600, -2.07 %) also points toward a larger structural shift in global silk trade, where buyers are increasingly sourcing finished fabrics directly rather than intermediary products. This transition could also be due to changing fashion trends, the rise of synthetic alternatives, and disruptions in traditional export markets post-2015 (UNCTAD, 2021). These findings are consistent with previous studies which highlighted the need for upgrading India's silk processing infrastructure and diversification of export destinations to mitigate the impacts of global competition (Reddy and Prasad, 2016). To reverse the negative trend, India must invest in quality enhancement, branding of Indian silk and fostering international collaborations. Additionally, promoting eco-silk and organic silk may open new premium market segments globally.</w:t>
      </w:r>
    </w:p>
    <w:p w14:paraId="15927978" w14:textId="77777777" w:rsidR="00076DD0" w:rsidRDefault="00076DD0" w:rsidP="0095507F">
      <w:pPr>
        <w:spacing w:line="360" w:lineRule="auto"/>
        <w:jc w:val="both"/>
        <w:rPr>
          <w:rFonts w:ascii="Arial" w:hAnsi="Arial" w:cs="Arial"/>
          <w:b/>
          <w:bCs/>
          <w:lang w:val="en-GB"/>
        </w:rPr>
      </w:pPr>
    </w:p>
    <w:p w14:paraId="2F4ABD2C" w14:textId="77777777" w:rsidR="00055970" w:rsidRPr="00C91D7C" w:rsidRDefault="00055970" w:rsidP="0095507F">
      <w:pPr>
        <w:spacing w:line="360" w:lineRule="auto"/>
        <w:jc w:val="both"/>
        <w:rPr>
          <w:rFonts w:ascii="Arial" w:hAnsi="Arial" w:cs="Arial"/>
          <w:b/>
          <w:bCs/>
          <w:lang w:val="en-GB"/>
        </w:rPr>
      </w:pPr>
      <w:r w:rsidRPr="00C91D7C">
        <w:rPr>
          <w:rFonts w:ascii="Arial" w:hAnsi="Arial" w:cs="Arial"/>
          <w:b/>
          <w:bCs/>
          <w:lang w:val="en-GB"/>
        </w:rPr>
        <w:t xml:space="preserve">Table </w:t>
      </w:r>
      <w:r w:rsidR="007D3E8F" w:rsidRPr="00C91D7C">
        <w:rPr>
          <w:rFonts w:ascii="Arial" w:hAnsi="Arial" w:cs="Arial"/>
          <w:b/>
          <w:bCs/>
          <w:lang w:val="en-GB"/>
        </w:rPr>
        <w:t>3</w:t>
      </w:r>
      <w:r w:rsidRPr="00C91D7C">
        <w:rPr>
          <w:rFonts w:ascii="Arial" w:hAnsi="Arial" w:cs="Arial"/>
          <w:b/>
          <w:bCs/>
          <w:lang w:val="en-GB"/>
        </w:rPr>
        <w:t>: CAGR of Indian exported silk products</w:t>
      </w:r>
      <w:r w:rsidR="00837114" w:rsidRPr="00C91D7C">
        <w:rPr>
          <w:rFonts w:ascii="Arial" w:hAnsi="Arial" w:cs="Arial"/>
          <w:b/>
          <w:bCs/>
          <w:lang w:val="en-GB"/>
        </w:rPr>
        <w:t xml:space="preserve"> (2011 to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5527"/>
        <w:gridCol w:w="1367"/>
      </w:tblGrid>
      <w:tr w:rsidR="00055970" w:rsidRPr="00C91D7C" w14:paraId="4A009F7A" w14:textId="77777777" w:rsidTr="00852798">
        <w:trPr>
          <w:trHeight w:val="510"/>
        </w:trPr>
        <w:tc>
          <w:tcPr>
            <w:tcW w:w="548" w:type="pct"/>
            <w:shd w:val="clear" w:color="auto" w:fill="auto"/>
            <w:noWrap/>
            <w:vAlign w:val="center"/>
            <w:hideMark/>
          </w:tcPr>
          <w:p w14:paraId="61480CE3" w14:textId="77777777" w:rsidR="00EE086B" w:rsidRPr="00C91D7C" w:rsidRDefault="00EE086B"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lastRenderedPageBreak/>
              <w:t>Sl. No</w:t>
            </w:r>
            <w:r w:rsidR="00852798" w:rsidRPr="00C91D7C">
              <w:rPr>
                <w:rFonts w:ascii="Arial" w:eastAsia="Times New Roman" w:hAnsi="Arial" w:cs="Arial"/>
                <w:b/>
                <w:bCs/>
                <w:color w:val="000000"/>
                <w:lang w:eastAsia="en-IN"/>
              </w:rPr>
              <w:t>.</w:t>
            </w:r>
          </w:p>
        </w:tc>
        <w:tc>
          <w:tcPr>
            <w:tcW w:w="629" w:type="pct"/>
            <w:shd w:val="clear" w:color="auto" w:fill="auto"/>
            <w:noWrap/>
            <w:vAlign w:val="center"/>
            <w:hideMark/>
          </w:tcPr>
          <w:p w14:paraId="24233A61" w14:textId="77777777" w:rsidR="00EE086B" w:rsidRPr="00C91D7C" w:rsidRDefault="00055970"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 xml:space="preserve">HS </w:t>
            </w:r>
            <w:r w:rsidR="00EE086B" w:rsidRPr="00C91D7C">
              <w:rPr>
                <w:rFonts w:ascii="Arial" w:eastAsia="Times New Roman" w:hAnsi="Arial" w:cs="Arial"/>
                <w:b/>
                <w:bCs/>
                <w:color w:val="000000"/>
                <w:lang w:eastAsia="en-IN"/>
              </w:rPr>
              <w:t>Code</w:t>
            </w:r>
          </w:p>
        </w:tc>
        <w:tc>
          <w:tcPr>
            <w:tcW w:w="3065" w:type="pct"/>
            <w:shd w:val="clear" w:color="auto" w:fill="auto"/>
            <w:noWrap/>
            <w:vAlign w:val="center"/>
            <w:hideMark/>
          </w:tcPr>
          <w:p w14:paraId="768373E0" w14:textId="77777777" w:rsidR="00EE086B" w:rsidRPr="00C91D7C" w:rsidRDefault="00EE086B"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758" w:type="pct"/>
            <w:shd w:val="clear" w:color="auto" w:fill="auto"/>
            <w:noWrap/>
            <w:vAlign w:val="center"/>
            <w:hideMark/>
          </w:tcPr>
          <w:p w14:paraId="2C015402" w14:textId="77777777" w:rsidR="00EE086B" w:rsidRPr="00C91D7C" w:rsidRDefault="00EE086B"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w:t>
            </w:r>
            <w:r w:rsidR="00055970" w:rsidRPr="00C91D7C">
              <w:rPr>
                <w:rFonts w:ascii="Arial" w:eastAsia="Times New Roman" w:hAnsi="Arial" w:cs="Arial"/>
                <w:b/>
                <w:bCs/>
                <w:color w:val="000000"/>
                <w:lang w:eastAsia="en-IN"/>
              </w:rPr>
              <w:t xml:space="preserve"> (%)</w:t>
            </w:r>
          </w:p>
        </w:tc>
      </w:tr>
      <w:tr w:rsidR="00055970" w:rsidRPr="00C91D7C" w14:paraId="41ABAB17" w14:textId="77777777" w:rsidTr="00852798">
        <w:trPr>
          <w:trHeight w:val="300"/>
        </w:trPr>
        <w:tc>
          <w:tcPr>
            <w:tcW w:w="548" w:type="pct"/>
            <w:shd w:val="clear" w:color="auto" w:fill="auto"/>
            <w:noWrap/>
            <w:vAlign w:val="center"/>
            <w:hideMark/>
          </w:tcPr>
          <w:p w14:paraId="14F2E17E"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629" w:type="pct"/>
            <w:shd w:val="clear" w:color="auto" w:fill="auto"/>
            <w:noWrap/>
            <w:vAlign w:val="center"/>
            <w:hideMark/>
          </w:tcPr>
          <w:p w14:paraId="44C14DE7"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3065" w:type="pct"/>
            <w:shd w:val="clear" w:color="auto" w:fill="auto"/>
            <w:noWrap/>
            <w:vAlign w:val="bottom"/>
            <w:hideMark/>
          </w:tcPr>
          <w:p w14:paraId="46D67A6C"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758" w:type="pct"/>
            <w:shd w:val="clear" w:color="auto" w:fill="auto"/>
            <w:noWrap/>
            <w:vAlign w:val="center"/>
            <w:hideMark/>
          </w:tcPr>
          <w:p w14:paraId="2D236378"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-12.48</w:t>
            </w:r>
          </w:p>
        </w:tc>
      </w:tr>
      <w:tr w:rsidR="00055970" w:rsidRPr="00C91D7C" w14:paraId="1C396E67" w14:textId="77777777" w:rsidTr="00852798">
        <w:trPr>
          <w:trHeight w:val="300"/>
        </w:trPr>
        <w:tc>
          <w:tcPr>
            <w:tcW w:w="548" w:type="pct"/>
            <w:shd w:val="clear" w:color="auto" w:fill="auto"/>
            <w:noWrap/>
            <w:vAlign w:val="center"/>
            <w:hideMark/>
          </w:tcPr>
          <w:p w14:paraId="71CF698B"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629" w:type="pct"/>
            <w:shd w:val="clear" w:color="auto" w:fill="auto"/>
            <w:noWrap/>
            <w:vAlign w:val="center"/>
            <w:hideMark/>
          </w:tcPr>
          <w:p w14:paraId="3D10F1AE"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3065" w:type="pct"/>
            <w:shd w:val="clear" w:color="auto" w:fill="auto"/>
            <w:noWrap/>
            <w:vAlign w:val="bottom"/>
            <w:hideMark/>
          </w:tcPr>
          <w:p w14:paraId="4E148789"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758" w:type="pct"/>
            <w:shd w:val="clear" w:color="auto" w:fill="auto"/>
            <w:noWrap/>
            <w:vAlign w:val="center"/>
            <w:hideMark/>
          </w:tcPr>
          <w:p w14:paraId="04A07F1F"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6.67</w:t>
            </w:r>
          </w:p>
        </w:tc>
      </w:tr>
      <w:tr w:rsidR="00055970" w:rsidRPr="00C91D7C" w14:paraId="75CDC9A1" w14:textId="77777777" w:rsidTr="00852798">
        <w:trPr>
          <w:trHeight w:val="300"/>
        </w:trPr>
        <w:tc>
          <w:tcPr>
            <w:tcW w:w="548" w:type="pct"/>
            <w:shd w:val="clear" w:color="auto" w:fill="auto"/>
            <w:noWrap/>
            <w:vAlign w:val="center"/>
            <w:hideMark/>
          </w:tcPr>
          <w:p w14:paraId="624D2A5A"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629" w:type="pct"/>
            <w:shd w:val="clear" w:color="auto" w:fill="auto"/>
            <w:noWrap/>
            <w:vAlign w:val="center"/>
            <w:hideMark/>
          </w:tcPr>
          <w:p w14:paraId="455E9CBB"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3065" w:type="pct"/>
            <w:shd w:val="clear" w:color="auto" w:fill="auto"/>
            <w:noWrap/>
            <w:vAlign w:val="bottom"/>
            <w:hideMark/>
          </w:tcPr>
          <w:p w14:paraId="59AF8A33"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758" w:type="pct"/>
            <w:shd w:val="clear" w:color="auto" w:fill="auto"/>
            <w:noWrap/>
            <w:vAlign w:val="center"/>
            <w:hideMark/>
          </w:tcPr>
          <w:p w14:paraId="3E559F51"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-5.53</w:t>
            </w:r>
          </w:p>
        </w:tc>
      </w:tr>
      <w:tr w:rsidR="00055970" w:rsidRPr="00C91D7C" w14:paraId="43C2495B" w14:textId="77777777" w:rsidTr="00852798">
        <w:trPr>
          <w:trHeight w:val="300"/>
        </w:trPr>
        <w:tc>
          <w:tcPr>
            <w:tcW w:w="548" w:type="pct"/>
            <w:shd w:val="clear" w:color="auto" w:fill="auto"/>
            <w:noWrap/>
            <w:vAlign w:val="center"/>
            <w:hideMark/>
          </w:tcPr>
          <w:p w14:paraId="72BD1235"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629" w:type="pct"/>
            <w:shd w:val="clear" w:color="auto" w:fill="auto"/>
            <w:noWrap/>
            <w:vAlign w:val="center"/>
            <w:hideMark/>
          </w:tcPr>
          <w:p w14:paraId="5A706AAC"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3065" w:type="pct"/>
            <w:shd w:val="clear" w:color="auto" w:fill="auto"/>
            <w:noWrap/>
            <w:vAlign w:val="bottom"/>
            <w:hideMark/>
          </w:tcPr>
          <w:p w14:paraId="25B92639"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758" w:type="pct"/>
            <w:shd w:val="clear" w:color="auto" w:fill="auto"/>
            <w:noWrap/>
            <w:vAlign w:val="center"/>
            <w:hideMark/>
          </w:tcPr>
          <w:p w14:paraId="4AFC1519"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-14.39</w:t>
            </w:r>
          </w:p>
        </w:tc>
      </w:tr>
      <w:tr w:rsidR="00055970" w:rsidRPr="00C91D7C" w14:paraId="476C7AF5" w14:textId="77777777" w:rsidTr="00852798">
        <w:trPr>
          <w:trHeight w:val="300"/>
        </w:trPr>
        <w:tc>
          <w:tcPr>
            <w:tcW w:w="548" w:type="pct"/>
            <w:shd w:val="clear" w:color="auto" w:fill="auto"/>
            <w:noWrap/>
            <w:vAlign w:val="center"/>
            <w:hideMark/>
          </w:tcPr>
          <w:p w14:paraId="0F8509C5"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629" w:type="pct"/>
            <w:shd w:val="clear" w:color="auto" w:fill="auto"/>
            <w:noWrap/>
            <w:vAlign w:val="center"/>
            <w:hideMark/>
          </w:tcPr>
          <w:p w14:paraId="7DD478A5"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3065" w:type="pct"/>
            <w:shd w:val="clear" w:color="auto" w:fill="auto"/>
            <w:noWrap/>
            <w:vAlign w:val="bottom"/>
            <w:hideMark/>
          </w:tcPr>
          <w:p w14:paraId="5B2546FA"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758" w:type="pct"/>
            <w:shd w:val="clear" w:color="auto" w:fill="auto"/>
            <w:noWrap/>
            <w:vAlign w:val="center"/>
            <w:hideMark/>
          </w:tcPr>
          <w:p w14:paraId="4020DA88"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r>
      <w:tr w:rsidR="00055970" w:rsidRPr="00C91D7C" w14:paraId="1DE33036" w14:textId="77777777" w:rsidTr="00852798">
        <w:trPr>
          <w:trHeight w:val="300"/>
        </w:trPr>
        <w:tc>
          <w:tcPr>
            <w:tcW w:w="548" w:type="pct"/>
            <w:shd w:val="clear" w:color="auto" w:fill="auto"/>
            <w:noWrap/>
            <w:vAlign w:val="center"/>
            <w:hideMark/>
          </w:tcPr>
          <w:p w14:paraId="27B5E3E5"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629" w:type="pct"/>
            <w:shd w:val="clear" w:color="auto" w:fill="auto"/>
            <w:noWrap/>
            <w:vAlign w:val="center"/>
            <w:hideMark/>
          </w:tcPr>
          <w:p w14:paraId="07F48855"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3065" w:type="pct"/>
            <w:shd w:val="clear" w:color="auto" w:fill="auto"/>
            <w:noWrap/>
            <w:vAlign w:val="bottom"/>
            <w:hideMark/>
          </w:tcPr>
          <w:p w14:paraId="4B1EEAF0"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758" w:type="pct"/>
            <w:shd w:val="clear" w:color="auto" w:fill="auto"/>
            <w:noWrap/>
            <w:vAlign w:val="center"/>
            <w:hideMark/>
          </w:tcPr>
          <w:p w14:paraId="7C27CCA7"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-13.42</w:t>
            </w:r>
          </w:p>
        </w:tc>
      </w:tr>
      <w:tr w:rsidR="00055970" w:rsidRPr="00C91D7C" w14:paraId="068C5E2C" w14:textId="77777777" w:rsidTr="00852798">
        <w:trPr>
          <w:trHeight w:val="300"/>
        </w:trPr>
        <w:tc>
          <w:tcPr>
            <w:tcW w:w="548" w:type="pct"/>
            <w:shd w:val="clear" w:color="auto" w:fill="auto"/>
            <w:noWrap/>
            <w:vAlign w:val="center"/>
            <w:hideMark/>
          </w:tcPr>
          <w:p w14:paraId="2FBD3FBD"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629" w:type="pct"/>
            <w:shd w:val="clear" w:color="auto" w:fill="auto"/>
            <w:noWrap/>
            <w:vAlign w:val="center"/>
            <w:hideMark/>
          </w:tcPr>
          <w:p w14:paraId="0A431160"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3065" w:type="pct"/>
            <w:shd w:val="clear" w:color="auto" w:fill="auto"/>
            <w:noWrap/>
            <w:vAlign w:val="bottom"/>
            <w:hideMark/>
          </w:tcPr>
          <w:p w14:paraId="49FE4FF0"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758" w:type="pct"/>
            <w:shd w:val="clear" w:color="auto" w:fill="auto"/>
            <w:noWrap/>
            <w:vAlign w:val="center"/>
            <w:hideMark/>
          </w:tcPr>
          <w:p w14:paraId="3C4D8FA4"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-7.23</w:t>
            </w:r>
          </w:p>
        </w:tc>
      </w:tr>
      <w:tr w:rsidR="00055970" w:rsidRPr="00C91D7C" w14:paraId="3BDDF4DF" w14:textId="77777777" w:rsidTr="00852798">
        <w:trPr>
          <w:trHeight w:val="300"/>
        </w:trPr>
        <w:tc>
          <w:tcPr>
            <w:tcW w:w="548" w:type="pct"/>
            <w:shd w:val="clear" w:color="auto" w:fill="auto"/>
            <w:noWrap/>
            <w:vAlign w:val="center"/>
            <w:hideMark/>
          </w:tcPr>
          <w:p w14:paraId="52057E6C"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629" w:type="pct"/>
            <w:shd w:val="clear" w:color="auto" w:fill="auto"/>
            <w:noWrap/>
            <w:vAlign w:val="center"/>
            <w:hideMark/>
          </w:tcPr>
          <w:p w14:paraId="37CFD72B"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3065" w:type="pct"/>
            <w:shd w:val="clear" w:color="auto" w:fill="auto"/>
            <w:noWrap/>
            <w:vAlign w:val="bottom"/>
            <w:hideMark/>
          </w:tcPr>
          <w:p w14:paraId="3B7E4F9C"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758" w:type="pct"/>
            <w:shd w:val="clear" w:color="auto" w:fill="auto"/>
            <w:noWrap/>
            <w:vAlign w:val="center"/>
            <w:hideMark/>
          </w:tcPr>
          <w:p w14:paraId="77C0D5FB"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-2.07</w:t>
            </w:r>
          </w:p>
        </w:tc>
      </w:tr>
      <w:tr w:rsidR="00055970" w:rsidRPr="00C91D7C" w14:paraId="703FF989" w14:textId="77777777" w:rsidTr="00852798">
        <w:trPr>
          <w:trHeight w:val="300"/>
        </w:trPr>
        <w:tc>
          <w:tcPr>
            <w:tcW w:w="548" w:type="pct"/>
            <w:shd w:val="clear" w:color="auto" w:fill="auto"/>
            <w:noWrap/>
            <w:vAlign w:val="center"/>
            <w:hideMark/>
          </w:tcPr>
          <w:p w14:paraId="4D07DE10"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w:t>
            </w:r>
          </w:p>
        </w:tc>
        <w:tc>
          <w:tcPr>
            <w:tcW w:w="629" w:type="pct"/>
            <w:shd w:val="clear" w:color="auto" w:fill="auto"/>
            <w:noWrap/>
            <w:vAlign w:val="center"/>
            <w:hideMark/>
          </w:tcPr>
          <w:p w14:paraId="41DED77E"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'500100</w:t>
            </w:r>
          </w:p>
        </w:tc>
        <w:tc>
          <w:tcPr>
            <w:tcW w:w="3065" w:type="pct"/>
            <w:shd w:val="clear" w:color="auto" w:fill="auto"/>
            <w:noWrap/>
            <w:vAlign w:val="bottom"/>
            <w:hideMark/>
          </w:tcPr>
          <w:p w14:paraId="1CFDC1C9"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Silkworm cocoons suitable for reeling</w:t>
            </w:r>
          </w:p>
        </w:tc>
        <w:tc>
          <w:tcPr>
            <w:tcW w:w="758" w:type="pct"/>
            <w:shd w:val="clear" w:color="auto" w:fill="auto"/>
            <w:noWrap/>
            <w:vAlign w:val="center"/>
            <w:hideMark/>
          </w:tcPr>
          <w:p w14:paraId="4DFFFAA9"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1.84</w:t>
            </w:r>
          </w:p>
        </w:tc>
      </w:tr>
    </w:tbl>
    <w:p w14:paraId="6154FC4C" w14:textId="77777777" w:rsidR="002E15B2" w:rsidRPr="00C91D7C" w:rsidRDefault="002E15B2" w:rsidP="00AC61D1">
      <w:pPr>
        <w:spacing w:line="360" w:lineRule="auto"/>
        <w:rPr>
          <w:rFonts w:ascii="Arial" w:hAnsi="Arial" w:cs="Arial"/>
          <w:b/>
          <w:bCs/>
        </w:rPr>
      </w:pPr>
    </w:p>
    <w:p w14:paraId="145FCF72" w14:textId="77777777" w:rsidR="00EE086B" w:rsidRPr="00C91D7C" w:rsidRDefault="00D76DF1" w:rsidP="00AC61D1">
      <w:pPr>
        <w:spacing w:line="360" w:lineRule="auto"/>
        <w:rPr>
          <w:rFonts w:ascii="Arial" w:hAnsi="Arial" w:cs="Arial"/>
          <w:b/>
          <w:bCs/>
          <w:lang w:val="en-GB"/>
        </w:rPr>
      </w:pPr>
      <w:r w:rsidRPr="00C91D7C">
        <w:rPr>
          <w:rFonts w:ascii="Arial" w:hAnsi="Arial" w:cs="Arial"/>
          <w:b/>
          <w:bCs/>
        </w:rPr>
        <w:t xml:space="preserve">3.4 </w:t>
      </w:r>
      <w:r w:rsidR="005F67E1" w:rsidRPr="00C91D7C">
        <w:rPr>
          <w:rFonts w:ascii="Arial" w:hAnsi="Arial" w:cs="Arial"/>
          <w:b/>
          <w:bCs/>
        </w:rPr>
        <w:t>Compound annual growth rate</w:t>
      </w:r>
      <w:r w:rsidR="005F67E1" w:rsidRPr="00C91D7C">
        <w:rPr>
          <w:rFonts w:ascii="Arial" w:hAnsi="Arial" w:cs="Arial"/>
          <w:b/>
          <w:bCs/>
          <w:lang w:val="en-GB"/>
        </w:rPr>
        <w:t xml:space="preserve"> of imported silk products by India</w:t>
      </w:r>
    </w:p>
    <w:p w14:paraId="3AA6081B" w14:textId="77777777" w:rsidR="00080843" w:rsidRPr="00C91D7C" w:rsidRDefault="0052710F" w:rsidP="00080843">
      <w:pPr>
        <w:spacing w:line="360" w:lineRule="auto"/>
        <w:jc w:val="both"/>
        <w:rPr>
          <w:rFonts w:ascii="Arial" w:hAnsi="Arial" w:cs="Arial"/>
          <w:lang w:val="en-GB"/>
        </w:rPr>
      </w:pPr>
      <w:r w:rsidRPr="00C91D7C">
        <w:rPr>
          <w:rFonts w:ascii="Arial" w:hAnsi="Arial" w:cs="Arial"/>
          <w:lang w:val="en-GB"/>
        </w:rPr>
        <w:tab/>
      </w:r>
      <w:r w:rsidR="00080843" w:rsidRPr="00C91D7C">
        <w:rPr>
          <w:rFonts w:ascii="Arial" w:hAnsi="Arial" w:cs="Arial"/>
          <w:lang w:val="en-GB"/>
        </w:rPr>
        <w:t>The growth rate of India’s silk product imports from 2011 to 2021 reveals a consistent and significant decline across all major product categories, indicating a structural shift in domestic silk consumption patterns and sourcing strategies (Table 4). Among the product categories, woven fabrics containing ≥85 per cent silk or schappe (HS code 500720) registered the sharpest decline at -12.53 per cent, followed closely by woven fabrics with &lt;85 per cent silk (500790) at -11.55 per cent and silk waste (500300) at -9.43 per cent. This suggests that India has been reducing its dependence on imported silk fabrics and raw materials, likely due to enhanced domestic production capabilities, import substitution efforts, and changes in trade policies. The import of raw silk (500200) also declined substantially with a CAGR of -6.89 per cent. This is particularly noteworthy given India’s past reliance on Chinese raw silk to meet domestic demand. The decline may reflect efforts by the Central Silk Board and government schemes aimed at increasing indigenous raw silk production, especially bivoltine silk, through initiatives such as the Silk Samagra and R&amp;D support for high-yielding silkworm breeds (CSB, 2022). The fall in silk yarn imports (500400: -7.36 %, 500600: -8.39 %) and yarn from silk waste (500500: -1.78 %) also supports the inference that India’s spinning and reeling capacities have improved, reducing the need for imported intermediary silk products.</w:t>
      </w:r>
    </w:p>
    <w:p w14:paraId="0E91B66C" w14:textId="77777777" w:rsidR="00080843" w:rsidRPr="00C91D7C" w:rsidRDefault="00080843" w:rsidP="00080843">
      <w:pPr>
        <w:spacing w:line="360" w:lineRule="auto"/>
        <w:jc w:val="both"/>
        <w:rPr>
          <w:rFonts w:ascii="Arial" w:hAnsi="Arial" w:cs="Arial"/>
          <w:lang w:val="en-GB"/>
        </w:rPr>
      </w:pPr>
      <w:r w:rsidRPr="00C91D7C">
        <w:rPr>
          <w:rFonts w:ascii="Arial" w:hAnsi="Arial" w:cs="Arial"/>
          <w:lang w:val="en-GB"/>
        </w:rPr>
        <w:lastRenderedPageBreak/>
        <w:tab/>
        <w:t>Additionally, the negative CAGR in noil silk fabric imports (500710: -7.09 %) suggests growing self-reliance in this niche segment. Noil silk, often used for textured, artisanal fabrics, is increasingly produced in Indian states like Karnataka and Assam, supported by handloom and sericulture clusters. Studies have noted that India’s sericulture sector has been moving towards value chain integration and backward linkage development, helping reduce dependency on external sources. These declining import trends also coincide with India's broader push for self-reliance under the “Make in India” campaign, which encouraged domestic manufacturing and value addition in the textile sector. The move to curtail imports may also have been influenced by currency volatility, rising global silk prices and trade barriers—especially in the post-2015 period where global silk supply chains were disrupted due to economic slowdowns and later the COVID-19 pandemic (UNCTAD, 2021).</w:t>
      </w:r>
    </w:p>
    <w:p w14:paraId="07101312" w14:textId="77777777" w:rsidR="00080843" w:rsidRPr="00C91D7C" w:rsidRDefault="00080843" w:rsidP="00080843">
      <w:pPr>
        <w:spacing w:line="360" w:lineRule="auto"/>
        <w:jc w:val="both"/>
        <w:rPr>
          <w:rFonts w:ascii="Arial" w:hAnsi="Arial" w:cs="Arial"/>
          <w:lang w:val="en-GB"/>
        </w:rPr>
      </w:pPr>
      <w:r w:rsidRPr="00C91D7C">
        <w:rPr>
          <w:rFonts w:ascii="Arial" w:hAnsi="Arial" w:cs="Arial"/>
          <w:lang w:val="en-GB"/>
        </w:rPr>
        <w:tab/>
        <w:t>In line with previous studies, the overall decline in silk imports suggests a positive development for India’s domestic silk industry, reflecting enhanced capacity, improved quality of indigenous silk, and focused government interventions (Reddy and Prasad, 2016). However, to sustain this momentum, continued investment in technology, disease-resistant silkworm breeds, and skill development in the weaving sector remains critical.</w:t>
      </w:r>
      <w:r w:rsidRPr="00C91D7C">
        <w:rPr>
          <w:rFonts w:ascii="Arial" w:hAnsi="Arial" w:cs="Arial"/>
          <w:lang w:val="en-GB"/>
        </w:rPr>
        <w:tab/>
      </w:r>
    </w:p>
    <w:p w14:paraId="0EB8581C" w14:textId="77777777" w:rsidR="005F67E1" w:rsidRPr="00C91D7C" w:rsidRDefault="007D3E8F" w:rsidP="0080008A">
      <w:pPr>
        <w:spacing w:line="360" w:lineRule="auto"/>
        <w:jc w:val="both"/>
        <w:rPr>
          <w:rFonts w:ascii="Arial" w:hAnsi="Arial" w:cs="Arial"/>
          <w:b/>
          <w:bCs/>
          <w:lang w:val="en-GB"/>
        </w:rPr>
      </w:pPr>
      <w:r w:rsidRPr="00C91D7C">
        <w:rPr>
          <w:rFonts w:ascii="Arial" w:hAnsi="Arial" w:cs="Arial"/>
          <w:b/>
          <w:bCs/>
          <w:lang w:val="en-GB"/>
        </w:rPr>
        <w:t>Table 4</w:t>
      </w:r>
      <w:r w:rsidR="005F67E1" w:rsidRPr="00C91D7C">
        <w:rPr>
          <w:rFonts w:ascii="Arial" w:hAnsi="Arial" w:cs="Arial"/>
          <w:b/>
          <w:bCs/>
          <w:lang w:val="en-GB"/>
        </w:rPr>
        <w:t>: CAGR of imported silk products by India (2011 to 2021)</w:t>
      </w:r>
    </w:p>
    <w:tbl>
      <w:tblPr>
        <w:tblW w:w="5165" w:type="pct"/>
        <w:tblLayout w:type="fixed"/>
        <w:tblLook w:val="04A0" w:firstRow="1" w:lastRow="0" w:firstColumn="1" w:lastColumn="0" w:noHBand="0" w:noVBand="1"/>
      </w:tblPr>
      <w:tblGrid>
        <w:gridCol w:w="988"/>
        <w:gridCol w:w="1147"/>
        <w:gridCol w:w="5799"/>
        <w:gridCol w:w="1380"/>
      </w:tblGrid>
      <w:tr w:rsidR="005F67E1" w:rsidRPr="00C91D7C" w14:paraId="0E60DFDD" w14:textId="77777777" w:rsidTr="00852798">
        <w:trPr>
          <w:trHeight w:val="300"/>
        </w:trPr>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8D0FC"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Sl. No</w:t>
            </w:r>
            <w:r w:rsidR="00FA54DC" w:rsidRPr="00C91D7C">
              <w:rPr>
                <w:rFonts w:ascii="Arial" w:eastAsia="Times New Roman" w:hAnsi="Arial" w:cs="Arial"/>
                <w:b/>
                <w:bCs/>
                <w:color w:val="000000"/>
                <w:lang w:eastAsia="en-IN"/>
              </w:rPr>
              <w:t>.</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14:paraId="401630D5"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HS Code</w:t>
            </w:r>
          </w:p>
        </w:tc>
        <w:tc>
          <w:tcPr>
            <w:tcW w:w="3113" w:type="pct"/>
            <w:tcBorders>
              <w:top w:val="single" w:sz="4" w:space="0" w:color="auto"/>
              <w:left w:val="nil"/>
              <w:bottom w:val="single" w:sz="4" w:space="0" w:color="auto"/>
              <w:right w:val="single" w:sz="4" w:space="0" w:color="auto"/>
            </w:tcBorders>
            <w:shd w:val="clear" w:color="auto" w:fill="auto"/>
            <w:noWrap/>
            <w:vAlign w:val="center"/>
            <w:hideMark/>
          </w:tcPr>
          <w:p w14:paraId="2E5C3AB0"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23444D94"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 (%)</w:t>
            </w:r>
          </w:p>
        </w:tc>
      </w:tr>
      <w:tr w:rsidR="005F67E1" w:rsidRPr="00C91D7C" w14:paraId="17680242"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578E47F"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616" w:type="pct"/>
            <w:tcBorders>
              <w:top w:val="nil"/>
              <w:left w:val="nil"/>
              <w:bottom w:val="single" w:sz="4" w:space="0" w:color="auto"/>
              <w:right w:val="single" w:sz="4" w:space="0" w:color="auto"/>
            </w:tcBorders>
            <w:shd w:val="clear" w:color="auto" w:fill="auto"/>
            <w:noWrap/>
            <w:vAlign w:val="center"/>
            <w:hideMark/>
          </w:tcPr>
          <w:p w14:paraId="79E2B35A"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3113" w:type="pct"/>
            <w:tcBorders>
              <w:top w:val="nil"/>
              <w:left w:val="nil"/>
              <w:bottom w:val="single" w:sz="4" w:space="0" w:color="auto"/>
              <w:right w:val="single" w:sz="4" w:space="0" w:color="auto"/>
            </w:tcBorders>
            <w:shd w:val="clear" w:color="auto" w:fill="auto"/>
            <w:noWrap/>
            <w:vAlign w:val="bottom"/>
            <w:hideMark/>
          </w:tcPr>
          <w:p w14:paraId="09076E06"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741" w:type="pct"/>
            <w:tcBorders>
              <w:top w:val="nil"/>
              <w:left w:val="nil"/>
              <w:bottom w:val="single" w:sz="4" w:space="0" w:color="auto"/>
              <w:right w:val="single" w:sz="4" w:space="0" w:color="auto"/>
            </w:tcBorders>
            <w:shd w:val="clear" w:color="auto" w:fill="auto"/>
            <w:noWrap/>
            <w:vAlign w:val="bottom"/>
            <w:hideMark/>
          </w:tcPr>
          <w:p w14:paraId="7D148610"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-6.89</w:t>
            </w:r>
          </w:p>
        </w:tc>
      </w:tr>
      <w:tr w:rsidR="005F67E1" w:rsidRPr="00C91D7C" w14:paraId="1CBA0A7E"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C2B6DEE"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616" w:type="pct"/>
            <w:tcBorders>
              <w:top w:val="nil"/>
              <w:left w:val="nil"/>
              <w:bottom w:val="single" w:sz="4" w:space="0" w:color="auto"/>
              <w:right w:val="single" w:sz="4" w:space="0" w:color="auto"/>
            </w:tcBorders>
            <w:shd w:val="clear" w:color="auto" w:fill="auto"/>
            <w:noWrap/>
            <w:vAlign w:val="center"/>
            <w:hideMark/>
          </w:tcPr>
          <w:p w14:paraId="7924EFAA"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3113" w:type="pct"/>
            <w:tcBorders>
              <w:top w:val="nil"/>
              <w:left w:val="nil"/>
              <w:bottom w:val="single" w:sz="4" w:space="0" w:color="auto"/>
              <w:right w:val="single" w:sz="4" w:space="0" w:color="auto"/>
            </w:tcBorders>
            <w:shd w:val="clear" w:color="auto" w:fill="auto"/>
            <w:noWrap/>
            <w:vAlign w:val="bottom"/>
            <w:hideMark/>
          </w:tcPr>
          <w:p w14:paraId="190B5368"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741" w:type="pct"/>
            <w:tcBorders>
              <w:top w:val="nil"/>
              <w:left w:val="nil"/>
              <w:bottom w:val="single" w:sz="4" w:space="0" w:color="auto"/>
              <w:right w:val="single" w:sz="4" w:space="0" w:color="auto"/>
            </w:tcBorders>
            <w:shd w:val="clear" w:color="auto" w:fill="auto"/>
            <w:noWrap/>
            <w:vAlign w:val="bottom"/>
            <w:hideMark/>
          </w:tcPr>
          <w:p w14:paraId="628B7FFD"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-12.53</w:t>
            </w:r>
          </w:p>
        </w:tc>
      </w:tr>
      <w:tr w:rsidR="005F67E1" w:rsidRPr="00C91D7C" w14:paraId="77F63F20"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83147BC"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616" w:type="pct"/>
            <w:tcBorders>
              <w:top w:val="nil"/>
              <w:left w:val="nil"/>
              <w:bottom w:val="single" w:sz="4" w:space="0" w:color="auto"/>
              <w:right w:val="single" w:sz="4" w:space="0" w:color="auto"/>
            </w:tcBorders>
            <w:shd w:val="clear" w:color="auto" w:fill="auto"/>
            <w:noWrap/>
            <w:vAlign w:val="center"/>
            <w:hideMark/>
          </w:tcPr>
          <w:p w14:paraId="0599C779"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3113" w:type="pct"/>
            <w:tcBorders>
              <w:top w:val="nil"/>
              <w:left w:val="nil"/>
              <w:bottom w:val="single" w:sz="4" w:space="0" w:color="auto"/>
              <w:right w:val="single" w:sz="4" w:space="0" w:color="auto"/>
            </w:tcBorders>
            <w:shd w:val="clear" w:color="auto" w:fill="auto"/>
            <w:noWrap/>
            <w:vAlign w:val="bottom"/>
            <w:hideMark/>
          </w:tcPr>
          <w:p w14:paraId="77862E11"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741" w:type="pct"/>
            <w:tcBorders>
              <w:top w:val="nil"/>
              <w:left w:val="nil"/>
              <w:bottom w:val="single" w:sz="4" w:space="0" w:color="auto"/>
              <w:right w:val="single" w:sz="4" w:space="0" w:color="auto"/>
            </w:tcBorders>
            <w:shd w:val="clear" w:color="auto" w:fill="auto"/>
            <w:noWrap/>
            <w:vAlign w:val="bottom"/>
            <w:hideMark/>
          </w:tcPr>
          <w:p w14:paraId="71A23C75"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-1.78</w:t>
            </w:r>
          </w:p>
        </w:tc>
      </w:tr>
      <w:tr w:rsidR="005F67E1" w:rsidRPr="00C91D7C" w14:paraId="71852F16"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CE09ABF"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616" w:type="pct"/>
            <w:tcBorders>
              <w:top w:val="nil"/>
              <w:left w:val="nil"/>
              <w:bottom w:val="single" w:sz="4" w:space="0" w:color="auto"/>
              <w:right w:val="single" w:sz="4" w:space="0" w:color="auto"/>
            </w:tcBorders>
            <w:shd w:val="clear" w:color="auto" w:fill="auto"/>
            <w:noWrap/>
            <w:vAlign w:val="center"/>
            <w:hideMark/>
          </w:tcPr>
          <w:p w14:paraId="0F9D6F6D"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3113" w:type="pct"/>
            <w:tcBorders>
              <w:top w:val="nil"/>
              <w:left w:val="nil"/>
              <w:bottom w:val="single" w:sz="4" w:space="0" w:color="auto"/>
              <w:right w:val="single" w:sz="4" w:space="0" w:color="auto"/>
            </w:tcBorders>
            <w:shd w:val="clear" w:color="auto" w:fill="auto"/>
            <w:noWrap/>
            <w:vAlign w:val="bottom"/>
            <w:hideMark/>
          </w:tcPr>
          <w:p w14:paraId="25C85A80"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741" w:type="pct"/>
            <w:tcBorders>
              <w:top w:val="nil"/>
              <w:left w:val="nil"/>
              <w:bottom w:val="single" w:sz="4" w:space="0" w:color="auto"/>
              <w:right w:val="single" w:sz="4" w:space="0" w:color="auto"/>
            </w:tcBorders>
            <w:shd w:val="clear" w:color="auto" w:fill="auto"/>
            <w:noWrap/>
            <w:vAlign w:val="bottom"/>
            <w:hideMark/>
          </w:tcPr>
          <w:p w14:paraId="1244B94B"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-7.36</w:t>
            </w:r>
          </w:p>
        </w:tc>
      </w:tr>
      <w:tr w:rsidR="005F67E1" w:rsidRPr="00C91D7C" w14:paraId="374CB8DC"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1D6C4BB7"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616" w:type="pct"/>
            <w:tcBorders>
              <w:top w:val="nil"/>
              <w:left w:val="nil"/>
              <w:bottom w:val="single" w:sz="4" w:space="0" w:color="auto"/>
              <w:right w:val="single" w:sz="4" w:space="0" w:color="auto"/>
            </w:tcBorders>
            <w:shd w:val="clear" w:color="auto" w:fill="auto"/>
            <w:noWrap/>
            <w:vAlign w:val="center"/>
            <w:hideMark/>
          </w:tcPr>
          <w:p w14:paraId="5EA17489"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3113" w:type="pct"/>
            <w:tcBorders>
              <w:top w:val="nil"/>
              <w:left w:val="nil"/>
              <w:bottom w:val="single" w:sz="4" w:space="0" w:color="auto"/>
              <w:right w:val="single" w:sz="4" w:space="0" w:color="auto"/>
            </w:tcBorders>
            <w:shd w:val="clear" w:color="auto" w:fill="auto"/>
            <w:noWrap/>
            <w:vAlign w:val="bottom"/>
            <w:hideMark/>
          </w:tcPr>
          <w:p w14:paraId="7300896D"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741" w:type="pct"/>
            <w:tcBorders>
              <w:top w:val="nil"/>
              <w:left w:val="nil"/>
              <w:bottom w:val="single" w:sz="4" w:space="0" w:color="auto"/>
              <w:right w:val="single" w:sz="4" w:space="0" w:color="auto"/>
            </w:tcBorders>
            <w:shd w:val="clear" w:color="auto" w:fill="auto"/>
            <w:noWrap/>
            <w:vAlign w:val="bottom"/>
            <w:hideMark/>
          </w:tcPr>
          <w:p w14:paraId="76A51CBF"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-9.43</w:t>
            </w:r>
          </w:p>
        </w:tc>
      </w:tr>
      <w:tr w:rsidR="005F67E1" w:rsidRPr="00C91D7C" w14:paraId="7F5CD48E"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155C91F0"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616" w:type="pct"/>
            <w:tcBorders>
              <w:top w:val="nil"/>
              <w:left w:val="nil"/>
              <w:bottom w:val="single" w:sz="4" w:space="0" w:color="auto"/>
              <w:right w:val="single" w:sz="4" w:space="0" w:color="auto"/>
            </w:tcBorders>
            <w:shd w:val="clear" w:color="auto" w:fill="auto"/>
            <w:noWrap/>
            <w:vAlign w:val="center"/>
            <w:hideMark/>
          </w:tcPr>
          <w:p w14:paraId="1B5758A4"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3113" w:type="pct"/>
            <w:tcBorders>
              <w:top w:val="nil"/>
              <w:left w:val="nil"/>
              <w:bottom w:val="single" w:sz="4" w:space="0" w:color="auto"/>
              <w:right w:val="single" w:sz="4" w:space="0" w:color="auto"/>
            </w:tcBorders>
            <w:shd w:val="clear" w:color="auto" w:fill="auto"/>
            <w:noWrap/>
            <w:vAlign w:val="bottom"/>
            <w:hideMark/>
          </w:tcPr>
          <w:p w14:paraId="00F044C1"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741" w:type="pct"/>
            <w:tcBorders>
              <w:top w:val="nil"/>
              <w:left w:val="nil"/>
              <w:bottom w:val="single" w:sz="4" w:space="0" w:color="auto"/>
              <w:right w:val="single" w:sz="4" w:space="0" w:color="auto"/>
            </w:tcBorders>
            <w:shd w:val="clear" w:color="auto" w:fill="auto"/>
            <w:noWrap/>
            <w:vAlign w:val="bottom"/>
            <w:hideMark/>
          </w:tcPr>
          <w:p w14:paraId="1C8A43EE"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-11.55</w:t>
            </w:r>
          </w:p>
        </w:tc>
      </w:tr>
      <w:tr w:rsidR="005F67E1" w:rsidRPr="00C91D7C" w14:paraId="59D94CF3"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75341CA"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616" w:type="pct"/>
            <w:tcBorders>
              <w:top w:val="nil"/>
              <w:left w:val="nil"/>
              <w:bottom w:val="single" w:sz="4" w:space="0" w:color="auto"/>
              <w:right w:val="single" w:sz="4" w:space="0" w:color="auto"/>
            </w:tcBorders>
            <w:shd w:val="clear" w:color="auto" w:fill="auto"/>
            <w:noWrap/>
            <w:vAlign w:val="center"/>
            <w:hideMark/>
          </w:tcPr>
          <w:p w14:paraId="400F975C"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3113" w:type="pct"/>
            <w:tcBorders>
              <w:top w:val="nil"/>
              <w:left w:val="nil"/>
              <w:bottom w:val="single" w:sz="4" w:space="0" w:color="auto"/>
              <w:right w:val="single" w:sz="4" w:space="0" w:color="auto"/>
            </w:tcBorders>
            <w:shd w:val="clear" w:color="auto" w:fill="auto"/>
            <w:noWrap/>
            <w:vAlign w:val="bottom"/>
            <w:hideMark/>
          </w:tcPr>
          <w:p w14:paraId="312E6802"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741" w:type="pct"/>
            <w:tcBorders>
              <w:top w:val="nil"/>
              <w:left w:val="nil"/>
              <w:bottom w:val="single" w:sz="4" w:space="0" w:color="auto"/>
              <w:right w:val="single" w:sz="4" w:space="0" w:color="auto"/>
            </w:tcBorders>
            <w:shd w:val="clear" w:color="auto" w:fill="auto"/>
            <w:noWrap/>
            <w:vAlign w:val="bottom"/>
            <w:hideMark/>
          </w:tcPr>
          <w:p w14:paraId="5C58E86C"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-7.09</w:t>
            </w:r>
          </w:p>
        </w:tc>
      </w:tr>
      <w:tr w:rsidR="005F67E1" w:rsidRPr="00C91D7C" w14:paraId="05325EC9"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069FEB1"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616" w:type="pct"/>
            <w:tcBorders>
              <w:top w:val="nil"/>
              <w:left w:val="nil"/>
              <w:bottom w:val="single" w:sz="4" w:space="0" w:color="auto"/>
              <w:right w:val="single" w:sz="4" w:space="0" w:color="auto"/>
            </w:tcBorders>
            <w:shd w:val="clear" w:color="auto" w:fill="auto"/>
            <w:noWrap/>
            <w:vAlign w:val="center"/>
            <w:hideMark/>
          </w:tcPr>
          <w:p w14:paraId="7D5C7BCD"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3113" w:type="pct"/>
            <w:tcBorders>
              <w:top w:val="nil"/>
              <w:left w:val="nil"/>
              <w:bottom w:val="single" w:sz="4" w:space="0" w:color="auto"/>
              <w:right w:val="single" w:sz="4" w:space="0" w:color="auto"/>
            </w:tcBorders>
            <w:shd w:val="clear" w:color="auto" w:fill="auto"/>
            <w:noWrap/>
            <w:vAlign w:val="bottom"/>
            <w:hideMark/>
          </w:tcPr>
          <w:p w14:paraId="60066DD2"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741" w:type="pct"/>
            <w:tcBorders>
              <w:top w:val="nil"/>
              <w:left w:val="nil"/>
              <w:bottom w:val="single" w:sz="4" w:space="0" w:color="auto"/>
              <w:right w:val="single" w:sz="4" w:space="0" w:color="auto"/>
            </w:tcBorders>
            <w:shd w:val="clear" w:color="auto" w:fill="auto"/>
            <w:noWrap/>
            <w:vAlign w:val="bottom"/>
            <w:hideMark/>
          </w:tcPr>
          <w:p w14:paraId="71AFED60"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-8.39</w:t>
            </w:r>
          </w:p>
        </w:tc>
      </w:tr>
    </w:tbl>
    <w:p w14:paraId="786AEF80" w14:textId="77777777" w:rsidR="002E15B2" w:rsidRPr="00C91D7C" w:rsidRDefault="002E15B2" w:rsidP="00AC61D1">
      <w:pPr>
        <w:spacing w:line="360" w:lineRule="auto"/>
        <w:rPr>
          <w:rFonts w:ascii="Arial" w:hAnsi="Arial" w:cs="Arial"/>
          <w:b/>
          <w:bCs/>
        </w:rPr>
      </w:pPr>
    </w:p>
    <w:p w14:paraId="39730154" w14:textId="77777777" w:rsidR="00A63D33" w:rsidRPr="00C91D7C" w:rsidRDefault="00D76DF1" w:rsidP="00AC61D1">
      <w:pPr>
        <w:spacing w:line="360" w:lineRule="auto"/>
        <w:rPr>
          <w:rFonts w:ascii="Arial" w:hAnsi="Arial" w:cs="Arial"/>
        </w:rPr>
      </w:pPr>
      <w:r w:rsidRPr="00C91D7C">
        <w:rPr>
          <w:rFonts w:ascii="Arial" w:hAnsi="Arial" w:cs="Arial"/>
          <w:b/>
          <w:bCs/>
        </w:rPr>
        <w:t xml:space="preserve">3.5 </w:t>
      </w:r>
      <w:r w:rsidR="00A63D33" w:rsidRPr="00C91D7C">
        <w:rPr>
          <w:rFonts w:ascii="Arial" w:hAnsi="Arial" w:cs="Arial"/>
          <w:b/>
          <w:bCs/>
        </w:rPr>
        <w:t>Revealed Comparative Advantage</w:t>
      </w:r>
      <w:r w:rsidR="00401F91" w:rsidRPr="00C91D7C">
        <w:rPr>
          <w:rFonts w:ascii="Arial" w:hAnsi="Arial" w:cs="Arial"/>
          <w:b/>
          <w:bCs/>
        </w:rPr>
        <w:t xml:space="preserve"> (RCA)</w:t>
      </w:r>
      <w:r w:rsidR="00A63D33" w:rsidRPr="00C91D7C">
        <w:rPr>
          <w:rFonts w:ascii="Arial" w:hAnsi="Arial" w:cs="Arial"/>
          <w:b/>
          <w:bCs/>
        </w:rPr>
        <w:t xml:space="preserve"> of silk export in the world</w:t>
      </w:r>
    </w:p>
    <w:p w14:paraId="0C06C8DD" w14:textId="77777777" w:rsidR="00037918" w:rsidRPr="00C91D7C" w:rsidRDefault="00A63D33" w:rsidP="0027700E">
      <w:pPr>
        <w:spacing w:line="360" w:lineRule="auto"/>
        <w:jc w:val="both"/>
        <w:rPr>
          <w:rFonts w:ascii="Arial" w:hAnsi="Arial" w:cs="Arial"/>
        </w:rPr>
      </w:pPr>
      <w:r w:rsidRPr="00C91D7C">
        <w:rPr>
          <w:rFonts w:ascii="Arial" w:hAnsi="Arial" w:cs="Arial"/>
        </w:rPr>
        <w:lastRenderedPageBreak/>
        <w:tab/>
      </w:r>
      <w:r w:rsidR="00037918" w:rsidRPr="00C91D7C">
        <w:rPr>
          <w:rFonts w:ascii="Arial" w:hAnsi="Arial" w:cs="Arial"/>
        </w:rPr>
        <w:t>The Revealed Comparative Advantage (RCA) of major silk-exporting countries from 2011 to 2021, was presented in the Table 5. The RCA index is a key indicator that reflects a country's relative advantage or disadvantage in exporting a particular commodity. An RCA value greater than 1 indicates a comparative advantage, while values below 1 denote comparative disadvantage.</w:t>
      </w:r>
    </w:p>
    <w:p w14:paraId="7B54757D" w14:textId="77777777" w:rsidR="00037918" w:rsidRPr="00C91D7C" w:rsidRDefault="00037918" w:rsidP="00037918">
      <w:pPr>
        <w:spacing w:line="360" w:lineRule="auto"/>
        <w:jc w:val="both"/>
        <w:rPr>
          <w:rFonts w:ascii="Arial" w:hAnsi="Arial" w:cs="Arial"/>
        </w:rPr>
      </w:pPr>
      <w:r w:rsidRPr="00C91D7C">
        <w:rPr>
          <w:rFonts w:ascii="Arial" w:hAnsi="Arial" w:cs="Arial"/>
        </w:rPr>
        <w:tab/>
        <w:t>China, the world's historical leader in silk production and export, shows a declining trend in RCA from 4.96 in 2011 to 2.84 in 2021, averaging 4.00 over the decade. Although still above 1, this downward trend suggests a declining competitiveness in global silk markets, possibly due to rising labour costs, urbanization pressures on rural silk-producing areas, and a shift towards high-tech and manufacturing sectors (UNCTAD, 2020). Moreover, increasing environmental regulations may have also affected sericulture activities. Italy maintained a consistently high RCA (average 4.78), reflecting its strong positioning in high-quality and value-added silk products, such as fashion and luxury textiles. Italy’s competitive edge lies in its integration of traditional craftsmanship with modern design, which continues to command pr</w:t>
      </w:r>
      <w:r w:rsidR="00852798" w:rsidRPr="00C91D7C">
        <w:rPr>
          <w:rFonts w:ascii="Arial" w:hAnsi="Arial" w:cs="Arial"/>
        </w:rPr>
        <w:t>emium prices globally (</w:t>
      </w:r>
      <w:proofErr w:type="spellStart"/>
      <w:r w:rsidR="00852798" w:rsidRPr="00C91D7C">
        <w:rPr>
          <w:rFonts w:ascii="Arial" w:hAnsi="Arial" w:cs="Arial"/>
        </w:rPr>
        <w:t>Gereffi</w:t>
      </w:r>
      <w:proofErr w:type="spellEnd"/>
      <w:r w:rsidR="00852798" w:rsidRPr="00C91D7C">
        <w:rPr>
          <w:rFonts w:ascii="Arial" w:hAnsi="Arial" w:cs="Arial"/>
        </w:rPr>
        <w:t xml:space="preserve"> and</w:t>
      </w:r>
      <w:r w:rsidRPr="00C91D7C">
        <w:rPr>
          <w:rFonts w:ascii="Arial" w:hAnsi="Arial" w:cs="Arial"/>
        </w:rPr>
        <w:t xml:space="preserve"> Frederick, 2010). Romania exhibited the highest RCA values, averaging 10.02, with a stable and increasing trend. This strong performance suggests that Romania may have specialized in niche segments of silk production or benefited from targeted policy interventions and EU-supported rural development programs promoting sericulture (European Commission, 2019). Uzbekistan emerged as a major silk exporter post-2016, with an RCA shooting up to 81.05 by 2021, averaging 25.04. This remarkable rise is attributed to government-led reforms, investment in sericulture infrastructure, and promotion of non-traditional exports. According to FAO (2021), Uzbekistan has significantly increased mulberry cultivation and restructured its silk sector under public-private partnership models, which enhanced its global presence.</w:t>
      </w:r>
    </w:p>
    <w:p w14:paraId="722C26E1" w14:textId="77777777" w:rsidR="00037918" w:rsidRPr="00C91D7C" w:rsidRDefault="00037918" w:rsidP="00037918">
      <w:pPr>
        <w:spacing w:line="360" w:lineRule="auto"/>
        <w:jc w:val="both"/>
        <w:rPr>
          <w:rFonts w:ascii="Arial" w:hAnsi="Arial" w:cs="Arial"/>
        </w:rPr>
      </w:pPr>
      <w:r w:rsidRPr="00C91D7C">
        <w:rPr>
          <w:rFonts w:ascii="Arial" w:hAnsi="Arial" w:cs="Arial"/>
        </w:rPr>
        <w:tab/>
        <w:t>India, traditionally a significant player in global silk markets, showed a declining RCA trend from 4.65 (2011) to 4.32 (2021), with an average of 3.15. This decline suggests structural inefficiencies, such as low productivity, post-harvest losses, and inadequate branding in international markets. While India remains the second-largest producer, its exports are increasingly facing competition from more efficient and c</w:t>
      </w:r>
      <w:r w:rsidR="00852798" w:rsidRPr="00C91D7C">
        <w:rPr>
          <w:rFonts w:ascii="Arial" w:hAnsi="Arial" w:cs="Arial"/>
        </w:rPr>
        <w:t>ost-competitive countries</w:t>
      </w:r>
      <w:r w:rsidRPr="00C91D7C">
        <w:rPr>
          <w:rFonts w:ascii="Arial" w:hAnsi="Arial" w:cs="Arial"/>
        </w:rPr>
        <w:t>.</w:t>
      </w:r>
    </w:p>
    <w:p w14:paraId="22DC8A4A" w14:textId="77777777" w:rsidR="00037918" w:rsidRPr="00C91D7C" w:rsidRDefault="00037918" w:rsidP="00037918">
      <w:pPr>
        <w:spacing w:line="360" w:lineRule="auto"/>
        <w:jc w:val="both"/>
        <w:rPr>
          <w:rFonts w:ascii="Arial" w:hAnsi="Arial" w:cs="Arial"/>
        </w:rPr>
      </w:pPr>
      <w:r w:rsidRPr="00C91D7C">
        <w:rPr>
          <w:rFonts w:ascii="Arial" w:hAnsi="Arial" w:cs="Arial"/>
        </w:rPr>
        <w:tab/>
        <w:t>Vietnam maintained a moderate RCA (average 3.41), with a slight upward trend, likely due to improvements in quality and value-chain integration. Countries like France, Japan, Korea, and Brazil consistently recorded RCA values below or just above 1, indicating no significant comparative advantage in silk exports, possibly due to their reliance on synthetic fibers and higher opportunity costs in agriculture or textiles. The consistently low RCA for the "Others" category (average 0.16) confirms that global silk export competitiveness is highly concentrated among a few specialized nations.</w:t>
      </w:r>
    </w:p>
    <w:p w14:paraId="01B1F8CD" w14:textId="77777777" w:rsidR="00815304" w:rsidRPr="00C91D7C" w:rsidRDefault="00815304" w:rsidP="00AC61D1">
      <w:pPr>
        <w:spacing w:line="360" w:lineRule="auto"/>
        <w:jc w:val="both"/>
        <w:rPr>
          <w:rFonts w:ascii="Arial" w:hAnsi="Arial" w:cs="Arial"/>
          <w:b/>
          <w:bCs/>
        </w:rPr>
      </w:pPr>
      <w:r w:rsidRPr="00C91D7C">
        <w:rPr>
          <w:rFonts w:ascii="Arial" w:hAnsi="Arial" w:cs="Arial"/>
          <w:b/>
          <w:bCs/>
        </w:rPr>
        <w:lastRenderedPageBreak/>
        <w:t xml:space="preserve">Table </w:t>
      </w:r>
      <w:r w:rsidR="007D3E8F" w:rsidRPr="00C91D7C">
        <w:rPr>
          <w:rFonts w:ascii="Arial" w:hAnsi="Arial" w:cs="Arial"/>
          <w:b/>
          <w:bCs/>
        </w:rPr>
        <w:t>5</w:t>
      </w:r>
      <w:r w:rsidRPr="00C91D7C">
        <w:rPr>
          <w:rFonts w:ascii="Arial" w:hAnsi="Arial" w:cs="Arial"/>
          <w:b/>
          <w:bCs/>
        </w:rPr>
        <w:t>: Revealed Comparative Advantage of silk export in the world</w:t>
      </w:r>
    </w:p>
    <w:tbl>
      <w:tblPr>
        <w:tblW w:w="103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06"/>
        <w:gridCol w:w="706"/>
        <w:gridCol w:w="706"/>
        <w:gridCol w:w="706"/>
        <w:gridCol w:w="767"/>
        <w:gridCol w:w="706"/>
        <w:gridCol w:w="767"/>
        <w:gridCol w:w="767"/>
        <w:gridCol w:w="767"/>
        <w:gridCol w:w="767"/>
        <w:gridCol w:w="767"/>
        <w:gridCol w:w="1085"/>
      </w:tblGrid>
      <w:tr w:rsidR="00815304" w:rsidRPr="00C91D7C" w14:paraId="6BB5D593" w14:textId="77777777" w:rsidTr="00A63D33">
        <w:trPr>
          <w:trHeight w:val="300"/>
        </w:trPr>
        <w:tc>
          <w:tcPr>
            <w:tcW w:w="0" w:type="auto"/>
            <w:shd w:val="clear" w:color="auto" w:fill="auto"/>
            <w:noWrap/>
            <w:vAlign w:val="bottom"/>
            <w:hideMark/>
          </w:tcPr>
          <w:p w14:paraId="23A281A1" w14:textId="77777777" w:rsidR="00815304" w:rsidRPr="00C91D7C" w:rsidRDefault="00815304" w:rsidP="00AC61D1">
            <w:pPr>
              <w:spacing w:after="0" w:line="360" w:lineRule="auto"/>
              <w:rPr>
                <w:rFonts w:ascii="Arial" w:eastAsia="Times New Roman" w:hAnsi="Arial" w:cs="Arial"/>
                <w:b/>
                <w:bCs/>
                <w:color w:val="000000"/>
                <w:lang w:eastAsia="en-IN"/>
              </w:rPr>
            </w:pPr>
            <w:r w:rsidRPr="00C91D7C">
              <w:rPr>
                <w:rFonts w:ascii="Arial" w:eastAsia="Times New Roman" w:hAnsi="Arial" w:cs="Arial"/>
                <w:b/>
                <w:bCs/>
                <w:color w:val="000000"/>
                <w:lang w:eastAsia="en-IN"/>
              </w:rPr>
              <w:t>Exporters</w:t>
            </w:r>
          </w:p>
        </w:tc>
        <w:tc>
          <w:tcPr>
            <w:tcW w:w="0" w:type="auto"/>
            <w:shd w:val="clear" w:color="auto" w:fill="auto"/>
            <w:noWrap/>
            <w:vAlign w:val="bottom"/>
            <w:hideMark/>
          </w:tcPr>
          <w:p w14:paraId="2C53B6F6"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2011</w:t>
            </w:r>
          </w:p>
        </w:tc>
        <w:tc>
          <w:tcPr>
            <w:tcW w:w="0" w:type="auto"/>
            <w:shd w:val="clear" w:color="auto" w:fill="auto"/>
            <w:noWrap/>
            <w:vAlign w:val="bottom"/>
            <w:hideMark/>
          </w:tcPr>
          <w:p w14:paraId="229ED210"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2012</w:t>
            </w:r>
          </w:p>
        </w:tc>
        <w:tc>
          <w:tcPr>
            <w:tcW w:w="0" w:type="auto"/>
            <w:shd w:val="clear" w:color="auto" w:fill="auto"/>
            <w:noWrap/>
            <w:vAlign w:val="bottom"/>
            <w:hideMark/>
          </w:tcPr>
          <w:p w14:paraId="41ED695C"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2013</w:t>
            </w:r>
          </w:p>
        </w:tc>
        <w:tc>
          <w:tcPr>
            <w:tcW w:w="0" w:type="auto"/>
            <w:shd w:val="clear" w:color="auto" w:fill="auto"/>
            <w:noWrap/>
            <w:vAlign w:val="bottom"/>
            <w:hideMark/>
          </w:tcPr>
          <w:p w14:paraId="4BEFB514"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2014</w:t>
            </w:r>
          </w:p>
        </w:tc>
        <w:tc>
          <w:tcPr>
            <w:tcW w:w="0" w:type="auto"/>
            <w:shd w:val="clear" w:color="auto" w:fill="auto"/>
            <w:noWrap/>
            <w:vAlign w:val="bottom"/>
            <w:hideMark/>
          </w:tcPr>
          <w:p w14:paraId="4602A51E"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2015</w:t>
            </w:r>
          </w:p>
        </w:tc>
        <w:tc>
          <w:tcPr>
            <w:tcW w:w="0" w:type="auto"/>
            <w:shd w:val="clear" w:color="auto" w:fill="auto"/>
            <w:noWrap/>
            <w:vAlign w:val="bottom"/>
            <w:hideMark/>
          </w:tcPr>
          <w:p w14:paraId="6E855C78"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2016</w:t>
            </w:r>
          </w:p>
        </w:tc>
        <w:tc>
          <w:tcPr>
            <w:tcW w:w="0" w:type="auto"/>
            <w:shd w:val="clear" w:color="auto" w:fill="auto"/>
            <w:noWrap/>
            <w:vAlign w:val="bottom"/>
            <w:hideMark/>
          </w:tcPr>
          <w:p w14:paraId="0D394901"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2017</w:t>
            </w:r>
          </w:p>
        </w:tc>
        <w:tc>
          <w:tcPr>
            <w:tcW w:w="0" w:type="auto"/>
            <w:shd w:val="clear" w:color="auto" w:fill="auto"/>
            <w:noWrap/>
            <w:vAlign w:val="bottom"/>
            <w:hideMark/>
          </w:tcPr>
          <w:p w14:paraId="69B263EF"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2018</w:t>
            </w:r>
          </w:p>
        </w:tc>
        <w:tc>
          <w:tcPr>
            <w:tcW w:w="0" w:type="auto"/>
            <w:shd w:val="clear" w:color="auto" w:fill="auto"/>
            <w:noWrap/>
            <w:vAlign w:val="bottom"/>
            <w:hideMark/>
          </w:tcPr>
          <w:p w14:paraId="7BB0A6FB"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2019</w:t>
            </w:r>
          </w:p>
        </w:tc>
        <w:tc>
          <w:tcPr>
            <w:tcW w:w="756" w:type="dxa"/>
            <w:shd w:val="clear" w:color="auto" w:fill="auto"/>
            <w:noWrap/>
            <w:vAlign w:val="bottom"/>
            <w:hideMark/>
          </w:tcPr>
          <w:p w14:paraId="4302DF3F"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2020</w:t>
            </w:r>
          </w:p>
        </w:tc>
        <w:tc>
          <w:tcPr>
            <w:tcW w:w="756" w:type="dxa"/>
            <w:shd w:val="clear" w:color="auto" w:fill="auto"/>
            <w:noWrap/>
            <w:vAlign w:val="bottom"/>
            <w:hideMark/>
          </w:tcPr>
          <w:p w14:paraId="603B5BA9"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2021</w:t>
            </w:r>
          </w:p>
        </w:tc>
        <w:tc>
          <w:tcPr>
            <w:tcW w:w="1069" w:type="dxa"/>
            <w:shd w:val="clear" w:color="auto" w:fill="auto"/>
            <w:noWrap/>
            <w:vAlign w:val="bottom"/>
            <w:hideMark/>
          </w:tcPr>
          <w:p w14:paraId="60385230" w14:textId="77777777" w:rsidR="00815304" w:rsidRPr="00C91D7C" w:rsidRDefault="00815304" w:rsidP="00AC61D1">
            <w:pPr>
              <w:spacing w:after="0" w:line="360" w:lineRule="auto"/>
              <w:rPr>
                <w:rFonts w:ascii="Arial" w:eastAsia="Times New Roman" w:hAnsi="Arial" w:cs="Arial"/>
                <w:b/>
                <w:bCs/>
                <w:color w:val="000000"/>
                <w:lang w:eastAsia="en-IN"/>
              </w:rPr>
            </w:pPr>
            <w:r w:rsidRPr="00C91D7C">
              <w:rPr>
                <w:rFonts w:ascii="Arial" w:eastAsia="Times New Roman" w:hAnsi="Arial" w:cs="Arial"/>
                <w:b/>
                <w:bCs/>
                <w:color w:val="000000"/>
                <w:lang w:eastAsia="en-IN"/>
              </w:rPr>
              <w:t>Average</w:t>
            </w:r>
          </w:p>
        </w:tc>
      </w:tr>
      <w:tr w:rsidR="00815304" w:rsidRPr="00C91D7C" w14:paraId="3A47A221" w14:textId="77777777" w:rsidTr="00CF75A7">
        <w:trPr>
          <w:trHeight w:val="300"/>
        </w:trPr>
        <w:tc>
          <w:tcPr>
            <w:tcW w:w="0" w:type="auto"/>
            <w:shd w:val="clear" w:color="auto" w:fill="auto"/>
            <w:noWrap/>
            <w:vAlign w:val="bottom"/>
            <w:hideMark/>
          </w:tcPr>
          <w:p w14:paraId="39CF55F3"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China</w:t>
            </w:r>
          </w:p>
        </w:tc>
        <w:tc>
          <w:tcPr>
            <w:tcW w:w="0" w:type="auto"/>
            <w:shd w:val="clear" w:color="auto" w:fill="auto"/>
            <w:noWrap/>
            <w:vAlign w:val="center"/>
            <w:hideMark/>
          </w:tcPr>
          <w:p w14:paraId="6221145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4.96</w:t>
            </w:r>
          </w:p>
        </w:tc>
        <w:tc>
          <w:tcPr>
            <w:tcW w:w="0" w:type="auto"/>
            <w:shd w:val="clear" w:color="auto" w:fill="auto"/>
            <w:noWrap/>
            <w:vAlign w:val="center"/>
            <w:hideMark/>
          </w:tcPr>
          <w:p w14:paraId="2A15DE8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4.87</w:t>
            </w:r>
          </w:p>
        </w:tc>
        <w:tc>
          <w:tcPr>
            <w:tcW w:w="0" w:type="auto"/>
            <w:shd w:val="clear" w:color="auto" w:fill="auto"/>
            <w:noWrap/>
            <w:vAlign w:val="center"/>
            <w:hideMark/>
          </w:tcPr>
          <w:p w14:paraId="24072FE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4.46</w:t>
            </w:r>
          </w:p>
        </w:tc>
        <w:tc>
          <w:tcPr>
            <w:tcW w:w="0" w:type="auto"/>
            <w:shd w:val="clear" w:color="auto" w:fill="auto"/>
            <w:noWrap/>
            <w:vAlign w:val="center"/>
            <w:hideMark/>
          </w:tcPr>
          <w:p w14:paraId="42C637C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4.25</w:t>
            </w:r>
          </w:p>
        </w:tc>
        <w:tc>
          <w:tcPr>
            <w:tcW w:w="0" w:type="auto"/>
            <w:shd w:val="clear" w:color="auto" w:fill="auto"/>
            <w:noWrap/>
            <w:vAlign w:val="center"/>
            <w:hideMark/>
          </w:tcPr>
          <w:p w14:paraId="49563B8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3.83</w:t>
            </w:r>
          </w:p>
        </w:tc>
        <w:tc>
          <w:tcPr>
            <w:tcW w:w="0" w:type="auto"/>
            <w:shd w:val="clear" w:color="auto" w:fill="auto"/>
            <w:noWrap/>
            <w:vAlign w:val="center"/>
            <w:hideMark/>
          </w:tcPr>
          <w:p w14:paraId="0C36CEB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4.01</w:t>
            </w:r>
          </w:p>
        </w:tc>
        <w:tc>
          <w:tcPr>
            <w:tcW w:w="0" w:type="auto"/>
            <w:shd w:val="clear" w:color="auto" w:fill="auto"/>
            <w:noWrap/>
            <w:vAlign w:val="center"/>
            <w:hideMark/>
          </w:tcPr>
          <w:p w14:paraId="2DA5E59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4.13</w:t>
            </w:r>
          </w:p>
        </w:tc>
        <w:tc>
          <w:tcPr>
            <w:tcW w:w="0" w:type="auto"/>
            <w:shd w:val="clear" w:color="auto" w:fill="auto"/>
            <w:noWrap/>
            <w:vAlign w:val="center"/>
            <w:hideMark/>
          </w:tcPr>
          <w:p w14:paraId="50652C1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4.07</w:t>
            </w:r>
          </w:p>
        </w:tc>
        <w:tc>
          <w:tcPr>
            <w:tcW w:w="0" w:type="auto"/>
            <w:shd w:val="clear" w:color="auto" w:fill="auto"/>
            <w:noWrap/>
            <w:vAlign w:val="center"/>
            <w:hideMark/>
          </w:tcPr>
          <w:p w14:paraId="5459599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3.75</w:t>
            </w:r>
          </w:p>
        </w:tc>
        <w:tc>
          <w:tcPr>
            <w:tcW w:w="756" w:type="dxa"/>
            <w:shd w:val="clear" w:color="auto" w:fill="auto"/>
            <w:noWrap/>
            <w:vAlign w:val="center"/>
            <w:hideMark/>
          </w:tcPr>
          <w:p w14:paraId="02CE59D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2.80</w:t>
            </w:r>
          </w:p>
        </w:tc>
        <w:tc>
          <w:tcPr>
            <w:tcW w:w="756" w:type="dxa"/>
            <w:shd w:val="clear" w:color="auto" w:fill="auto"/>
            <w:noWrap/>
            <w:vAlign w:val="center"/>
            <w:hideMark/>
          </w:tcPr>
          <w:p w14:paraId="41591CC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2.84</w:t>
            </w:r>
          </w:p>
        </w:tc>
        <w:tc>
          <w:tcPr>
            <w:tcW w:w="1069" w:type="dxa"/>
            <w:shd w:val="clear" w:color="auto" w:fill="auto"/>
            <w:noWrap/>
            <w:vAlign w:val="bottom"/>
            <w:hideMark/>
          </w:tcPr>
          <w:p w14:paraId="12B163A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4.00</w:t>
            </w:r>
          </w:p>
        </w:tc>
      </w:tr>
      <w:tr w:rsidR="00815304" w:rsidRPr="00C91D7C" w14:paraId="5269D2B8" w14:textId="77777777" w:rsidTr="00CF75A7">
        <w:trPr>
          <w:trHeight w:val="300"/>
        </w:trPr>
        <w:tc>
          <w:tcPr>
            <w:tcW w:w="0" w:type="auto"/>
            <w:shd w:val="clear" w:color="auto" w:fill="auto"/>
            <w:noWrap/>
            <w:vAlign w:val="bottom"/>
            <w:hideMark/>
          </w:tcPr>
          <w:p w14:paraId="69239DE2"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Italy</w:t>
            </w:r>
          </w:p>
        </w:tc>
        <w:tc>
          <w:tcPr>
            <w:tcW w:w="0" w:type="auto"/>
            <w:shd w:val="clear" w:color="auto" w:fill="auto"/>
            <w:noWrap/>
            <w:vAlign w:val="center"/>
            <w:hideMark/>
          </w:tcPr>
          <w:p w14:paraId="166CD56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4.31</w:t>
            </w:r>
          </w:p>
        </w:tc>
        <w:tc>
          <w:tcPr>
            <w:tcW w:w="0" w:type="auto"/>
            <w:shd w:val="clear" w:color="auto" w:fill="auto"/>
            <w:noWrap/>
            <w:vAlign w:val="center"/>
            <w:hideMark/>
          </w:tcPr>
          <w:p w14:paraId="68436BE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4.59</w:t>
            </w:r>
          </w:p>
        </w:tc>
        <w:tc>
          <w:tcPr>
            <w:tcW w:w="0" w:type="auto"/>
            <w:shd w:val="clear" w:color="auto" w:fill="auto"/>
            <w:noWrap/>
            <w:vAlign w:val="center"/>
            <w:hideMark/>
          </w:tcPr>
          <w:p w14:paraId="7D8FE33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4.71</w:t>
            </w:r>
          </w:p>
        </w:tc>
        <w:tc>
          <w:tcPr>
            <w:tcW w:w="0" w:type="auto"/>
            <w:shd w:val="clear" w:color="auto" w:fill="auto"/>
            <w:noWrap/>
            <w:vAlign w:val="center"/>
            <w:hideMark/>
          </w:tcPr>
          <w:p w14:paraId="140DCFA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4.70</w:t>
            </w:r>
          </w:p>
        </w:tc>
        <w:tc>
          <w:tcPr>
            <w:tcW w:w="0" w:type="auto"/>
            <w:shd w:val="clear" w:color="auto" w:fill="auto"/>
            <w:noWrap/>
            <w:vAlign w:val="center"/>
            <w:hideMark/>
          </w:tcPr>
          <w:p w14:paraId="70E4764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4.74</w:t>
            </w:r>
          </w:p>
        </w:tc>
        <w:tc>
          <w:tcPr>
            <w:tcW w:w="0" w:type="auto"/>
            <w:shd w:val="clear" w:color="auto" w:fill="auto"/>
            <w:noWrap/>
            <w:vAlign w:val="center"/>
            <w:hideMark/>
          </w:tcPr>
          <w:p w14:paraId="0799C97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4.58</w:t>
            </w:r>
          </w:p>
        </w:tc>
        <w:tc>
          <w:tcPr>
            <w:tcW w:w="0" w:type="auto"/>
            <w:shd w:val="clear" w:color="auto" w:fill="auto"/>
            <w:noWrap/>
            <w:vAlign w:val="center"/>
            <w:hideMark/>
          </w:tcPr>
          <w:p w14:paraId="31D203D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4.51</w:t>
            </w:r>
          </w:p>
        </w:tc>
        <w:tc>
          <w:tcPr>
            <w:tcW w:w="0" w:type="auto"/>
            <w:shd w:val="clear" w:color="auto" w:fill="auto"/>
            <w:noWrap/>
            <w:vAlign w:val="center"/>
            <w:hideMark/>
          </w:tcPr>
          <w:p w14:paraId="60EA186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4.72</w:t>
            </w:r>
          </w:p>
        </w:tc>
        <w:tc>
          <w:tcPr>
            <w:tcW w:w="0" w:type="auto"/>
            <w:shd w:val="clear" w:color="auto" w:fill="auto"/>
            <w:noWrap/>
            <w:vAlign w:val="center"/>
            <w:hideMark/>
          </w:tcPr>
          <w:p w14:paraId="0FB65A2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4.94</w:t>
            </w:r>
          </w:p>
        </w:tc>
        <w:tc>
          <w:tcPr>
            <w:tcW w:w="756" w:type="dxa"/>
            <w:shd w:val="clear" w:color="auto" w:fill="auto"/>
            <w:noWrap/>
            <w:vAlign w:val="center"/>
            <w:hideMark/>
          </w:tcPr>
          <w:p w14:paraId="61ADF30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5.47</w:t>
            </w:r>
          </w:p>
        </w:tc>
        <w:tc>
          <w:tcPr>
            <w:tcW w:w="756" w:type="dxa"/>
            <w:shd w:val="clear" w:color="auto" w:fill="auto"/>
            <w:noWrap/>
            <w:vAlign w:val="center"/>
            <w:hideMark/>
          </w:tcPr>
          <w:p w14:paraId="6951DB8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5.28</w:t>
            </w:r>
          </w:p>
        </w:tc>
        <w:tc>
          <w:tcPr>
            <w:tcW w:w="1069" w:type="dxa"/>
            <w:shd w:val="clear" w:color="auto" w:fill="auto"/>
            <w:noWrap/>
            <w:vAlign w:val="bottom"/>
            <w:hideMark/>
          </w:tcPr>
          <w:p w14:paraId="045F2DB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4.78</w:t>
            </w:r>
          </w:p>
        </w:tc>
      </w:tr>
      <w:tr w:rsidR="00815304" w:rsidRPr="00C91D7C" w14:paraId="06654977" w14:textId="77777777" w:rsidTr="00CF75A7">
        <w:trPr>
          <w:trHeight w:val="300"/>
        </w:trPr>
        <w:tc>
          <w:tcPr>
            <w:tcW w:w="0" w:type="auto"/>
            <w:shd w:val="clear" w:color="auto" w:fill="auto"/>
            <w:noWrap/>
            <w:vAlign w:val="bottom"/>
            <w:hideMark/>
          </w:tcPr>
          <w:p w14:paraId="40C5C5BE"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Uzbekistan</w:t>
            </w:r>
          </w:p>
        </w:tc>
        <w:tc>
          <w:tcPr>
            <w:tcW w:w="0" w:type="auto"/>
            <w:shd w:val="clear" w:color="auto" w:fill="auto"/>
            <w:noWrap/>
            <w:vAlign w:val="center"/>
            <w:hideMark/>
          </w:tcPr>
          <w:p w14:paraId="7E3FEF4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75CA534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6DEA7DE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57EDB58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555AD4F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18A7D88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7A2B592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25.81</w:t>
            </w:r>
          </w:p>
        </w:tc>
        <w:tc>
          <w:tcPr>
            <w:tcW w:w="0" w:type="auto"/>
            <w:shd w:val="clear" w:color="auto" w:fill="auto"/>
            <w:noWrap/>
            <w:vAlign w:val="center"/>
            <w:hideMark/>
          </w:tcPr>
          <w:p w14:paraId="6C076B3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40.71</w:t>
            </w:r>
          </w:p>
        </w:tc>
        <w:tc>
          <w:tcPr>
            <w:tcW w:w="0" w:type="auto"/>
            <w:shd w:val="clear" w:color="auto" w:fill="auto"/>
            <w:noWrap/>
            <w:vAlign w:val="center"/>
            <w:hideMark/>
          </w:tcPr>
          <w:p w14:paraId="73A9964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47.09</w:t>
            </w:r>
          </w:p>
        </w:tc>
        <w:tc>
          <w:tcPr>
            <w:tcW w:w="756" w:type="dxa"/>
            <w:shd w:val="clear" w:color="auto" w:fill="auto"/>
            <w:noWrap/>
            <w:vAlign w:val="center"/>
            <w:hideMark/>
          </w:tcPr>
          <w:p w14:paraId="4BF694D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80.79</w:t>
            </w:r>
          </w:p>
        </w:tc>
        <w:tc>
          <w:tcPr>
            <w:tcW w:w="756" w:type="dxa"/>
            <w:shd w:val="clear" w:color="auto" w:fill="auto"/>
            <w:noWrap/>
            <w:vAlign w:val="center"/>
            <w:hideMark/>
          </w:tcPr>
          <w:p w14:paraId="4DB8790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81.05</w:t>
            </w:r>
          </w:p>
        </w:tc>
        <w:tc>
          <w:tcPr>
            <w:tcW w:w="1069" w:type="dxa"/>
            <w:shd w:val="clear" w:color="auto" w:fill="auto"/>
            <w:noWrap/>
            <w:vAlign w:val="bottom"/>
            <w:hideMark/>
          </w:tcPr>
          <w:p w14:paraId="390816F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25.04</w:t>
            </w:r>
          </w:p>
        </w:tc>
      </w:tr>
      <w:tr w:rsidR="00815304" w:rsidRPr="00C91D7C" w14:paraId="271B2085" w14:textId="77777777" w:rsidTr="00CF75A7">
        <w:trPr>
          <w:trHeight w:val="300"/>
        </w:trPr>
        <w:tc>
          <w:tcPr>
            <w:tcW w:w="0" w:type="auto"/>
            <w:shd w:val="clear" w:color="auto" w:fill="auto"/>
            <w:noWrap/>
            <w:vAlign w:val="bottom"/>
            <w:hideMark/>
          </w:tcPr>
          <w:p w14:paraId="76BFFDE5"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Romania</w:t>
            </w:r>
          </w:p>
        </w:tc>
        <w:tc>
          <w:tcPr>
            <w:tcW w:w="0" w:type="auto"/>
            <w:shd w:val="clear" w:color="auto" w:fill="auto"/>
            <w:noWrap/>
            <w:vAlign w:val="center"/>
            <w:hideMark/>
          </w:tcPr>
          <w:p w14:paraId="3E7C25B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6.09</w:t>
            </w:r>
          </w:p>
        </w:tc>
        <w:tc>
          <w:tcPr>
            <w:tcW w:w="0" w:type="auto"/>
            <w:shd w:val="clear" w:color="auto" w:fill="auto"/>
            <w:noWrap/>
            <w:vAlign w:val="center"/>
            <w:hideMark/>
          </w:tcPr>
          <w:p w14:paraId="3BBFAA2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7.80</w:t>
            </w:r>
          </w:p>
        </w:tc>
        <w:tc>
          <w:tcPr>
            <w:tcW w:w="0" w:type="auto"/>
            <w:shd w:val="clear" w:color="auto" w:fill="auto"/>
            <w:noWrap/>
            <w:vAlign w:val="center"/>
            <w:hideMark/>
          </w:tcPr>
          <w:p w14:paraId="42EEAD3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8.45</w:t>
            </w:r>
          </w:p>
        </w:tc>
        <w:tc>
          <w:tcPr>
            <w:tcW w:w="0" w:type="auto"/>
            <w:shd w:val="clear" w:color="auto" w:fill="auto"/>
            <w:noWrap/>
            <w:vAlign w:val="center"/>
            <w:hideMark/>
          </w:tcPr>
          <w:p w14:paraId="5978398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9.53</w:t>
            </w:r>
          </w:p>
        </w:tc>
        <w:tc>
          <w:tcPr>
            <w:tcW w:w="0" w:type="auto"/>
            <w:shd w:val="clear" w:color="auto" w:fill="auto"/>
            <w:noWrap/>
            <w:vAlign w:val="center"/>
            <w:hideMark/>
          </w:tcPr>
          <w:p w14:paraId="7442BC8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10.18</w:t>
            </w:r>
          </w:p>
        </w:tc>
        <w:tc>
          <w:tcPr>
            <w:tcW w:w="0" w:type="auto"/>
            <w:shd w:val="clear" w:color="auto" w:fill="auto"/>
            <w:noWrap/>
            <w:vAlign w:val="center"/>
            <w:hideMark/>
          </w:tcPr>
          <w:p w14:paraId="3F46E5B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9.86</w:t>
            </w:r>
          </w:p>
        </w:tc>
        <w:tc>
          <w:tcPr>
            <w:tcW w:w="0" w:type="auto"/>
            <w:shd w:val="clear" w:color="auto" w:fill="auto"/>
            <w:noWrap/>
            <w:vAlign w:val="center"/>
            <w:hideMark/>
          </w:tcPr>
          <w:p w14:paraId="1DE6E47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11.38</w:t>
            </w:r>
          </w:p>
        </w:tc>
        <w:tc>
          <w:tcPr>
            <w:tcW w:w="0" w:type="auto"/>
            <w:shd w:val="clear" w:color="auto" w:fill="auto"/>
            <w:noWrap/>
            <w:vAlign w:val="center"/>
            <w:hideMark/>
          </w:tcPr>
          <w:p w14:paraId="3DD753F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11.81</w:t>
            </w:r>
          </w:p>
        </w:tc>
        <w:tc>
          <w:tcPr>
            <w:tcW w:w="0" w:type="auto"/>
            <w:shd w:val="clear" w:color="auto" w:fill="auto"/>
            <w:noWrap/>
            <w:vAlign w:val="center"/>
            <w:hideMark/>
          </w:tcPr>
          <w:p w14:paraId="08BC0C9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12.07</w:t>
            </w:r>
          </w:p>
        </w:tc>
        <w:tc>
          <w:tcPr>
            <w:tcW w:w="756" w:type="dxa"/>
            <w:shd w:val="clear" w:color="auto" w:fill="auto"/>
            <w:noWrap/>
            <w:vAlign w:val="center"/>
            <w:hideMark/>
          </w:tcPr>
          <w:p w14:paraId="313A92C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11.73</w:t>
            </w:r>
          </w:p>
        </w:tc>
        <w:tc>
          <w:tcPr>
            <w:tcW w:w="756" w:type="dxa"/>
            <w:shd w:val="clear" w:color="auto" w:fill="auto"/>
            <w:noWrap/>
            <w:vAlign w:val="center"/>
            <w:hideMark/>
          </w:tcPr>
          <w:p w14:paraId="2F1DCB6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11.31</w:t>
            </w:r>
          </w:p>
        </w:tc>
        <w:tc>
          <w:tcPr>
            <w:tcW w:w="1069" w:type="dxa"/>
            <w:shd w:val="clear" w:color="auto" w:fill="auto"/>
            <w:noWrap/>
            <w:vAlign w:val="bottom"/>
            <w:hideMark/>
          </w:tcPr>
          <w:p w14:paraId="2511634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10.02</w:t>
            </w:r>
          </w:p>
        </w:tc>
      </w:tr>
      <w:tr w:rsidR="00815304" w:rsidRPr="00C91D7C" w14:paraId="5407D125" w14:textId="77777777" w:rsidTr="00CF75A7">
        <w:trPr>
          <w:trHeight w:val="300"/>
        </w:trPr>
        <w:tc>
          <w:tcPr>
            <w:tcW w:w="0" w:type="auto"/>
            <w:shd w:val="clear" w:color="auto" w:fill="auto"/>
            <w:noWrap/>
            <w:vAlign w:val="bottom"/>
            <w:hideMark/>
          </w:tcPr>
          <w:p w14:paraId="56BB53D9"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India</w:t>
            </w:r>
          </w:p>
        </w:tc>
        <w:tc>
          <w:tcPr>
            <w:tcW w:w="0" w:type="auto"/>
            <w:shd w:val="clear" w:color="auto" w:fill="auto"/>
            <w:noWrap/>
            <w:vAlign w:val="center"/>
            <w:hideMark/>
          </w:tcPr>
          <w:p w14:paraId="6B8C9B4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4.65</w:t>
            </w:r>
          </w:p>
        </w:tc>
        <w:tc>
          <w:tcPr>
            <w:tcW w:w="0" w:type="auto"/>
            <w:shd w:val="clear" w:color="auto" w:fill="auto"/>
            <w:noWrap/>
            <w:vAlign w:val="center"/>
            <w:hideMark/>
          </w:tcPr>
          <w:p w14:paraId="0C2CC3E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3.30</w:t>
            </w:r>
          </w:p>
        </w:tc>
        <w:tc>
          <w:tcPr>
            <w:tcW w:w="0" w:type="auto"/>
            <w:shd w:val="clear" w:color="auto" w:fill="auto"/>
            <w:noWrap/>
            <w:vAlign w:val="center"/>
            <w:hideMark/>
          </w:tcPr>
          <w:p w14:paraId="2C649D9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2.95</w:t>
            </w:r>
          </w:p>
        </w:tc>
        <w:tc>
          <w:tcPr>
            <w:tcW w:w="0" w:type="auto"/>
            <w:shd w:val="clear" w:color="auto" w:fill="auto"/>
            <w:noWrap/>
            <w:vAlign w:val="center"/>
            <w:hideMark/>
          </w:tcPr>
          <w:p w14:paraId="2AFE321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2.90</w:t>
            </w:r>
          </w:p>
        </w:tc>
        <w:tc>
          <w:tcPr>
            <w:tcW w:w="0" w:type="auto"/>
            <w:shd w:val="clear" w:color="auto" w:fill="auto"/>
            <w:noWrap/>
            <w:vAlign w:val="center"/>
            <w:hideMark/>
          </w:tcPr>
          <w:p w14:paraId="74D4C22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2.90</w:t>
            </w:r>
          </w:p>
        </w:tc>
        <w:tc>
          <w:tcPr>
            <w:tcW w:w="0" w:type="auto"/>
            <w:shd w:val="clear" w:color="auto" w:fill="auto"/>
            <w:noWrap/>
            <w:vAlign w:val="center"/>
            <w:hideMark/>
          </w:tcPr>
          <w:p w14:paraId="2129EAB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2.55</w:t>
            </w:r>
          </w:p>
        </w:tc>
        <w:tc>
          <w:tcPr>
            <w:tcW w:w="0" w:type="auto"/>
            <w:shd w:val="clear" w:color="auto" w:fill="auto"/>
            <w:noWrap/>
            <w:vAlign w:val="center"/>
            <w:hideMark/>
          </w:tcPr>
          <w:p w14:paraId="601DB14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2.18</w:t>
            </w:r>
          </w:p>
        </w:tc>
        <w:tc>
          <w:tcPr>
            <w:tcW w:w="0" w:type="auto"/>
            <w:shd w:val="clear" w:color="auto" w:fill="auto"/>
            <w:noWrap/>
            <w:vAlign w:val="center"/>
            <w:hideMark/>
          </w:tcPr>
          <w:p w14:paraId="6E26482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2.28</w:t>
            </w:r>
          </w:p>
        </w:tc>
        <w:tc>
          <w:tcPr>
            <w:tcW w:w="0" w:type="auto"/>
            <w:shd w:val="clear" w:color="auto" w:fill="auto"/>
            <w:noWrap/>
            <w:vAlign w:val="center"/>
            <w:hideMark/>
          </w:tcPr>
          <w:p w14:paraId="4DABFBA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2.45</w:t>
            </w:r>
          </w:p>
        </w:tc>
        <w:tc>
          <w:tcPr>
            <w:tcW w:w="756" w:type="dxa"/>
            <w:shd w:val="clear" w:color="auto" w:fill="auto"/>
            <w:noWrap/>
            <w:vAlign w:val="center"/>
            <w:hideMark/>
          </w:tcPr>
          <w:p w14:paraId="59E31C8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4.19</w:t>
            </w:r>
          </w:p>
        </w:tc>
        <w:tc>
          <w:tcPr>
            <w:tcW w:w="756" w:type="dxa"/>
            <w:shd w:val="clear" w:color="auto" w:fill="auto"/>
            <w:noWrap/>
            <w:vAlign w:val="center"/>
            <w:hideMark/>
          </w:tcPr>
          <w:p w14:paraId="78C92F9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4.32</w:t>
            </w:r>
          </w:p>
        </w:tc>
        <w:tc>
          <w:tcPr>
            <w:tcW w:w="1069" w:type="dxa"/>
            <w:shd w:val="clear" w:color="auto" w:fill="auto"/>
            <w:noWrap/>
            <w:vAlign w:val="bottom"/>
            <w:hideMark/>
          </w:tcPr>
          <w:p w14:paraId="5934A76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3.15</w:t>
            </w:r>
          </w:p>
        </w:tc>
      </w:tr>
      <w:tr w:rsidR="00815304" w:rsidRPr="00C91D7C" w14:paraId="20D548D3" w14:textId="77777777" w:rsidTr="00CF75A7">
        <w:trPr>
          <w:trHeight w:val="300"/>
        </w:trPr>
        <w:tc>
          <w:tcPr>
            <w:tcW w:w="0" w:type="auto"/>
            <w:shd w:val="clear" w:color="auto" w:fill="auto"/>
            <w:noWrap/>
            <w:vAlign w:val="bottom"/>
            <w:hideMark/>
          </w:tcPr>
          <w:p w14:paraId="4AEF5C65"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France</w:t>
            </w:r>
          </w:p>
        </w:tc>
        <w:tc>
          <w:tcPr>
            <w:tcW w:w="0" w:type="auto"/>
            <w:shd w:val="clear" w:color="auto" w:fill="auto"/>
            <w:noWrap/>
            <w:vAlign w:val="center"/>
            <w:hideMark/>
          </w:tcPr>
          <w:p w14:paraId="5BB8745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0.94</w:t>
            </w:r>
          </w:p>
        </w:tc>
        <w:tc>
          <w:tcPr>
            <w:tcW w:w="0" w:type="auto"/>
            <w:shd w:val="clear" w:color="auto" w:fill="auto"/>
            <w:noWrap/>
            <w:vAlign w:val="center"/>
            <w:hideMark/>
          </w:tcPr>
          <w:p w14:paraId="4E5526A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0.99</w:t>
            </w:r>
          </w:p>
        </w:tc>
        <w:tc>
          <w:tcPr>
            <w:tcW w:w="0" w:type="auto"/>
            <w:shd w:val="clear" w:color="auto" w:fill="auto"/>
            <w:noWrap/>
            <w:vAlign w:val="center"/>
            <w:hideMark/>
          </w:tcPr>
          <w:p w14:paraId="33B8626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1.27</w:t>
            </w:r>
          </w:p>
        </w:tc>
        <w:tc>
          <w:tcPr>
            <w:tcW w:w="0" w:type="auto"/>
            <w:shd w:val="clear" w:color="auto" w:fill="auto"/>
            <w:noWrap/>
            <w:vAlign w:val="center"/>
            <w:hideMark/>
          </w:tcPr>
          <w:p w14:paraId="43A3064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1.43</w:t>
            </w:r>
          </w:p>
        </w:tc>
        <w:tc>
          <w:tcPr>
            <w:tcW w:w="0" w:type="auto"/>
            <w:shd w:val="clear" w:color="auto" w:fill="auto"/>
            <w:noWrap/>
            <w:vAlign w:val="center"/>
            <w:hideMark/>
          </w:tcPr>
          <w:p w14:paraId="60354A0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1.24</w:t>
            </w:r>
          </w:p>
        </w:tc>
        <w:tc>
          <w:tcPr>
            <w:tcW w:w="0" w:type="auto"/>
            <w:shd w:val="clear" w:color="auto" w:fill="auto"/>
            <w:noWrap/>
            <w:vAlign w:val="center"/>
            <w:hideMark/>
          </w:tcPr>
          <w:p w14:paraId="7765E62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1.20</w:t>
            </w:r>
          </w:p>
        </w:tc>
        <w:tc>
          <w:tcPr>
            <w:tcW w:w="0" w:type="auto"/>
            <w:shd w:val="clear" w:color="auto" w:fill="auto"/>
            <w:noWrap/>
            <w:vAlign w:val="center"/>
            <w:hideMark/>
          </w:tcPr>
          <w:p w14:paraId="1B3A55E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0.95</w:t>
            </w:r>
          </w:p>
        </w:tc>
        <w:tc>
          <w:tcPr>
            <w:tcW w:w="0" w:type="auto"/>
            <w:shd w:val="clear" w:color="auto" w:fill="auto"/>
            <w:noWrap/>
            <w:vAlign w:val="center"/>
            <w:hideMark/>
          </w:tcPr>
          <w:p w14:paraId="27FF727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1.06</w:t>
            </w:r>
          </w:p>
        </w:tc>
        <w:tc>
          <w:tcPr>
            <w:tcW w:w="0" w:type="auto"/>
            <w:shd w:val="clear" w:color="auto" w:fill="auto"/>
            <w:noWrap/>
            <w:vAlign w:val="center"/>
            <w:hideMark/>
          </w:tcPr>
          <w:p w14:paraId="0DD7F5E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1.21</w:t>
            </w:r>
          </w:p>
        </w:tc>
        <w:tc>
          <w:tcPr>
            <w:tcW w:w="756" w:type="dxa"/>
            <w:shd w:val="clear" w:color="auto" w:fill="auto"/>
            <w:noWrap/>
            <w:vAlign w:val="center"/>
            <w:hideMark/>
          </w:tcPr>
          <w:p w14:paraId="3100BC1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1.37</w:t>
            </w:r>
          </w:p>
        </w:tc>
        <w:tc>
          <w:tcPr>
            <w:tcW w:w="756" w:type="dxa"/>
            <w:shd w:val="clear" w:color="auto" w:fill="auto"/>
            <w:noWrap/>
            <w:vAlign w:val="center"/>
            <w:hideMark/>
          </w:tcPr>
          <w:p w14:paraId="043C81C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c>
          <w:tcPr>
            <w:tcW w:w="1069" w:type="dxa"/>
            <w:shd w:val="clear" w:color="auto" w:fill="auto"/>
            <w:noWrap/>
            <w:vAlign w:val="bottom"/>
            <w:hideMark/>
          </w:tcPr>
          <w:p w14:paraId="204C0E8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r>
      <w:tr w:rsidR="00815304" w:rsidRPr="00C91D7C" w14:paraId="32CC2F5B" w14:textId="77777777" w:rsidTr="00CF75A7">
        <w:trPr>
          <w:trHeight w:val="300"/>
        </w:trPr>
        <w:tc>
          <w:tcPr>
            <w:tcW w:w="0" w:type="auto"/>
            <w:shd w:val="clear" w:color="auto" w:fill="auto"/>
            <w:noWrap/>
            <w:vAlign w:val="bottom"/>
            <w:hideMark/>
          </w:tcPr>
          <w:p w14:paraId="315797F3"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Viet Nam</w:t>
            </w:r>
          </w:p>
        </w:tc>
        <w:tc>
          <w:tcPr>
            <w:tcW w:w="0" w:type="auto"/>
            <w:shd w:val="clear" w:color="auto" w:fill="auto"/>
            <w:noWrap/>
            <w:vAlign w:val="center"/>
            <w:hideMark/>
          </w:tcPr>
          <w:p w14:paraId="086D223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3.10</w:t>
            </w:r>
          </w:p>
        </w:tc>
        <w:tc>
          <w:tcPr>
            <w:tcW w:w="0" w:type="auto"/>
            <w:shd w:val="clear" w:color="auto" w:fill="auto"/>
            <w:noWrap/>
            <w:vAlign w:val="center"/>
            <w:hideMark/>
          </w:tcPr>
          <w:p w14:paraId="5DC56E4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2.71</w:t>
            </w:r>
          </w:p>
        </w:tc>
        <w:tc>
          <w:tcPr>
            <w:tcW w:w="0" w:type="auto"/>
            <w:shd w:val="clear" w:color="auto" w:fill="auto"/>
            <w:noWrap/>
            <w:vAlign w:val="center"/>
            <w:hideMark/>
          </w:tcPr>
          <w:p w14:paraId="7A2416F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2.95</w:t>
            </w:r>
          </w:p>
        </w:tc>
        <w:tc>
          <w:tcPr>
            <w:tcW w:w="0" w:type="auto"/>
            <w:shd w:val="clear" w:color="auto" w:fill="auto"/>
            <w:noWrap/>
            <w:vAlign w:val="center"/>
            <w:hideMark/>
          </w:tcPr>
          <w:p w14:paraId="55911F8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2.98</w:t>
            </w:r>
          </w:p>
        </w:tc>
        <w:tc>
          <w:tcPr>
            <w:tcW w:w="0" w:type="auto"/>
            <w:shd w:val="clear" w:color="auto" w:fill="auto"/>
            <w:noWrap/>
            <w:vAlign w:val="center"/>
            <w:hideMark/>
          </w:tcPr>
          <w:p w14:paraId="3B72466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2.89</w:t>
            </w:r>
          </w:p>
        </w:tc>
        <w:tc>
          <w:tcPr>
            <w:tcW w:w="0" w:type="auto"/>
            <w:shd w:val="clear" w:color="auto" w:fill="auto"/>
            <w:noWrap/>
            <w:vAlign w:val="center"/>
            <w:hideMark/>
          </w:tcPr>
          <w:p w14:paraId="2A0362D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3.03</w:t>
            </w:r>
          </w:p>
        </w:tc>
        <w:tc>
          <w:tcPr>
            <w:tcW w:w="0" w:type="auto"/>
            <w:shd w:val="clear" w:color="auto" w:fill="auto"/>
            <w:noWrap/>
            <w:vAlign w:val="center"/>
            <w:hideMark/>
          </w:tcPr>
          <w:p w14:paraId="5EF2A26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3.63</w:t>
            </w:r>
          </w:p>
        </w:tc>
        <w:tc>
          <w:tcPr>
            <w:tcW w:w="0" w:type="auto"/>
            <w:shd w:val="clear" w:color="auto" w:fill="auto"/>
            <w:noWrap/>
            <w:vAlign w:val="center"/>
            <w:hideMark/>
          </w:tcPr>
          <w:p w14:paraId="1D4CFEE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3.71</w:t>
            </w:r>
          </w:p>
        </w:tc>
        <w:tc>
          <w:tcPr>
            <w:tcW w:w="0" w:type="auto"/>
            <w:shd w:val="clear" w:color="auto" w:fill="auto"/>
            <w:noWrap/>
            <w:vAlign w:val="center"/>
            <w:hideMark/>
          </w:tcPr>
          <w:p w14:paraId="2DDC4B5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3.87</w:t>
            </w:r>
          </w:p>
        </w:tc>
        <w:tc>
          <w:tcPr>
            <w:tcW w:w="756" w:type="dxa"/>
            <w:shd w:val="clear" w:color="auto" w:fill="auto"/>
            <w:noWrap/>
            <w:vAlign w:val="center"/>
            <w:hideMark/>
          </w:tcPr>
          <w:p w14:paraId="774458B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3.75</w:t>
            </w:r>
          </w:p>
        </w:tc>
        <w:tc>
          <w:tcPr>
            <w:tcW w:w="756" w:type="dxa"/>
            <w:shd w:val="clear" w:color="auto" w:fill="auto"/>
            <w:noWrap/>
            <w:vAlign w:val="center"/>
            <w:hideMark/>
          </w:tcPr>
          <w:p w14:paraId="140C898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4.85</w:t>
            </w:r>
          </w:p>
        </w:tc>
        <w:tc>
          <w:tcPr>
            <w:tcW w:w="1069" w:type="dxa"/>
            <w:shd w:val="clear" w:color="auto" w:fill="auto"/>
            <w:noWrap/>
            <w:vAlign w:val="bottom"/>
            <w:hideMark/>
          </w:tcPr>
          <w:p w14:paraId="40059FB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3.41</w:t>
            </w:r>
          </w:p>
        </w:tc>
      </w:tr>
      <w:tr w:rsidR="00815304" w:rsidRPr="00C91D7C" w14:paraId="37962123" w14:textId="77777777" w:rsidTr="00CF75A7">
        <w:trPr>
          <w:trHeight w:val="300"/>
        </w:trPr>
        <w:tc>
          <w:tcPr>
            <w:tcW w:w="0" w:type="auto"/>
            <w:shd w:val="clear" w:color="auto" w:fill="auto"/>
            <w:noWrap/>
            <w:vAlign w:val="bottom"/>
            <w:hideMark/>
          </w:tcPr>
          <w:p w14:paraId="5E4178AB"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Japan</w:t>
            </w:r>
          </w:p>
        </w:tc>
        <w:tc>
          <w:tcPr>
            <w:tcW w:w="0" w:type="auto"/>
            <w:shd w:val="clear" w:color="auto" w:fill="auto"/>
            <w:noWrap/>
            <w:vAlign w:val="center"/>
            <w:hideMark/>
          </w:tcPr>
          <w:p w14:paraId="10BF245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0.74</w:t>
            </w:r>
          </w:p>
        </w:tc>
        <w:tc>
          <w:tcPr>
            <w:tcW w:w="0" w:type="auto"/>
            <w:shd w:val="clear" w:color="auto" w:fill="auto"/>
            <w:noWrap/>
            <w:vAlign w:val="center"/>
            <w:hideMark/>
          </w:tcPr>
          <w:p w14:paraId="0FE11C5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0.83</w:t>
            </w:r>
          </w:p>
        </w:tc>
        <w:tc>
          <w:tcPr>
            <w:tcW w:w="0" w:type="auto"/>
            <w:shd w:val="clear" w:color="auto" w:fill="auto"/>
            <w:noWrap/>
            <w:vAlign w:val="center"/>
            <w:hideMark/>
          </w:tcPr>
          <w:p w14:paraId="4A099C3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0.81</w:t>
            </w:r>
          </w:p>
        </w:tc>
        <w:tc>
          <w:tcPr>
            <w:tcW w:w="0" w:type="auto"/>
            <w:shd w:val="clear" w:color="auto" w:fill="auto"/>
            <w:noWrap/>
            <w:vAlign w:val="center"/>
            <w:hideMark/>
          </w:tcPr>
          <w:p w14:paraId="6DBB871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0.79</w:t>
            </w:r>
          </w:p>
        </w:tc>
        <w:tc>
          <w:tcPr>
            <w:tcW w:w="0" w:type="auto"/>
            <w:shd w:val="clear" w:color="auto" w:fill="auto"/>
            <w:noWrap/>
            <w:vAlign w:val="center"/>
            <w:hideMark/>
          </w:tcPr>
          <w:p w14:paraId="4E3A0FF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0.66</w:t>
            </w:r>
          </w:p>
        </w:tc>
        <w:tc>
          <w:tcPr>
            <w:tcW w:w="0" w:type="auto"/>
            <w:shd w:val="clear" w:color="auto" w:fill="auto"/>
            <w:noWrap/>
            <w:vAlign w:val="center"/>
            <w:hideMark/>
          </w:tcPr>
          <w:p w14:paraId="248245D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0.67</w:t>
            </w:r>
          </w:p>
        </w:tc>
        <w:tc>
          <w:tcPr>
            <w:tcW w:w="0" w:type="auto"/>
            <w:shd w:val="clear" w:color="auto" w:fill="auto"/>
            <w:noWrap/>
            <w:vAlign w:val="center"/>
            <w:hideMark/>
          </w:tcPr>
          <w:p w14:paraId="34BD8F1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0.65</w:t>
            </w:r>
          </w:p>
        </w:tc>
        <w:tc>
          <w:tcPr>
            <w:tcW w:w="0" w:type="auto"/>
            <w:shd w:val="clear" w:color="auto" w:fill="auto"/>
            <w:noWrap/>
            <w:vAlign w:val="center"/>
            <w:hideMark/>
          </w:tcPr>
          <w:p w14:paraId="67280EB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0.59</w:t>
            </w:r>
          </w:p>
        </w:tc>
        <w:tc>
          <w:tcPr>
            <w:tcW w:w="0" w:type="auto"/>
            <w:shd w:val="clear" w:color="auto" w:fill="auto"/>
            <w:noWrap/>
            <w:vAlign w:val="center"/>
            <w:hideMark/>
          </w:tcPr>
          <w:p w14:paraId="06CA8C9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0.62</w:t>
            </w:r>
          </w:p>
        </w:tc>
        <w:tc>
          <w:tcPr>
            <w:tcW w:w="756" w:type="dxa"/>
            <w:shd w:val="clear" w:color="auto" w:fill="auto"/>
            <w:noWrap/>
            <w:vAlign w:val="center"/>
            <w:hideMark/>
          </w:tcPr>
          <w:p w14:paraId="2380DA4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0.85</w:t>
            </w:r>
          </w:p>
        </w:tc>
        <w:tc>
          <w:tcPr>
            <w:tcW w:w="756" w:type="dxa"/>
            <w:shd w:val="clear" w:color="auto" w:fill="auto"/>
            <w:noWrap/>
            <w:vAlign w:val="center"/>
            <w:hideMark/>
          </w:tcPr>
          <w:p w14:paraId="2142593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0.73</w:t>
            </w:r>
          </w:p>
        </w:tc>
        <w:tc>
          <w:tcPr>
            <w:tcW w:w="1069" w:type="dxa"/>
            <w:shd w:val="clear" w:color="auto" w:fill="auto"/>
            <w:noWrap/>
            <w:vAlign w:val="bottom"/>
            <w:hideMark/>
          </w:tcPr>
          <w:p w14:paraId="096660A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0.72</w:t>
            </w:r>
          </w:p>
        </w:tc>
      </w:tr>
      <w:tr w:rsidR="00815304" w:rsidRPr="00C91D7C" w14:paraId="75802CB6" w14:textId="77777777" w:rsidTr="00CF75A7">
        <w:trPr>
          <w:trHeight w:val="300"/>
        </w:trPr>
        <w:tc>
          <w:tcPr>
            <w:tcW w:w="0" w:type="auto"/>
            <w:shd w:val="clear" w:color="auto" w:fill="auto"/>
            <w:noWrap/>
            <w:vAlign w:val="bottom"/>
            <w:hideMark/>
          </w:tcPr>
          <w:p w14:paraId="1581FFFA"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Korea</w:t>
            </w:r>
          </w:p>
        </w:tc>
        <w:tc>
          <w:tcPr>
            <w:tcW w:w="0" w:type="auto"/>
            <w:shd w:val="clear" w:color="auto" w:fill="auto"/>
            <w:noWrap/>
            <w:vAlign w:val="center"/>
            <w:hideMark/>
          </w:tcPr>
          <w:p w14:paraId="3745DF8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1.01</w:t>
            </w:r>
          </w:p>
        </w:tc>
        <w:tc>
          <w:tcPr>
            <w:tcW w:w="0" w:type="auto"/>
            <w:shd w:val="clear" w:color="auto" w:fill="auto"/>
            <w:noWrap/>
            <w:vAlign w:val="center"/>
            <w:hideMark/>
          </w:tcPr>
          <w:p w14:paraId="0E9C2ED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1.04</w:t>
            </w:r>
          </w:p>
        </w:tc>
        <w:tc>
          <w:tcPr>
            <w:tcW w:w="0" w:type="auto"/>
            <w:shd w:val="clear" w:color="auto" w:fill="auto"/>
            <w:noWrap/>
            <w:vAlign w:val="center"/>
            <w:hideMark/>
          </w:tcPr>
          <w:p w14:paraId="18BE5CF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0.93</w:t>
            </w:r>
          </w:p>
        </w:tc>
        <w:tc>
          <w:tcPr>
            <w:tcW w:w="0" w:type="auto"/>
            <w:shd w:val="clear" w:color="auto" w:fill="auto"/>
            <w:noWrap/>
            <w:vAlign w:val="center"/>
            <w:hideMark/>
          </w:tcPr>
          <w:p w14:paraId="5A01BF5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0.90</w:t>
            </w:r>
          </w:p>
        </w:tc>
        <w:tc>
          <w:tcPr>
            <w:tcW w:w="0" w:type="auto"/>
            <w:shd w:val="clear" w:color="auto" w:fill="auto"/>
            <w:noWrap/>
            <w:vAlign w:val="center"/>
            <w:hideMark/>
          </w:tcPr>
          <w:p w14:paraId="1016EC6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0.90</w:t>
            </w:r>
          </w:p>
        </w:tc>
        <w:tc>
          <w:tcPr>
            <w:tcW w:w="0" w:type="auto"/>
            <w:shd w:val="clear" w:color="auto" w:fill="auto"/>
            <w:noWrap/>
            <w:vAlign w:val="center"/>
            <w:hideMark/>
          </w:tcPr>
          <w:p w14:paraId="5A7856A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0.88</w:t>
            </w:r>
          </w:p>
        </w:tc>
        <w:tc>
          <w:tcPr>
            <w:tcW w:w="0" w:type="auto"/>
            <w:shd w:val="clear" w:color="auto" w:fill="auto"/>
            <w:noWrap/>
            <w:vAlign w:val="center"/>
            <w:hideMark/>
          </w:tcPr>
          <w:p w14:paraId="55A03A3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0.73</w:t>
            </w:r>
          </w:p>
        </w:tc>
        <w:tc>
          <w:tcPr>
            <w:tcW w:w="0" w:type="auto"/>
            <w:shd w:val="clear" w:color="auto" w:fill="auto"/>
            <w:noWrap/>
            <w:vAlign w:val="center"/>
            <w:hideMark/>
          </w:tcPr>
          <w:p w14:paraId="7EE59CF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0.65</w:t>
            </w:r>
          </w:p>
        </w:tc>
        <w:tc>
          <w:tcPr>
            <w:tcW w:w="0" w:type="auto"/>
            <w:shd w:val="clear" w:color="auto" w:fill="auto"/>
            <w:noWrap/>
            <w:vAlign w:val="center"/>
            <w:hideMark/>
          </w:tcPr>
          <w:p w14:paraId="49C3221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0.66</w:t>
            </w:r>
          </w:p>
        </w:tc>
        <w:tc>
          <w:tcPr>
            <w:tcW w:w="756" w:type="dxa"/>
            <w:shd w:val="clear" w:color="auto" w:fill="auto"/>
            <w:noWrap/>
            <w:vAlign w:val="center"/>
            <w:hideMark/>
          </w:tcPr>
          <w:p w14:paraId="5DFFCA7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0.48</w:t>
            </w:r>
          </w:p>
        </w:tc>
        <w:tc>
          <w:tcPr>
            <w:tcW w:w="756" w:type="dxa"/>
            <w:shd w:val="clear" w:color="auto" w:fill="auto"/>
            <w:noWrap/>
            <w:vAlign w:val="center"/>
            <w:hideMark/>
          </w:tcPr>
          <w:p w14:paraId="3906DF3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0.46</w:t>
            </w:r>
          </w:p>
        </w:tc>
        <w:tc>
          <w:tcPr>
            <w:tcW w:w="1069" w:type="dxa"/>
            <w:shd w:val="clear" w:color="auto" w:fill="auto"/>
            <w:noWrap/>
            <w:vAlign w:val="bottom"/>
            <w:hideMark/>
          </w:tcPr>
          <w:p w14:paraId="57AF273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0.78</w:t>
            </w:r>
          </w:p>
        </w:tc>
      </w:tr>
      <w:tr w:rsidR="00815304" w:rsidRPr="00C91D7C" w14:paraId="29558D5F" w14:textId="77777777" w:rsidTr="00CF75A7">
        <w:trPr>
          <w:trHeight w:val="300"/>
        </w:trPr>
        <w:tc>
          <w:tcPr>
            <w:tcW w:w="0" w:type="auto"/>
            <w:shd w:val="clear" w:color="auto" w:fill="auto"/>
            <w:noWrap/>
            <w:vAlign w:val="bottom"/>
            <w:hideMark/>
          </w:tcPr>
          <w:p w14:paraId="51404A1C"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Brazil</w:t>
            </w:r>
          </w:p>
        </w:tc>
        <w:tc>
          <w:tcPr>
            <w:tcW w:w="0" w:type="auto"/>
            <w:shd w:val="clear" w:color="auto" w:fill="auto"/>
            <w:noWrap/>
            <w:vAlign w:val="center"/>
            <w:hideMark/>
          </w:tcPr>
          <w:p w14:paraId="2A68081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0.71</w:t>
            </w:r>
          </w:p>
        </w:tc>
        <w:tc>
          <w:tcPr>
            <w:tcW w:w="0" w:type="auto"/>
            <w:shd w:val="clear" w:color="auto" w:fill="auto"/>
            <w:noWrap/>
            <w:vAlign w:val="center"/>
            <w:hideMark/>
          </w:tcPr>
          <w:p w14:paraId="740B0DC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0.77</w:t>
            </w:r>
          </w:p>
        </w:tc>
        <w:tc>
          <w:tcPr>
            <w:tcW w:w="0" w:type="auto"/>
            <w:shd w:val="clear" w:color="auto" w:fill="auto"/>
            <w:noWrap/>
            <w:vAlign w:val="center"/>
            <w:hideMark/>
          </w:tcPr>
          <w:p w14:paraId="671B962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0.94</w:t>
            </w:r>
          </w:p>
        </w:tc>
        <w:tc>
          <w:tcPr>
            <w:tcW w:w="0" w:type="auto"/>
            <w:shd w:val="clear" w:color="auto" w:fill="auto"/>
            <w:noWrap/>
            <w:vAlign w:val="center"/>
            <w:hideMark/>
          </w:tcPr>
          <w:p w14:paraId="285D404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0.98</w:t>
            </w:r>
          </w:p>
        </w:tc>
        <w:tc>
          <w:tcPr>
            <w:tcW w:w="0" w:type="auto"/>
            <w:shd w:val="clear" w:color="auto" w:fill="auto"/>
            <w:noWrap/>
            <w:vAlign w:val="center"/>
            <w:hideMark/>
          </w:tcPr>
          <w:p w14:paraId="1C78786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1.03</w:t>
            </w:r>
          </w:p>
        </w:tc>
        <w:tc>
          <w:tcPr>
            <w:tcW w:w="0" w:type="auto"/>
            <w:shd w:val="clear" w:color="auto" w:fill="auto"/>
            <w:noWrap/>
            <w:vAlign w:val="center"/>
            <w:hideMark/>
          </w:tcPr>
          <w:p w14:paraId="54B0DF1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1.19</w:t>
            </w:r>
          </w:p>
        </w:tc>
        <w:tc>
          <w:tcPr>
            <w:tcW w:w="0" w:type="auto"/>
            <w:shd w:val="clear" w:color="auto" w:fill="auto"/>
            <w:noWrap/>
            <w:vAlign w:val="center"/>
            <w:hideMark/>
          </w:tcPr>
          <w:p w14:paraId="206C3C7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1.28</w:t>
            </w:r>
          </w:p>
        </w:tc>
        <w:tc>
          <w:tcPr>
            <w:tcW w:w="0" w:type="auto"/>
            <w:shd w:val="clear" w:color="auto" w:fill="auto"/>
            <w:noWrap/>
            <w:vAlign w:val="center"/>
            <w:hideMark/>
          </w:tcPr>
          <w:p w14:paraId="7359894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0" w:type="auto"/>
            <w:shd w:val="clear" w:color="auto" w:fill="auto"/>
            <w:noWrap/>
            <w:vAlign w:val="center"/>
            <w:hideMark/>
          </w:tcPr>
          <w:p w14:paraId="4CF3A0D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1.21</w:t>
            </w:r>
          </w:p>
        </w:tc>
        <w:tc>
          <w:tcPr>
            <w:tcW w:w="756" w:type="dxa"/>
            <w:shd w:val="clear" w:color="auto" w:fill="auto"/>
            <w:noWrap/>
            <w:vAlign w:val="center"/>
            <w:hideMark/>
          </w:tcPr>
          <w:p w14:paraId="396F09B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1.37</w:t>
            </w:r>
          </w:p>
        </w:tc>
        <w:tc>
          <w:tcPr>
            <w:tcW w:w="756" w:type="dxa"/>
            <w:shd w:val="clear" w:color="auto" w:fill="auto"/>
            <w:noWrap/>
            <w:vAlign w:val="center"/>
            <w:hideMark/>
          </w:tcPr>
          <w:p w14:paraId="73D56E2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1.38</w:t>
            </w:r>
          </w:p>
        </w:tc>
        <w:tc>
          <w:tcPr>
            <w:tcW w:w="1069" w:type="dxa"/>
            <w:shd w:val="clear" w:color="auto" w:fill="auto"/>
            <w:noWrap/>
            <w:vAlign w:val="bottom"/>
            <w:hideMark/>
          </w:tcPr>
          <w:p w14:paraId="5DEEB2F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1.10</w:t>
            </w:r>
          </w:p>
        </w:tc>
      </w:tr>
      <w:tr w:rsidR="00815304" w:rsidRPr="00C91D7C" w14:paraId="43D70B73" w14:textId="77777777" w:rsidTr="00CF75A7">
        <w:trPr>
          <w:trHeight w:val="300"/>
        </w:trPr>
        <w:tc>
          <w:tcPr>
            <w:tcW w:w="0" w:type="auto"/>
            <w:shd w:val="clear" w:color="auto" w:fill="auto"/>
            <w:noWrap/>
            <w:vAlign w:val="bottom"/>
            <w:hideMark/>
          </w:tcPr>
          <w:p w14:paraId="521D39D8"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Others</w:t>
            </w:r>
          </w:p>
        </w:tc>
        <w:tc>
          <w:tcPr>
            <w:tcW w:w="0" w:type="auto"/>
            <w:shd w:val="clear" w:color="auto" w:fill="auto"/>
            <w:noWrap/>
            <w:vAlign w:val="center"/>
            <w:hideMark/>
          </w:tcPr>
          <w:p w14:paraId="4641067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w:t>
            </w:r>
          </w:p>
        </w:tc>
        <w:tc>
          <w:tcPr>
            <w:tcW w:w="0" w:type="auto"/>
            <w:shd w:val="clear" w:color="auto" w:fill="auto"/>
            <w:noWrap/>
            <w:vAlign w:val="center"/>
            <w:hideMark/>
          </w:tcPr>
          <w:p w14:paraId="47A295E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w:t>
            </w:r>
          </w:p>
        </w:tc>
        <w:tc>
          <w:tcPr>
            <w:tcW w:w="0" w:type="auto"/>
            <w:shd w:val="clear" w:color="auto" w:fill="auto"/>
            <w:noWrap/>
            <w:vAlign w:val="center"/>
            <w:hideMark/>
          </w:tcPr>
          <w:p w14:paraId="435E2E2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w:t>
            </w:r>
          </w:p>
        </w:tc>
        <w:tc>
          <w:tcPr>
            <w:tcW w:w="0" w:type="auto"/>
            <w:shd w:val="clear" w:color="auto" w:fill="auto"/>
            <w:noWrap/>
            <w:vAlign w:val="center"/>
            <w:hideMark/>
          </w:tcPr>
          <w:p w14:paraId="0F1DDA4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0.17</w:t>
            </w:r>
          </w:p>
        </w:tc>
        <w:tc>
          <w:tcPr>
            <w:tcW w:w="0" w:type="auto"/>
            <w:shd w:val="clear" w:color="auto" w:fill="auto"/>
            <w:noWrap/>
            <w:vAlign w:val="center"/>
            <w:hideMark/>
          </w:tcPr>
          <w:p w14:paraId="074B812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0.17</w:t>
            </w:r>
          </w:p>
        </w:tc>
        <w:tc>
          <w:tcPr>
            <w:tcW w:w="0" w:type="auto"/>
            <w:shd w:val="clear" w:color="auto" w:fill="auto"/>
            <w:noWrap/>
            <w:vAlign w:val="center"/>
            <w:hideMark/>
          </w:tcPr>
          <w:p w14:paraId="76A77BB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0.16</w:t>
            </w:r>
          </w:p>
        </w:tc>
        <w:tc>
          <w:tcPr>
            <w:tcW w:w="0" w:type="auto"/>
            <w:shd w:val="clear" w:color="auto" w:fill="auto"/>
            <w:noWrap/>
            <w:vAlign w:val="center"/>
            <w:hideMark/>
          </w:tcPr>
          <w:p w14:paraId="124198D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0" w:type="auto"/>
            <w:shd w:val="clear" w:color="auto" w:fill="auto"/>
            <w:noWrap/>
            <w:vAlign w:val="center"/>
            <w:hideMark/>
          </w:tcPr>
          <w:p w14:paraId="7991FC1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0" w:type="auto"/>
            <w:shd w:val="clear" w:color="auto" w:fill="auto"/>
            <w:noWrap/>
            <w:vAlign w:val="center"/>
            <w:hideMark/>
          </w:tcPr>
          <w:p w14:paraId="7082270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0.12</w:t>
            </w:r>
          </w:p>
        </w:tc>
        <w:tc>
          <w:tcPr>
            <w:tcW w:w="756" w:type="dxa"/>
            <w:shd w:val="clear" w:color="auto" w:fill="auto"/>
            <w:noWrap/>
            <w:vAlign w:val="center"/>
            <w:hideMark/>
          </w:tcPr>
          <w:p w14:paraId="4C20E5E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0.14</w:t>
            </w:r>
          </w:p>
        </w:tc>
        <w:tc>
          <w:tcPr>
            <w:tcW w:w="756" w:type="dxa"/>
            <w:shd w:val="clear" w:color="auto" w:fill="auto"/>
            <w:noWrap/>
            <w:vAlign w:val="center"/>
            <w:hideMark/>
          </w:tcPr>
          <w:p w14:paraId="251FBF9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1069" w:type="dxa"/>
            <w:shd w:val="clear" w:color="auto" w:fill="auto"/>
            <w:noWrap/>
            <w:vAlign w:val="bottom"/>
            <w:hideMark/>
          </w:tcPr>
          <w:p w14:paraId="4E057E9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0.16</w:t>
            </w:r>
          </w:p>
        </w:tc>
      </w:tr>
    </w:tbl>
    <w:p w14:paraId="2BDF2062" w14:textId="77777777" w:rsidR="002E15B2" w:rsidRPr="00C91D7C" w:rsidRDefault="002E15B2" w:rsidP="00AC61D1">
      <w:pPr>
        <w:spacing w:line="360" w:lineRule="auto"/>
        <w:rPr>
          <w:rFonts w:ascii="Arial" w:hAnsi="Arial" w:cs="Arial"/>
          <w:b/>
          <w:bCs/>
        </w:rPr>
      </w:pPr>
    </w:p>
    <w:p w14:paraId="29EA0EC5" w14:textId="77777777" w:rsidR="00FF1EFF" w:rsidRPr="00C91D7C" w:rsidRDefault="00D76DF1" w:rsidP="00AC61D1">
      <w:pPr>
        <w:spacing w:line="360" w:lineRule="auto"/>
        <w:rPr>
          <w:rFonts w:ascii="Arial" w:hAnsi="Arial" w:cs="Arial"/>
        </w:rPr>
      </w:pPr>
      <w:r w:rsidRPr="00C91D7C">
        <w:rPr>
          <w:rFonts w:ascii="Arial" w:hAnsi="Arial" w:cs="Arial"/>
          <w:b/>
          <w:bCs/>
        </w:rPr>
        <w:t xml:space="preserve">3.6 </w:t>
      </w:r>
      <w:r w:rsidR="00366FB5" w:rsidRPr="00C91D7C">
        <w:rPr>
          <w:rFonts w:ascii="Arial" w:hAnsi="Arial" w:cs="Arial"/>
          <w:b/>
          <w:bCs/>
        </w:rPr>
        <w:t>Revealed Comparative Advantage of silk products export from India</w:t>
      </w:r>
    </w:p>
    <w:p w14:paraId="134553C4" w14:textId="77777777" w:rsidR="001635CF" w:rsidRPr="00C91D7C" w:rsidRDefault="00366FB5" w:rsidP="00AA3DD7">
      <w:pPr>
        <w:spacing w:line="360" w:lineRule="auto"/>
        <w:jc w:val="both"/>
        <w:rPr>
          <w:rFonts w:ascii="Arial" w:hAnsi="Arial" w:cs="Arial"/>
        </w:rPr>
      </w:pPr>
      <w:r w:rsidRPr="00C91D7C">
        <w:rPr>
          <w:rFonts w:ascii="Arial" w:hAnsi="Arial" w:cs="Arial"/>
        </w:rPr>
        <w:tab/>
      </w:r>
      <w:r w:rsidR="001635CF" w:rsidRPr="00C91D7C">
        <w:rPr>
          <w:rFonts w:ascii="Arial" w:hAnsi="Arial" w:cs="Arial"/>
        </w:rPr>
        <w:t>The RCA analysis of India’s silk product exports (Table 6) indicates a mixed perfo</w:t>
      </w:r>
      <w:r w:rsidR="00517DA3" w:rsidRPr="00C91D7C">
        <w:rPr>
          <w:rFonts w:ascii="Arial" w:hAnsi="Arial" w:cs="Arial"/>
        </w:rPr>
        <w:t>rmance across different silk products</w:t>
      </w:r>
      <w:r w:rsidR="001635CF" w:rsidRPr="00C91D7C">
        <w:rPr>
          <w:rFonts w:ascii="Arial" w:hAnsi="Arial" w:cs="Arial"/>
        </w:rPr>
        <w:t>. Woven fabrics containing ≥85</w:t>
      </w:r>
      <w:r w:rsidR="00517DA3" w:rsidRPr="00C91D7C">
        <w:rPr>
          <w:rFonts w:ascii="Arial" w:hAnsi="Arial" w:cs="Arial"/>
        </w:rPr>
        <w:t xml:space="preserve"> per cent</w:t>
      </w:r>
      <w:r w:rsidR="001635CF" w:rsidRPr="00C91D7C">
        <w:rPr>
          <w:rFonts w:ascii="Arial" w:hAnsi="Arial" w:cs="Arial"/>
        </w:rPr>
        <w:t xml:space="preserve"> silk (HS 500720) had a consistently strong RCA (average 1.19), suggesting India’s sustained comparative advantage in high-quality silk textiles. This is attributable to long-standing artisanal skills, government support through schemes like the Integrated Silk Development Scheme (ISDS), and efforts to modernize looms and promote exports (Ministry of Textiles, 2021).</w:t>
      </w:r>
      <w:r w:rsidR="00517DA3" w:rsidRPr="00C91D7C">
        <w:rPr>
          <w:rFonts w:ascii="Arial" w:hAnsi="Arial" w:cs="Arial"/>
        </w:rPr>
        <w:t xml:space="preserve"> </w:t>
      </w:r>
      <w:r w:rsidR="001635CF" w:rsidRPr="00C91D7C">
        <w:rPr>
          <w:rFonts w:ascii="Arial" w:hAnsi="Arial" w:cs="Arial"/>
        </w:rPr>
        <w:t>Raw silk (HS 500200) showed a rising RCA trend, peaking at 1.57 in 2021 (average 0.93), indicating improving global competitiveness. This can be linked to expanded mulberry cultivation and enhanced reeling technologies, which increased raw silk production from 31,906 MT in 2017–18 to 38,913 MT in 2023–24 (CSB, 2024). Silk yarn (HS 500400) maintained a moderate RCA (1.26 average), benefiting from diversified product lines and rising demand in niche luxury markets.</w:t>
      </w:r>
    </w:p>
    <w:p w14:paraId="65AB4285" w14:textId="77777777" w:rsidR="001635CF" w:rsidRPr="00C91D7C" w:rsidRDefault="00517DA3" w:rsidP="001635CF">
      <w:pPr>
        <w:spacing w:line="360" w:lineRule="auto"/>
        <w:jc w:val="both"/>
        <w:rPr>
          <w:rFonts w:ascii="Arial" w:hAnsi="Arial" w:cs="Arial"/>
        </w:rPr>
      </w:pPr>
      <w:r w:rsidRPr="00C91D7C">
        <w:rPr>
          <w:rFonts w:ascii="Arial" w:hAnsi="Arial" w:cs="Arial"/>
        </w:rPr>
        <w:tab/>
      </w:r>
      <w:r w:rsidR="001635CF" w:rsidRPr="00C91D7C">
        <w:rPr>
          <w:rFonts w:ascii="Arial" w:hAnsi="Arial" w:cs="Arial"/>
        </w:rPr>
        <w:t xml:space="preserve">In contrast, products like silk waste (HS 500300) and yarn from silk waste (HS 500500) recorded low RCA values (0.44 and 0.14 respectively), indicating </w:t>
      </w:r>
      <w:r w:rsidRPr="00C91D7C">
        <w:rPr>
          <w:rFonts w:ascii="Arial" w:hAnsi="Arial" w:cs="Arial"/>
        </w:rPr>
        <w:t>comparative disadvantage in exporting of these silk products</w:t>
      </w:r>
      <w:r w:rsidR="001635CF" w:rsidRPr="00C91D7C">
        <w:rPr>
          <w:rFonts w:ascii="Arial" w:hAnsi="Arial" w:cs="Arial"/>
        </w:rPr>
        <w:t>, possibly due to low product value and stiff global competition. Interestingly, woven noil silk fabrics (HS 500710) saw a significant spike in RCA in 2021 (1.31), likely driven by increased demand for handloom and artisanal silk products amid global interest in sustainable fashion. However, silkworm cocoons (HS 500100) remained largely uncompetitive in export markets (average RCA 0.41), owing to India’s domestic consumption priority and restricted cocoon trade policies.</w:t>
      </w:r>
      <w:r w:rsidRPr="00C91D7C">
        <w:rPr>
          <w:rFonts w:ascii="Arial" w:hAnsi="Arial" w:cs="Arial"/>
        </w:rPr>
        <w:t xml:space="preserve"> </w:t>
      </w:r>
      <w:r w:rsidR="001635CF" w:rsidRPr="00C91D7C">
        <w:rPr>
          <w:rFonts w:ascii="Arial" w:hAnsi="Arial" w:cs="Arial"/>
        </w:rPr>
        <w:t xml:space="preserve">Overall, India exhibits </w:t>
      </w:r>
      <w:r w:rsidR="001635CF" w:rsidRPr="00C91D7C">
        <w:rPr>
          <w:rFonts w:ascii="Arial" w:hAnsi="Arial" w:cs="Arial"/>
        </w:rPr>
        <w:lastRenderedPageBreak/>
        <w:t>strength in high-value silk fabrics and yarn exports, while competitiveness in lower-value segments remains limited, indicating a need for strategic quality improvements and better utilization of silk by-products.</w:t>
      </w:r>
    </w:p>
    <w:p w14:paraId="7623CA9F" w14:textId="77777777" w:rsidR="00852798" w:rsidRPr="00C91D7C" w:rsidRDefault="00852798" w:rsidP="00852798">
      <w:pPr>
        <w:pStyle w:val="NormalWeb"/>
        <w:shd w:val="clear" w:color="auto" w:fill="FFFFFF"/>
        <w:spacing w:before="0" w:beforeAutospacing="0" w:line="360" w:lineRule="auto"/>
        <w:jc w:val="both"/>
        <w:rPr>
          <w:rFonts w:ascii="Arial" w:hAnsi="Arial" w:cs="Arial"/>
          <w:b/>
          <w:bCs/>
          <w:sz w:val="22"/>
          <w:szCs w:val="22"/>
          <w:lang w:val="en-US"/>
        </w:rPr>
      </w:pPr>
      <w:r w:rsidRPr="00C91D7C">
        <w:rPr>
          <w:rFonts w:ascii="Arial" w:hAnsi="Arial" w:cs="Arial"/>
          <w:b/>
          <w:bCs/>
          <w:sz w:val="22"/>
          <w:szCs w:val="22"/>
        </w:rPr>
        <w:t xml:space="preserve">3.7 </w:t>
      </w:r>
      <w:r w:rsidRPr="00C91D7C">
        <w:rPr>
          <w:rFonts w:ascii="Arial" w:hAnsi="Arial" w:cs="Arial"/>
          <w:b/>
          <w:bCs/>
          <w:sz w:val="22"/>
          <w:szCs w:val="22"/>
          <w:lang w:val="en-US"/>
        </w:rPr>
        <w:t>HHI of concentration of global silk exports</w:t>
      </w:r>
    </w:p>
    <w:p w14:paraId="56211B97" w14:textId="77777777" w:rsidR="00852798" w:rsidRPr="00C91D7C" w:rsidRDefault="00852798" w:rsidP="00852798">
      <w:pPr>
        <w:spacing w:line="360" w:lineRule="auto"/>
        <w:jc w:val="both"/>
        <w:rPr>
          <w:rFonts w:ascii="Arial" w:hAnsi="Arial" w:cs="Arial"/>
          <w:lang w:val="en-US"/>
        </w:rPr>
      </w:pPr>
      <w:r w:rsidRPr="00C91D7C">
        <w:rPr>
          <w:rFonts w:ascii="Arial" w:hAnsi="Arial" w:cs="Arial"/>
          <w:lang w:val="en-US"/>
        </w:rPr>
        <w:tab/>
        <w:t>The Herfindahl Hirschman Index (HHI) to assess the degree of market concentration in global silk exports between 2011 and 2021, comparing it against the reference thresholds set by the UK’s Competition and Markets Authority (CMA) and the US Federal Trade Commission (FTC) (Table 7). An HHI value of 0.305 indicates that the global silk export market is highly concentrated according to both UK and US regulatory benchmarks. The CMA considers a market highly concentrated when HHI ≥ 0.2, while the FTC uses a slightly lower threshold of HHI ≥ 0.18.</w:t>
      </w:r>
    </w:p>
    <w:p w14:paraId="4F2C4400" w14:textId="77777777" w:rsidR="00852798" w:rsidRPr="00C91D7C" w:rsidRDefault="00852798" w:rsidP="00852798">
      <w:pPr>
        <w:spacing w:before="120" w:line="360" w:lineRule="auto"/>
        <w:jc w:val="both"/>
        <w:rPr>
          <w:rFonts w:ascii="Arial" w:hAnsi="Arial" w:cs="Arial"/>
          <w:lang w:val="en-US"/>
        </w:rPr>
      </w:pPr>
      <w:r w:rsidRPr="00C91D7C">
        <w:rPr>
          <w:rFonts w:ascii="Arial" w:hAnsi="Arial" w:cs="Arial"/>
          <w:lang w:val="en-US"/>
        </w:rPr>
        <w:tab/>
        <w:t>The implication of this HHI score is that a small number of countries dominate global silk exports, reducing market competitiveness and increasing vulnerability to supply shocks or policy shifts in major exporting nations. This aligns with earlier observations (Table 5) where countries like China, Italy, and Romania maintained consistently high revealed comparative advantages (RCA), with Uzbekistan recently emerging as a dominant player. China's historical dominance, in particular, likely contributes significantly to the elevated HHI. This high concentration could pose risks for global silk buyers who rely heavily on a few suppliers and it also underscores the challenges for new or smaller exporters seeking to enter the global silk market. Policymakers in emerging silk-exporting countries like India and Vietnam may need to invest in branding, value addition and trade diplomacy to capture a larger market share and reduce this global concentration.</w:t>
      </w:r>
    </w:p>
    <w:p w14:paraId="70398D29" w14:textId="77777777" w:rsidR="00852798" w:rsidRPr="00C91D7C" w:rsidRDefault="00852798" w:rsidP="00AC61D1">
      <w:pPr>
        <w:spacing w:line="360" w:lineRule="auto"/>
        <w:jc w:val="both"/>
        <w:rPr>
          <w:rFonts w:ascii="Arial" w:hAnsi="Arial" w:cs="Arial"/>
        </w:rPr>
        <w:sectPr w:rsidR="00852798" w:rsidRPr="00C91D7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AE963F0" w14:textId="77777777" w:rsidR="00EC67C0" w:rsidRPr="00C91D7C" w:rsidRDefault="000C3A2A" w:rsidP="001635CF">
      <w:pPr>
        <w:spacing w:line="360" w:lineRule="auto"/>
        <w:jc w:val="both"/>
        <w:rPr>
          <w:rFonts w:ascii="Arial" w:hAnsi="Arial" w:cs="Arial"/>
          <w:b/>
          <w:bCs/>
        </w:rPr>
      </w:pPr>
      <w:r w:rsidRPr="00C91D7C">
        <w:rPr>
          <w:rFonts w:ascii="Arial" w:hAnsi="Arial" w:cs="Arial"/>
          <w:b/>
          <w:bCs/>
        </w:rPr>
        <w:lastRenderedPageBreak/>
        <w:t xml:space="preserve">Table </w:t>
      </w:r>
      <w:r w:rsidR="007D3E8F" w:rsidRPr="00C91D7C">
        <w:rPr>
          <w:rFonts w:ascii="Arial" w:hAnsi="Arial" w:cs="Arial"/>
          <w:b/>
          <w:bCs/>
        </w:rPr>
        <w:t>6</w:t>
      </w:r>
      <w:r w:rsidRPr="00C91D7C">
        <w:rPr>
          <w:rFonts w:ascii="Arial" w:hAnsi="Arial" w:cs="Arial"/>
          <w:b/>
          <w:bCs/>
        </w:rPr>
        <w:t>:</w:t>
      </w:r>
      <w:r w:rsidR="00FF1EFF" w:rsidRPr="00C91D7C">
        <w:rPr>
          <w:rFonts w:ascii="Arial" w:hAnsi="Arial" w:cs="Arial"/>
          <w:b/>
          <w:bCs/>
        </w:rPr>
        <w:t xml:space="preserve"> Revealed Comparative Advantage of silk products export from India (2011 to 2021)</w:t>
      </w:r>
    </w:p>
    <w:p w14:paraId="16ABECBF" w14:textId="77777777" w:rsidR="001635CF" w:rsidRPr="00C91D7C" w:rsidRDefault="001635CF" w:rsidP="00AC61D1">
      <w:pPr>
        <w:spacing w:line="360" w:lineRule="auto"/>
        <w:jc w:val="both"/>
        <w:rPr>
          <w:rFonts w:ascii="Arial" w:hAnsi="Arial" w:cs="Arial"/>
          <w:b/>
          <w:bCs/>
        </w:rPr>
      </w:pPr>
    </w:p>
    <w:tbl>
      <w:tblPr>
        <w:tblpPr w:leftFromText="180" w:rightFromText="180" w:vertAnchor="page" w:horzAnchor="margin" w:tblpY="2195"/>
        <w:tblW w:w="14170" w:type="dxa"/>
        <w:tblLayout w:type="fixed"/>
        <w:tblLook w:val="04A0" w:firstRow="1" w:lastRow="0" w:firstColumn="1" w:lastColumn="0" w:noHBand="0" w:noVBand="1"/>
      </w:tblPr>
      <w:tblGrid>
        <w:gridCol w:w="1152"/>
        <w:gridCol w:w="4088"/>
        <w:gridCol w:w="709"/>
        <w:gridCol w:w="709"/>
        <w:gridCol w:w="708"/>
        <w:gridCol w:w="709"/>
        <w:gridCol w:w="709"/>
        <w:gridCol w:w="709"/>
        <w:gridCol w:w="708"/>
        <w:gridCol w:w="709"/>
        <w:gridCol w:w="709"/>
        <w:gridCol w:w="709"/>
        <w:gridCol w:w="708"/>
        <w:gridCol w:w="1134"/>
      </w:tblGrid>
      <w:tr w:rsidR="001635CF" w:rsidRPr="00C91D7C" w14:paraId="582184C4" w14:textId="77777777" w:rsidTr="00DF10C4">
        <w:trPr>
          <w:trHeight w:val="300"/>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606EB"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HS Code</w:t>
            </w:r>
          </w:p>
        </w:tc>
        <w:tc>
          <w:tcPr>
            <w:tcW w:w="4088" w:type="dxa"/>
            <w:tcBorders>
              <w:top w:val="single" w:sz="4" w:space="0" w:color="auto"/>
              <w:left w:val="nil"/>
              <w:bottom w:val="single" w:sz="4" w:space="0" w:color="auto"/>
              <w:right w:val="single" w:sz="4" w:space="0" w:color="auto"/>
            </w:tcBorders>
            <w:shd w:val="clear" w:color="auto" w:fill="auto"/>
            <w:noWrap/>
            <w:vAlign w:val="center"/>
            <w:hideMark/>
          </w:tcPr>
          <w:p w14:paraId="686453AA"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EA88FB"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95F86D"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682F29"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E60F43"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E44F3C"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C09F17"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A41D95"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0FAA15"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FCB003"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F92866"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68FAB91"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B5C3B4"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Average</w:t>
            </w:r>
          </w:p>
        </w:tc>
      </w:tr>
      <w:tr w:rsidR="001635CF" w:rsidRPr="00C91D7C" w14:paraId="287E076B"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18EF2BC6"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4088" w:type="dxa"/>
            <w:tcBorders>
              <w:top w:val="nil"/>
              <w:left w:val="nil"/>
              <w:bottom w:val="single" w:sz="4" w:space="0" w:color="auto"/>
              <w:right w:val="single" w:sz="4" w:space="0" w:color="auto"/>
            </w:tcBorders>
            <w:shd w:val="clear" w:color="auto" w:fill="auto"/>
            <w:noWrap/>
            <w:vAlign w:val="bottom"/>
            <w:hideMark/>
          </w:tcPr>
          <w:p w14:paraId="2A6EFE55"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709" w:type="dxa"/>
            <w:tcBorders>
              <w:top w:val="nil"/>
              <w:left w:val="nil"/>
              <w:bottom w:val="single" w:sz="4" w:space="0" w:color="auto"/>
              <w:right w:val="single" w:sz="4" w:space="0" w:color="auto"/>
            </w:tcBorders>
            <w:shd w:val="clear" w:color="auto" w:fill="auto"/>
            <w:noWrap/>
            <w:vAlign w:val="center"/>
            <w:hideMark/>
          </w:tcPr>
          <w:p w14:paraId="7F1FCD9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1.20</w:t>
            </w:r>
          </w:p>
        </w:tc>
        <w:tc>
          <w:tcPr>
            <w:tcW w:w="709" w:type="dxa"/>
            <w:tcBorders>
              <w:top w:val="nil"/>
              <w:left w:val="nil"/>
              <w:bottom w:val="single" w:sz="4" w:space="0" w:color="auto"/>
              <w:right w:val="single" w:sz="4" w:space="0" w:color="auto"/>
            </w:tcBorders>
            <w:shd w:val="clear" w:color="auto" w:fill="auto"/>
            <w:noWrap/>
            <w:vAlign w:val="center"/>
            <w:hideMark/>
          </w:tcPr>
          <w:p w14:paraId="021EAAA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1.28</w:t>
            </w:r>
          </w:p>
        </w:tc>
        <w:tc>
          <w:tcPr>
            <w:tcW w:w="708" w:type="dxa"/>
            <w:tcBorders>
              <w:top w:val="nil"/>
              <w:left w:val="nil"/>
              <w:bottom w:val="single" w:sz="4" w:space="0" w:color="auto"/>
              <w:right w:val="single" w:sz="4" w:space="0" w:color="auto"/>
            </w:tcBorders>
            <w:shd w:val="clear" w:color="auto" w:fill="auto"/>
            <w:noWrap/>
            <w:vAlign w:val="center"/>
            <w:hideMark/>
          </w:tcPr>
          <w:p w14:paraId="6D85236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1.31</w:t>
            </w:r>
          </w:p>
        </w:tc>
        <w:tc>
          <w:tcPr>
            <w:tcW w:w="709" w:type="dxa"/>
            <w:tcBorders>
              <w:top w:val="nil"/>
              <w:left w:val="nil"/>
              <w:bottom w:val="single" w:sz="4" w:space="0" w:color="auto"/>
              <w:right w:val="single" w:sz="4" w:space="0" w:color="auto"/>
            </w:tcBorders>
            <w:shd w:val="clear" w:color="auto" w:fill="auto"/>
            <w:noWrap/>
            <w:vAlign w:val="center"/>
            <w:hideMark/>
          </w:tcPr>
          <w:p w14:paraId="27AD023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1.31</w:t>
            </w:r>
          </w:p>
        </w:tc>
        <w:tc>
          <w:tcPr>
            <w:tcW w:w="709" w:type="dxa"/>
            <w:tcBorders>
              <w:top w:val="nil"/>
              <w:left w:val="nil"/>
              <w:bottom w:val="single" w:sz="4" w:space="0" w:color="auto"/>
              <w:right w:val="single" w:sz="4" w:space="0" w:color="auto"/>
            </w:tcBorders>
            <w:shd w:val="clear" w:color="auto" w:fill="auto"/>
            <w:noWrap/>
            <w:vAlign w:val="center"/>
            <w:hideMark/>
          </w:tcPr>
          <w:p w14:paraId="333BAF7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1.18</w:t>
            </w:r>
          </w:p>
        </w:tc>
        <w:tc>
          <w:tcPr>
            <w:tcW w:w="709" w:type="dxa"/>
            <w:tcBorders>
              <w:top w:val="nil"/>
              <w:left w:val="nil"/>
              <w:bottom w:val="single" w:sz="4" w:space="0" w:color="auto"/>
              <w:right w:val="single" w:sz="4" w:space="0" w:color="auto"/>
            </w:tcBorders>
            <w:shd w:val="clear" w:color="auto" w:fill="auto"/>
            <w:noWrap/>
            <w:vAlign w:val="center"/>
            <w:hideMark/>
          </w:tcPr>
          <w:p w14:paraId="13C6F86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1.08</w:t>
            </w:r>
          </w:p>
        </w:tc>
        <w:tc>
          <w:tcPr>
            <w:tcW w:w="708" w:type="dxa"/>
            <w:tcBorders>
              <w:top w:val="nil"/>
              <w:left w:val="nil"/>
              <w:bottom w:val="single" w:sz="4" w:space="0" w:color="auto"/>
              <w:right w:val="single" w:sz="4" w:space="0" w:color="auto"/>
            </w:tcBorders>
            <w:shd w:val="clear" w:color="auto" w:fill="auto"/>
            <w:noWrap/>
            <w:vAlign w:val="center"/>
            <w:hideMark/>
          </w:tcPr>
          <w:p w14:paraId="5334DD5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1.15</w:t>
            </w:r>
          </w:p>
        </w:tc>
        <w:tc>
          <w:tcPr>
            <w:tcW w:w="709" w:type="dxa"/>
            <w:tcBorders>
              <w:top w:val="nil"/>
              <w:left w:val="nil"/>
              <w:bottom w:val="single" w:sz="4" w:space="0" w:color="auto"/>
              <w:right w:val="single" w:sz="4" w:space="0" w:color="auto"/>
            </w:tcBorders>
            <w:shd w:val="clear" w:color="auto" w:fill="auto"/>
            <w:noWrap/>
            <w:vAlign w:val="center"/>
            <w:hideMark/>
          </w:tcPr>
          <w:p w14:paraId="2E1C1C7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0.98</w:t>
            </w:r>
          </w:p>
        </w:tc>
        <w:tc>
          <w:tcPr>
            <w:tcW w:w="709" w:type="dxa"/>
            <w:tcBorders>
              <w:top w:val="nil"/>
              <w:left w:val="nil"/>
              <w:bottom w:val="single" w:sz="4" w:space="0" w:color="auto"/>
              <w:right w:val="single" w:sz="4" w:space="0" w:color="auto"/>
            </w:tcBorders>
            <w:shd w:val="clear" w:color="auto" w:fill="auto"/>
            <w:noWrap/>
            <w:vAlign w:val="center"/>
            <w:hideMark/>
          </w:tcPr>
          <w:p w14:paraId="077D9EA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1.12</w:t>
            </w:r>
          </w:p>
        </w:tc>
        <w:tc>
          <w:tcPr>
            <w:tcW w:w="709" w:type="dxa"/>
            <w:tcBorders>
              <w:top w:val="nil"/>
              <w:left w:val="nil"/>
              <w:bottom w:val="single" w:sz="4" w:space="0" w:color="auto"/>
              <w:right w:val="single" w:sz="4" w:space="0" w:color="auto"/>
            </w:tcBorders>
            <w:shd w:val="clear" w:color="auto" w:fill="auto"/>
            <w:noWrap/>
            <w:vAlign w:val="center"/>
            <w:hideMark/>
          </w:tcPr>
          <w:p w14:paraId="793B81A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708" w:type="dxa"/>
            <w:tcBorders>
              <w:top w:val="nil"/>
              <w:left w:val="nil"/>
              <w:bottom w:val="single" w:sz="4" w:space="0" w:color="auto"/>
              <w:right w:val="single" w:sz="4" w:space="0" w:color="auto"/>
            </w:tcBorders>
            <w:shd w:val="clear" w:color="auto" w:fill="auto"/>
            <w:noWrap/>
            <w:vAlign w:val="center"/>
            <w:hideMark/>
          </w:tcPr>
          <w:p w14:paraId="7AEA6EA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c>
          <w:tcPr>
            <w:tcW w:w="1134" w:type="dxa"/>
            <w:tcBorders>
              <w:top w:val="nil"/>
              <w:left w:val="nil"/>
              <w:bottom w:val="single" w:sz="4" w:space="0" w:color="auto"/>
              <w:right w:val="single" w:sz="4" w:space="0" w:color="auto"/>
            </w:tcBorders>
            <w:shd w:val="clear" w:color="auto" w:fill="auto"/>
            <w:noWrap/>
            <w:vAlign w:val="center"/>
            <w:hideMark/>
          </w:tcPr>
          <w:p w14:paraId="0EA3444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1.19</w:t>
            </w:r>
          </w:p>
        </w:tc>
      </w:tr>
      <w:tr w:rsidR="001635CF" w:rsidRPr="00C91D7C" w14:paraId="52569CD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05EF683F"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4088" w:type="dxa"/>
            <w:tcBorders>
              <w:top w:val="nil"/>
              <w:left w:val="nil"/>
              <w:bottom w:val="single" w:sz="4" w:space="0" w:color="auto"/>
              <w:right w:val="single" w:sz="4" w:space="0" w:color="auto"/>
            </w:tcBorders>
            <w:shd w:val="clear" w:color="auto" w:fill="auto"/>
            <w:noWrap/>
            <w:vAlign w:val="bottom"/>
            <w:hideMark/>
          </w:tcPr>
          <w:p w14:paraId="4C7EDA3B"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709" w:type="dxa"/>
            <w:tcBorders>
              <w:top w:val="nil"/>
              <w:left w:val="nil"/>
              <w:bottom w:val="single" w:sz="4" w:space="0" w:color="auto"/>
              <w:right w:val="single" w:sz="4" w:space="0" w:color="auto"/>
            </w:tcBorders>
            <w:shd w:val="clear" w:color="auto" w:fill="auto"/>
            <w:noWrap/>
            <w:vAlign w:val="center"/>
            <w:hideMark/>
          </w:tcPr>
          <w:p w14:paraId="3986DCC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0.30</w:t>
            </w:r>
          </w:p>
        </w:tc>
        <w:tc>
          <w:tcPr>
            <w:tcW w:w="709" w:type="dxa"/>
            <w:tcBorders>
              <w:top w:val="nil"/>
              <w:left w:val="nil"/>
              <w:bottom w:val="single" w:sz="4" w:space="0" w:color="auto"/>
              <w:right w:val="single" w:sz="4" w:space="0" w:color="auto"/>
            </w:tcBorders>
            <w:shd w:val="clear" w:color="auto" w:fill="auto"/>
            <w:noWrap/>
            <w:vAlign w:val="center"/>
            <w:hideMark/>
          </w:tcPr>
          <w:p w14:paraId="05CFB15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0.50</w:t>
            </w:r>
          </w:p>
        </w:tc>
        <w:tc>
          <w:tcPr>
            <w:tcW w:w="708" w:type="dxa"/>
            <w:tcBorders>
              <w:top w:val="nil"/>
              <w:left w:val="nil"/>
              <w:bottom w:val="single" w:sz="4" w:space="0" w:color="auto"/>
              <w:right w:val="single" w:sz="4" w:space="0" w:color="auto"/>
            </w:tcBorders>
            <w:shd w:val="clear" w:color="auto" w:fill="auto"/>
            <w:noWrap/>
            <w:vAlign w:val="center"/>
            <w:hideMark/>
          </w:tcPr>
          <w:p w14:paraId="0BD3B05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0.88</w:t>
            </w:r>
          </w:p>
        </w:tc>
        <w:tc>
          <w:tcPr>
            <w:tcW w:w="709" w:type="dxa"/>
            <w:tcBorders>
              <w:top w:val="nil"/>
              <w:left w:val="nil"/>
              <w:bottom w:val="single" w:sz="4" w:space="0" w:color="auto"/>
              <w:right w:val="single" w:sz="4" w:space="0" w:color="auto"/>
            </w:tcBorders>
            <w:shd w:val="clear" w:color="auto" w:fill="auto"/>
            <w:noWrap/>
            <w:vAlign w:val="center"/>
            <w:hideMark/>
          </w:tcPr>
          <w:p w14:paraId="53211A5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0.86</w:t>
            </w:r>
          </w:p>
        </w:tc>
        <w:tc>
          <w:tcPr>
            <w:tcW w:w="709" w:type="dxa"/>
            <w:tcBorders>
              <w:top w:val="nil"/>
              <w:left w:val="nil"/>
              <w:bottom w:val="single" w:sz="4" w:space="0" w:color="auto"/>
              <w:right w:val="single" w:sz="4" w:space="0" w:color="auto"/>
            </w:tcBorders>
            <w:shd w:val="clear" w:color="auto" w:fill="auto"/>
            <w:noWrap/>
            <w:vAlign w:val="center"/>
            <w:hideMark/>
          </w:tcPr>
          <w:p w14:paraId="37FBD3B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0.79</w:t>
            </w:r>
          </w:p>
        </w:tc>
        <w:tc>
          <w:tcPr>
            <w:tcW w:w="709" w:type="dxa"/>
            <w:tcBorders>
              <w:top w:val="nil"/>
              <w:left w:val="nil"/>
              <w:bottom w:val="single" w:sz="4" w:space="0" w:color="auto"/>
              <w:right w:val="single" w:sz="4" w:space="0" w:color="auto"/>
            </w:tcBorders>
            <w:shd w:val="clear" w:color="auto" w:fill="auto"/>
            <w:noWrap/>
            <w:vAlign w:val="center"/>
            <w:hideMark/>
          </w:tcPr>
          <w:p w14:paraId="52F707F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0.91</w:t>
            </w:r>
          </w:p>
        </w:tc>
        <w:tc>
          <w:tcPr>
            <w:tcW w:w="708" w:type="dxa"/>
            <w:tcBorders>
              <w:top w:val="nil"/>
              <w:left w:val="nil"/>
              <w:bottom w:val="single" w:sz="4" w:space="0" w:color="auto"/>
              <w:right w:val="single" w:sz="4" w:space="0" w:color="auto"/>
            </w:tcBorders>
            <w:shd w:val="clear" w:color="auto" w:fill="auto"/>
            <w:noWrap/>
            <w:vAlign w:val="center"/>
            <w:hideMark/>
          </w:tcPr>
          <w:p w14:paraId="69F8CCA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0.87</w:t>
            </w:r>
          </w:p>
        </w:tc>
        <w:tc>
          <w:tcPr>
            <w:tcW w:w="709" w:type="dxa"/>
            <w:tcBorders>
              <w:top w:val="nil"/>
              <w:left w:val="nil"/>
              <w:bottom w:val="single" w:sz="4" w:space="0" w:color="auto"/>
              <w:right w:val="single" w:sz="4" w:space="0" w:color="auto"/>
            </w:tcBorders>
            <w:shd w:val="clear" w:color="auto" w:fill="auto"/>
            <w:noWrap/>
            <w:vAlign w:val="center"/>
            <w:hideMark/>
          </w:tcPr>
          <w:p w14:paraId="08CFA7D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709" w:type="dxa"/>
            <w:tcBorders>
              <w:top w:val="nil"/>
              <w:left w:val="nil"/>
              <w:bottom w:val="single" w:sz="4" w:space="0" w:color="auto"/>
              <w:right w:val="single" w:sz="4" w:space="0" w:color="auto"/>
            </w:tcBorders>
            <w:shd w:val="clear" w:color="auto" w:fill="auto"/>
            <w:noWrap/>
            <w:vAlign w:val="center"/>
            <w:hideMark/>
          </w:tcPr>
          <w:p w14:paraId="2166AB0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0.99</w:t>
            </w:r>
          </w:p>
        </w:tc>
        <w:tc>
          <w:tcPr>
            <w:tcW w:w="709" w:type="dxa"/>
            <w:tcBorders>
              <w:top w:val="nil"/>
              <w:left w:val="nil"/>
              <w:bottom w:val="single" w:sz="4" w:space="0" w:color="auto"/>
              <w:right w:val="single" w:sz="4" w:space="0" w:color="auto"/>
            </w:tcBorders>
            <w:shd w:val="clear" w:color="auto" w:fill="auto"/>
            <w:noWrap/>
            <w:vAlign w:val="center"/>
            <w:hideMark/>
          </w:tcPr>
          <w:p w14:paraId="7ABC607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1.30</w:t>
            </w:r>
          </w:p>
        </w:tc>
        <w:tc>
          <w:tcPr>
            <w:tcW w:w="708" w:type="dxa"/>
            <w:tcBorders>
              <w:top w:val="nil"/>
              <w:left w:val="nil"/>
              <w:bottom w:val="single" w:sz="4" w:space="0" w:color="auto"/>
              <w:right w:val="single" w:sz="4" w:space="0" w:color="auto"/>
            </w:tcBorders>
            <w:shd w:val="clear" w:color="auto" w:fill="auto"/>
            <w:noWrap/>
            <w:vAlign w:val="center"/>
            <w:hideMark/>
          </w:tcPr>
          <w:p w14:paraId="27CEB50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1.57</w:t>
            </w:r>
          </w:p>
        </w:tc>
        <w:tc>
          <w:tcPr>
            <w:tcW w:w="1134" w:type="dxa"/>
            <w:tcBorders>
              <w:top w:val="nil"/>
              <w:left w:val="nil"/>
              <w:bottom w:val="single" w:sz="4" w:space="0" w:color="auto"/>
              <w:right w:val="single" w:sz="4" w:space="0" w:color="auto"/>
            </w:tcBorders>
            <w:shd w:val="clear" w:color="auto" w:fill="auto"/>
            <w:noWrap/>
            <w:vAlign w:val="center"/>
            <w:hideMark/>
          </w:tcPr>
          <w:p w14:paraId="40031C0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0.93</w:t>
            </w:r>
          </w:p>
        </w:tc>
      </w:tr>
      <w:tr w:rsidR="001635CF" w:rsidRPr="00C91D7C" w14:paraId="6E893BAA"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5FCAF62F"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4088" w:type="dxa"/>
            <w:tcBorders>
              <w:top w:val="nil"/>
              <w:left w:val="nil"/>
              <w:bottom w:val="single" w:sz="4" w:space="0" w:color="auto"/>
              <w:right w:val="single" w:sz="4" w:space="0" w:color="auto"/>
            </w:tcBorders>
            <w:shd w:val="clear" w:color="auto" w:fill="auto"/>
            <w:noWrap/>
            <w:vAlign w:val="bottom"/>
            <w:hideMark/>
          </w:tcPr>
          <w:p w14:paraId="0853575F"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709" w:type="dxa"/>
            <w:tcBorders>
              <w:top w:val="nil"/>
              <w:left w:val="nil"/>
              <w:bottom w:val="single" w:sz="4" w:space="0" w:color="auto"/>
              <w:right w:val="single" w:sz="4" w:space="0" w:color="auto"/>
            </w:tcBorders>
            <w:shd w:val="clear" w:color="auto" w:fill="auto"/>
            <w:noWrap/>
            <w:vAlign w:val="center"/>
            <w:hideMark/>
          </w:tcPr>
          <w:p w14:paraId="004B996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1.57</w:t>
            </w:r>
          </w:p>
        </w:tc>
        <w:tc>
          <w:tcPr>
            <w:tcW w:w="709" w:type="dxa"/>
            <w:tcBorders>
              <w:top w:val="nil"/>
              <w:left w:val="nil"/>
              <w:bottom w:val="single" w:sz="4" w:space="0" w:color="auto"/>
              <w:right w:val="single" w:sz="4" w:space="0" w:color="auto"/>
            </w:tcBorders>
            <w:shd w:val="clear" w:color="auto" w:fill="auto"/>
            <w:noWrap/>
            <w:vAlign w:val="center"/>
            <w:hideMark/>
          </w:tcPr>
          <w:p w14:paraId="6F47C4C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1.09</w:t>
            </w:r>
          </w:p>
        </w:tc>
        <w:tc>
          <w:tcPr>
            <w:tcW w:w="708" w:type="dxa"/>
            <w:tcBorders>
              <w:top w:val="nil"/>
              <w:left w:val="nil"/>
              <w:bottom w:val="single" w:sz="4" w:space="0" w:color="auto"/>
              <w:right w:val="single" w:sz="4" w:space="0" w:color="auto"/>
            </w:tcBorders>
            <w:shd w:val="clear" w:color="auto" w:fill="auto"/>
            <w:noWrap/>
            <w:vAlign w:val="center"/>
            <w:hideMark/>
          </w:tcPr>
          <w:p w14:paraId="2F53E18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0.67</w:t>
            </w:r>
          </w:p>
        </w:tc>
        <w:tc>
          <w:tcPr>
            <w:tcW w:w="709" w:type="dxa"/>
            <w:tcBorders>
              <w:top w:val="nil"/>
              <w:left w:val="nil"/>
              <w:bottom w:val="single" w:sz="4" w:space="0" w:color="auto"/>
              <w:right w:val="single" w:sz="4" w:space="0" w:color="auto"/>
            </w:tcBorders>
            <w:shd w:val="clear" w:color="auto" w:fill="auto"/>
            <w:noWrap/>
            <w:vAlign w:val="center"/>
            <w:hideMark/>
          </w:tcPr>
          <w:p w14:paraId="3FFFCFE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0.63</w:t>
            </w:r>
          </w:p>
        </w:tc>
        <w:tc>
          <w:tcPr>
            <w:tcW w:w="709" w:type="dxa"/>
            <w:tcBorders>
              <w:top w:val="nil"/>
              <w:left w:val="nil"/>
              <w:bottom w:val="single" w:sz="4" w:space="0" w:color="auto"/>
              <w:right w:val="single" w:sz="4" w:space="0" w:color="auto"/>
            </w:tcBorders>
            <w:shd w:val="clear" w:color="auto" w:fill="auto"/>
            <w:noWrap/>
            <w:vAlign w:val="center"/>
            <w:hideMark/>
          </w:tcPr>
          <w:p w14:paraId="53D8E02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1.38</w:t>
            </w:r>
          </w:p>
        </w:tc>
        <w:tc>
          <w:tcPr>
            <w:tcW w:w="709" w:type="dxa"/>
            <w:tcBorders>
              <w:top w:val="nil"/>
              <w:left w:val="nil"/>
              <w:bottom w:val="single" w:sz="4" w:space="0" w:color="auto"/>
              <w:right w:val="single" w:sz="4" w:space="0" w:color="auto"/>
            </w:tcBorders>
            <w:shd w:val="clear" w:color="auto" w:fill="auto"/>
            <w:noWrap/>
            <w:vAlign w:val="center"/>
            <w:hideMark/>
          </w:tcPr>
          <w:p w14:paraId="421B702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1.76</w:t>
            </w:r>
          </w:p>
        </w:tc>
        <w:tc>
          <w:tcPr>
            <w:tcW w:w="708" w:type="dxa"/>
            <w:tcBorders>
              <w:top w:val="nil"/>
              <w:left w:val="nil"/>
              <w:bottom w:val="single" w:sz="4" w:space="0" w:color="auto"/>
              <w:right w:val="single" w:sz="4" w:space="0" w:color="auto"/>
            </w:tcBorders>
            <w:shd w:val="clear" w:color="auto" w:fill="auto"/>
            <w:noWrap/>
            <w:vAlign w:val="center"/>
            <w:hideMark/>
          </w:tcPr>
          <w:p w14:paraId="31AABFB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1.58</w:t>
            </w:r>
          </w:p>
        </w:tc>
        <w:tc>
          <w:tcPr>
            <w:tcW w:w="709" w:type="dxa"/>
            <w:tcBorders>
              <w:top w:val="nil"/>
              <w:left w:val="nil"/>
              <w:bottom w:val="single" w:sz="4" w:space="0" w:color="auto"/>
              <w:right w:val="single" w:sz="4" w:space="0" w:color="auto"/>
            </w:tcBorders>
            <w:shd w:val="clear" w:color="auto" w:fill="auto"/>
            <w:noWrap/>
            <w:vAlign w:val="center"/>
            <w:hideMark/>
          </w:tcPr>
          <w:p w14:paraId="7E8AB69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1.26</w:t>
            </w:r>
          </w:p>
        </w:tc>
        <w:tc>
          <w:tcPr>
            <w:tcW w:w="709" w:type="dxa"/>
            <w:tcBorders>
              <w:top w:val="nil"/>
              <w:left w:val="nil"/>
              <w:bottom w:val="single" w:sz="4" w:space="0" w:color="auto"/>
              <w:right w:val="single" w:sz="4" w:space="0" w:color="auto"/>
            </w:tcBorders>
            <w:shd w:val="clear" w:color="auto" w:fill="auto"/>
            <w:noWrap/>
            <w:vAlign w:val="center"/>
            <w:hideMark/>
          </w:tcPr>
          <w:p w14:paraId="2A8C6FA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1.75</w:t>
            </w:r>
          </w:p>
        </w:tc>
        <w:tc>
          <w:tcPr>
            <w:tcW w:w="709" w:type="dxa"/>
            <w:tcBorders>
              <w:top w:val="nil"/>
              <w:left w:val="nil"/>
              <w:bottom w:val="single" w:sz="4" w:space="0" w:color="auto"/>
              <w:right w:val="single" w:sz="4" w:space="0" w:color="auto"/>
            </w:tcBorders>
            <w:shd w:val="clear" w:color="auto" w:fill="auto"/>
            <w:noWrap/>
            <w:vAlign w:val="center"/>
            <w:hideMark/>
          </w:tcPr>
          <w:p w14:paraId="68A4A34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708" w:type="dxa"/>
            <w:tcBorders>
              <w:top w:val="nil"/>
              <w:left w:val="nil"/>
              <w:bottom w:val="single" w:sz="4" w:space="0" w:color="auto"/>
              <w:right w:val="single" w:sz="4" w:space="0" w:color="auto"/>
            </w:tcBorders>
            <w:shd w:val="clear" w:color="auto" w:fill="auto"/>
            <w:noWrap/>
            <w:vAlign w:val="center"/>
            <w:hideMark/>
          </w:tcPr>
          <w:p w14:paraId="0F1992F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0.94</w:t>
            </w:r>
          </w:p>
        </w:tc>
        <w:tc>
          <w:tcPr>
            <w:tcW w:w="1134" w:type="dxa"/>
            <w:tcBorders>
              <w:top w:val="nil"/>
              <w:left w:val="nil"/>
              <w:bottom w:val="single" w:sz="4" w:space="0" w:color="auto"/>
              <w:right w:val="single" w:sz="4" w:space="0" w:color="auto"/>
            </w:tcBorders>
            <w:shd w:val="clear" w:color="auto" w:fill="auto"/>
            <w:noWrap/>
            <w:vAlign w:val="center"/>
            <w:hideMark/>
          </w:tcPr>
          <w:p w14:paraId="63271CD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1.26</w:t>
            </w:r>
          </w:p>
        </w:tc>
      </w:tr>
      <w:tr w:rsidR="001635CF" w:rsidRPr="00C91D7C" w14:paraId="411704C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21C2DC60"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4088" w:type="dxa"/>
            <w:tcBorders>
              <w:top w:val="nil"/>
              <w:left w:val="nil"/>
              <w:bottom w:val="single" w:sz="4" w:space="0" w:color="auto"/>
              <w:right w:val="single" w:sz="4" w:space="0" w:color="auto"/>
            </w:tcBorders>
            <w:shd w:val="clear" w:color="auto" w:fill="auto"/>
            <w:noWrap/>
            <w:vAlign w:val="bottom"/>
            <w:hideMark/>
          </w:tcPr>
          <w:p w14:paraId="4B8D0CD7"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709" w:type="dxa"/>
            <w:tcBorders>
              <w:top w:val="nil"/>
              <w:left w:val="nil"/>
              <w:bottom w:val="single" w:sz="4" w:space="0" w:color="auto"/>
              <w:right w:val="single" w:sz="4" w:space="0" w:color="auto"/>
            </w:tcBorders>
            <w:shd w:val="clear" w:color="auto" w:fill="auto"/>
            <w:noWrap/>
            <w:vAlign w:val="center"/>
            <w:hideMark/>
          </w:tcPr>
          <w:p w14:paraId="7D32764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0.50</w:t>
            </w:r>
          </w:p>
        </w:tc>
        <w:tc>
          <w:tcPr>
            <w:tcW w:w="709" w:type="dxa"/>
            <w:tcBorders>
              <w:top w:val="nil"/>
              <w:left w:val="nil"/>
              <w:bottom w:val="single" w:sz="4" w:space="0" w:color="auto"/>
              <w:right w:val="single" w:sz="4" w:space="0" w:color="auto"/>
            </w:tcBorders>
            <w:shd w:val="clear" w:color="auto" w:fill="auto"/>
            <w:noWrap/>
            <w:vAlign w:val="center"/>
            <w:hideMark/>
          </w:tcPr>
          <w:p w14:paraId="13EFC03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0.39</w:t>
            </w:r>
          </w:p>
        </w:tc>
        <w:tc>
          <w:tcPr>
            <w:tcW w:w="708" w:type="dxa"/>
            <w:tcBorders>
              <w:top w:val="nil"/>
              <w:left w:val="nil"/>
              <w:bottom w:val="single" w:sz="4" w:space="0" w:color="auto"/>
              <w:right w:val="single" w:sz="4" w:space="0" w:color="auto"/>
            </w:tcBorders>
            <w:shd w:val="clear" w:color="auto" w:fill="auto"/>
            <w:noWrap/>
            <w:vAlign w:val="center"/>
            <w:hideMark/>
          </w:tcPr>
          <w:p w14:paraId="6FAE73D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0.28</w:t>
            </w:r>
          </w:p>
        </w:tc>
        <w:tc>
          <w:tcPr>
            <w:tcW w:w="709" w:type="dxa"/>
            <w:tcBorders>
              <w:top w:val="nil"/>
              <w:left w:val="nil"/>
              <w:bottom w:val="single" w:sz="4" w:space="0" w:color="auto"/>
              <w:right w:val="single" w:sz="4" w:space="0" w:color="auto"/>
            </w:tcBorders>
            <w:shd w:val="clear" w:color="auto" w:fill="auto"/>
            <w:noWrap/>
            <w:vAlign w:val="center"/>
            <w:hideMark/>
          </w:tcPr>
          <w:p w14:paraId="129E17B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0.31</w:t>
            </w:r>
          </w:p>
        </w:tc>
        <w:tc>
          <w:tcPr>
            <w:tcW w:w="709" w:type="dxa"/>
            <w:tcBorders>
              <w:top w:val="nil"/>
              <w:left w:val="nil"/>
              <w:bottom w:val="single" w:sz="4" w:space="0" w:color="auto"/>
              <w:right w:val="single" w:sz="4" w:space="0" w:color="auto"/>
            </w:tcBorders>
            <w:shd w:val="clear" w:color="auto" w:fill="auto"/>
            <w:noWrap/>
            <w:vAlign w:val="center"/>
            <w:hideMark/>
          </w:tcPr>
          <w:p w14:paraId="56003B1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0.30</w:t>
            </w:r>
          </w:p>
        </w:tc>
        <w:tc>
          <w:tcPr>
            <w:tcW w:w="709" w:type="dxa"/>
            <w:tcBorders>
              <w:top w:val="nil"/>
              <w:left w:val="nil"/>
              <w:bottom w:val="single" w:sz="4" w:space="0" w:color="auto"/>
              <w:right w:val="single" w:sz="4" w:space="0" w:color="auto"/>
            </w:tcBorders>
            <w:shd w:val="clear" w:color="auto" w:fill="auto"/>
            <w:noWrap/>
            <w:vAlign w:val="center"/>
            <w:hideMark/>
          </w:tcPr>
          <w:p w14:paraId="61E8C8D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0.27</w:t>
            </w:r>
          </w:p>
        </w:tc>
        <w:tc>
          <w:tcPr>
            <w:tcW w:w="708" w:type="dxa"/>
            <w:tcBorders>
              <w:top w:val="nil"/>
              <w:left w:val="nil"/>
              <w:bottom w:val="single" w:sz="4" w:space="0" w:color="auto"/>
              <w:right w:val="single" w:sz="4" w:space="0" w:color="auto"/>
            </w:tcBorders>
            <w:shd w:val="clear" w:color="auto" w:fill="auto"/>
            <w:noWrap/>
            <w:vAlign w:val="center"/>
            <w:hideMark/>
          </w:tcPr>
          <w:p w14:paraId="3A6E8D6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709" w:type="dxa"/>
            <w:tcBorders>
              <w:top w:val="nil"/>
              <w:left w:val="nil"/>
              <w:bottom w:val="single" w:sz="4" w:space="0" w:color="auto"/>
              <w:right w:val="single" w:sz="4" w:space="0" w:color="auto"/>
            </w:tcBorders>
            <w:shd w:val="clear" w:color="auto" w:fill="auto"/>
            <w:noWrap/>
            <w:vAlign w:val="center"/>
            <w:hideMark/>
          </w:tcPr>
          <w:p w14:paraId="3E331DA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0.92</w:t>
            </w:r>
          </w:p>
        </w:tc>
        <w:tc>
          <w:tcPr>
            <w:tcW w:w="709" w:type="dxa"/>
            <w:tcBorders>
              <w:top w:val="nil"/>
              <w:left w:val="nil"/>
              <w:bottom w:val="single" w:sz="4" w:space="0" w:color="auto"/>
              <w:right w:val="single" w:sz="4" w:space="0" w:color="auto"/>
            </w:tcBorders>
            <w:shd w:val="clear" w:color="auto" w:fill="auto"/>
            <w:noWrap/>
            <w:vAlign w:val="center"/>
            <w:hideMark/>
          </w:tcPr>
          <w:p w14:paraId="4A047D5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0.17</w:t>
            </w:r>
          </w:p>
        </w:tc>
        <w:tc>
          <w:tcPr>
            <w:tcW w:w="709" w:type="dxa"/>
            <w:tcBorders>
              <w:top w:val="nil"/>
              <w:left w:val="nil"/>
              <w:bottom w:val="single" w:sz="4" w:space="0" w:color="auto"/>
              <w:right w:val="single" w:sz="4" w:space="0" w:color="auto"/>
            </w:tcBorders>
            <w:shd w:val="clear" w:color="auto" w:fill="auto"/>
            <w:noWrap/>
            <w:vAlign w:val="center"/>
            <w:hideMark/>
          </w:tcPr>
          <w:p w14:paraId="2949098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0.10</w:t>
            </w:r>
          </w:p>
        </w:tc>
        <w:tc>
          <w:tcPr>
            <w:tcW w:w="708" w:type="dxa"/>
            <w:tcBorders>
              <w:top w:val="nil"/>
              <w:left w:val="nil"/>
              <w:bottom w:val="single" w:sz="4" w:space="0" w:color="auto"/>
              <w:right w:val="single" w:sz="4" w:space="0" w:color="auto"/>
            </w:tcBorders>
            <w:shd w:val="clear" w:color="auto" w:fill="auto"/>
            <w:noWrap/>
            <w:vAlign w:val="center"/>
            <w:hideMark/>
          </w:tcPr>
          <w:p w14:paraId="71FF969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0.22</w:t>
            </w:r>
          </w:p>
        </w:tc>
        <w:tc>
          <w:tcPr>
            <w:tcW w:w="1134" w:type="dxa"/>
            <w:tcBorders>
              <w:top w:val="nil"/>
              <w:left w:val="nil"/>
              <w:bottom w:val="single" w:sz="4" w:space="0" w:color="auto"/>
              <w:right w:val="single" w:sz="4" w:space="0" w:color="auto"/>
            </w:tcBorders>
            <w:shd w:val="clear" w:color="auto" w:fill="auto"/>
            <w:noWrap/>
            <w:vAlign w:val="center"/>
            <w:hideMark/>
          </w:tcPr>
          <w:p w14:paraId="75405C0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0.33</w:t>
            </w:r>
          </w:p>
        </w:tc>
      </w:tr>
      <w:tr w:rsidR="001635CF" w:rsidRPr="00C91D7C" w14:paraId="02D72A0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2B1E5155"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4088" w:type="dxa"/>
            <w:tcBorders>
              <w:top w:val="nil"/>
              <w:left w:val="nil"/>
              <w:bottom w:val="single" w:sz="4" w:space="0" w:color="auto"/>
              <w:right w:val="single" w:sz="4" w:space="0" w:color="auto"/>
            </w:tcBorders>
            <w:shd w:val="clear" w:color="auto" w:fill="auto"/>
            <w:noWrap/>
            <w:vAlign w:val="bottom"/>
            <w:hideMark/>
          </w:tcPr>
          <w:p w14:paraId="4522EEF6"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709" w:type="dxa"/>
            <w:tcBorders>
              <w:top w:val="nil"/>
              <w:left w:val="nil"/>
              <w:bottom w:val="single" w:sz="4" w:space="0" w:color="auto"/>
              <w:right w:val="single" w:sz="4" w:space="0" w:color="auto"/>
            </w:tcBorders>
            <w:shd w:val="clear" w:color="auto" w:fill="auto"/>
            <w:noWrap/>
            <w:vAlign w:val="center"/>
            <w:hideMark/>
          </w:tcPr>
          <w:p w14:paraId="68363F5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0.62</w:t>
            </w:r>
          </w:p>
        </w:tc>
        <w:tc>
          <w:tcPr>
            <w:tcW w:w="709" w:type="dxa"/>
            <w:tcBorders>
              <w:top w:val="nil"/>
              <w:left w:val="nil"/>
              <w:bottom w:val="single" w:sz="4" w:space="0" w:color="auto"/>
              <w:right w:val="single" w:sz="4" w:space="0" w:color="auto"/>
            </w:tcBorders>
            <w:shd w:val="clear" w:color="auto" w:fill="auto"/>
            <w:noWrap/>
            <w:vAlign w:val="center"/>
            <w:hideMark/>
          </w:tcPr>
          <w:p w14:paraId="0428BCA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0.43</w:t>
            </w:r>
          </w:p>
        </w:tc>
        <w:tc>
          <w:tcPr>
            <w:tcW w:w="708" w:type="dxa"/>
            <w:tcBorders>
              <w:top w:val="nil"/>
              <w:left w:val="nil"/>
              <w:bottom w:val="single" w:sz="4" w:space="0" w:color="auto"/>
              <w:right w:val="single" w:sz="4" w:space="0" w:color="auto"/>
            </w:tcBorders>
            <w:shd w:val="clear" w:color="auto" w:fill="auto"/>
            <w:noWrap/>
            <w:vAlign w:val="center"/>
            <w:hideMark/>
          </w:tcPr>
          <w:p w14:paraId="29D9460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0.61</w:t>
            </w:r>
          </w:p>
        </w:tc>
        <w:tc>
          <w:tcPr>
            <w:tcW w:w="709" w:type="dxa"/>
            <w:tcBorders>
              <w:top w:val="nil"/>
              <w:left w:val="nil"/>
              <w:bottom w:val="single" w:sz="4" w:space="0" w:color="auto"/>
              <w:right w:val="single" w:sz="4" w:space="0" w:color="auto"/>
            </w:tcBorders>
            <w:shd w:val="clear" w:color="auto" w:fill="auto"/>
            <w:noWrap/>
            <w:vAlign w:val="center"/>
            <w:hideMark/>
          </w:tcPr>
          <w:p w14:paraId="0F6056B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0.50</w:t>
            </w:r>
          </w:p>
        </w:tc>
        <w:tc>
          <w:tcPr>
            <w:tcW w:w="709" w:type="dxa"/>
            <w:tcBorders>
              <w:top w:val="nil"/>
              <w:left w:val="nil"/>
              <w:bottom w:val="single" w:sz="4" w:space="0" w:color="auto"/>
              <w:right w:val="single" w:sz="4" w:space="0" w:color="auto"/>
            </w:tcBorders>
            <w:shd w:val="clear" w:color="auto" w:fill="auto"/>
            <w:noWrap/>
            <w:vAlign w:val="center"/>
            <w:hideMark/>
          </w:tcPr>
          <w:p w14:paraId="7DEB214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0.38</w:t>
            </w:r>
          </w:p>
        </w:tc>
        <w:tc>
          <w:tcPr>
            <w:tcW w:w="709" w:type="dxa"/>
            <w:tcBorders>
              <w:top w:val="nil"/>
              <w:left w:val="nil"/>
              <w:bottom w:val="single" w:sz="4" w:space="0" w:color="auto"/>
              <w:right w:val="single" w:sz="4" w:space="0" w:color="auto"/>
            </w:tcBorders>
            <w:shd w:val="clear" w:color="auto" w:fill="auto"/>
            <w:noWrap/>
            <w:vAlign w:val="center"/>
            <w:hideMark/>
          </w:tcPr>
          <w:p w14:paraId="4067FA6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0.32</w:t>
            </w:r>
          </w:p>
        </w:tc>
        <w:tc>
          <w:tcPr>
            <w:tcW w:w="708" w:type="dxa"/>
            <w:tcBorders>
              <w:top w:val="nil"/>
              <w:left w:val="nil"/>
              <w:bottom w:val="single" w:sz="4" w:space="0" w:color="auto"/>
              <w:right w:val="single" w:sz="4" w:space="0" w:color="auto"/>
            </w:tcBorders>
            <w:shd w:val="clear" w:color="auto" w:fill="auto"/>
            <w:noWrap/>
            <w:vAlign w:val="center"/>
            <w:hideMark/>
          </w:tcPr>
          <w:p w14:paraId="6FFF27C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0.40</w:t>
            </w:r>
          </w:p>
        </w:tc>
        <w:tc>
          <w:tcPr>
            <w:tcW w:w="709" w:type="dxa"/>
            <w:tcBorders>
              <w:top w:val="nil"/>
              <w:left w:val="nil"/>
              <w:bottom w:val="single" w:sz="4" w:space="0" w:color="auto"/>
              <w:right w:val="single" w:sz="4" w:space="0" w:color="auto"/>
            </w:tcBorders>
            <w:shd w:val="clear" w:color="auto" w:fill="auto"/>
            <w:noWrap/>
            <w:vAlign w:val="center"/>
            <w:hideMark/>
          </w:tcPr>
          <w:p w14:paraId="2AA6B52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0.52</w:t>
            </w:r>
          </w:p>
        </w:tc>
        <w:tc>
          <w:tcPr>
            <w:tcW w:w="709" w:type="dxa"/>
            <w:tcBorders>
              <w:top w:val="nil"/>
              <w:left w:val="nil"/>
              <w:bottom w:val="single" w:sz="4" w:space="0" w:color="auto"/>
              <w:right w:val="single" w:sz="4" w:space="0" w:color="auto"/>
            </w:tcBorders>
            <w:shd w:val="clear" w:color="auto" w:fill="auto"/>
            <w:noWrap/>
            <w:vAlign w:val="center"/>
            <w:hideMark/>
          </w:tcPr>
          <w:p w14:paraId="588025F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0.41</w:t>
            </w:r>
          </w:p>
        </w:tc>
        <w:tc>
          <w:tcPr>
            <w:tcW w:w="709" w:type="dxa"/>
            <w:tcBorders>
              <w:top w:val="nil"/>
              <w:left w:val="nil"/>
              <w:bottom w:val="single" w:sz="4" w:space="0" w:color="auto"/>
              <w:right w:val="single" w:sz="4" w:space="0" w:color="auto"/>
            </w:tcBorders>
            <w:shd w:val="clear" w:color="auto" w:fill="auto"/>
            <w:noWrap/>
            <w:vAlign w:val="center"/>
            <w:hideMark/>
          </w:tcPr>
          <w:p w14:paraId="473DEA5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0.37</w:t>
            </w:r>
          </w:p>
        </w:tc>
        <w:tc>
          <w:tcPr>
            <w:tcW w:w="708" w:type="dxa"/>
            <w:tcBorders>
              <w:top w:val="nil"/>
              <w:left w:val="nil"/>
              <w:bottom w:val="single" w:sz="4" w:space="0" w:color="auto"/>
              <w:right w:val="single" w:sz="4" w:space="0" w:color="auto"/>
            </w:tcBorders>
            <w:shd w:val="clear" w:color="auto" w:fill="auto"/>
            <w:noWrap/>
            <w:vAlign w:val="center"/>
            <w:hideMark/>
          </w:tcPr>
          <w:p w14:paraId="2D541BD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0EBCFA3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0.44</w:t>
            </w:r>
          </w:p>
        </w:tc>
      </w:tr>
      <w:tr w:rsidR="001635CF" w:rsidRPr="00C91D7C" w14:paraId="31677038"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13733A0A"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4088" w:type="dxa"/>
            <w:tcBorders>
              <w:top w:val="nil"/>
              <w:left w:val="nil"/>
              <w:bottom w:val="single" w:sz="4" w:space="0" w:color="auto"/>
              <w:right w:val="single" w:sz="4" w:space="0" w:color="auto"/>
            </w:tcBorders>
            <w:shd w:val="clear" w:color="auto" w:fill="auto"/>
            <w:noWrap/>
            <w:vAlign w:val="bottom"/>
            <w:hideMark/>
          </w:tcPr>
          <w:p w14:paraId="468644A9"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709" w:type="dxa"/>
            <w:tcBorders>
              <w:top w:val="nil"/>
              <w:left w:val="nil"/>
              <w:bottom w:val="single" w:sz="4" w:space="0" w:color="auto"/>
              <w:right w:val="single" w:sz="4" w:space="0" w:color="auto"/>
            </w:tcBorders>
            <w:shd w:val="clear" w:color="auto" w:fill="auto"/>
            <w:noWrap/>
            <w:vAlign w:val="center"/>
            <w:hideMark/>
          </w:tcPr>
          <w:p w14:paraId="2804ECA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0.22</w:t>
            </w:r>
          </w:p>
        </w:tc>
        <w:tc>
          <w:tcPr>
            <w:tcW w:w="709" w:type="dxa"/>
            <w:tcBorders>
              <w:top w:val="nil"/>
              <w:left w:val="nil"/>
              <w:bottom w:val="single" w:sz="4" w:space="0" w:color="auto"/>
              <w:right w:val="single" w:sz="4" w:space="0" w:color="auto"/>
            </w:tcBorders>
            <w:shd w:val="clear" w:color="auto" w:fill="auto"/>
            <w:noWrap/>
            <w:vAlign w:val="center"/>
            <w:hideMark/>
          </w:tcPr>
          <w:p w14:paraId="5FF678C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w:t>
            </w:r>
          </w:p>
        </w:tc>
        <w:tc>
          <w:tcPr>
            <w:tcW w:w="708" w:type="dxa"/>
            <w:tcBorders>
              <w:top w:val="nil"/>
              <w:left w:val="nil"/>
              <w:bottom w:val="single" w:sz="4" w:space="0" w:color="auto"/>
              <w:right w:val="single" w:sz="4" w:space="0" w:color="auto"/>
            </w:tcBorders>
            <w:shd w:val="clear" w:color="auto" w:fill="auto"/>
            <w:noWrap/>
            <w:vAlign w:val="center"/>
            <w:hideMark/>
          </w:tcPr>
          <w:p w14:paraId="0D85905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0.09</w:t>
            </w:r>
          </w:p>
        </w:tc>
        <w:tc>
          <w:tcPr>
            <w:tcW w:w="709" w:type="dxa"/>
            <w:tcBorders>
              <w:top w:val="nil"/>
              <w:left w:val="nil"/>
              <w:bottom w:val="single" w:sz="4" w:space="0" w:color="auto"/>
              <w:right w:val="single" w:sz="4" w:space="0" w:color="auto"/>
            </w:tcBorders>
            <w:shd w:val="clear" w:color="auto" w:fill="auto"/>
            <w:noWrap/>
            <w:vAlign w:val="center"/>
            <w:hideMark/>
          </w:tcPr>
          <w:p w14:paraId="5800209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0.22</w:t>
            </w:r>
          </w:p>
        </w:tc>
        <w:tc>
          <w:tcPr>
            <w:tcW w:w="709" w:type="dxa"/>
            <w:tcBorders>
              <w:top w:val="nil"/>
              <w:left w:val="nil"/>
              <w:bottom w:val="single" w:sz="4" w:space="0" w:color="auto"/>
              <w:right w:val="single" w:sz="4" w:space="0" w:color="auto"/>
            </w:tcBorders>
            <w:shd w:val="clear" w:color="auto" w:fill="auto"/>
            <w:noWrap/>
            <w:vAlign w:val="center"/>
            <w:hideMark/>
          </w:tcPr>
          <w:p w14:paraId="17EF34C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709" w:type="dxa"/>
            <w:tcBorders>
              <w:top w:val="nil"/>
              <w:left w:val="nil"/>
              <w:bottom w:val="single" w:sz="4" w:space="0" w:color="auto"/>
              <w:right w:val="single" w:sz="4" w:space="0" w:color="auto"/>
            </w:tcBorders>
            <w:shd w:val="clear" w:color="auto" w:fill="auto"/>
            <w:noWrap/>
            <w:vAlign w:val="center"/>
            <w:hideMark/>
          </w:tcPr>
          <w:p w14:paraId="4EC8435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0.10</w:t>
            </w:r>
          </w:p>
        </w:tc>
        <w:tc>
          <w:tcPr>
            <w:tcW w:w="708" w:type="dxa"/>
            <w:tcBorders>
              <w:top w:val="nil"/>
              <w:left w:val="nil"/>
              <w:bottom w:val="single" w:sz="4" w:space="0" w:color="auto"/>
              <w:right w:val="single" w:sz="4" w:space="0" w:color="auto"/>
            </w:tcBorders>
            <w:shd w:val="clear" w:color="auto" w:fill="auto"/>
            <w:noWrap/>
            <w:vAlign w:val="center"/>
            <w:hideMark/>
          </w:tcPr>
          <w:p w14:paraId="73CBDE9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0.07</w:t>
            </w:r>
          </w:p>
        </w:tc>
        <w:tc>
          <w:tcPr>
            <w:tcW w:w="709" w:type="dxa"/>
            <w:tcBorders>
              <w:top w:val="nil"/>
              <w:left w:val="nil"/>
              <w:bottom w:val="single" w:sz="4" w:space="0" w:color="auto"/>
              <w:right w:val="single" w:sz="4" w:space="0" w:color="auto"/>
            </w:tcBorders>
            <w:shd w:val="clear" w:color="auto" w:fill="auto"/>
            <w:noWrap/>
            <w:vAlign w:val="center"/>
            <w:hideMark/>
          </w:tcPr>
          <w:p w14:paraId="6F26D7A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0.12</w:t>
            </w:r>
          </w:p>
        </w:tc>
        <w:tc>
          <w:tcPr>
            <w:tcW w:w="709" w:type="dxa"/>
            <w:tcBorders>
              <w:top w:val="nil"/>
              <w:left w:val="nil"/>
              <w:bottom w:val="single" w:sz="4" w:space="0" w:color="auto"/>
              <w:right w:val="single" w:sz="4" w:space="0" w:color="auto"/>
            </w:tcBorders>
            <w:shd w:val="clear" w:color="auto" w:fill="auto"/>
            <w:noWrap/>
            <w:vAlign w:val="center"/>
            <w:hideMark/>
          </w:tcPr>
          <w:p w14:paraId="402B7C6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0.05</w:t>
            </w:r>
          </w:p>
        </w:tc>
        <w:tc>
          <w:tcPr>
            <w:tcW w:w="709" w:type="dxa"/>
            <w:tcBorders>
              <w:top w:val="nil"/>
              <w:left w:val="nil"/>
              <w:bottom w:val="single" w:sz="4" w:space="0" w:color="auto"/>
              <w:right w:val="single" w:sz="4" w:space="0" w:color="auto"/>
            </w:tcBorders>
            <w:shd w:val="clear" w:color="auto" w:fill="auto"/>
            <w:noWrap/>
            <w:vAlign w:val="center"/>
            <w:hideMark/>
          </w:tcPr>
          <w:p w14:paraId="5F51574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0.05</w:t>
            </w:r>
          </w:p>
        </w:tc>
        <w:tc>
          <w:tcPr>
            <w:tcW w:w="708" w:type="dxa"/>
            <w:tcBorders>
              <w:top w:val="nil"/>
              <w:left w:val="nil"/>
              <w:bottom w:val="single" w:sz="4" w:space="0" w:color="auto"/>
              <w:right w:val="single" w:sz="4" w:space="0" w:color="auto"/>
            </w:tcBorders>
            <w:shd w:val="clear" w:color="auto" w:fill="auto"/>
            <w:noWrap/>
            <w:vAlign w:val="center"/>
            <w:hideMark/>
          </w:tcPr>
          <w:p w14:paraId="4E8F594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6C5FC72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0.14</w:t>
            </w:r>
          </w:p>
        </w:tc>
      </w:tr>
      <w:tr w:rsidR="001635CF" w:rsidRPr="00C91D7C" w14:paraId="6F85A7F5"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6848DA66"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4088" w:type="dxa"/>
            <w:tcBorders>
              <w:top w:val="nil"/>
              <w:left w:val="nil"/>
              <w:bottom w:val="single" w:sz="4" w:space="0" w:color="auto"/>
              <w:right w:val="single" w:sz="4" w:space="0" w:color="auto"/>
            </w:tcBorders>
            <w:shd w:val="clear" w:color="auto" w:fill="auto"/>
            <w:noWrap/>
            <w:vAlign w:val="bottom"/>
            <w:hideMark/>
          </w:tcPr>
          <w:p w14:paraId="4DEF74E3"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709" w:type="dxa"/>
            <w:tcBorders>
              <w:top w:val="nil"/>
              <w:left w:val="nil"/>
              <w:bottom w:val="single" w:sz="4" w:space="0" w:color="auto"/>
              <w:right w:val="single" w:sz="4" w:space="0" w:color="auto"/>
            </w:tcBorders>
            <w:shd w:val="clear" w:color="auto" w:fill="auto"/>
            <w:noWrap/>
            <w:vAlign w:val="center"/>
            <w:hideMark/>
          </w:tcPr>
          <w:p w14:paraId="76640FA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709" w:type="dxa"/>
            <w:tcBorders>
              <w:top w:val="nil"/>
              <w:left w:val="nil"/>
              <w:bottom w:val="single" w:sz="4" w:space="0" w:color="auto"/>
              <w:right w:val="single" w:sz="4" w:space="0" w:color="auto"/>
            </w:tcBorders>
            <w:shd w:val="clear" w:color="auto" w:fill="auto"/>
            <w:noWrap/>
            <w:vAlign w:val="center"/>
            <w:hideMark/>
          </w:tcPr>
          <w:p w14:paraId="77B8E4F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0.24</w:t>
            </w:r>
          </w:p>
        </w:tc>
        <w:tc>
          <w:tcPr>
            <w:tcW w:w="708" w:type="dxa"/>
            <w:tcBorders>
              <w:top w:val="nil"/>
              <w:left w:val="nil"/>
              <w:bottom w:val="single" w:sz="4" w:space="0" w:color="auto"/>
              <w:right w:val="single" w:sz="4" w:space="0" w:color="auto"/>
            </w:tcBorders>
            <w:shd w:val="clear" w:color="auto" w:fill="auto"/>
            <w:noWrap/>
            <w:vAlign w:val="center"/>
            <w:hideMark/>
          </w:tcPr>
          <w:p w14:paraId="0B3592A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0.29</w:t>
            </w:r>
          </w:p>
        </w:tc>
        <w:tc>
          <w:tcPr>
            <w:tcW w:w="709" w:type="dxa"/>
            <w:tcBorders>
              <w:top w:val="nil"/>
              <w:left w:val="nil"/>
              <w:bottom w:val="single" w:sz="4" w:space="0" w:color="auto"/>
              <w:right w:val="single" w:sz="4" w:space="0" w:color="auto"/>
            </w:tcBorders>
            <w:shd w:val="clear" w:color="auto" w:fill="auto"/>
            <w:noWrap/>
            <w:vAlign w:val="center"/>
            <w:hideMark/>
          </w:tcPr>
          <w:p w14:paraId="2147FB4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0.12</w:t>
            </w:r>
          </w:p>
        </w:tc>
        <w:tc>
          <w:tcPr>
            <w:tcW w:w="709" w:type="dxa"/>
            <w:tcBorders>
              <w:top w:val="nil"/>
              <w:left w:val="nil"/>
              <w:bottom w:val="single" w:sz="4" w:space="0" w:color="auto"/>
              <w:right w:val="single" w:sz="4" w:space="0" w:color="auto"/>
            </w:tcBorders>
            <w:shd w:val="clear" w:color="auto" w:fill="auto"/>
            <w:noWrap/>
            <w:vAlign w:val="center"/>
            <w:hideMark/>
          </w:tcPr>
          <w:p w14:paraId="618031E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w:t>
            </w:r>
          </w:p>
        </w:tc>
        <w:tc>
          <w:tcPr>
            <w:tcW w:w="709" w:type="dxa"/>
            <w:tcBorders>
              <w:top w:val="nil"/>
              <w:left w:val="nil"/>
              <w:bottom w:val="single" w:sz="4" w:space="0" w:color="auto"/>
              <w:right w:val="single" w:sz="4" w:space="0" w:color="auto"/>
            </w:tcBorders>
            <w:shd w:val="clear" w:color="auto" w:fill="auto"/>
            <w:noWrap/>
            <w:vAlign w:val="center"/>
            <w:hideMark/>
          </w:tcPr>
          <w:p w14:paraId="0E084E7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0.08</w:t>
            </w:r>
          </w:p>
        </w:tc>
        <w:tc>
          <w:tcPr>
            <w:tcW w:w="708" w:type="dxa"/>
            <w:tcBorders>
              <w:top w:val="nil"/>
              <w:left w:val="nil"/>
              <w:bottom w:val="single" w:sz="4" w:space="0" w:color="auto"/>
              <w:right w:val="single" w:sz="4" w:space="0" w:color="auto"/>
            </w:tcBorders>
            <w:shd w:val="clear" w:color="auto" w:fill="auto"/>
            <w:noWrap/>
            <w:vAlign w:val="center"/>
            <w:hideMark/>
          </w:tcPr>
          <w:p w14:paraId="6FB68D8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709" w:type="dxa"/>
            <w:tcBorders>
              <w:top w:val="nil"/>
              <w:left w:val="nil"/>
              <w:bottom w:val="single" w:sz="4" w:space="0" w:color="auto"/>
              <w:right w:val="single" w:sz="4" w:space="0" w:color="auto"/>
            </w:tcBorders>
            <w:shd w:val="clear" w:color="auto" w:fill="auto"/>
            <w:noWrap/>
            <w:vAlign w:val="center"/>
            <w:hideMark/>
          </w:tcPr>
          <w:p w14:paraId="4961837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w:t>
            </w:r>
          </w:p>
        </w:tc>
        <w:tc>
          <w:tcPr>
            <w:tcW w:w="709" w:type="dxa"/>
            <w:tcBorders>
              <w:top w:val="nil"/>
              <w:left w:val="nil"/>
              <w:bottom w:val="single" w:sz="4" w:space="0" w:color="auto"/>
              <w:right w:val="single" w:sz="4" w:space="0" w:color="auto"/>
            </w:tcBorders>
            <w:shd w:val="clear" w:color="auto" w:fill="auto"/>
            <w:noWrap/>
            <w:vAlign w:val="center"/>
            <w:hideMark/>
          </w:tcPr>
          <w:p w14:paraId="3CFE127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709" w:type="dxa"/>
            <w:tcBorders>
              <w:top w:val="nil"/>
              <w:left w:val="nil"/>
              <w:bottom w:val="single" w:sz="4" w:space="0" w:color="auto"/>
              <w:right w:val="single" w:sz="4" w:space="0" w:color="auto"/>
            </w:tcBorders>
            <w:shd w:val="clear" w:color="auto" w:fill="auto"/>
            <w:noWrap/>
            <w:vAlign w:val="center"/>
            <w:hideMark/>
          </w:tcPr>
          <w:p w14:paraId="7A17916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0.14</w:t>
            </w:r>
          </w:p>
        </w:tc>
        <w:tc>
          <w:tcPr>
            <w:tcW w:w="708" w:type="dxa"/>
            <w:tcBorders>
              <w:top w:val="nil"/>
              <w:left w:val="nil"/>
              <w:bottom w:val="single" w:sz="4" w:space="0" w:color="auto"/>
              <w:right w:val="single" w:sz="4" w:space="0" w:color="auto"/>
            </w:tcBorders>
            <w:shd w:val="clear" w:color="auto" w:fill="auto"/>
            <w:noWrap/>
            <w:vAlign w:val="center"/>
            <w:hideMark/>
          </w:tcPr>
          <w:p w14:paraId="753240B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1.31</w:t>
            </w:r>
          </w:p>
        </w:tc>
        <w:tc>
          <w:tcPr>
            <w:tcW w:w="1134" w:type="dxa"/>
            <w:tcBorders>
              <w:top w:val="nil"/>
              <w:left w:val="nil"/>
              <w:bottom w:val="single" w:sz="4" w:space="0" w:color="auto"/>
              <w:right w:val="single" w:sz="4" w:space="0" w:color="auto"/>
            </w:tcBorders>
            <w:shd w:val="clear" w:color="auto" w:fill="auto"/>
            <w:noWrap/>
            <w:vAlign w:val="center"/>
            <w:hideMark/>
          </w:tcPr>
          <w:p w14:paraId="23EA532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0.27</w:t>
            </w:r>
          </w:p>
        </w:tc>
      </w:tr>
      <w:tr w:rsidR="001635CF" w:rsidRPr="00C91D7C" w14:paraId="22ECD73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75894E33"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4088" w:type="dxa"/>
            <w:tcBorders>
              <w:top w:val="nil"/>
              <w:left w:val="nil"/>
              <w:bottom w:val="single" w:sz="4" w:space="0" w:color="auto"/>
              <w:right w:val="single" w:sz="4" w:space="0" w:color="auto"/>
            </w:tcBorders>
            <w:shd w:val="clear" w:color="auto" w:fill="auto"/>
            <w:noWrap/>
            <w:vAlign w:val="bottom"/>
            <w:hideMark/>
          </w:tcPr>
          <w:p w14:paraId="2F89DF75"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709" w:type="dxa"/>
            <w:tcBorders>
              <w:top w:val="nil"/>
              <w:left w:val="nil"/>
              <w:bottom w:val="single" w:sz="4" w:space="0" w:color="auto"/>
              <w:right w:val="single" w:sz="4" w:space="0" w:color="auto"/>
            </w:tcBorders>
            <w:shd w:val="clear" w:color="auto" w:fill="auto"/>
            <w:noWrap/>
            <w:vAlign w:val="center"/>
            <w:hideMark/>
          </w:tcPr>
          <w:p w14:paraId="574E58C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0.71</w:t>
            </w:r>
          </w:p>
        </w:tc>
        <w:tc>
          <w:tcPr>
            <w:tcW w:w="709" w:type="dxa"/>
            <w:tcBorders>
              <w:top w:val="nil"/>
              <w:left w:val="nil"/>
              <w:bottom w:val="single" w:sz="4" w:space="0" w:color="auto"/>
              <w:right w:val="single" w:sz="4" w:space="0" w:color="auto"/>
            </w:tcBorders>
            <w:shd w:val="clear" w:color="auto" w:fill="auto"/>
            <w:noWrap/>
            <w:vAlign w:val="center"/>
            <w:hideMark/>
          </w:tcPr>
          <w:p w14:paraId="73AFC85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0.47</w:t>
            </w:r>
          </w:p>
        </w:tc>
        <w:tc>
          <w:tcPr>
            <w:tcW w:w="708" w:type="dxa"/>
            <w:tcBorders>
              <w:top w:val="nil"/>
              <w:left w:val="nil"/>
              <w:bottom w:val="single" w:sz="4" w:space="0" w:color="auto"/>
              <w:right w:val="single" w:sz="4" w:space="0" w:color="auto"/>
            </w:tcBorders>
            <w:shd w:val="clear" w:color="auto" w:fill="auto"/>
            <w:noWrap/>
            <w:vAlign w:val="center"/>
            <w:hideMark/>
          </w:tcPr>
          <w:p w14:paraId="39A6995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0.52</w:t>
            </w:r>
          </w:p>
        </w:tc>
        <w:tc>
          <w:tcPr>
            <w:tcW w:w="709" w:type="dxa"/>
            <w:tcBorders>
              <w:top w:val="nil"/>
              <w:left w:val="nil"/>
              <w:bottom w:val="single" w:sz="4" w:space="0" w:color="auto"/>
              <w:right w:val="single" w:sz="4" w:space="0" w:color="auto"/>
            </w:tcBorders>
            <w:shd w:val="clear" w:color="auto" w:fill="auto"/>
            <w:noWrap/>
            <w:vAlign w:val="center"/>
            <w:hideMark/>
          </w:tcPr>
          <w:p w14:paraId="4755545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1.42</w:t>
            </w:r>
          </w:p>
        </w:tc>
        <w:tc>
          <w:tcPr>
            <w:tcW w:w="709" w:type="dxa"/>
            <w:tcBorders>
              <w:top w:val="nil"/>
              <w:left w:val="nil"/>
              <w:bottom w:val="single" w:sz="4" w:space="0" w:color="auto"/>
              <w:right w:val="single" w:sz="4" w:space="0" w:color="auto"/>
            </w:tcBorders>
            <w:shd w:val="clear" w:color="auto" w:fill="auto"/>
            <w:noWrap/>
            <w:vAlign w:val="center"/>
            <w:hideMark/>
          </w:tcPr>
          <w:p w14:paraId="2F90FD6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2.32</w:t>
            </w:r>
          </w:p>
        </w:tc>
        <w:tc>
          <w:tcPr>
            <w:tcW w:w="709" w:type="dxa"/>
            <w:tcBorders>
              <w:top w:val="nil"/>
              <w:left w:val="nil"/>
              <w:bottom w:val="single" w:sz="4" w:space="0" w:color="auto"/>
              <w:right w:val="single" w:sz="4" w:space="0" w:color="auto"/>
            </w:tcBorders>
            <w:shd w:val="clear" w:color="auto" w:fill="auto"/>
            <w:noWrap/>
            <w:vAlign w:val="center"/>
            <w:hideMark/>
          </w:tcPr>
          <w:p w14:paraId="6856E91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1.71</w:t>
            </w:r>
          </w:p>
        </w:tc>
        <w:tc>
          <w:tcPr>
            <w:tcW w:w="708" w:type="dxa"/>
            <w:tcBorders>
              <w:top w:val="nil"/>
              <w:left w:val="nil"/>
              <w:bottom w:val="single" w:sz="4" w:space="0" w:color="auto"/>
              <w:right w:val="single" w:sz="4" w:space="0" w:color="auto"/>
            </w:tcBorders>
            <w:shd w:val="clear" w:color="auto" w:fill="auto"/>
            <w:noWrap/>
            <w:vAlign w:val="center"/>
            <w:hideMark/>
          </w:tcPr>
          <w:p w14:paraId="6938A41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2.91</w:t>
            </w:r>
          </w:p>
        </w:tc>
        <w:tc>
          <w:tcPr>
            <w:tcW w:w="709" w:type="dxa"/>
            <w:tcBorders>
              <w:top w:val="nil"/>
              <w:left w:val="nil"/>
              <w:bottom w:val="single" w:sz="4" w:space="0" w:color="auto"/>
              <w:right w:val="single" w:sz="4" w:space="0" w:color="auto"/>
            </w:tcBorders>
            <w:shd w:val="clear" w:color="auto" w:fill="auto"/>
            <w:noWrap/>
            <w:vAlign w:val="center"/>
            <w:hideMark/>
          </w:tcPr>
          <w:p w14:paraId="3CFC01E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2.62</w:t>
            </w:r>
          </w:p>
        </w:tc>
        <w:tc>
          <w:tcPr>
            <w:tcW w:w="709" w:type="dxa"/>
            <w:tcBorders>
              <w:top w:val="nil"/>
              <w:left w:val="nil"/>
              <w:bottom w:val="single" w:sz="4" w:space="0" w:color="auto"/>
              <w:right w:val="single" w:sz="4" w:space="0" w:color="auto"/>
            </w:tcBorders>
            <w:shd w:val="clear" w:color="auto" w:fill="auto"/>
            <w:noWrap/>
            <w:vAlign w:val="center"/>
            <w:hideMark/>
          </w:tcPr>
          <w:p w14:paraId="2AE235A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1.90</w:t>
            </w:r>
          </w:p>
        </w:tc>
        <w:tc>
          <w:tcPr>
            <w:tcW w:w="709" w:type="dxa"/>
            <w:tcBorders>
              <w:top w:val="nil"/>
              <w:left w:val="nil"/>
              <w:bottom w:val="single" w:sz="4" w:space="0" w:color="auto"/>
              <w:right w:val="single" w:sz="4" w:space="0" w:color="auto"/>
            </w:tcBorders>
            <w:shd w:val="clear" w:color="auto" w:fill="auto"/>
            <w:noWrap/>
            <w:vAlign w:val="center"/>
            <w:hideMark/>
          </w:tcPr>
          <w:p w14:paraId="4330A0E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1.52</w:t>
            </w:r>
          </w:p>
        </w:tc>
        <w:tc>
          <w:tcPr>
            <w:tcW w:w="708" w:type="dxa"/>
            <w:tcBorders>
              <w:top w:val="nil"/>
              <w:left w:val="nil"/>
              <w:bottom w:val="single" w:sz="4" w:space="0" w:color="auto"/>
              <w:right w:val="single" w:sz="4" w:space="0" w:color="auto"/>
            </w:tcBorders>
            <w:shd w:val="clear" w:color="auto" w:fill="auto"/>
            <w:noWrap/>
            <w:vAlign w:val="center"/>
            <w:hideMark/>
          </w:tcPr>
          <w:p w14:paraId="3B9AA7D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1.39</w:t>
            </w:r>
          </w:p>
        </w:tc>
        <w:tc>
          <w:tcPr>
            <w:tcW w:w="1134" w:type="dxa"/>
            <w:tcBorders>
              <w:top w:val="nil"/>
              <w:left w:val="nil"/>
              <w:bottom w:val="single" w:sz="4" w:space="0" w:color="auto"/>
              <w:right w:val="single" w:sz="4" w:space="0" w:color="auto"/>
            </w:tcBorders>
            <w:shd w:val="clear" w:color="auto" w:fill="auto"/>
            <w:noWrap/>
            <w:vAlign w:val="center"/>
            <w:hideMark/>
          </w:tcPr>
          <w:p w14:paraId="3725099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1.59</w:t>
            </w:r>
          </w:p>
        </w:tc>
      </w:tr>
      <w:tr w:rsidR="001635CF" w:rsidRPr="00C91D7C" w14:paraId="0C98B60F"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730852A2"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'500100</w:t>
            </w:r>
          </w:p>
        </w:tc>
        <w:tc>
          <w:tcPr>
            <w:tcW w:w="4088" w:type="dxa"/>
            <w:tcBorders>
              <w:top w:val="nil"/>
              <w:left w:val="nil"/>
              <w:bottom w:val="single" w:sz="4" w:space="0" w:color="auto"/>
              <w:right w:val="single" w:sz="4" w:space="0" w:color="auto"/>
            </w:tcBorders>
            <w:shd w:val="clear" w:color="auto" w:fill="auto"/>
            <w:noWrap/>
            <w:vAlign w:val="bottom"/>
            <w:hideMark/>
          </w:tcPr>
          <w:p w14:paraId="2156F6E8"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Silkworm cocoons suitable for reeling</w:t>
            </w:r>
          </w:p>
        </w:tc>
        <w:tc>
          <w:tcPr>
            <w:tcW w:w="709" w:type="dxa"/>
            <w:tcBorders>
              <w:top w:val="nil"/>
              <w:left w:val="nil"/>
              <w:bottom w:val="single" w:sz="4" w:space="0" w:color="auto"/>
              <w:right w:val="single" w:sz="4" w:space="0" w:color="auto"/>
            </w:tcBorders>
            <w:shd w:val="clear" w:color="auto" w:fill="auto"/>
            <w:noWrap/>
            <w:vAlign w:val="center"/>
            <w:hideMark/>
          </w:tcPr>
          <w:p w14:paraId="204AE50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0.04</w:t>
            </w:r>
          </w:p>
        </w:tc>
        <w:tc>
          <w:tcPr>
            <w:tcW w:w="709" w:type="dxa"/>
            <w:tcBorders>
              <w:top w:val="nil"/>
              <w:left w:val="nil"/>
              <w:bottom w:val="single" w:sz="4" w:space="0" w:color="auto"/>
              <w:right w:val="single" w:sz="4" w:space="0" w:color="auto"/>
            </w:tcBorders>
            <w:shd w:val="clear" w:color="auto" w:fill="auto"/>
            <w:noWrap/>
            <w:vAlign w:val="center"/>
            <w:hideMark/>
          </w:tcPr>
          <w:p w14:paraId="7441AAC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0.10</w:t>
            </w:r>
          </w:p>
        </w:tc>
        <w:tc>
          <w:tcPr>
            <w:tcW w:w="708" w:type="dxa"/>
            <w:tcBorders>
              <w:top w:val="nil"/>
              <w:left w:val="nil"/>
              <w:bottom w:val="single" w:sz="4" w:space="0" w:color="auto"/>
              <w:right w:val="single" w:sz="4" w:space="0" w:color="auto"/>
            </w:tcBorders>
            <w:shd w:val="clear" w:color="auto" w:fill="auto"/>
            <w:noWrap/>
            <w:vAlign w:val="center"/>
            <w:hideMark/>
          </w:tcPr>
          <w:p w14:paraId="1640FDE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0.09</w:t>
            </w:r>
          </w:p>
        </w:tc>
        <w:tc>
          <w:tcPr>
            <w:tcW w:w="709" w:type="dxa"/>
            <w:tcBorders>
              <w:top w:val="nil"/>
              <w:left w:val="nil"/>
              <w:bottom w:val="single" w:sz="4" w:space="0" w:color="auto"/>
              <w:right w:val="single" w:sz="4" w:space="0" w:color="auto"/>
            </w:tcBorders>
            <w:shd w:val="clear" w:color="auto" w:fill="auto"/>
            <w:noWrap/>
            <w:vAlign w:val="center"/>
            <w:hideMark/>
          </w:tcPr>
          <w:p w14:paraId="5658E1D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0.09</w:t>
            </w:r>
          </w:p>
        </w:tc>
        <w:tc>
          <w:tcPr>
            <w:tcW w:w="709" w:type="dxa"/>
            <w:tcBorders>
              <w:top w:val="nil"/>
              <w:left w:val="nil"/>
              <w:bottom w:val="single" w:sz="4" w:space="0" w:color="auto"/>
              <w:right w:val="single" w:sz="4" w:space="0" w:color="auto"/>
            </w:tcBorders>
            <w:shd w:val="clear" w:color="auto" w:fill="auto"/>
            <w:noWrap/>
            <w:vAlign w:val="center"/>
            <w:hideMark/>
          </w:tcPr>
          <w:p w14:paraId="2ADC5F3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2.48</w:t>
            </w:r>
          </w:p>
        </w:tc>
        <w:tc>
          <w:tcPr>
            <w:tcW w:w="709" w:type="dxa"/>
            <w:tcBorders>
              <w:top w:val="nil"/>
              <w:left w:val="nil"/>
              <w:bottom w:val="single" w:sz="4" w:space="0" w:color="auto"/>
              <w:right w:val="single" w:sz="4" w:space="0" w:color="auto"/>
            </w:tcBorders>
            <w:shd w:val="clear" w:color="auto" w:fill="auto"/>
            <w:noWrap/>
            <w:vAlign w:val="center"/>
            <w:hideMark/>
          </w:tcPr>
          <w:p w14:paraId="633E0C6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0.29</w:t>
            </w:r>
          </w:p>
        </w:tc>
        <w:tc>
          <w:tcPr>
            <w:tcW w:w="708" w:type="dxa"/>
            <w:tcBorders>
              <w:top w:val="nil"/>
              <w:left w:val="nil"/>
              <w:bottom w:val="single" w:sz="4" w:space="0" w:color="auto"/>
              <w:right w:val="single" w:sz="4" w:space="0" w:color="auto"/>
            </w:tcBorders>
            <w:shd w:val="clear" w:color="auto" w:fill="auto"/>
            <w:noWrap/>
            <w:vAlign w:val="center"/>
            <w:hideMark/>
          </w:tcPr>
          <w:p w14:paraId="5E6EF7E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0.06</w:t>
            </w:r>
          </w:p>
        </w:tc>
        <w:tc>
          <w:tcPr>
            <w:tcW w:w="709" w:type="dxa"/>
            <w:tcBorders>
              <w:top w:val="nil"/>
              <w:left w:val="nil"/>
              <w:bottom w:val="single" w:sz="4" w:space="0" w:color="auto"/>
              <w:right w:val="single" w:sz="4" w:space="0" w:color="auto"/>
            </w:tcBorders>
            <w:shd w:val="clear" w:color="auto" w:fill="auto"/>
            <w:noWrap/>
            <w:vAlign w:val="center"/>
            <w:hideMark/>
          </w:tcPr>
          <w:p w14:paraId="6229380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0.01</w:t>
            </w:r>
          </w:p>
        </w:tc>
        <w:tc>
          <w:tcPr>
            <w:tcW w:w="709" w:type="dxa"/>
            <w:tcBorders>
              <w:top w:val="nil"/>
              <w:left w:val="nil"/>
              <w:bottom w:val="single" w:sz="4" w:space="0" w:color="auto"/>
              <w:right w:val="single" w:sz="4" w:space="0" w:color="auto"/>
            </w:tcBorders>
            <w:shd w:val="clear" w:color="auto" w:fill="auto"/>
            <w:noWrap/>
            <w:vAlign w:val="center"/>
            <w:hideMark/>
          </w:tcPr>
          <w:p w14:paraId="6256451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0.02</w:t>
            </w:r>
          </w:p>
        </w:tc>
        <w:tc>
          <w:tcPr>
            <w:tcW w:w="709" w:type="dxa"/>
            <w:tcBorders>
              <w:top w:val="nil"/>
              <w:left w:val="nil"/>
              <w:bottom w:val="single" w:sz="4" w:space="0" w:color="auto"/>
              <w:right w:val="single" w:sz="4" w:space="0" w:color="auto"/>
            </w:tcBorders>
            <w:shd w:val="clear" w:color="auto" w:fill="auto"/>
            <w:noWrap/>
            <w:vAlign w:val="center"/>
            <w:hideMark/>
          </w:tcPr>
          <w:p w14:paraId="22A5958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0.03</w:t>
            </w:r>
          </w:p>
        </w:tc>
        <w:tc>
          <w:tcPr>
            <w:tcW w:w="708" w:type="dxa"/>
            <w:tcBorders>
              <w:top w:val="nil"/>
              <w:left w:val="nil"/>
              <w:bottom w:val="single" w:sz="4" w:space="0" w:color="auto"/>
              <w:right w:val="single" w:sz="4" w:space="0" w:color="auto"/>
            </w:tcBorders>
            <w:shd w:val="clear" w:color="auto" w:fill="auto"/>
            <w:noWrap/>
            <w:vAlign w:val="center"/>
            <w:hideMark/>
          </w:tcPr>
          <w:p w14:paraId="4566B79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1.35</w:t>
            </w:r>
          </w:p>
        </w:tc>
        <w:tc>
          <w:tcPr>
            <w:tcW w:w="1134" w:type="dxa"/>
            <w:tcBorders>
              <w:top w:val="nil"/>
              <w:left w:val="nil"/>
              <w:bottom w:val="single" w:sz="4" w:space="0" w:color="auto"/>
              <w:right w:val="single" w:sz="4" w:space="0" w:color="auto"/>
            </w:tcBorders>
            <w:shd w:val="clear" w:color="auto" w:fill="auto"/>
            <w:noWrap/>
            <w:vAlign w:val="center"/>
            <w:hideMark/>
          </w:tcPr>
          <w:p w14:paraId="109DB0E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0.41</w:t>
            </w:r>
          </w:p>
        </w:tc>
      </w:tr>
    </w:tbl>
    <w:p w14:paraId="598D2800" w14:textId="77777777" w:rsidR="001635CF" w:rsidRPr="00C91D7C" w:rsidRDefault="001635CF" w:rsidP="00AC61D1">
      <w:pPr>
        <w:spacing w:line="360" w:lineRule="auto"/>
        <w:jc w:val="both"/>
        <w:rPr>
          <w:rFonts w:ascii="Arial" w:hAnsi="Arial" w:cs="Arial"/>
          <w:b/>
          <w:bCs/>
        </w:rPr>
        <w:sectPr w:rsidR="001635CF" w:rsidRPr="00C91D7C" w:rsidSect="000C3A2A">
          <w:pgSz w:w="16838" w:h="11906" w:orient="landscape"/>
          <w:pgMar w:top="1440" w:right="1440" w:bottom="1440" w:left="1440" w:header="708" w:footer="708" w:gutter="0"/>
          <w:cols w:space="708"/>
          <w:docGrid w:linePitch="360"/>
        </w:sectPr>
      </w:pPr>
    </w:p>
    <w:p w14:paraId="17447DF1" w14:textId="77777777" w:rsidR="00E72B86" w:rsidRPr="00C91D7C" w:rsidRDefault="00E72B86" w:rsidP="00AC61D1">
      <w:pPr>
        <w:spacing w:before="120" w:line="360" w:lineRule="auto"/>
        <w:jc w:val="both"/>
        <w:rPr>
          <w:rFonts w:ascii="Arial" w:hAnsi="Arial" w:cs="Arial"/>
          <w:b/>
          <w:bCs/>
          <w:lang w:val="en-US"/>
        </w:rPr>
      </w:pPr>
      <w:r w:rsidRPr="00C91D7C">
        <w:rPr>
          <w:rFonts w:ascii="Arial" w:hAnsi="Arial" w:cs="Arial"/>
          <w:b/>
          <w:bCs/>
          <w:lang w:val="en-US"/>
        </w:rPr>
        <w:lastRenderedPageBreak/>
        <w:t xml:space="preserve">Table </w:t>
      </w:r>
      <w:r w:rsidR="00371888" w:rsidRPr="00C91D7C">
        <w:rPr>
          <w:rFonts w:ascii="Arial" w:hAnsi="Arial" w:cs="Arial"/>
          <w:b/>
          <w:bCs/>
          <w:lang w:val="en-US"/>
        </w:rPr>
        <w:t>7</w:t>
      </w:r>
      <w:r w:rsidRPr="00C91D7C">
        <w:rPr>
          <w:rFonts w:ascii="Arial" w:hAnsi="Arial" w:cs="Arial"/>
          <w:b/>
          <w:bCs/>
          <w:lang w:val="en-US"/>
        </w:rPr>
        <w:t xml:space="preserve">: HHI reference thresholds and HHI of concentration of </w:t>
      </w:r>
      <w:r w:rsidR="00365DE1" w:rsidRPr="00C91D7C">
        <w:rPr>
          <w:rFonts w:ascii="Arial" w:hAnsi="Arial" w:cs="Arial"/>
          <w:b/>
          <w:bCs/>
          <w:lang w:val="en-US"/>
        </w:rPr>
        <w:t xml:space="preserve">global </w:t>
      </w:r>
      <w:r w:rsidRPr="00C91D7C">
        <w:rPr>
          <w:rFonts w:ascii="Arial" w:hAnsi="Arial" w:cs="Arial"/>
          <w:b/>
          <w:bCs/>
          <w:lang w:val="en-US"/>
        </w:rPr>
        <w:t>silk exports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E72B86" w:rsidRPr="00C91D7C" w14:paraId="7517C029" w14:textId="77777777" w:rsidTr="00EC67C0">
        <w:trPr>
          <w:trHeight w:val="510"/>
        </w:trPr>
        <w:tc>
          <w:tcPr>
            <w:tcW w:w="1514" w:type="pct"/>
            <w:vMerge w:val="restart"/>
            <w:shd w:val="clear" w:color="auto" w:fill="auto"/>
            <w:noWrap/>
            <w:vAlign w:val="center"/>
            <w:hideMark/>
          </w:tcPr>
          <w:p w14:paraId="39A03648" w14:textId="77777777" w:rsidR="00E72B86" w:rsidRPr="00C91D7C" w:rsidRDefault="00E72B86" w:rsidP="00AA3DD7">
            <w:pPr>
              <w:spacing w:after="0" w:line="360" w:lineRule="auto"/>
              <w:jc w:val="center"/>
              <w:rPr>
                <w:rFonts w:ascii="Arial" w:eastAsia="Times New Roman" w:hAnsi="Arial" w:cs="Arial"/>
                <w:b/>
                <w:bCs/>
                <w:color w:val="000000"/>
                <w:lang w:eastAsia="en-IN"/>
              </w:rPr>
            </w:pPr>
          </w:p>
          <w:p w14:paraId="524F36AE"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43F198D6"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26812B9A"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Global Silk Exports</w:t>
            </w:r>
          </w:p>
          <w:p w14:paraId="44726EF7"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E72B86" w:rsidRPr="00C91D7C" w14:paraId="66E26A58" w14:textId="77777777" w:rsidTr="00EC67C0">
        <w:trPr>
          <w:trHeight w:val="300"/>
        </w:trPr>
        <w:tc>
          <w:tcPr>
            <w:tcW w:w="1514" w:type="pct"/>
            <w:vMerge/>
            <w:shd w:val="clear" w:color="auto" w:fill="auto"/>
            <w:noWrap/>
            <w:vAlign w:val="bottom"/>
            <w:hideMark/>
          </w:tcPr>
          <w:p w14:paraId="2B33DB35" w14:textId="77777777" w:rsidR="00E72B86" w:rsidRPr="00C91D7C" w:rsidRDefault="00E72B86" w:rsidP="00AA3DD7">
            <w:pPr>
              <w:spacing w:after="0" w:line="360" w:lineRule="auto"/>
              <w:jc w:val="center"/>
              <w:rPr>
                <w:rFonts w:ascii="Arial" w:eastAsia="Times New Roman" w:hAnsi="Arial" w:cs="Arial"/>
                <w:b/>
                <w:bCs/>
                <w:color w:val="000000"/>
                <w:lang w:eastAsia="en-IN"/>
              </w:rPr>
            </w:pPr>
          </w:p>
        </w:tc>
        <w:tc>
          <w:tcPr>
            <w:tcW w:w="1020" w:type="pct"/>
            <w:shd w:val="clear" w:color="auto" w:fill="auto"/>
            <w:noWrap/>
            <w:vAlign w:val="bottom"/>
            <w:hideMark/>
          </w:tcPr>
          <w:p w14:paraId="7F6D52E5" w14:textId="77777777" w:rsidR="00E72B86" w:rsidRPr="00C91D7C" w:rsidRDefault="009E4C07"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 xml:space="preserve">UK </w:t>
            </w:r>
            <w:r w:rsidR="00E72B86" w:rsidRPr="00C91D7C">
              <w:rPr>
                <w:rFonts w:ascii="Arial" w:eastAsia="Times New Roman" w:hAnsi="Arial" w:cs="Arial"/>
                <w:b/>
                <w:bCs/>
                <w:color w:val="000000"/>
                <w:lang w:eastAsia="en-IN"/>
              </w:rPr>
              <w:t>CMA</w:t>
            </w:r>
          </w:p>
        </w:tc>
        <w:tc>
          <w:tcPr>
            <w:tcW w:w="1113" w:type="pct"/>
            <w:shd w:val="clear" w:color="auto" w:fill="auto"/>
            <w:noWrap/>
            <w:vAlign w:val="bottom"/>
            <w:hideMark/>
          </w:tcPr>
          <w:p w14:paraId="201228CF"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73B44C5C" w14:textId="77777777" w:rsidR="00E72B86" w:rsidRPr="00C91D7C" w:rsidRDefault="00E72B86" w:rsidP="00AA3DD7">
            <w:pPr>
              <w:spacing w:after="0" w:line="360" w:lineRule="auto"/>
              <w:jc w:val="center"/>
              <w:rPr>
                <w:rFonts w:ascii="Arial" w:eastAsia="Times New Roman" w:hAnsi="Arial" w:cs="Arial"/>
                <w:b/>
                <w:bCs/>
                <w:color w:val="000000"/>
                <w:lang w:eastAsia="en-IN"/>
              </w:rPr>
            </w:pPr>
          </w:p>
        </w:tc>
      </w:tr>
      <w:tr w:rsidR="00E72B86" w:rsidRPr="00C91D7C" w14:paraId="70C1AFF9" w14:textId="77777777" w:rsidTr="00EC67C0">
        <w:trPr>
          <w:trHeight w:val="300"/>
        </w:trPr>
        <w:tc>
          <w:tcPr>
            <w:tcW w:w="1514" w:type="pct"/>
            <w:shd w:val="clear" w:color="auto" w:fill="auto"/>
            <w:noWrap/>
            <w:vAlign w:val="bottom"/>
            <w:hideMark/>
          </w:tcPr>
          <w:p w14:paraId="171694CD" w14:textId="77777777" w:rsidR="00E72B86" w:rsidRPr="00C91D7C" w:rsidRDefault="00E72B86" w:rsidP="00AA3DD7">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center"/>
            <w:hideMark/>
          </w:tcPr>
          <w:p w14:paraId="5857465A"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center"/>
            <w:hideMark/>
          </w:tcPr>
          <w:p w14:paraId="2732C848"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623A46F9" w14:textId="77777777" w:rsidR="00E72B86" w:rsidRPr="00C91D7C" w:rsidRDefault="00E72B86" w:rsidP="00AA3DD7">
            <w:pPr>
              <w:spacing w:after="0" w:line="360" w:lineRule="auto"/>
              <w:jc w:val="center"/>
              <w:rPr>
                <w:rFonts w:ascii="Arial" w:eastAsia="Times New Roman" w:hAnsi="Arial" w:cs="Arial"/>
                <w:color w:val="000000"/>
                <w:lang w:eastAsia="en-IN"/>
              </w:rPr>
            </w:pPr>
          </w:p>
        </w:tc>
      </w:tr>
      <w:tr w:rsidR="00E72B86" w:rsidRPr="00C91D7C" w14:paraId="20E8FA48" w14:textId="77777777" w:rsidTr="00EC67C0">
        <w:trPr>
          <w:trHeight w:val="300"/>
        </w:trPr>
        <w:tc>
          <w:tcPr>
            <w:tcW w:w="1514" w:type="pct"/>
            <w:shd w:val="clear" w:color="auto" w:fill="auto"/>
            <w:noWrap/>
            <w:vAlign w:val="bottom"/>
            <w:hideMark/>
          </w:tcPr>
          <w:p w14:paraId="5188C46A" w14:textId="77777777" w:rsidR="00E72B86" w:rsidRPr="00C91D7C" w:rsidRDefault="00E72B86" w:rsidP="00AA3DD7">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center"/>
            <w:hideMark/>
          </w:tcPr>
          <w:p w14:paraId="06E3F226"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center"/>
            <w:hideMark/>
          </w:tcPr>
          <w:p w14:paraId="71CD54E6"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hideMark/>
          </w:tcPr>
          <w:p w14:paraId="6D3EE520" w14:textId="77777777" w:rsidR="00E72B86" w:rsidRPr="00C91D7C" w:rsidRDefault="00E72B86" w:rsidP="00AA3DD7">
            <w:pPr>
              <w:spacing w:after="0" w:line="360" w:lineRule="auto"/>
              <w:jc w:val="center"/>
              <w:rPr>
                <w:rFonts w:ascii="Arial" w:eastAsia="Times New Roman" w:hAnsi="Arial" w:cs="Arial"/>
                <w:color w:val="000000"/>
                <w:lang w:eastAsia="en-IN"/>
              </w:rPr>
            </w:pPr>
          </w:p>
        </w:tc>
      </w:tr>
      <w:tr w:rsidR="00E72B86" w:rsidRPr="00C91D7C" w14:paraId="03DDA9D3" w14:textId="77777777" w:rsidTr="00EC67C0">
        <w:trPr>
          <w:trHeight w:val="300"/>
        </w:trPr>
        <w:tc>
          <w:tcPr>
            <w:tcW w:w="1514" w:type="pct"/>
            <w:shd w:val="clear" w:color="auto" w:fill="auto"/>
            <w:noWrap/>
            <w:vAlign w:val="bottom"/>
            <w:hideMark/>
          </w:tcPr>
          <w:p w14:paraId="24D66729" w14:textId="77777777" w:rsidR="00E72B86" w:rsidRPr="00C91D7C" w:rsidRDefault="00E72B86" w:rsidP="00AA3DD7">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center"/>
            <w:hideMark/>
          </w:tcPr>
          <w:p w14:paraId="504062EA"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center"/>
            <w:hideMark/>
          </w:tcPr>
          <w:p w14:paraId="511F8EBD"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hideMark/>
          </w:tcPr>
          <w:p w14:paraId="42B3B96F"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0.305</w:t>
            </w:r>
          </w:p>
        </w:tc>
      </w:tr>
    </w:tbl>
    <w:p w14:paraId="69C8B69A" w14:textId="77777777" w:rsidR="00E72B86" w:rsidRPr="00C91D7C" w:rsidRDefault="00D76DF1" w:rsidP="00AC61D1">
      <w:pPr>
        <w:spacing w:before="120" w:line="360" w:lineRule="auto"/>
        <w:jc w:val="both"/>
        <w:rPr>
          <w:rFonts w:ascii="Arial" w:hAnsi="Arial" w:cs="Arial"/>
          <w:b/>
          <w:bCs/>
          <w:lang w:val="en-US"/>
        </w:rPr>
      </w:pPr>
      <w:r w:rsidRPr="00C91D7C">
        <w:rPr>
          <w:rFonts w:ascii="Arial" w:hAnsi="Arial" w:cs="Arial"/>
          <w:b/>
          <w:bCs/>
          <w:lang w:val="en-US"/>
        </w:rPr>
        <w:t xml:space="preserve">3.8 </w:t>
      </w:r>
      <w:r w:rsidR="00E72B86" w:rsidRPr="00C91D7C">
        <w:rPr>
          <w:rFonts w:ascii="Arial" w:hAnsi="Arial" w:cs="Arial"/>
          <w:b/>
          <w:bCs/>
          <w:lang w:val="en-US"/>
        </w:rPr>
        <w:t>HHI of concentration of global silk imports</w:t>
      </w:r>
      <w:r w:rsidR="00365DE1" w:rsidRPr="00C91D7C">
        <w:rPr>
          <w:rFonts w:ascii="Arial" w:hAnsi="Arial" w:cs="Arial"/>
          <w:b/>
          <w:bCs/>
          <w:lang w:val="en-US"/>
        </w:rPr>
        <w:t xml:space="preserve"> </w:t>
      </w:r>
    </w:p>
    <w:p w14:paraId="54121F91" w14:textId="77777777" w:rsidR="008568AB" w:rsidRPr="00C91D7C" w:rsidRDefault="00365DE1" w:rsidP="008568AB">
      <w:pPr>
        <w:spacing w:line="360" w:lineRule="auto"/>
        <w:jc w:val="both"/>
        <w:rPr>
          <w:rFonts w:ascii="Arial" w:hAnsi="Arial" w:cs="Arial"/>
          <w:lang w:val="en-US"/>
        </w:rPr>
      </w:pPr>
      <w:r w:rsidRPr="00C91D7C">
        <w:rPr>
          <w:rFonts w:ascii="Arial" w:hAnsi="Arial" w:cs="Arial"/>
          <w:lang w:val="en-US"/>
        </w:rPr>
        <w:tab/>
      </w:r>
      <w:r w:rsidR="008568AB" w:rsidRPr="00C91D7C">
        <w:rPr>
          <w:rFonts w:ascii="Arial" w:hAnsi="Arial" w:cs="Arial"/>
          <w:lang w:val="en-US"/>
        </w:rPr>
        <w:t>The Table 8 indicated that the HHI for global silk imports during the 2011–2021 period stands at 0.194, which classifies the market as moderately concentrated according to UK CMA and highly concentrated according to US FTC standards. This suggests that a small number of countries, notably China, dominate the global silk export market, leading to limited supplier diversity and increasing dependence of importing nations on a few key sources.</w:t>
      </w:r>
      <w:r w:rsidR="00852798" w:rsidRPr="00C91D7C">
        <w:rPr>
          <w:rFonts w:ascii="Arial" w:hAnsi="Arial" w:cs="Arial"/>
          <w:lang w:val="en-US"/>
        </w:rPr>
        <w:t xml:space="preserve"> </w:t>
      </w:r>
      <w:r w:rsidR="008568AB" w:rsidRPr="00C91D7C">
        <w:rPr>
          <w:rFonts w:ascii="Arial" w:hAnsi="Arial" w:cs="Arial"/>
          <w:lang w:val="en-US"/>
        </w:rPr>
        <w:t>The relatively high HHI value reflects the dominance of a small number of countries in global silk exports, particularly China. China has long held a commanding position in the global silk industry due to its vast sericulture infrastructure, technological advancements and vertically integrated supply chains. Its ability to consistently produce high volumes of quality silk gives it a competitive edge in both raw silk and silk fabrics. As a result, a significant proportion of global silk imports are sourced from China, contributing to the high market concentration (FAO, 2021; UNCTAD, 2020). In addition to China's dominance, the lack of significant diversification among importing countries also reinforces market concentration. Many importing nations rely heavily on a limited number of suppliers, reducing competitive dynamics in the global market. Furthermore, high entry barriers such as the need for skilled labo</w:t>
      </w:r>
      <w:r w:rsidR="00935534" w:rsidRPr="00C91D7C">
        <w:rPr>
          <w:rFonts w:ascii="Arial" w:hAnsi="Arial" w:cs="Arial"/>
          <w:lang w:val="en-US"/>
        </w:rPr>
        <w:t>u</w:t>
      </w:r>
      <w:r w:rsidR="008568AB" w:rsidRPr="00C91D7C">
        <w:rPr>
          <w:rFonts w:ascii="Arial" w:hAnsi="Arial" w:cs="Arial"/>
          <w:lang w:val="en-US"/>
        </w:rPr>
        <w:t>r, climatic suitability and capital investment hinder the emergence of new exporting countries, especially from the Global South (WTO, 2020; ITC, 2022).</w:t>
      </w:r>
    </w:p>
    <w:p w14:paraId="5651CD8C" w14:textId="77777777" w:rsidR="00093268" w:rsidRPr="00C91D7C" w:rsidRDefault="00935534" w:rsidP="00093268">
      <w:pPr>
        <w:spacing w:line="360" w:lineRule="auto"/>
        <w:jc w:val="both"/>
        <w:rPr>
          <w:rFonts w:ascii="Arial" w:hAnsi="Arial" w:cs="Arial"/>
          <w:lang w:val="en-US"/>
        </w:rPr>
      </w:pPr>
      <w:r w:rsidRPr="00C91D7C">
        <w:rPr>
          <w:rFonts w:ascii="Arial" w:hAnsi="Arial" w:cs="Arial"/>
          <w:lang w:val="en-US"/>
        </w:rPr>
        <w:tab/>
      </w:r>
      <w:r w:rsidR="008568AB" w:rsidRPr="00C91D7C">
        <w:rPr>
          <w:rFonts w:ascii="Arial" w:hAnsi="Arial" w:cs="Arial"/>
          <w:lang w:val="en-US"/>
        </w:rPr>
        <w:t>Consumer preferences in major silk-importing countries s</w:t>
      </w:r>
      <w:r w:rsidRPr="00C91D7C">
        <w:rPr>
          <w:rFonts w:ascii="Arial" w:hAnsi="Arial" w:cs="Arial"/>
          <w:lang w:val="en-US"/>
        </w:rPr>
        <w:t>uch as the United States, Italy</w:t>
      </w:r>
      <w:r w:rsidR="008568AB" w:rsidRPr="00C91D7C">
        <w:rPr>
          <w:rFonts w:ascii="Arial" w:hAnsi="Arial" w:cs="Arial"/>
          <w:lang w:val="en-US"/>
        </w:rPr>
        <w:t xml:space="preserve"> and France also contribute to this pattern. These markets often prioritize consistent quality and supply volume, which are reliably met by established exporters like China. This further restricts market access for smaller or emerging suppliers, sustaining high concentration levels (OECD, 2021).</w:t>
      </w:r>
    </w:p>
    <w:p w14:paraId="1B4765D4" w14:textId="77777777" w:rsidR="00076DD0" w:rsidRDefault="00076DD0" w:rsidP="00093268">
      <w:pPr>
        <w:spacing w:line="360" w:lineRule="auto"/>
        <w:jc w:val="both"/>
        <w:rPr>
          <w:rFonts w:ascii="Arial" w:hAnsi="Arial" w:cs="Arial"/>
          <w:b/>
          <w:bCs/>
          <w:lang w:val="en-US"/>
        </w:rPr>
      </w:pPr>
    </w:p>
    <w:p w14:paraId="1D1A340F" w14:textId="77777777" w:rsidR="00076DD0" w:rsidRDefault="00076DD0" w:rsidP="00093268">
      <w:pPr>
        <w:spacing w:line="360" w:lineRule="auto"/>
        <w:jc w:val="both"/>
        <w:rPr>
          <w:rFonts w:ascii="Arial" w:hAnsi="Arial" w:cs="Arial"/>
          <w:b/>
          <w:bCs/>
          <w:lang w:val="en-US"/>
        </w:rPr>
      </w:pPr>
    </w:p>
    <w:p w14:paraId="114BE637" w14:textId="77777777" w:rsidR="00076DD0" w:rsidRDefault="00076DD0" w:rsidP="00093268">
      <w:pPr>
        <w:spacing w:line="360" w:lineRule="auto"/>
        <w:jc w:val="both"/>
        <w:rPr>
          <w:rFonts w:ascii="Arial" w:hAnsi="Arial" w:cs="Arial"/>
          <w:b/>
          <w:bCs/>
          <w:lang w:val="en-US"/>
        </w:rPr>
      </w:pPr>
    </w:p>
    <w:p w14:paraId="27CB7964" w14:textId="77777777" w:rsidR="00076DD0" w:rsidRDefault="00076DD0" w:rsidP="00093268">
      <w:pPr>
        <w:spacing w:line="360" w:lineRule="auto"/>
        <w:jc w:val="both"/>
        <w:rPr>
          <w:rFonts w:ascii="Arial" w:hAnsi="Arial" w:cs="Arial"/>
          <w:b/>
          <w:bCs/>
          <w:lang w:val="en-US"/>
        </w:rPr>
      </w:pPr>
    </w:p>
    <w:p w14:paraId="43FCA7A7" w14:textId="77777777" w:rsidR="00E72B86" w:rsidRPr="00C91D7C" w:rsidRDefault="00371888" w:rsidP="00093268">
      <w:pPr>
        <w:spacing w:line="360" w:lineRule="auto"/>
        <w:jc w:val="both"/>
        <w:rPr>
          <w:rFonts w:ascii="Arial" w:hAnsi="Arial" w:cs="Arial"/>
          <w:lang w:val="en-US"/>
        </w:rPr>
      </w:pPr>
      <w:r w:rsidRPr="00C91D7C">
        <w:rPr>
          <w:rFonts w:ascii="Arial" w:hAnsi="Arial" w:cs="Arial"/>
          <w:b/>
          <w:bCs/>
          <w:lang w:val="en-US"/>
        </w:rPr>
        <w:lastRenderedPageBreak/>
        <w:t>Table 8</w:t>
      </w:r>
      <w:r w:rsidR="00E72B86" w:rsidRPr="00C91D7C">
        <w:rPr>
          <w:rFonts w:ascii="Arial" w:hAnsi="Arial" w:cs="Arial"/>
          <w:b/>
          <w:bCs/>
          <w:lang w:val="en-US"/>
        </w:rPr>
        <w:t xml:space="preserve">: HHI reference thresholds and HHI of concentration of </w:t>
      </w:r>
      <w:r w:rsidR="00365DE1" w:rsidRPr="00C91D7C">
        <w:rPr>
          <w:rFonts w:ascii="Arial" w:hAnsi="Arial" w:cs="Arial"/>
          <w:b/>
          <w:bCs/>
          <w:lang w:val="en-US"/>
        </w:rPr>
        <w:t xml:space="preserve">global </w:t>
      </w:r>
      <w:r w:rsidR="00E72B86" w:rsidRPr="00C91D7C">
        <w:rPr>
          <w:rFonts w:ascii="Arial" w:hAnsi="Arial" w:cs="Arial"/>
          <w:b/>
          <w:bCs/>
          <w:lang w:val="en-US"/>
        </w:rPr>
        <w:t>silk</w:t>
      </w:r>
      <w:r w:rsidR="00365DE1" w:rsidRPr="00C91D7C">
        <w:rPr>
          <w:rFonts w:ascii="Arial" w:hAnsi="Arial" w:cs="Arial"/>
          <w:b/>
          <w:bCs/>
          <w:lang w:val="en-US"/>
        </w:rPr>
        <w:t xml:space="preserve"> im</w:t>
      </w:r>
      <w:r w:rsidR="00E72B86" w:rsidRPr="00C91D7C">
        <w:rPr>
          <w:rFonts w:ascii="Arial" w:hAnsi="Arial" w:cs="Arial"/>
          <w:b/>
          <w:bCs/>
          <w:lang w:val="en-US"/>
        </w:rPr>
        <w:t>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365DE1" w:rsidRPr="00C91D7C" w14:paraId="2181063C" w14:textId="77777777" w:rsidTr="00EC67C0">
        <w:trPr>
          <w:trHeight w:val="510"/>
        </w:trPr>
        <w:tc>
          <w:tcPr>
            <w:tcW w:w="1514" w:type="pct"/>
            <w:vMerge w:val="restart"/>
            <w:shd w:val="clear" w:color="auto" w:fill="auto"/>
            <w:noWrap/>
            <w:vAlign w:val="center"/>
            <w:hideMark/>
          </w:tcPr>
          <w:p w14:paraId="4EB87F98" w14:textId="77777777" w:rsidR="00365DE1" w:rsidRPr="00C91D7C" w:rsidRDefault="00365DE1" w:rsidP="00AC61D1">
            <w:pPr>
              <w:spacing w:after="0" w:line="360" w:lineRule="auto"/>
              <w:jc w:val="center"/>
              <w:rPr>
                <w:rFonts w:ascii="Arial" w:eastAsia="Times New Roman" w:hAnsi="Arial" w:cs="Arial"/>
                <w:b/>
                <w:bCs/>
                <w:color w:val="000000"/>
                <w:lang w:eastAsia="en-IN"/>
              </w:rPr>
            </w:pPr>
          </w:p>
          <w:p w14:paraId="1703C077"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05FB4B55"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1485B4E7"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Global Silk Imports</w:t>
            </w:r>
          </w:p>
          <w:p w14:paraId="6879BE28"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365DE1" w:rsidRPr="00C91D7C" w14:paraId="2B530B13" w14:textId="77777777" w:rsidTr="00EC67C0">
        <w:trPr>
          <w:trHeight w:val="300"/>
        </w:trPr>
        <w:tc>
          <w:tcPr>
            <w:tcW w:w="1514" w:type="pct"/>
            <w:vMerge/>
            <w:shd w:val="clear" w:color="auto" w:fill="auto"/>
            <w:noWrap/>
            <w:vAlign w:val="bottom"/>
            <w:hideMark/>
          </w:tcPr>
          <w:p w14:paraId="6DD8EF61" w14:textId="77777777" w:rsidR="00365DE1" w:rsidRPr="00C91D7C" w:rsidRDefault="00365DE1" w:rsidP="00AC61D1">
            <w:pPr>
              <w:spacing w:after="0" w:line="360" w:lineRule="auto"/>
              <w:rPr>
                <w:rFonts w:ascii="Arial" w:eastAsia="Times New Roman" w:hAnsi="Arial" w:cs="Arial"/>
                <w:b/>
                <w:bCs/>
                <w:color w:val="000000"/>
                <w:lang w:eastAsia="en-IN"/>
              </w:rPr>
            </w:pPr>
          </w:p>
        </w:tc>
        <w:tc>
          <w:tcPr>
            <w:tcW w:w="1020" w:type="pct"/>
            <w:shd w:val="clear" w:color="auto" w:fill="auto"/>
            <w:noWrap/>
            <w:vAlign w:val="center"/>
            <w:hideMark/>
          </w:tcPr>
          <w:p w14:paraId="3664564C" w14:textId="77777777" w:rsidR="00365DE1"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 xml:space="preserve">UK </w:t>
            </w:r>
            <w:r w:rsidR="00365DE1" w:rsidRPr="00C91D7C">
              <w:rPr>
                <w:rFonts w:ascii="Arial" w:eastAsia="Times New Roman" w:hAnsi="Arial" w:cs="Arial"/>
                <w:b/>
                <w:bCs/>
                <w:color w:val="000000"/>
                <w:lang w:eastAsia="en-IN"/>
              </w:rPr>
              <w:t>CMA</w:t>
            </w:r>
          </w:p>
        </w:tc>
        <w:tc>
          <w:tcPr>
            <w:tcW w:w="1113" w:type="pct"/>
            <w:shd w:val="clear" w:color="auto" w:fill="auto"/>
            <w:noWrap/>
            <w:vAlign w:val="center"/>
            <w:hideMark/>
          </w:tcPr>
          <w:p w14:paraId="424F7767"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7DA4836E" w14:textId="77777777" w:rsidR="00365DE1" w:rsidRPr="00C91D7C" w:rsidRDefault="00365DE1" w:rsidP="00AC61D1">
            <w:pPr>
              <w:spacing w:after="0" w:line="360" w:lineRule="auto"/>
              <w:rPr>
                <w:rFonts w:ascii="Arial" w:eastAsia="Times New Roman" w:hAnsi="Arial" w:cs="Arial"/>
                <w:b/>
                <w:bCs/>
                <w:color w:val="000000"/>
                <w:lang w:eastAsia="en-IN"/>
              </w:rPr>
            </w:pPr>
          </w:p>
        </w:tc>
      </w:tr>
      <w:tr w:rsidR="002731BA" w:rsidRPr="00C91D7C" w14:paraId="2760285D" w14:textId="77777777" w:rsidTr="00EC67C0">
        <w:trPr>
          <w:trHeight w:val="300"/>
        </w:trPr>
        <w:tc>
          <w:tcPr>
            <w:tcW w:w="1514" w:type="pct"/>
            <w:shd w:val="clear" w:color="auto" w:fill="auto"/>
            <w:noWrap/>
            <w:vAlign w:val="bottom"/>
            <w:hideMark/>
          </w:tcPr>
          <w:p w14:paraId="2BDC91F9" w14:textId="77777777" w:rsidR="00365DE1" w:rsidRPr="00C91D7C" w:rsidRDefault="00365D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center"/>
            <w:hideMark/>
          </w:tcPr>
          <w:p w14:paraId="47D8CE87"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center"/>
            <w:hideMark/>
          </w:tcPr>
          <w:p w14:paraId="6377FF69"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0D8E4E57" w14:textId="77777777" w:rsidR="00365DE1" w:rsidRPr="00C91D7C" w:rsidRDefault="00365DE1" w:rsidP="008568AB">
            <w:pPr>
              <w:spacing w:after="0" w:line="360" w:lineRule="auto"/>
              <w:jc w:val="center"/>
              <w:rPr>
                <w:rFonts w:ascii="Arial" w:eastAsia="Times New Roman" w:hAnsi="Arial" w:cs="Arial"/>
                <w:color w:val="000000"/>
                <w:lang w:eastAsia="en-IN"/>
              </w:rPr>
            </w:pPr>
          </w:p>
        </w:tc>
      </w:tr>
      <w:tr w:rsidR="002731BA" w:rsidRPr="00C91D7C" w14:paraId="7E0944DF" w14:textId="77777777" w:rsidTr="00EC67C0">
        <w:trPr>
          <w:trHeight w:val="300"/>
        </w:trPr>
        <w:tc>
          <w:tcPr>
            <w:tcW w:w="1514" w:type="pct"/>
            <w:shd w:val="clear" w:color="auto" w:fill="auto"/>
            <w:noWrap/>
            <w:vAlign w:val="bottom"/>
            <w:hideMark/>
          </w:tcPr>
          <w:p w14:paraId="2EF93993" w14:textId="77777777" w:rsidR="00365DE1" w:rsidRPr="00C91D7C" w:rsidRDefault="00365D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center"/>
            <w:hideMark/>
          </w:tcPr>
          <w:p w14:paraId="2A228250"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center"/>
            <w:hideMark/>
          </w:tcPr>
          <w:p w14:paraId="08EDFC9A"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hideMark/>
          </w:tcPr>
          <w:p w14:paraId="2D0042A3"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0.194</w:t>
            </w:r>
            <w:r w:rsidR="009E4C07" w:rsidRPr="00C91D7C">
              <w:rPr>
                <w:rFonts w:ascii="Arial" w:eastAsia="Times New Roman" w:hAnsi="Arial" w:cs="Arial"/>
                <w:color w:val="000000"/>
                <w:lang w:eastAsia="en-IN"/>
              </w:rPr>
              <w:t xml:space="preserve"> (UK CMA)</w:t>
            </w:r>
          </w:p>
        </w:tc>
      </w:tr>
      <w:tr w:rsidR="002731BA" w:rsidRPr="00C91D7C" w14:paraId="0CE31B7A" w14:textId="77777777" w:rsidTr="00EC67C0">
        <w:trPr>
          <w:trHeight w:val="300"/>
        </w:trPr>
        <w:tc>
          <w:tcPr>
            <w:tcW w:w="1514" w:type="pct"/>
            <w:shd w:val="clear" w:color="auto" w:fill="auto"/>
            <w:noWrap/>
            <w:vAlign w:val="bottom"/>
            <w:hideMark/>
          </w:tcPr>
          <w:p w14:paraId="44A4212A" w14:textId="77777777" w:rsidR="00365DE1" w:rsidRPr="00C91D7C" w:rsidRDefault="00365D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center"/>
            <w:hideMark/>
          </w:tcPr>
          <w:p w14:paraId="67990F5D"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center"/>
            <w:hideMark/>
          </w:tcPr>
          <w:p w14:paraId="75EF4B15"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hideMark/>
          </w:tcPr>
          <w:p w14:paraId="78205ED5"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0.194</w:t>
            </w:r>
            <w:r w:rsidR="009E4C07" w:rsidRPr="00C91D7C">
              <w:rPr>
                <w:rFonts w:ascii="Arial" w:eastAsia="Times New Roman" w:hAnsi="Arial" w:cs="Arial"/>
                <w:color w:val="000000"/>
                <w:lang w:eastAsia="en-IN"/>
              </w:rPr>
              <w:t xml:space="preserve"> (US FTC)</w:t>
            </w:r>
          </w:p>
        </w:tc>
      </w:tr>
    </w:tbl>
    <w:p w14:paraId="7FA1C1CD" w14:textId="77777777" w:rsidR="002E15B2" w:rsidRPr="00C91D7C" w:rsidRDefault="002E15B2" w:rsidP="00AC61D1">
      <w:pPr>
        <w:spacing w:before="120" w:line="360" w:lineRule="auto"/>
        <w:jc w:val="both"/>
        <w:rPr>
          <w:rFonts w:ascii="Arial" w:hAnsi="Arial" w:cs="Arial"/>
          <w:b/>
          <w:bCs/>
          <w:lang w:val="en-US"/>
        </w:rPr>
      </w:pPr>
    </w:p>
    <w:p w14:paraId="7B94D54C" w14:textId="77777777" w:rsidR="009E4C07" w:rsidRPr="00C91D7C" w:rsidRDefault="00D76DF1" w:rsidP="00AC61D1">
      <w:pPr>
        <w:spacing w:before="120" w:line="360" w:lineRule="auto"/>
        <w:jc w:val="both"/>
        <w:rPr>
          <w:rFonts w:ascii="Arial" w:hAnsi="Arial" w:cs="Arial"/>
          <w:b/>
          <w:bCs/>
          <w:lang w:val="en-US"/>
        </w:rPr>
      </w:pPr>
      <w:r w:rsidRPr="00C91D7C">
        <w:rPr>
          <w:rFonts w:ascii="Arial" w:hAnsi="Arial" w:cs="Arial"/>
          <w:b/>
          <w:bCs/>
          <w:lang w:val="en-US"/>
        </w:rPr>
        <w:t xml:space="preserve">3.9 </w:t>
      </w:r>
      <w:r w:rsidR="009E4C07" w:rsidRPr="00C91D7C">
        <w:rPr>
          <w:rFonts w:ascii="Arial" w:hAnsi="Arial" w:cs="Arial"/>
          <w:b/>
          <w:bCs/>
          <w:lang w:val="en-US"/>
        </w:rPr>
        <w:t>HHI of concentration of Indian silk exports</w:t>
      </w:r>
    </w:p>
    <w:p w14:paraId="17C7C052" w14:textId="77777777" w:rsidR="00C5695F" w:rsidRPr="00C91D7C" w:rsidRDefault="009417F9" w:rsidP="00C5695F">
      <w:pPr>
        <w:spacing w:before="120" w:line="360" w:lineRule="auto"/>
        <w:jc w:val="both"/>
        <w:rPr>
          <w:rFonts w:ascii="Arial" w:hAnsi="Arial" w:cs="Arial"/>
          <w:lang w:val="en-US"/>
        </w:rPr>
      </w:pPr>
      <w:r w:rsidRPr="00C91D7C">
        <w:rPr>
          <w:rFonts w:ascii="Arial" w:hAnsi="Arial" w:cs="Arial"/>
          <w:lang w:val="en-US"/>
        </w:rPr>
        <w:tab/>
      </w:r>
      <w:r w:rsidR="00C5695F" w:rsidRPr="00C91D7C">
        <w:rPr>
          <w:rFonts w:ascii="Arial" w:hAnsi="Arial" w:cs="Arial"/>
          <w:lang w:val="en-US"/>
        </w:rPr>
        <w:t xml:space="preserve">The Herfindahl-Hirschman Index (HHI) thresholds for market concentration and the HHI of concentration for Indian silk exports from 2011 to 2021 (Table 9), </w:t>
      </w:r>
      <w:r w:rsidR="00DD26CD" w:rsidRPr="00C91D7C">
        <w:rPr>
          <w:rFonts w:ascii="Arial" w:hAnsi="Arial" w:cs="Arial"/>
          <w:lang w:val="en-US"/>
        </w:rPr>
        <w:t>t</w:t>
      </w:r>
      <w:r w:rsidR="00C5695F" w:rsidRPr="00C91D7C">
        <w:rPr>
          <w:rFonts w:ascii="Arial" w:hAnsi="Arial" w:cs="Arial"/>
          <w:lang w:val="en-US"/>
        </w:rPr>
        <w:t>he HHI values, as per global standards set by the UK Competition and Markets Authority (CMA) and the U.S. Federal Trade Commission (FTC), are used to determine the level of concentration in a market. For Indian silk exports, the calculated HHI for the 2011–2021 period is 0.188, placing it in the moderate concentration category under the UK CMA classification, but high concentration under the US FTC’s stricter threshold.</w:t>
      </w:r>
      <w:r w:rsidR="00DD26CD" w:rsidRPr="00C91D7C">
        <w:rPr>
          <w:rFonts w:ascii="Arial" w:hAnsi="Arial" w:cs="Arial"/>
          <w:lang w:val="en-US"/>
        </w:rPr>
        <w:t xml:space="preserve"> </w:t>
      </w:r>
      <w:r w:rsidR="00C5695F" w:rsidRPr="00C91D7C">
        <w:rPr>
          <w:rFonts w:ascii="Arial" w:hAnsi="Arial" w:cs="Arial"/>
          <w:lang w:val="en-US"/>
        </w:rPr>
        <w:t>This finding suggests that India's silk exports are concentrated across a few destination countries, reflecting a relatively narrow export base. Such a structure may pose challenges for India in terms of market diversification and resilience to trade disruptions. A high concentration indicates that a substantial portion of India's silk exports are directed to a small group of countries—likely major buyers such as the Unit</w:t>
      </w:r>
      <w:r w:rsidR="006F0545" w:rsidRPr="00C91D7C">
        <w:rPr>
          <w:rFonts w:ascii="Arial" w:hAnsi="Arial" w:cs="Arial"/>
          <w:lang w:val="en-US"/>
        </w:rPr>
        <w:t xml:space="preserve">ed States, United Arab Emirates and </w:t>
      </w:r>
      <w:r w:rsidR="00C5695F" w:rsidRPr="00C91D7C">
        <w:rPr>
          <w:rFonts w:ascii="Arial" w:hAnsi="Arial" w:cs="Arial"/>
          <w:lang w:val="en-US"/>
        </w:rPr>
        <w:t>European markets. This concentration could make India’s silk sector vulnerable to changes in trade policy, demand fluctuations, or economic conditions in these few importing nations. Therefore, a broader and more diversified export strategy is essential to reduce market risk and enhance the global competitiveness of Indian silk.</w:t>
      </w:r>
    </w:p>
    <w:p w14:paraId="6529B911" w14:textId="77777777" w:rsidR="009E4C07" w:rsidRPr="00C91D7C" w:rsidRDefault="00371888" w:rsidP="00AC61D1">
      <w:pPr>
        <w:spacing w:before="120" w:line="360" w:lineRule="auto"/>
        <w:jc w:val="both"/>
        <w:rPr>
          <w:rFonts w:ascii="Arial" w:hAnsi="Arial" w:cs="Arial"/>
          <w:b/>
          <w:bCs/>
          <w:lang w:val="en-US"/>
        </w:rPr>
      </w:pPr>
      <w:r w:rsidRPr="00C91D7C">
        <w:rPr>
          <w:rFonts w:ascii="Arial" w:hAnsi="Arial" w:cs="Arial"/>
          <w:b/>
          <w:bCs/>
          <w:lang w:val="en-US"/>
        </w:rPr>
        <w:t>Table 9</w:t>
      </w:r>
      <w:r w:rsidR="009E4C07" w:rsidRPr="00C91D7C">
        <w:rPr>
          <w:rFonts w:ascii="Arial" w:hAnsi="Arial" w:cs="Arial"/>
          <w:b/>
          <w:bCs/>
          <w:lang w:val="en-US"/>
        </w:rPr>
        <w:t>: HHI reference thresholds and HHI of concentration of Indian silk exports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9E4C07" w:rsidRPr="00C91D7C" w14:paraId="0E77BB3D" w14:textId="77777777" w:rsidTr="00EC67C0">
        <w:trPr>
          <w:trHeight w:val="510"/>
        </w:trPr>
        <w:tc>
          <w:tcPr>
            <w:tcW w:w="1514" w:type="pct"/>
            <w:vMerge w:val="restart"/>
            <w:shd w:val="clear" w:color="auto" w:fill="auto"/>
            <w:noWrap/>
            <w:vAlign w:val="center"/>
            <w:hideMark/>
          </w:tcPr>
          <w:p w14:paraId="0CADB29F" w14:textId="77777777" w:rsidR="009E4C07" w:rsidRPr="00C91D7C" w:rsidRDefault="009E4C07" w:rsidP="00AC61D1">
            <w:pPr>
              <w:spacing w:after="0" w:line="360" w:lineRule="auto"/>
              <w:jc w:val="center"/>
              <w:rPr>
                <w:rFonts w:ascii="Arial" w:eastAsia="Times New Roman" w:hAnsi="Arial" w:cs="Arial"/>
                <w:b/>
                <w:bCs/>
                <w:color w:val="000000"/>
                <w:lang w:eastAsia="en-IN"/>
              </w:rPr>
            </w:pPr>
          </w:p>
          <w:p w14:paraId="7EAA316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6235829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39DF128D"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Indian Silk Exports</w:t>
            </w:r>
          </w:p>
          <w:p w14:paraId="3DD77A33"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9E4C07" w:rsidRPr="00C91D7C" w14:paraId="7C90F026" w14:textId="77777777" w:rsidTr="00EC67C0">
        <w:trPr>
          <w:trHeight w:val="300"/>
        </w:trPr>
        <w:tc>
          <w:tcPr>
            <w:tcW w:w="1514" w:type="pct"/>
            <w:vMerge/>
            <w:shd w:val="clear" w:color="auto" w:fill="auto"/>
            <w:noWrap/>
            <w:vAlign w:val="bottom"/>
            <w:hideMark/>
          </w:tcPr>
          <w:p w14:paraId="2256DC4B" w14:textId="77777777" w:rsidR="009E4C07" w:rsidRPr="00C91D7C" w:rsidRDefault="009E4C07" w:rsidP="00AC61D1">
            <w:pPr>
              <w:spacing w:after="0" w:line="360" w:lineRule="auto"/>
              <w:rPr>
                <w:rFonts w:ascii="Arial" w:eastAsia="Times New Roman" w:hAnsi="Arial" w:cs="Arial"/>
                <w:b/>
                <w:bCs/>
                <w:color w:val="000000"/>
                <w:lang w:eastAsia="en-IN"/>
              </w:rPr>
            </w:pPr>
          </w:p>
        </w:tc>
        <w:tc>
          <w:tcPr>
            <w:tcW w:w="1020" w:type="pct"/>
            <w:shd w:val="clear" w:color="auto" w:fill="auto"/>
            <w:noWrap/>
            <w:vAlign w:val="center"/>
            <w:hideMark/>
          </w:tcPr>
          <w:p w14:paraId="794DE78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UK CMA</w:t>
            </w:r>
          </w:p>
        </w:tc>
        <w:tc>
          <w:tcPr>
            <w:tcW w:w="1113" w:type="pct"/>
            <w:shd w:val="clear" w:color="auto" w:fill="auto"/>
            <w:noWrap/>
            <w:vAlign w:val="center"/>
            <w:hideMark/>
          </w:tcPr>
          <w:p w14:paraId="3CB7644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628DFF88" w14:textId="77777777" w:rsidR="009E4C07" w:rsidRPr="00C91D7C" w:rsidRDefault="009E4C07" w:rsidP="00AC61D1">
            <w:pPr>
              <w:spacing w:after="0" w:line="360" w:lineRule="auto"/>
              <w:rPr>
                <w:rFonts w:ascii="Arial" w:eastAsia="Times New Roman" w:hAnsi="Arial" w:cs="Arial"/>
                <w:b/>
                <w:bCs/>
                <w:color w:val="000000"/>
                <w:lang w:eastAsia="en-IN"/>
              </w:rPr>
            </w:pPr>
          </w:p>
        </w:tc>
      </w:tr>
      <w:tr w:rsidR="002731BA" w:rsidRPr="00C91D7C" w14:paraId="3B46C02C" w14:textId="77777777" w:rsidTr="00EC67C0">
        <w:trPr>
          <w:trHeight w:val="300"/>
        </w:trPr>
        <w:tc>
          <w:tcPr>
            <w:tcW w:w="1514" w:type="pct"/>
            <w:shd w:val="clear" w:color="auto" w:fill="auto"/>
            <w:noWrap/>
            <w:vAlign w:val="bottom"/>
            <w:hideMark/>
          </w:tcPr>
          <w:p w14:paraId="5F59E9A6" w14:textId="77777777" w:rsidR="009E4C07" w:rsidRPr="00C91D7C" w:rsidRDefault="009E4C07"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center"/>
            <w:hideMark/>
          </w:tcPr>
          <w:p w14:paraId="17656B49"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center"/>
            <w:hideMark/>
          </w:tcPr>
          <w:p w14:paraId="28D18B2A"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09D49437" w14:textId="77777777" w:rsidR="009E4C07" w:rsidRPr="00C91D7C" w:rsidRDefault="009E4C07" w:rsidP="006F0545">
            <w:pPr>
              <w:spacing w:after="0" w:line="360" w:lineRule="auto"/>
              <w:jc w:val="center"/>
              <w:rPr>
                <w:rFonts w:ascii="Arial" w:eastAsia="Times New Roman" w:hAnsi="Arial" w:cs="Arial"/>
                <w:color w:val="000000"/>
                <w:lang w:eastAsia="en-IN"/>
              </w:rPr>
            </w:pPr>
          </w:p>
        </w:tc>
      </w:tr>
      <w:tr w:rsidR="002731BA" w:rsidRPr="00C91D7C" w14:paraId="26B93DF2" w14:textId="77777777" w:rsidTr="00EC67C0">
        <w:trPr>
          <w:trHeight w:val="300"/>
        </w:trPr>
        <w:tc>
          <w:tcPr>
            <w:tcW w:w="1514" w:type="pct"/>
            <w:shd w:val="clear" w:color="auto" w:fill="auto"/>
            <w:noWrap/>
            <w:vAlign w:val="bottom"/>
            <w:hideMark/>
          </w:tcPr>
          <w:p w14:paraId="244728AF" w14:textId="77777777" w:rsidR="009E4C07" w:rsidRPr="00C91D7C" w:rsidRDefault="009E4C07"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center"/>
            <w:hideMark/>
          </w:tcPr>
          <w:p w14:paraId="58F08D1A"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center"/>
            <w:hideMark/>
          </w:tcPr>
          <w:p w14:paraId="1F61FBE2"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hideMark/>
          </w:tcPr>
          <w:p w14:paraId="0D08D3FD"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0.188 (UK CMA)</w:t>
            </w:r>
          </w:p>
        </w:tc>
      </w:tr>
      <w:tr w:rsidR="002731BA" w:rsidRPr="00C91D7C" w14:paraId="110E3E73" w14:textId="77777777" w:rsidTr="00EC67C0">
        <w:trPr>
          <w:trHeight w:val="300"/>
        </w:trPr>
        <w:tc>
          <w:tcPr>
            <w:tcW w:w="1514" w:type="pct"/>
            <w:shd w:val="clear" w:color="auto" w:fill="auto"/>
            <w:noWrap/>
            <w:vAlign w:val="bottom"/>
            <w:hideMark/>
          </w:tcPr>
          <w:p w14:paraId="2B8A26C3" w14:textId="77777777" w:rsidR="009E4C07" w:rsidRPr="00C91D7C" w:rsidRDefault="009E4C07"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center"/>
            <w:hideMark/>
          </w:tcPr>
          <w:p w14:paraId="6DFDC301"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center"/>
            <w:hideMark/>
          </w:tcPr>
          <w:p w14:paraId="3B2EF819"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hideMark/>
          </w:tcPr>
          <w:p w14:paraId="13F09EF1"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0.188 (US FTC)</w:t>
            </w:r>
          </w:p>
        </w:tc>
      </w:tr>
    </w:tbl>
    <w:p w14:paraId="6A7E6C69" w14:textId="77777777" w:rsidR="00076DD0" w:rsidRDefault="00076DD0" w:rsidP="00AC61D1">
      <w:pPr>
        <w:spacing w:before="120" w:line="360" w:lineRule="auto"/>
        <w:jc w:val="both"/>
        <w:rPr>
          <w:rFonts w:ascii="Arial" w:hAnsi="Arial" w:cs="Arial"/>
          <w:b/>
          <w:bCs/>
          <w:lang w:val="en-US"/>
        </w:rPr>
      </w:pPr>
    </w:p>
    <w:p w14:paraId="0F11DF8D" w14:textId="77777777" w:rsidR="00076DD0" w:rsidRDefault="00076DD0" w:rsidP="00AC61D1">
      <w:pPr>
        <w:spacing w:before="120" w:line="360" w:lineRule="auto"/>
        <w:jc w:val="both"/>
        <w:rPr>
          <w:rFonts w:ascii="Arial" w:hAnsi="Arial" w:cs="Arial"/>
          <w:b/>
          <w:bCs/>
          <w:lang w:val="en-US"/>
        </w:rPr>
      </w:pPr>
    </w:p>
    <w:p w14:paraId="3BB9CAD0" w14:textId="77777777" w:rsidR="009417F9" w:rsidRPr="00C91D7C" w:rsidRDefault="00D76DF1" w:rsidP="00AC61D1">
      <w:pPr>
        <w:spacing w:before="120" w:line="360" w:lineRule="auto"/>
        <w:jc w:val="both"/>
        <w:rPr>
          <w:rFonts w:ascii="Arial" w:hAnsi="Arial" w:cs="Arial"/>
          <w:b/>
          <w:bCs/>
          <w:lang w:val="en-US"/>
        </w:rPr>
      </w:pPr>
      <w:r w:rsidRPr="00C91D7C">
        <w:rPr>
          <w:rFonts w:ascii="Arial" w:hAnsi="Arial" w:cs="Arial"/>
          <w:b/>
          <w:bCs/>
          <w:lang w:val="en-US"/>
        </w:rPr>
        <w:lastRenderedPageBreak/>
        <w:t xml:space="preserve">3.10 </w:t>
      </w:r>
      <w:r w:rsidR="009417F9" w:rsidRPr="00C91D7C">
        <w:rPr>
          <w:rFonts w:ascii="Arial" w:hAnsi="Arial" w:cs="Arial"/>
          <w:b/>
          <w:bCs/>
          <w:lang w:val="en-US"/>
        </w:rPr>
        <w:t>HHI of concentration of Indian silk imports</w:t>
      </w:r>
    </w:p>
    <w:p w14:paraId="61A655F1" w14:textId="77777777" w:rsidR="006F0545" w:rsidRPr="00C91D7C" w:rsidRDefault="00E33FE8" w:rsidP="006F0545">
      <w:pPr>
        <w:spacing w:before="120" w:line="360" w:lineRule="auto"/>
        <w:jc w:val="both"/>
        <w:rPr>
          <w:rFonts w:ascii="Arial" w:hAnsi="Arial" w:cs="Arial"/>
          <w:lang w:val="en-US"/>
        </w:rPr>
      </w:pPr>
      <w:r w:rsidRPr="00C91D7C">
        <w:rPr>
          <w:rFonts w:ascii="Arial" w:hAnsi="Arial" w:cs="Arial"/>
          <w:b/>
          <w:bCs/>
          <w:lang w:val="en-US"/>
        </w:rPr>
        <w:tab/>
      </w:r>
      <w:r w:rsidR="00852798" w:rsidRPr="00C91D7C">
        <w:rPr>
          <w:rFonts w:ascii="Arial" w:hAnsi="Arial" w:cs="Arial"/>
          <w:lang w:val="en-US"/>
        </w:rPr>
        <w:t>The T</w:t>
      </w:r>
      <w:r w:rsidR="006F0545" w:rsidRPr="00C91D7C">
        <w:rPr>
          <w:rFonts w:ascii="Arial" w:hAnsi="Arial" w:cs="Arial"/>
          <w:lang w:val="en-US"/>
        </w:rPr>
        <w:t xml:space="preserve">able 10 </w:t>
      </w:r>
      <w:r w:rsidR="00852798" w:rsidRPr="00C91D7C">
        <w:rPr>
          <w:rFonts w:ascii="Arial" w:hAnsi="Arial" w:cs="Arial"/>
          <w:lang w:val="en-US"/>
        </w:rPr>
        <w:t>indicated that</w:t>
      </w:r>
      <w:r w:rsidR="006F0545" w:rsidRPr="00C91D7C">
        <w:rPr>
          <w:rFonts w:ascii="Arial" w:hAnsi="Arial" w:cs="Arial"/>
          <w:lang w:val="en-US"/>
        </w:rPr>
        <w:t xml:space="preserve"> the Herfindahl-Hirschman Index (HHI) thresholds for market concentration and the HHI of concentration for Indian silk imports from 2011 to 2021 (Table 10). The calculated HHI for Indian silk imports during this period was found to be 0.665, which is significantly above both agencies' high concentration thresholds. This clearly reflects that India’s silk import market is highly concentrated, meaning that a large share of its silk imports is sourced from a very limited number of countries.</w:t>
      </w:r>
    </w:p>
    <w:p w14:paraId="453BEA39" w14:textId="77777777" w:rsidR="006F0545" w:rsidRPr="00C91D7C" w:rsidRDefault="006F0545" w:rsidP="006F0545">
      <w:pPr>
        <w:spacing w:before="120" w:line="360" w:lineRule="auto"/>
        <w:jc w:val="both"/>
        <w:rPr>
          <w:rFonts w:ascii="Arial" w:hAnsi="Arial" w:cs="Arial"/>
          <w:lang w:val="en-US"/>
        </w:rPr>
      </w:pPr>
      <w:r w:rsidRPr="00C91D7C">
        <w:rPr>
          <w:rFonts w:ascii="Arial" w:hAnsi="Arial" w:cs="Arial"/>
          <w:lang w:val="en-US"/>
        </w:rPr>
        <w:tab/>
        <w:t>The exceptionally high HHI value of 0.665 suggests extreme dependence on one or two key supplier nations, most likely China, which is globally recognized as the leading exporter of silk raw materials and finished products. Such a high degree of concentration poses considerable strategic and economic risks, particularly in the context of trade disruptions, geopolitical tensions, or supply chain shocks. This lack of diversification in sourcing makes India’s silk sector vulnerable, especially for inputs like raw silk or silk yarn, which are critical to the domestic silk weaving and value-addition industries. To reduce this dependency, it is imperative for India to explore alternative sourcing partners, strengthen domestic production capabilities, and invest in strategic bilateral trade arrangements with emerging silk-producing countries.</w:t>
      </w:r>
    </w:p>
    <w:p w14:paraId="26956739" w14:textId="77777777" w:rsidR="009417F9" w:rsidRPr="00C91D7C" w:rsidRDefault="009417F9" w:rsidP="00AC61D1">
      <w:pPr>
        <w:spacing w:before="120" w:line="360" w:lineRule="auto"/>
        <w:jc w:val="both"/>
        <w:rPr>
          <w:rFonts w:ascii="Arial" w:hAnsi="Arial" w:cs="Arial"/>
          <w:b/>
          <w:bCs/>
          <w:lang w:val="en-US"/>
        </w:rPr>
      </w:pPr>
      <w:r w:rsidRPr="00C91D7C">
        <w:rPr>
          <w:rFonts w:ascii="Arial" w:hAnsi="Arial" w:cs="Arial"/>
          <w:b/>
          <w:bCs/>
          <w:lang w:val="en-US"/>
        </w:rPr>
        <w:t>Table 1</w:t>
      </w:r>
      <w:r w:rsidR="00371888" w:rsidRPr="00C91D7C">
        <w:rPr>
          <w:rFonts w:ascii="Arial" w:hAnsi="Arial" w:cs="Arial"/>
          <w:b/>
          <w:bCs/>
          <w:lang w:val="en-US"/>
        </w:rPr>
        <w:t>0</w:t>
      </w:r>
      <w:r w:rsidRPr="00C91D7C">
        <w:rPr>
          <w:rFonts w:ascii="Arial" w:hAnsi="Arial" w:cs="Arial"/>
          <w:b/>
          <w:bCs/>
          <w:lang w:val="en-US"/>
        </w:rPr>
        <w:t>: HHI reference thresholds and HHI of concentration of Indian silk exports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9417F9" w:rsidRPr="00C91D7C" w14:paraId="7E32A44F" w14:textId="77777777" w:rsidTr="00EC67C0">
        <w:trPr>
          <w:trHeight w:val="510"/>
        </w:trPr>
        <w:tc>
          <w:tcPr>
            <w:tcW w:w="1514" w:type="pct"/>
            <w:vMerge w:val="restart"/>
            <w:shd w:val="clear" w:color="auto" w:fill="auto"/>
            <w:noWrap/>
            <w:vAlign w:val="center"/>
            <w:hideMark/>
          </w:tcPr>
          <w:p w14:paraId="4CA5B95E" w14:textId="77777777" w:rsidR="009417F9" w:rsidRPr="00C91D7C" w:rsidRDefault="009417F9" w:rsidP="00AC61D1">
            <w:pPr>
              <w:spacing w:after="0" w:line="360" w:lineRule="auto"/>
              <w:jc w:val="center"/>
              <w:rPr>
                <w:rFonts w:ascii="Arial" w:eastAsia="Times New Roman" w:hAnsi="Arial" w:cs="Arial"/>
                <w:b/>
                <w:bCs/>
                <w:color w:val="000000"/>
                <w:lang w:eastAsia="en-IN"/>
              </w:rPr>
            </w:pPr>
          </w:p>
          <w:p w14:paraId="0CC525D1"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02486E2A"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2FB6ED51"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Indian silk imports</w:t>
            </w:r>
          </w:p>
          <w:p w14:paraId="17BB0EC7"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9417F9" w:rsidRPr="00C91D7C" w14:paraId="6D53EB8D" w14:textId="77777777" w:rsidTr="00EC67C0">
        <w:trPr>
          <w:trHeight w:val="300"/>
        </w:trPr>
        <w:tc>
          <w:tcPr>
            <w:tcW w:w="1514" w:type="pct"/>
            <w:vMerge/>
            <w:shd w:val="clear" w:color="auto" w:fill="auto"/>
            <w:noWrap/>
            <w:vAlign w:val="bottom"/>
            <w:hideMark/>
          </w:tcPr>
          <w:p w14:paraId="77D6577E" w14:textId="77777777" w:rsidR="009417F9" w:rsidRPr="00C91D7C" w:rsidRDefault="009417F9" w:rsidP="00AC61D1">
            <w:pPr>
              <w:spacing w:after="0" w:line="360" w:lineRule="auto"/>
              <w:rPr>
                <w:rFonts w:ascii="Arial" w:eastAsia="Times New Roman" w:hAnsi="Arial" w:cs="Arial"/>
                <w:b/>
                <w:bCs/>
                <w:color w:val="000000"/>
                <w:lang w:eastAsia="en-IN"/>
              </w:rPr>
            </w:pPr>
          </w:p>
        </w:tc>
        <w:tc>
          <w:tcPr>
            <w:tcW w:w="1020" w:type="pct"/>
            <w:shd w:val="clear" w:color="auto" w:fill="auto"/>
            <w:noWrap/>
            <w:vAlign w:val="center"/>
            <w:hideMark/>
          </w:tcPr>
          <w:p w14:paraId="74E77315"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UK CMA</w:t>
            </w:r>
          </w:p>
        </w:tc>
        <w:tc>
          <w:tcPr>
            <w:tcW w:w="1113" w:type="pct"/>
            <w:shd w:val="clear" w:color="auto" w:fill="auto"/>
            <w:noWrap/>
            <w:vAlign w:val="center"/>
            <w:hideMark/>
          </w:tcPr>
          <w:p w14:paraId="6E36E5A3"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4B14858A" w14:textId="77777777" w:rsidR="009417F9" w:rsidRPr="00C91D7C" w:rsidRDefault="009417F9" w:rsidP="00AC61D1">
            <w:pPr>
              <w:spacing w:after="0" w:line="360" w:lineRule="auto"/>
              <w:rPr>
                <w:rFonts w:ascii="Arial" w:eastAsia="Times New Roman" w:hAnsi="Arial" w:cs="Arial"/>
                <w:b/>
                <w:bCs/>
                <w:color w:val="000000"/>
                <w:lang w:eastAsia="en-IN"/>
              </w:rPr>
            </w:pPr>
          </w:p>
        </w:tc>
      </w:tr>
      <w:tr w:rsidR="00333236" w:rsidRPr="00C91D7C" w14:paraId="033A20BB" w14:textId="77777777" w:rsidTr="00EC67C0">
        <w:trPr>
          <w:trHeight w:val="300"/>
        </w:trPr>
        <w:tc>
          <w:tcPr>
            <w:tcW w:w="1514" w:type="pct"/>
            <w:shd w:val="clear" w:color="auto" w:fill="auto"/>
            <w:noWrap/>
            <w:vAlign w:val="bottom"/>
            <w:hideMark/>
          </w:tcPr>
          <w:p w14:paraId="47807A0E" w14:textId="77777777" w:rsidR="009417F9" w:rsidRPr="00C91D7C" w:rsidRDefault="009417F9"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bottom"/>
            <w:hideMark/>
          </w:tcPr>
          <w:p w14:paraId="26D7526A"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bottom"/>
            <w:hideMark/>
          </w:tcPr>
          <w:p w14:paraId="2D81727E"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5A121846" w14:textId="77777777" w:rsidR="009417F9" w:rsidRPr="00C91D7C" w:rsidRDefault="009417F9" w:rsidP="00852798">
            <w:pPr>
              <w:spacing w:after="0" w:line="360" w:lineRule="auto"/>
              <w:jc w:val="center"/>
              <w:rPr>
                <w:rFonts w:ascii="Arial" w:eastAsia="Times New Roman" w:hAnsi="Arial" w:cs="Arial"/>
                <w:color w:val="000000"/>
                <w:lang w:eastAsia="en-IN"/>
              </w:rPr>
            </w:pPr>
          </w:p>
        </w:tc>
      </w:tr>
      <w:tr w:rsidR="00333236" w:rsidRPr="00C91D7C" w14:paraId="06BCA586" w14:textId="77777777" w:rsidTr="00EC67C0">
        <w:trPr>
          <w:trHeight w:val="300"/>
        </w:trPr>
        <w:tc>
          <w:tcPr>
            <w:tcW w:w="1514" w:type="pct"/>
            <w:shd w:val="clear" w:color="auto" w:fill="auto"/>
            <w:noWrap/>
            <w:vAlign w:val="bottom"/>
            <w:hideMark/>
          </w:tcPr>
          <w:p w14:paraId="68065D9A" w14:textId="77777777" w:rsidR="009417F9" w:rsidRPr="00C91D7C" w:rsidRDefault="009417F9"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bottom"/>
            <w:hideMark/>
          </w:tcPr>
          <w:p w14:paraId="5741DB93"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bottom"/>
            <w:hideMark/>
          </w:tcPr>
          <w:p w14:paraId="14918633"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tcPr>
          <w:p w14:paraId="2DD6064E" w14:textId="77777777" w:rsidR="009417F9" w:rsidRPr="00C91D7C" w:rsidRDefault="009417F9" w:rsidP="00852798">
            <w:pPr>
              <w:spacing w:after="0" w:line="360" w:lineRule="auto"/>
              <w:jc w:val="center"/>
              <w:rPr>
                <w:rFonts w:ascii="Arial" w:eastAsia="Times New Roman" w:hAnsi="Arial" w:cs="Arial"/>
                <w:color w:val="000000"/>
                <w:lang w:eastAsia="en-IN"/>
              </w:rPr>
            </w:pPr>
          </w:p>
        </w:tc>
      </w:tr>
      <w:tr w:rsidR="00333236" w:rsidRPr="00C91D7C" w14:paraId="61754ED4" w14:textId="77777777" w:rsidTr="00EC67C0">
        <w:trPr>
          <w:trHeight w:val="300"/>
        </w:trPr>
        <w:tc>
          <w:tcPr>
            <w:tcW w:w="1514" w:type="pct"/>
            <w:shd w:val="clear" w:color="auto" w:fill="auto"/>
            <w:noWrap/>
            <w:vAlign w:val="bottom"/>
            <w:hideMark/>
          </w:tcPr>
          <w:p w14:paraId="0E26A83A" w14:textId="77777777" w:rsidR="009417F9" w:rsidRPr="00C91D7C" w:rsidRDefault="009417F9"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bottom"/>
            <w:hideMark/>
          </w:tcPr>
          <w:p w14:paraId="7C10626D"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bottom"/>
            <w:hideMark/>
          </w:tcPr>
          <w:p w14:paraId="1B9CF9FE"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tcPr>
          <w:p w14:paraId="702F4BA1" w14:textId="77777777" w:rsidR="009417F9" w:rsidRPr="00C91D7C" w:rsidRDefault="00E33FE8"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0.665</w:t>
            </w:r>
          </w:p>
        </w:tc>
      </w:tr>
    </w:tbl>
    <w:p w14:paraId="6C5E1838" w14:textId="77777777" w:rsidR="002E15B2" w:rsidRPr="00C91D7C" w:rsidRDefault="002E15B2" w:rsidP="00AC61D1">
      <w:pPr>
        <w:spacing w:line="360" w:lineRule="auto"/>
        <w:rPr>
          <w:rFonts w:ascii="Arial" w:hAnsi="Arial" w:cs="Arial"/>
          <w:b/>
          <w:bCs/>
          <w:lang w:val="en-GB"/>
        </w:rPr>
      </w:pPr>
    </w:p>
    <w:p w14:paraId="70D40A30" w14:textId="77777777" w:rsidR="002E15B2" w:rsidRPr="00C91D7C" w:rsidRDefault="002E15B2" w:rsidP="002E15B2">
      <w:pPr>
        <w:spacing w:line="360" w:lineRule="auto"/>
        <w:rPr>
          <w:rFonts w:ascii="Arial" w:hAnsi="Arial" w:cs="Arial"/>
          <w:b/>
          <w:bCs/>
          <w:lang w:val="en-GB"/>
        </w:rPr>
      </w:pPr>
      <w:r w:rsidRPr="00C91D7C">
        <w:rPr>
          <w:rFonts w:ascii="Arial" w:hAnsi="Arial" w:cs="Arial"/>
          <w:b/>
          <w:bCs/>
          <w:lang w:val="en-GB"/>
        </w:rPr>
        <w:t xml:space="preserve">3.11 Export Unit Value (EUV) and Import Unit Value (IUV) for Silk products </w:t>
      </w:r>
    </w:p>
    <w:p w14:paraId="1197B85E" w14:textId="77777777" w:rsidR="00E11F92" w:rsidRPr="00C91D7C" w:rsidRDefault="002E15B2" w:rsidP="00E11F92">
      <w:pPr>
        <w:spacing w:line="360" w:lineRule="auto"/>
        <w:jc w:val="both"/>
        <w:rPr>
          <w:rFonts w:ascii="Arial" w:hAnsi="Arial" w:cs="Arial"/>
          <w:lang w:val="en-GB"/>
        </w:rPr>
      </w:pPr>
      <w:r w:rsidRPr="00C91D7C">
        <w:rPr>
          <w:rFonts w:ascii="Arial" w:hAnsi="Arial" w:cs="Arial"/>
          <w:lang w:val="en-GB"/>
        </w:rPr>
        <w:tab/>
      </w:r>
      <w:r w:rsidR="00E11F92" w:rsidRPr="00C91D7C">
        <w:rPr>
          <w:rFonts w:ascii="Arial" w:hAnsi="Arial" w:cs="Arial"/>
          <w:lang w:val="en-GB"/>
        </w:rPr>
        <w:t xml:space="preserve">The table 11 presents the Export Unit Value (EUV) and Import Unit Value (IUV) for various silk products in 2021. A clear trend emerges: for most high-end silk products like woven fabrics (both those with less than 85 per cent silk content, (HS code 500790), and those with more than 85 per cent silk content (HS code 500720), the EUV (270.31 and 249.09 respectively) is significantly higher than the IUV (141.58 and 140.96 respectively). This suggests that India is exporting more refined or premium-quality silk fabrics at higher prices while importing comparatively lower-cost fabrics, possibly of lower quality or in unfinished form for further value addition. Woven fabrics of noil silk (HS code 500710) also have a decent </w:t>
      </w:r>
      <w:r w:rsidR="00E11F92" w:rsidRPr="00C91D7C">
        <w:rPr>
          <w:rFonts w:ascii="Arial" w:hAnsi="Arial" w:cs="Arial"/>
          <w:lang w:val="en-GB"/>
        </w:rPr>
        <w:lastRenderedPageBreak/>
        <w:t>export value (135.25), but no corresponding import data is available, indicating that India might primarily be a producer and exporter in this segment.</w:t>
      </w:r>
    </w:p>
    <w:p w14:paraId="0488BB67" w14:textId="77777777" w:rsidR="00E11F92" w:rsidRPr="00C91D7C" w:rsidRDefault="00E11F92" w:rsidP="00E11F92">
      <w:pPr>
        <w:spacing w:line="360" w:lineRule="auto"/>
        <w:jc w:val="both"/>
        <w:rPr>
          <w:rFonts w:ascii="Arial" w:hAnsi="Arial" w:cs="Arial"/>
          <w:lang w:val="en-GB"/>
        </w:rPr>
      </w:pPr>
      <w:r w:rsidRPr="00C91D7C">
        <w:rPr>
          <w:rFonts w:ascii="Arial" w:hAnsi="Arial" w:cs="Arial"/>
          <w:lang w:val="en-GB"/>
        </w:rPr>
        <w:tab/>
        <w:t>In the case of yarn products, like silk yarn and yarn spun from silk waste put up for retail sale (HS code 500600) and yarn spun from silk waste not put up for retail sale (HS code 500500), the EUV (26.81 and 22.43) is slightly lower than the IUV (30.94 and 24.66). This reflects that India might be exporting more basic or bulk yarn while importing higher-priced, possibly finer quality yarns for specific uses. A notable case is with raw silk (HS code 500200) and silk yarn (HS code 500400), where the EUV (11.98 and 19.80) is much lower than the IUV (51.30 and 56.02). This clearly suggests that India imports high-quality raw silk and silk yarn at a premium price, especially from countries like China, while it exports relatively lower-value raw silk or intermediate-grade products.</w:t>
      </w:r>
    </w:p>
    <w:p w14:paraId="0C8A1C50" w14:textId="77777777" w:rsidR="00E11F92" w:rsidRPr="00C91D7C" w:rsidRDefault="00E11F92" w:rsidP="00E11F92">
      <w:pPr>
        <w:spacing w:line="360" w:lineRule="auto"/>
        <w:jc w:val="both"/>
        <w:rPr>
          <w:rFonts w:ascii="Arial" w:hAnsi="Arial" w:cs="Arial"/>
          <w:lang w:val="en-GB"/>
        </w:rPr>
      </w:pPr>
      <w:r w:rsidRPr="00C91D7C">
        <w:rPr>
          <w:rFonts w:ascii="Arial" w:hAnsi="Arial" w:cs="Arial"/>
          <w:lang w:val="en-GB"/>
        </w:rPr>
        <w:tab/>
        <w:t>For silkworm cocoons (HS code 500100) and silk waste (HS code 500300), the EUV is low (13.61 and 9.13) and imports of silk waste also show a modest IUV (23.92), again highlighting India's strength as a producer of raw materials but reliance on imports for higher-end silk quality. Overall, the data reflects India's dual role in the global silk market: as a producer and exporter of lower-cost, semi-processed silk products and as an importer of higher-quality, value-added silk products to meet domestic industrial or artisanal demands. The value per unit of exported and imported silk products for each category. Higher EUV values generally indicates higher export prices, while higher IUV values suggest higher import prices. The specific values vary depending on the type of silk product.</w:t>
      </w:r>
    </w:p>
    <w:p w14:paraId="296CDDE3" w14:textId="36DF65C0" w:rsidR="001F3082" w:rsidRPr="00C91D7C" w:rsidRDefault="001F3082" w:rsidP="001F3082">
      <w:pPr>
        <w:spacing w:line="360" w:lineRule="auto"/>
        <w:rPr>
          <w:rFonts w:ascii="Arial" w:hAnsi="Arial" w:cs="Arial"/>
          <w:b/>
          <w:bCs/>
          <w:lang w:val="en-GB"/>
        </w:rPr>
      </w:pPr>
      <w:r w:rsidRPr="00C91D7C">
        <w:rPr>
          <w:rFonts w:ascii="Arial" w:hAnsi="Arial" w:cs="Arial"/>
          <w:b/>
          <w:bCs/>
          <w:lang w:val="en-GB"/>
        </w:rPr>
        <w:t>Table 1</w:t>
      </w:r>
      <w:r w:rsidR="00D65B73">
        <w:rPr>
          <w:rFonts w:ascii="Arial" w:hAnsi="Arial" w:cs="Arial"/>
          <w:b/>
          <w:bCs/>
          <w:lang w:val="en-GB"/>
        </w:rPr>
        <w:t>1</w:t>
      </w:r>
      <w:r w:rsidRPr="00C91D7C">
        <w:rPr>
          <w:rFonts w:ascii="Arial" w:hAnsi="Arial" w:cs="Arial"/>
          <w:b/>
          <w:bCs/>
          <w:lang w:val="en-GB"/>
        </w:rPr>
        <w:t>: Export unit value (EUV) and Import unit value (IUV) for silk products during 2021</w:t>
      </w:r>
    </w:p>
    <w:tbl>
      <w:tblPr>
        <w:tblW w:w="5000" w:type="pct"/>
        <w:tblLayout w:type="fixed"/>
        <w:tblLook w:val="04A0" w:firstRow="1" w:lastRow="0" w:firstColumn="1" w:lastColumn="0" w:noHBand="0" w:noVBand="1"/>
      </w:tblPr>
      <w:tblGrid>
        <w:gridCol w:w="1124"/>
        <w:gridCol w:w="5670"/>
        <w:gridCol w:w="1135"/>
        <w:gridCol w:w="1077"/>
      </w:tblGrid>
      <w:tr w:rsidR="003E4434" w:rsidRPr="00C91D7C" w14:paraId="30162D14" w14:textId="77777777" w:rsidTr="00076DD0">
        <w:trPr>
          <w:trHeight w:val="315"/>
        </w:trPr>
        <w:tc>
          <w:tcPr>
            <w:tcW w:w="62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89297A"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HS Code</w:t>
            </w:r>
          </w:p>
        </w:tc>
        <w:tc>
          <w:tcPr>
            <w:tcW w:w="3148" w:type="pct"/>
            <w:tcBorders>
              <w:top w:val="single" w:sz="8" w:space="0" w:color="auto"/>
              <w:left w:val="nil"/>
              <w:bottom w:val="single" w:sz="8" w:space="0" w:color="auto"/>
              <w:right w:val="single" w:sz="8" w:space="0" w:color="auto"/>
            </w:tcBorders>
            <w:shd w:val="clear" w:color="auto" w:fill="auto"/>
            <w:noWrap/>
            <w:vAlign w:val="center"/>
            <w:hideMark/>
          </w:tcPr>
          <w:p w14:paraId="39090942"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2AB4FDF2"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EUV</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14:paraId="7C7F0600"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IUV</w:t>
            </w:r>
          </w:p>
        </w:tc>
      </w:tr>
      <w:tr w:rsidR="003E4434" w:rsidRPr="00C91D7C" w14:paraId="092FDF7F"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5DCC3480"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3148" w:type="pct"/>
            <w:tcBorders>
              <w:top w:val="nil"/>
              <w:left w:val="nil"/>
              <w:bottom w:val="single" w:sz="8" w:space="0" w:color="auto"/>
              <w:right w:val="single" w:sz="8" w:space="0" w:color="auto"/>
            </w:tcBorders>
            <w:shd w:val="clear" w:color="auto" w:fill="auto"/>
            <w:noWrap/>
            <w:vAlign w:val="center"/>
            <w:hideMark/>
          </w:tcPr>
          <w:p w14:paraId="7E070357"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630" w:type="pct"/>
            <w:tcBorders>
              <w:top w:val="nil"/>
              <w:left w:val="nil"/>
              <w:bottom w:val="single" w:sz="8" w:space="0" w:color="auto"/>
              <w:right w:val="single" w:sz="8" w:space="0" w:color="auto"/>
            </w:tcBorders>
            <w:shd w:val="clear" w:color="auto" w:fill="auto"/>
            <w:noWrap/>
            <w:vAlign w:val="center"/>
            <w:hideMark/>
          </w:tcPr>
          <w:p w14:paraId="6E180F9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270.31</w:t>
            </w:r>
          </w:p>
        </w:tc>
        <w:tc>
          <w:tcPr>
            <w:tcW w:w="598" w:type="pct"/>
            <w:tcBorders>
              <w:top w:val="nil"/>
              <w:left w:val="nil"/>
              <w:bottom w:val="single" w:sz="8" w:space="0" w:color="auto"/>
              <w:right w:val="single" w:sz="8" w:space="0" w:color="auto"/>
            </w:tcBorders>
            <w:shd w:val="clear" w:color="auto" w:fill="auto"/>
            <w:noWrap/>
            <w:vAlign w:val="center"/>
            <w:hideMark/>
          </w:tcPr>
          <w:p w14:paraId="2C1A54B1"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141.58</w:t>
            </w:r>
          </w:p>
        </w:tc>
      </w:tr>
      <w:tr w:rsidR="003E4434" w:rsidRPr="00C91D7C" w14:paraId="35F06622"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0C9DD2C6"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3148" w:type="pct"/>
            <w:tcBorders>
              <w:top w:val="nil"/>
              <w:left w:val="nil"/>
              <w:bottom w:val="single" w:sz="8" w:space="0" w:color="auto"/>
              <w:right w:val="single" w:sz="8" w:space="0" w:color="auto"/>
            </w:tcBorders>
            <w:shd w:val="clear" w:color="auto" w:fill="auto"/>
            <w:noWrap/>
            <w:vAlign w:val="center"/>
            <w:hideMark/>
          </w:tcPr>
          <w:p w14:paraId="1DAB9BEC"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630" w:type="pct"/>
            <w:tcBorders>
              <w:top w:val="nil"/>
              <w:left w:val="nil"/>
              <w:bottom w:val="single" w:sz="8" w:space="0" w:color="auto"/>
              <w:right w:val="single" w:sz="8" w:space="0" w:color="auto"/>
            </w:tcBorders>
            <w:shd w:val="clear" w:color="auto" w:fill="auto"/>
            <w:noWrap/>
            <w:vAlign w:val="center"/>
            <w:hideMark/>
          </w:tcPr>
          <w:p w14:paraId="5B8963BB"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249.09</w:t>
            </w:r>
          </w:p>
        </w:tc>
        <w:tc>
          <w:tcPr>
            <w:tcW w:w="598" w:type="pct"/>
            <w:tcBorders>
              <w:top w:val="nil"/>
              <w:left w:val="nil"/>
              <w:bottom w:val="single" w:sz="8" w:space="0" w:color="auto"/>
              <w:right w:val="single" w:sz="8" w:space="0" w:color="auto"/>
            </w:tcBorders>
            <w:shd w:val="clear" w:color="auto" w:fill="auto"/>
            <w:noWrap/>
            <w:vAlign w:val="center"/>
            <w:hideMark/>
          </w:tcPr>
          <w:p w14:paraId="40C3E336"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140.96</w:t>
            </w:r>
          </w:p>
        </w:tc>
      </w:tr>
      <w:tr w:rsidR="003E4434" w:rsidRPr="00C91D7C" w14:paraId="49C67B39"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628B062F"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3148" w:type="pct"/>
            <w:tcBorders>
              <w:top w:val="nil"/>
              <w:left w:val="nil"/>
              <w:bottom w:val="single" w:sz="8" w:space="0" w:color="auto"/>
              <w:right w:val="single" w:sz="8" w:space="0" w:color="auto"/>
            </w:tcBorders>
            <w:shd w:val="clear" w:color="auto" w:fill="auto"/>
            <w:noWrap/>
            <w:vAlign w:val="center"/>
            <w:hideMark/>
          </w:tcPr>
          <w:p w14:paraId="0A791F21"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630" w:type="pct"/>
            <w:tcBorders>
              <w:top w:val="nil"/>
              <w:left w:val="nil"/>
              <w:bottom w:val="single" w:sz="8" w:space="0" w:color="auto"/>
              <w:right w:val="single" w:sz="8" w:space="0" w:color="auto"/>
            </w:tcBorders>
            <w:shd w:val="clear" w:color="auto" w:fill="auto"/>
            <w:noWrap/>
            <w:vAlign w:val="center"/>
            <w:hideMark/>
          </w:tcPr>
          <w:p w14:paraId="63ABF799"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135.25</w:t>
            </w:r>
          </w:p>
        </w:tc>
        <w:tc>
          <w:tcPr>
            <w:tcW w:w="598" w:type="pct"/>
            <w:tcBorders>
              <w:top w:val="nil"/>
              <w:left w:val="nil"/>
              <w:bottom w:val="single" w:sz="8" w:space="0" w:color="auto"/>
              <w:right w:val="single" w:sz="8" w:space="0" w:color="auto"/>
            </w:tcBorders>
            <w:shd w:val="clear" w:color="auto" w:fill="auto"/>
            <w:noWrap/>
            <w:vAlign w:val="center"/>
            <w:hideMark/>
          </w:tcPr>
          <w:p w14:paraId="574694C7"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w:t>
            </w:r>
          </w:p>
        </w:tc>
      </w:tr>
      <w:tr w:rsidR="003E4434" w:rsidRPr="00C91D7C" w14:paraId="18A56AA3"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5E7206E2"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3148" w:type="pct"/>
            <w:tcBorders>
              <w:top w:val="nil"/>
              <w:left w:val="nil"/>
              <w:bottom w:val="single" w:sz="8" w:space="0" w:color="auto"/>
              <w:right w:val="single" w:sz="8" w:space="0" w:color="auto"/>
            </w:tcBorders>
            <w:shd w:val="clear" w:color="auto" w:fill="auto"/>
            <w:noWrap/>
            <w:vAlign w:val="center"/>
            <w:hideMark/>
          </w:tcPr>
          <w:p w14:paraId="577EE963"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630" w:type="pct"/>
            <w:tcBorders>
              <w:top w:val="nil"/>
              <w:left w:val="nil"/>
              <w:bottom w:val="single" w:sz="8" w:space="0" w:color="auto"/>
              <w:right w:val="single" w:sz="8" w:space="0" w:color="auto"/>
            </w:tcBorders>
            <w:shd w:val="clear" w:color="auto" w:fill="auto"/>
            <w:noWrap/>
            <w:vAlign w:val="center"/>
            <w:hideMark/>
          </w:tcPr>
          <w:p w14:paraId="3ACC5A46"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26.81</w:t>
            </w:r>
          </w:p>
        </w:tc>
        <w:tc>
          <w:tcPr>
            <w:tcW w:w="598" w:type="pct"/>
            <w:tcBorders>
              <w:top w:val="nil"/>
              <w:left w:val="nil"/>
              <w:bottom w:val="single" w:sz="8" w:space="0" w:color="auto"/>
              <w:right w:val="single" w:sz="8" w:space="0" w:color="auto"/>
            </w:tcBorders>
            <w:shd w:val="clear" w:color="auto" w:fill="auto"/>
            <w:noWrap/>
            <w:vAlign w:val="center"/>
            <w:hideMark/>
          </w:tcPr>
          <w:p w14:paraId="4CB00B11"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30.94</w:t>
            </w:r>
          </w:p>
        </w:tc>
      </w:tr>
      <w:tr w:rsidR="003E4434" w:rsidRPr="00C91D7C" w14:paraId="075703D8"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1CF8B26E"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3148" w:type="pct"/>
            <w:tcBorders>
              <w:top w:val="nil"/>
              <w:left w:val="nil"/>
              <w:bottom w:val="single" w:sz="8" w:space="0" w:color="auto"/>
              <w:right w:val="single" w:sz="8" w:space="0" w:color="auto"/>
            </w:tcBorders>
            <w:shd w:val="clear" w:color="auto" w:fill="auto"/>
            <w:noWrap/>
            <w:vAlign w:val="center"/>
            <w:hideMark/>
          </w:tcPr>
          <w:p w14:paraId="0BE1D6D1"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630" w:type="pct"/>
            <w:tcBorders>
              <w:top w:val="nil"/>
              <w:left w:val="nil"/>
              <w:bottom w:val="single" w:sz="8" w:space="0" w:color="auto"/>
              <w:right w:val="single" w:sz="8" w:space="0" w:color="auto"/>
            </w:tcBorders>
            <w:shd w:val="clear" w:color="auto" w:fill="auto"/>
            <w:noWrap/>
            <w:vAlign w:val="center"/>
            <w:hideMark/>
          </w:tcPr>
          <w:p w14:paraId="71FAD3E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22.43</w:t>
            </w:r>
          </w:p>
        </w:tc>
        <w:tc>
          <w:tcPr>
            <w:tcW w:w="598" w:type="pct"/>
            <w:tcBorders>
              <w:top w:val="nil"/>
              <w:left w:val="nil"/>
              <w:bottom w:val="single" w:sz="8" w:space="0" w:color="auto"/>
              <w:right w:val="single" w:sz="8" w:space="0" w:color="auto"/>
            </w:tcBorders>
            <w:shd w:val="clear" w:color="auto" w:fill="auto"/>
            <w:noWrap/>
            <w:vAlign w:val="center"/>
            <w:hideMark/>
          </w:tcPr>
          <w:p w14:paraId="3E9F7BA3"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24.66</w:t>
            </w:r>
          </w:p>
        </w:tc>
      </w:tr>
      <w:tr w:rsidR="003E4434" w:rsidRPr="00C91D7C" w14:paraId="5A941EC0"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303B30F7"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3148" w:type="pct"/>
            <w:tcBorders>
              <w:top w:val="nil"/>
              <w:left w:val="nil"/>
              <w:bottom w:val="single" w:sz="8" w:space="0" w:color="auto"/>
              <w:right w:val="single" w:sz="8" w:space="0" w:color="auto"/>
            </w:tcBorders>
            <w:shd w:val="clear" w:color="auto" w:fill="auto"/>
            <w:noWrap/>
            <w:vAlign w:val="center"/>
            <w:hideMark/>
          </w:tcPr>
          <w:p w14:paraId="69D22FBF"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630" w:type="pct"/>
            <w:tcBorders>
              <w:top w:val="nil"/>
              <w:left w:val="nil"/>
              <w:bottom w:val="single" w:sz="8" w:space="0" w:color="auto"/>
              <w:right w:val="single" w:sz="8" w:space="0" w:color="auto"/>
            </w:tcBorders>
            <w:shd w:val="clear" w:color="auto" w:fill="auto"/>
            <w:noWrap/>
            <w:vAlign w:val="center"/>
            <w:hideMark/>
          </w:tcPr>
          <w:p w14:paraId="3F7E9F2F"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19.8</w:t>
            </w:r>
          </w:p>
        </w:tc>
        <w:tc>
          <w:tcPr>
            <w:tcW w:w="598" w:type="pct"/>
            <w:tcBorders>
              <w:top w:val="nil"/>
              <w:left w:val="nil"/>
              <w:bottom w:val="single" w:sz="8" w:space="0" w:color="auto"/>
              <w:right w:val="single" w:sz="8" w:space="0" w:color="auto"/>
            </w:tcBorders>
            <w:shd w:val="clear" w:color="auto" w:fill="auto"/>
            <w:noWrap/>
            <w:vAlign w:val="center"/>
            <w:hideMark/>
          </w:tcPr>
          <w:p w14:paraId="77AD9E05"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56.02</w:t>
            </w:r>
          </w:p>
        </w:tc>
      </w:tr>
      <w:tr w:rsidR="003E4434" w:rsidRPr="00C91D7C" w14:paraId="1BE41339"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7F6C8C2E"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'500100</w:t>
            </w:r>
          </w:p>
        </w:tc>
        <w:tc>
          <w:tcPr>
            <w:tcW w:w="3148" w:type="pct"/>
            <w:tcBorders>
              <w:top w:val="nil"/>
              <w:left w:val="nil"/>
              <w:bottom w:val="single" w:sz="8" w:space="0" w:color="auto"/>
              <w:right w:val="single" w:sz="8" w:space="0" w:color="auto"/>
            </w:tcBorders>
            <w:shd w:val="clear" w:color="auto" w:fill="auto"/>
            <w:noWrap/>
            <w:vAlign w:val="center"/>
            <w:hideMark/>
          </w:tcPr>
          <w:p w14:paraId="024AB827"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Silkworm cocoons suitable for reeling</w:t>
            </w:r>
          </w:p>
        </w:tc>
        <w:tc>
          <w:tcPr>
            <w:tcW w:w="630" w:type="pct"/>
            <w:tcBorders>
              <w:top w:val="nil"/>
              <w:left w:val="nil"/>
              <w:bottom w:val="single" w:sz="8" w:space="0" w:color="auto"/>
              <w:right w:val="single" w:sz="8" w:space="0" w:color="auto"/>
            </w:tcBorders>
            <w:shd w:val="clear" w:color="auto" w:fill="auto"/>
            <w:noWrap/>
            <w:vAlign w:val="center"/>
            <w:hideMark/>
          </w:tcPr>
          <w:p w14:paraId="078751F7"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13.61</w:t>
            </w:r>
          </w:p>
        </w:tc>
        <w:tc>
          <w:tcPr>
            <w:tcW w:w="598" w:type="pct"/>
            <w:tcBorders>
              <w:top w:val="nil"/>
              <w:left w:val="nil"/>
              <w:bottom w:val="single" w:sz="8" w:space="0" w:color="auto"/>
              <w:right w:val="single" w:sz="8" w:space="0" w:color="auto"/>
            </w:tcBorders>
            <w:shd w:val="clear" w:color="auto" w:fill="auto"/>
            <w:noWrap/>
            <w:vAlign w:val="center"/>
            <w:hideMark/>
          </w:tcPr>
          <w:p w14:paraId="6D60212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w:t>
            </w:r>
          </w:p>
        </w:tc>
      </w:tr>
      <w:tr w:rsidR="003E4434" w:rsidRPr="00C91D7C" w14:paraId="6132AD20"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17C24268"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3148" w:type="pct"/>
            <w:tcBorders>
              <w:top w:val="nil"/>
              <w:left w:val="nil"/>
              <w:bottom w:val="single" w:sz="8" w:space="0" w:color="auto"/>
              <w:right w:val="single" w:sz="8" w:space="0" w:color="auto"/>
            </w:tcBorders>
            <w:shd w:val="clear" w:color="auto" w:fill="auto"/>
            <w:noWrap/>
            <w:vAlign w:val="center"/>
            <w:hideMark/>
          </w:tcPr>
          <w:p w14:paraId="127A5B50"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630" w:type="pct"/>
            <w:tcBorders>
              <w:top w:val="nil"/>
              <w:left w:val="nil"/>
              <w:bottom w:val="single" w:sz="8" w:space="0" w:color="auto"/>
              <w:right w:val="single" w:sz="8" w:space="0" w:color="auto"/>
            </w:tcBorders>
            <w:shd w:val="clear" w:color="auto" w:fill="auto"/>
            <w:noWrap/>
            <w:vAlign w:val="center"/>
            <w:hideMark/>
          </w:tcPr>
          <w:p w14:paraId="7B0DC32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11.98</w:t>
            </w:r>
          </w:p>
        </w:tc>
        <w:tc>
          <w:tcPr>
            <w:tcW w:w="598" w:type="pct"/>
            <w:tcBorders>
              <w:top w:val="nil"/>
              <w:left w:val="nil"/>
              <w:bottom w:val="single" w:sz="8" w:space="0" w:color="auto"/>
              <w:right w:val="single" w:sz="8" w:space="0" w:color="auto"/>
            </w:tcBorders>
            <w:shd w:val="clear" w:color="auto" w:fill="auto"/>
            <w:noWrap/>
            <w:vAlign w:val="center"/>
            <w:hideMark/>
          </w:tcPr>
          <w:p w14:paraId="5A03DC99"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51.3</w:t>
            </w:r>
          </w:p>
        </w:tc>
      </w:tr>
      <w:tr w:rsidR="003E4434" w:rsidRPr="00C91D7C" w14:paraId="212FD5BE"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702892C4"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3148" w:type="pct"/>
            <w:tcBorders>
              <w:top w:val="nil"/>
              <w:left w:val="nil"/>
              <w:bottom w:val="single" w:sz="8" w:space="0" w:color="auto"/>
              <w:right w:val="single" w:sz="8" w:space="0" w:color="auto"/>
            </w:tcBorders>
            <w:shd w:val="clear" w:color="auto" w:fill="auto"/>
            <w:noWrap/>
            <w:vAlign w:val="center"/>
            <w:hideMark/>
          </w:tcPr>
          <w:p w14:paraId="5F9369DA"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630" w:type="pct"/>
            <w:tcBorders>
              <w:top w:val="nil"/>
              <w:left w:val="nil"/>
              <w:bottom w:val="single" w:sz="8" w:space="0" w:color="auto"/>
              <w:right w:val="single" w:sz="8" w:space="0" w:color="auto"/>
            </w:tcBorders>
            <w:shd w:val="clear" w:color="auto" w:fill="auto"/>
            <w:noWrap/>
            <w:vAlign w:val="center"/>
            <w:hideMark/>
          </w:tcPr>
          <w:p w14:paraId="3550CBC1"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9.13</w:t>
            </w:r>
          </w:p>
        </w:tc>
        <w:tc>
          <w:tcPr>
            <w:tcW w:w="598" w:type="pct"/>
            <w:tcBorders>
              <w:top w:val="nil"/>
              <w:left w:val="nil"/>
              <w:bottom w:val="single" w:sz="8" w:space="0" w:color="auto"/>
              <w:right w:val="single" w:sz="8" w:space="0" w:color="auto"/>
            </w:tcBorders>
            <w:shd w:val="clear" w:color="auto" w:fill="auto"/>
            <w:noWrap/>
            <w:vAlign w:val="center"/>
            <w:hideMark/>
          </w:tcPr>
          <w:p w14:paraId="77A572BE"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23.92</w:t>
            </w:r>
          </w:p>
        </w:tc>
      </w:tr>
    </w:tbl>
    <w:p w14:paraId="43279119" w14:textId="77777777" w:rsidR="00852798" w:rsidRPr="00C91D7C" w:rsidRDefault="00852798" w:rsidP="002E15B2">
      <w:pPr>
        <w:spacing w:line="360" w:lineRule="auto"/>
        <w:jc w:val="both"/>
        <w:rPr>
          <w:rFonts w:ascii="Arial" w:hAnsi="Arial" w:cs="Arial"/>
          <w:b/>
          <w:bCs/>
          <w:sz w:val="24"/>
          <w:szCs w:val="24"/>
          <w:lang w:val="en-GB"/>
        </w:rPr>
      </w:pPr>
    </w:p>
    <w:p w14:paraId="5FF632F6" w14:textId="77777777" w:rsidR="002E15B2" w:rsidRPr="00C91D7C" w:rsidRDefault="002E15B2" w:rsidP="002E15B2">
      <w:pPr>
        <w:spacing w:line="360" w:lineRule="auto"/>
        <w:jc w:val="both"/>
        <w:rPr>
          <w:rFonts w:ascii="Arial" w:hAnsi="Arial" w:cs="Arial"/>
          <w:b/>
          <w:bCs/>
          <w:sz w:val="24"/>
          <w:szCs w:val="24"/>
          <w:lang w:val="en-GB"/>
        </w:rPr>
      </w:pPr>
      <w:r w:rsidRPr="00C91D7C">
        <w:rPr>
          <w:rFonts w:ascii="Arial" w:hAnsi="Arial" w:cs="Arial"/>
          <w:b/>
          <w:bCs/>
          <w:sz w:val="24"/>
          <w:szCs w:val="24"/>
          <w:lang w:val="en-GB"/>
        </w:rPr>
        <w:lastRenderedPageBreak/>
        <w:t>4. Conclusion</w:t>
      </w:r>
    </w:p>
    <w:p w14:paraId="030E0121" w14:textId="77777777" w:rsidR="006D082C" w:rsidRPr="00172020" w:rsidRDefault="006D082C" w:rsidP="006D082C">
      <w:pPr>
        <w:spacing w:line="360" w:lineRule="auto"/>
        <w:jc w:val="both"/>
        <w:rPr>
          <w:rFonts w:ascii="Arial" w:hAnsi="Arial" w:cs="Arial"/>
          <w:lang w:val="en-GB"/>
        </w:rPr>
      </w:pPr>
      <w:r w:rsidRPr="00C91D7C">
        <w:rPr>
          <w:rFonts w:ascii="Arial" w:hAnsi="Arial" w:cs="Arial"/>
          <w:sz w:val="24"/>
          <w:szCs w:val="24"/>
          <w:lang w:val="en-GB"/>
        </w:rPr>
        <w:tab/>
      </w:r>
      <w:r w:rsidRPr="00172020">
        <w:rPr>
          <w:rFonts w:ascii="Arial" w:hAnsi="Arial" w:cs="Arial"/>
          <w:lang w:val="en-GB"/>
        </w:rPr>
        <w:t>The analysis of silk export and import growth rates reveals varying trends, with some countries experiencing significant growth while others face stagnation. These fluctuations are influenced by changes in production, demand, competition, and broader market dynamics. The Revealed Comparative Advantage (RCA) analysis highlights that Uzbekistan (25.04) has rapidly established itself as a strong competitor in silk exports, while Romania (10.02) maintains a consistent comparative advantage. For specific products, silk yarn and yarn spun (HS code 500600) show the highest average RCA value of 1.59, signalling their importance in international trade. Market concentration, measured by the Herfindahl-Hirschman Index (HHI), reveals a highly concentrated global silk export market, with an HHI of 0.305, indicating dominance by a few countries. The HHI of global silk imports is 0.194, suggesting moderate concentration according to UK CMA thresholds and high concentration by US FTC standards. Given these dynamics, policy recommendations for India include diversifying its export markets to reduce dependency on a few countries, strengthening trade agreements with emerging silk-importing nations like Vietnam and Brazil, and investing in domestic silk production technologies. Expanding into value-added silk products can further enhance India’s competitive edge in the global market, ensuring a more resilient and profitable silk industry.</w:t>
      </w:r>
    </w:p>
    <w:p w14:paraId="3F8AF5A6" w14:textId="77777777" w:rsidR="00CF09A9" w:rsidRDefault="00CF09A9" w:rsidP="00CA5FD9">
      <w:pPr>
        <w:spacing w:line="360" w:lineRule="auto"/>
        <w:jc w:val="both"/>
        <w:rPr>
          <w:rFonts w:ascii="Arial" w:hAnsi="Arial" w:cs="Arial"/>
          <w:b/>
          <w:bCs/>
          <w:lang w:val="en-GB"/>
        </w:rPr>
      </w:pPr>
    </w:p>
    <w:p w14:paraId="5405B2A7" w14:textId="77777777" w:rsidR="00CF09A9" w:rsidRDefault="00CF09A9" w:rsidP="00CA5FD9">
      <w:pPr>
        <w:spacing w:line="360" w:lineRule="auto"/>
        <w:jc w:val="both"/>
        <w:rPr>
          <w:rFonts w:ascii="Arial" w:hAnsi="Arial" w:cs="Arial"/>
          <w:b/>
          <w:bCs/>
          <w:lang w:val="en-GB"/>
        </w:rPr>
      </w:pPr>
    </w:p>
    <w:p w14:paraId="4B4E08D5" w14:textId="50FEA4D0" w:rsidR="00CA5FD9" w:rsidRPr="00C91D7C" w:rsidRDefault="00CA5FD9" w:rsidP="00CA5FD9">
      <w:pPr>
        <w:spacing w:line="360" w:lineRule="auto"/>
        <w:jc w:val="both"/>
        <w:rPr>
          <w:rFonts w:ascii="Arial" w:hAnsi="Arial" w:cs="Arial"/>
          <w:b/>
          <w:bCs/>
          <w:lang w:val="en-GB"/>
        </w:rPr>
      </w:pPr>
      <w:r w:rsidRPr="00C91D7C">
        <w:rPr>
          <w:rFonts w:ascii="Arial" w:hAnsi="Arial" w:cs="Arial"/>
          <w:b/>
          <w:bCs/>
          <w:lang w:val="en-GB"/>
        </w:rPr>
        <w:t>5. Reference</w:t>
      </w:r>
    </w:p>
    <w:p w14:paraId="0BB5B5EA" w14:textId="77777777" w:rsidR="00852798" w:rsidRPr="00C91D7C" w:rsidRDefault="00852798" w:rsidP="00CA5FD9">
      <w:pPr>
        <w:tabs>
          <w:tab w:val="left" w:pos="1239"/>
        </w:tabs>
        <w:spacing w:line="360" w:lineRule="auto"/>
        <w:jc w:val="both"/>
        <w:rPr>
          <w:rFonts w:ascii="Arial" w:hAnsi="Arial" w:cs="Arial"/>
          <w:shd w:val="clear" w:color="auto" w:fill="FFFFFF"/>
        </w:rPr>
      </w:pPr>
      <w:proofErr w:type="spellStart"/>
      <w:r w:rsidRPr="00C91D7C">
        <w:rPr>
          <w:rFonts w:ascii="Arial" w:hAnsi="Arial" w:cs="Arial"/>
          <w:color w:val="222222"/>
          <w:shd w:val="clear" w:color="auto" w:fill="FFFFFF"/>
        </w:rPr>
        <w:t>Annonymous</w:t>
      </w:r>
      <w:proofErr w:type="spellEnd"/>
      <w:r w:rsidRPr="00C91D7C">
        <w:rPr>
          <w:rFonts w:ascii="Arial" w:hAnsi="Arial" w:cs="Arial"/>
          <w:color w:val="222222"/>
          <w:shd w:val="clear" w:color="auto" w:fill="FFFFFF"/>
        </w:rPr>
        <w:t xml:space="preserve"> (2021) Central Silk Board, Bengaluru</w:t>
      </w:r>
      <w:r w:rsidRPr="00C91D7C">
        <w:rPr>
          <w:rFonts w:ascii="Arial" w:hAnsi="Arial" w:cs="Arial"/>
          <w:shd w:val="clear" w:color="auto" w:fill="FFFFFF"/>
        </w:rPr>
        <w:t xml:space="preserve">. Annual report </w:t>
      </w:r>
      <w:hyperlink r:id="rId17" w:history="1">
        <w:r w:rsidRPr="00C91D7C">
          <w:rPr>
            <w:rStyle w:val="Hyperlink"/>
            <w:rFonts w:ascii="Arial" w:hAnsi="Arial" w:cs="Arial"/>
            <w:shd w:val="clear" w:color="auto" w:fill="FFFFFF"/>
          </w:rPr>
          <w:t>https://csb.gov.in/wp-content/uploads/2021/03/CSB-ANNUAL-REPORT-2019-20-compressed-97-196-eng.pdf</w:t>
        </w:r>
      </w:hyperlink>
    </w:p>
    <w:p w14:paraId="55109704" w14:textId="77777777" w:rsidR="00852798" w:rsidRPr="00C91D7C" w:rsidRDefault="00076DD0" w:rsidP="00C47B55">
      <w:pPr>
        <w:spacing w:line="360" w:lineRule="auto"/>
        <w:ind w:left="851" w:hanging="794"/>
        <w:jc w:val="both"/>
        <w:rPr>
          <w:rFonts w:ascii="Arial" w:hAnsi="Arial" w:cs="Arial"/>
        </w:rPr>
      </w:pPr>
      <w:r>
        <w:rPr>
          <w:rFonts w:ascii="Arial" w:hAnsi="Arial" w:cs="Arial"/>
          <w:color w:val="000000" w:themeColor="text1"/>
          <w:sz w:val="24"/>
          <w:szCs w:val="24"/>
          <w:shd w:val="clear" w:color="auto" w:fill="FFFFFF"/>
        </w:rPr>
        <w:t>Bag, S. N. (2023)</w:t>
      </w:r>
      <w:r w:rsidR="00852798" w:rsidRPr="00C91D7C">
        <w:rPr>
          <w:rFonts w:ascii="Arial" w:hAnsi="Arial" w:cs="Arial"/>
          <w:color w:val="000000" w:themeColor="text1"/>
          <w:sz w:val="24"/>
          <w:szCs w:val="24"/>
          <w:shd w:val="clear" w:color="auto" w:fill="FFFFFF"/>
        </w:rPr>
        <w:t xml:space="preserve">. </w:t>
      </w:r>
      <w:r w:rsidRPr="00C91D7C">
        <w:rPr>
          <w:rFonts w:ascii="Arial" w:hAnsi="Arial" w:cs="Arial"/>
          <w:color w:val="000000" w:themeColor="text1"/>
          <w:sz w:val="24"/>
          <w:szCs w:val="24"/>
          <w:shd w:val="clear" w:color="auto" w:fill="FFFFFF"/>
        </w:rPr>
        <w:t>Trends and transformations in the global silk trade: a demand-side perspective</w:t>
      </w:r>
      <w:r w:rsidR="00852798" w:rsidRPr="00C91D7C">
        <w:rPr>
          <w:rFonts w:ascii="Arial" w:hAnsi="Arial" w:cs="Arial"/>
          <w:color w:val="000000" w:themeColor="text1"/>
          <w:sz w:val="24"/>
          <w:szCs w:val="24"/>
          <w:shd w:val="clear" w:color="auto" w:fill="FFFFFF"/>
        </w:rPr>
        <w:t>. Textile Outlook International.</w:t>
      </w:r>
    </w:p>
    <w:p w14:paraId="787E5974" w14:textId="77777777" w:rsidR="00852798" w:rsidRPr="00C91D7C" w:rsidRDefault="00852798" w:rsidP="00037918">
      <w:pPr>
        <w:spacing w:line="360" w:lineRule="auto"/>
        <w:ind w:left="851" w:hanging="794"/>
        <w:jc w:val="both"/>
        <w:rPr>
          <w:rFonts w:ascii="Arial" w:eastAsia="Times New Roman" w:hAnsi="Arial" w:cs="Arial"/>
          <w:color w:val="000000"/>
          <w:lang w:eastAsia="en-IN"/>
        </w:rPr>
      </w:pPr>
      <w:r w:rsidRPr="00C91D7C">
        <w:rPr>
          <w:rFonts w:ascii="Arial" w:hAnsi="Arial" w:cs="Arial"/>
        </w:rPr>
        <w:t xml:space="preserve">Balassa, B. (1965). </w:t>
      </w:r>
      <w:r w:rsidR="00076DD0" w:rsidRPr="00C91D7C">
        <w:rPr>
          <w:rFonts w:ascii="Arial" w:hAnsi="Arial" w:cs="Arial"/>
        </w:rPr>
        <w:t>Trade liberalisation and ‘revealed’ comparative advantage</w:t>
      </w:r>
      <w:r w:rsidRPr="00C91D7C">
        <w:rPr>
          <w:rFonts w:ascii="Arial" w:hAnsi="Arial" w:cs="Arial"/>
        </w:rPr>
        <w:t>. The Manchester School, 33(2), 99-123.</w:t>
      </w:r>
    </w:p>
    <w:p w14:paraId="223AB1A7" w14:textId="77777777" w:rsidR="00852798" w:rsidRPr="00C91D7C" w:rsidRDefault="00852798" w:rsidP="00CA5FD9">
      <w:pPr>
        <w:spacing w:line="360" w:lineRule="auto"/>
        <w:ind w:left="851" w:hanging="794"/>
        <w:jc w:val="both"/>
        <w:rPr>
          <w:rFonts w:ascii="Arial" w:hAnsi="Arial" w:cs="Arial"/>
        </w:rPr>
      </w:pPr>
      <w:r w:rsidRPr="00C91D7C">
        <w:rPr>
          <w:rFonts w:ascii="Arial" w:hAnsi="Arial" w:cs="Arial"/>
        </w:rPr>
        <w:t xml:space="preserve">Bukhari, R., Kour, H., &amp; Aziz, A. </w:t>
      </w:r>
      <w:r w:rsidR="00076DD0">
        <w:rPr>
          <w:rFonts w:ascii="Arial" w:hAnsi="Arial" w:cs="Arial"/>
        </w:rPr>
        <w:t>(</w:t>
      </w:r>
      <w:r w:rsidRPr="00C91D7C">
        <w:rPr>
          <w:rFonts w:ascii="Arial" w:hAnsi="Arial" w:cs="Arial"/>
        </w:rPr>
        <w:t>2019</w:t>
      </w:r>
      <w:r w:rsidR="00076DD0">
        <w:rPr>
          <w:rFonts w:ascii="Arial" w:hAnsi="Arial" w:cs="Arial"/>
        </w:rPr>
        <w:t>)</w:t>
      </w:r>
      <w:r w:rsidRPr="00C91D7C">
        <w:rPr>
          <w:rFonts w:ascii="Arial" w:hAnsi="Arial" w:cs="Arial"/>
        </w:rPr>
        <w:t>. Women and the Indian sericulture industry. </w:t>
      </w:r>
      <w:r w:rsidRPr="00076DD0">
        <w:rPr>
          <w:rFonts w:ascii="Arial" w:hAnsi="Arial" w:cs="Arial"/>
          <w:i/>
          <w:iCs/>
        </w:rPr>
        <w:t>International Journal of Current Microbiology and Applied Sciences</w:t>
      </w:r>
      <w:r w:rsidRPr="00C91D7C">
        <w:rPr>
          <w:rFonts w:ascii="Arial" w:hAnsi="Arial" w:cs="Arial"/>
        </w:rPr>
        <w:t>, </w:t>
      </w:r>
      <w:r w:rsidRPr="00C91D7C">
        <w:rPr>
          <w:rFonts w:ascii="Arial" w:hAnsi="Arial" w:cs="Arial"/>
          <w:b/>
          <w:bCs/>
        </w:rPr>
        <w:t xml:space="preserve">8 </w:t>
      </w:r>
      <w:r w:rsidRPr="00C91D7C">
        <w:rPr>
          <w:rFonts w:ascii="Arial" w:hAnsi="Arial" w:cs="Arial"/>
        </w:rPr>
        <w:t>(05), 2319-7706.</w:t>
      </w:r>
    </w:p>
    <w:p w14:paraId="40BE068B" w14:textId="77777777" w:rsidR="00852798" w:rsidRPr="00C91D7C" w:rsidRDefault="00852798" w:rsidP="00517DA3">
      <w:pPr>
        <w:spacing w:line="360" w:lineRule="auto"/>
        <w:ind w:left="851" w:hanging="794"/>
        <w:jc w:val="both"/>
        <w:rPr>
          <w:rFonts w:ascii="Arial" w:hAnsi="Arial" w:cs="Arial"/>
        </w:rPr>
      </w:pPr>
      <w:r w:rsidRPr="00C91D7C">
        <w:rPr>
          <w:rFonts w:ascii="Arial" w:hAnsi="Arial" w:cs="Arial"/>
        </w:rPr>
        <w:t xml:space="preserve">Central Silk Board (CSB), Ministry of Textiles, Government of India (2024). Silk Statistics 2023–24. Bengaluru: CSB. </w:t>
      </w:r>
      <w:hyperlink r:id="rId18" w:history="1">
        <w:r w:rsidRPr="00C91D7C">
          <w:rPr>
            <w:rStyle w:val="Hyperlink"/>
            <w:rFonts w:ascii="Arial" w:hAnsi="Arial" w:cs="Arial"/>
          </w:rPr>
          <w:t>https://csb.gov.in</w:t>
        </w:r>
      </w:hyperlink>
      <w:r w:rsidRPr="00C91D7C">
        <w:rPr>
          <w:rFonts w:ascii="Arial" w:hAnsi="Arial" w:cs="Arial"/>
        </w:rPr>
        <w:t xml:space="preserve">  </w:t>
      </w:r>
    </w:p>
    <w:p w14:paraId="550DE926"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color w:val="000000" w:themeColor="text1"/>
          <w:sz w:val="24"/>
          <w:szCs w:val="24"/>
          <w:shd w:val="clear" w:color="auto" w:fill="FFFFFF"/>
        </w:rPr>
        <w:t>Central Silk Board (CSB)</w:t>
      </w:r>
      <w:r w:rsidR="00B70156">
        <w:rPr>
          <w:rFonts w:ascii="Arial" w:hAnsi="Arial" w:cs="Arial"/>
          <w:color w:val="000000" w:themeColor="text1"/>
          <w:sz w:val="24"/>
          <w:szCs w:val="24"/>
          <w:shd w:val="clear" w:color="auto" w:fill="FFFFFF"/>
        </w:rPr>
        <w:t>.</w:t>
      </w:r>
      <w:r w:rsidRPr="00C91D7C">
        <w:rPr>
          <w:rFonts w:ascii="Arial" w:hAnsi="Arial" w:cs="Arial"/>
          <w:color w:val="000000" w:themeColor="text1"/>
          <w:sz w:val="24"/>
          <w:szCs w:val="24"/>
          <w:shd w:val="clear" w:color="auto" w:fill="FFFFFF"/>
        </w:rPr>
        <w:t xml:space="preserve"> (2022). Annual Report 2021–22. Ministry of Textiles, Government of India.</w:t>
      </w:r>
    </w:p>
    <w:p w14:paraId="11B62ACD" w14:textId="77777777" w:rsidR="00852798" w:rsidRPr="00C91D7C" w:rsidRDefault="00852798" w:rsidP="00CE5E2C">
      <w:pPr>
        <w:spacing w:line="360" w:lineRule="auto"/>
        <w:ind w:left="851" w:hanging="794"/>
        <w:jc w:val="both"/>
        <w:rPr>
          <w:rFonts w:ascii="Arial" w:eastAsia="Times New Roman" w:hAnsi="Arial" w:cs="Arial"/>
          <w:color w:val="000000"/>
          <w:lang w:eastAsia="en-IN"/>
        </w:rPr>
      </w:pPr>
      <w:r w:rsidRPr="00C91D7C">
        <w:rPr>
          <w:rFonts w:ascii="Arial" w:hAnsi="Arial" w:cs="Arial"/>
        </w:rPr>
        <w:lastRenderedPageBreak/>
        <w:t>European Commission (2019). EU Rural Review: Adding Value to Agricultural Products. Issue 28.</w:t>
      </w:r>
    </w:p>
    <w:p w14:paraId="1494C5B4"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FAO (2021). World Silk Production and Trade Trends. Food and Agriculture Organization of the United Nations.</w:t>
      </w:r>
    </w:p>
    <w:p w14:paraId="2A714BF4" w14:textId="77777777" w:rsidR="00852798" w:rsidRPr="00C91D7C" w:rsidRDefault="00B70156" w:rsidP="00C47B55">
      <w:pPr>
        <w:spacing w:line="360" w:lineRule="auto"/>
        <w:ind w:left="851" w:hanging="794"/>
        <w:jc w:val="both"/>
        <w:rPr>
          <w:rFonts w:ascii="Arial" w:hAnsi="Arial" w:cs="Arial"/>
        </w:rPr>
      </w:pPr>
      <w:r>
        <w:rPr>
          <w:rFonts w:ascii="Arial" w:hAnsi="Arial" w:cs="Arial"/>
          <w:color w:val="000000" w:themeColor="text1"/>
          <w:sz w:val="24"/>
          <w:szCs w:val="24"/>
          <w:shd w:val="clear" w:color="auto" w:fill="FFFFFF"/>
        </w:rPr>
        <w:t>FAO</w:t>
      </w:r>
      <w:r w:rsidR="00852798" w:rsidRPr="00C91D7C">
        <w:rPr>
          <w:rFonts w:ascii="Arial" w:hAnsi="Arial" w:cs="Arial"/>
          <w:color w:val="000000" w:themeColor="text1"/>
          <w:sz w:val="24"/>
          <w:szCs w:val="24"/>
          <w:shd w:val="clear" w:color="auto" w:fill="FFFFFF"/>
        </w:rPr>
        <w:t xml:space="preserve"> (2020). Brazilian Silk: Sustainable Innovation in South America. Food and Agriculture Organization.</w:t>
      </w:r>
    </w:p>
    <w:p w14:paraId="577BA702" w14:textId="77777777" w:rsidR="00852798" w:rsidRPr="00C91D7C" w:rsidRDefault="00852798" w:rsidP="00CE5E2C">
      <w:pPr>
        <w:spacing w:line="360" w:lineRule="auto"/>
        <w:ind w:left="851" w:hanging="794"/>
        <w:jc w:val="both"/>
        <w:rPr>
          <w:rFonts w:ascii="Arial" w:eastAsia="Times New Roman" w:hAnsi="Arial" w:cs="Arial"/>
          <w:color w:val="000000"/>
          <w:lang w:eastAsia="en-IN"/>
        </w:rPr>
      </w:pPr>
      <w:proofErr w:type="spellStart"/>
      <w:r w:rsidRPr="00C91D7C">
        <w:rPr>
          <w:rFonts w:ascii="Arial" w:hAnsi="Arial" w:cs="Arial"/>
        </w:rPr>
        <w:t>Gereffi</w:t>
      </w:r>
      <w:proofErr w:type="spellEnd"/>
      <w:r w:rsidRPr="00C91D7C">
        <w:rPr>
          <w:rFonts w:ascii="Arial" w:hAnsi="Arial" w:cs="Arial"/>
        </w:rPr>
        <w:t>, G., &amp; Frederick, S. (2010). The Global Apparel Value Chain, Trade, and the Crisis: Challenges and Opportunities for Developing Countries. World Bank Policy Research Working Paper 5281.</w:t>
      </w:r>
    </w:p>
    <w:p w14:paraId="3DC2C9A0" w14:textId="77777777" w:rsidR="00852798" w:rsidRPr="00C91D7C" w:rsidRDefault="00B70156" w:rsidP="0095507F">
      <w:pPr>
        <w:spacing w:line="360" w:lineRule="auto"/>
        <w:ind w:left="851" w:hanging="794"/>
        <w:jc w:val="both"/>
        <w:rPr>
          <w:rFonts w:ascii="Arial" w:hAnsi="Arial" w:cs="Arial"/>
          <w:color w:val="000000" w:themeColor="text1"/>
          <w:sz w:val="24"/>
          <w:szCs w:val="24"/>
          <w:shd w:val="clear" w:color="auto" w:fill="FFFFFF"/>
        </w:rPr>
      </w:pPr>
      <w:r>
        <w:rPr>
          <w:rFonts w:ascii="Arial" w:eastAsia="Times New Roman" w:hAnsi="Arial" w:cs="Arial"/>
          <w:color w:val="000000"/>
          <w:lang w:eastAsia="en-IN"/>
        </w:rPr>
        <w:t xml:space="preserve">Ghosh, A., &amp; </w:t>
      </w:r>
      <w:r w:rsidR="00852798" w:rsidRPr="00C91D7C">
        <w:rPr>
          <w:rFonts w:ascii="Arial" w:eastAsia="Times New Roman" w:hAnsi="Arial" w:cs="Arial"/>
          <w:color w:val="000000"/>
          <w:lang w:eastAsia="en-IN"/>
        </w:rPr>
        <w:t>Sharma, R. (2020). Trends in Global Silk Trade: Opportunities for Indian Exporters. Textile Outlook International, Issue 209.</w:t>
      </w:r>
    </w:p>
    <w:p w14:paraId="74BDC70E"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 xml:space="preserve">ITC (2022). Trade Map – International Trade Centre. Retrieved from: </w:t>
      </w:r>
      <w:hyperlink r:id="rId19" w:history="1">
        <w:r w:rsidRPr="00C91D7C">
          <w:rPr>
            <w:rStyle w:val="Hyperlink"/>
            <w:rFonts w:ascii="Arial" w:hAnsi="Arial" w:cs="Arial"/>
            <w:lang w:val="en-US"/>
          </w:rPr>
          <w:t>https://www.trademap.org</w:t>
        </w:r>
      </w:hyperlink>
      <w:r w:rsidRPr="00C91D7C">
        <w:rPr>
          <w:rFonts w:ascii="Arial" w:hAnsi="Arial" w:cs="Arial"/>
          <w:lang w:val="en-US"/>
        </w:rPr>
        <w:t xml:space="preserve"> </w:t>
      </w:r>
    </w:p>
    <w:p w14:paraId="2F8A4C50" w14:textId="77777777" w:rsidR="00852798" w:rsidRPr="00C91D7C" w:rsidRDefault="00852798" w:rsidP="00AC1342">
      <w:pPr>
        <w:tabs>
          <w:tab w:val="left" w:pos="1239"/>
        </w:tabs>
        <w:spacing w:line="360" w:lineRule="auto"/>
        <w:ind w:left="851" w:hanging="851"/>
        <w:jc w:val="both"/>
        <w:rPr>
          <w:rFonts w:ascii="Arial" w:hAnsi="Arial" w:cs="Arial"/>
          <w:shd w:val="clear" w:color="auto" w:fill="FFFFFF"/>
        </w:rPr>
      </w:pPr>
      <w:r w:rsidRPr="00C91D7C">
        <w:rPr>
          <w:rFonts w:ascii="Arial" w:hAnsi="Arial" w:cs="Arial"/>
          <w:color w:val="222222"/>
          <w:shd w:val="clear" w:color="auto" w:fill="FFFFFF"/>
        </w:rPr>
        <w:t xml:space="preserve">Jagdambe, S., 2015, </w:t>
      </w:r>
      <w:r w:rsidR="00B70156">
        <w:rPr>
          <w:rFonts w:ascii="Arial" w:hAnsi="Arial" w:cs="Arial"/>
          <w:color w:val="222222"/>
          <w:shd w:val="clear" w:color="auto" w:fill="FFFFFF"/>
        </w:rPr>
        <w:t>I</w:t>
      </w:r>
      <w:r w:rsidR="00B70156" w:rsidRPr="00C91D7C">
        <w:rPr>
          <w:rFonts w:ascii="Arial" w:hAnsi="Arial" w:cs="Arial"/>
          <w:color w:val="222222"/>
          <w:shd w:val="clear" w:color="auto" w:fill="FFFFFF"/>
        </w:rPr>
        <w:t>ndia’s tea and coffee exports performance:</w:t>
      </w:r>
      <w:r w:rsidRPr="00C91D7C">
        <w:rPr>
          <w:rFonts w:ascii="Arial" w:hAnsi="Arial" w:cs="Arial"/>
          <w:color w:val="222222"/>
          <w:shd w:val="clear" w:color="auto" w:fill="FFFFFF"/>
        </w:rPr>
        <w:t xml:space="preserve"> under the ASEAN-India Free Trade Agreement. </w:t>
      </w:r>
      <w:r w:rsidRPr="00B70156">
        <w:rPr>
          <w:rFonts w:ascii="Arial" w:hAnsi="Arial" w:cs="Arial"/>
          <w:i/>
          <w:iCs/>
        </w:rPr>
        <w:t>International Research Journal of Management Sociology &amp; Humanity</w:t>
      </w:r>
      <w:r w:rsidRPr="00C91D7C">
        <w:rPr>
          <w:rFonts w:ascii="Arial" w:hAnsi="Arial" w:cs="Arial"/>
        </w:rPr>
        <w:t xml:space="preserve">., </w:t>
      </w:r>
      <w:r w:rsidRPr="00C91D7C">
        <w:rPr>
          <w:rFonts w:ascii="Arial" w:hAnsi="Arial" w:cs="Arial"/>
          <w:b/>
          <w:bCs/>
          <w:color w:val="222222"/>
          <w:shd w:val="clear" w:color="auto" w:fill="FFFFFF"/>
        </w:rPr>
        <w:t>6</w:t>
      </w:r>
      <w:r w:rsidRPr="00C91D7C">
        <w:rPr>
          <w:rFonts w:ascii="Arial" w:hAnsi="Arial" w:cs="Arial"/>
          <w:color w:val="222222"/>
          <w:shd w:val="clear" w:color="auto" w:fill="FFFFFF"/>
        </w:rPr>
        <w:t xml:space="preserve"> (11): 146-153.</w:t>
      </w:r>
    </w:p>
    <w:p w14:paraId="679E6603" w14:textId="77777777" w:rsidR="00852798" w:rsidRPr="00C91D7C" w:rsidRDefault="00852798" w:rsidP="00EA61DC">
      <w:pPr>
        <w:spacing w:line="360" w:lineRule="auto"/>
        <w:ind w:left="851" w:hanging="794"/>
        <w:jc w:val="both"/>
        <w:rPr>
          <w:rFonts w:ascii="Arial" w:hAnsi="Arial" w:cs="Arial"/>
        </w:rPr>
      </w:pPr>
      <w:r w:rsidRPr="00C91D7C">
        <w:rPr>
          <w:rFonts w:ascii="Arial" w:hAnsi="Arial" w:cs="Arial"/>
        </w:rPr>
        <w:t xml:space="preserve">Kumar, G. A, Reddy, B. S, </w:t>
      </w:r>
      <w:proofErr w:type="spellStart"/>
      <w:r w:rsidRPr="00C91D7C">
        <w:rPr>
          <w:rFonts w:ascii="Arial" w:hAnsi="Arial" w:cs="Arial"/>
        </w:rPr>
        <w:t>Goud</w:t>
      </w:r>
      <w:r w:rsidR="00B70156">
        <w:rPr>
          <w:rFonts w:ascii="Arial" w:hAnsi="Arial" w:cs="Arial"/>
        </w:rPr>
        <w:t>appa</w:t>
      </w:r>
      <w:proofErr w:type="spellEnd"/>
      <w:r w:rsidR="00B70156">
        <w:rPr>
          <w:rFonts w:ascii="Arial" w:hAnsi="Arial" w:cs="Arial"/>
        </w:rPr>
        <w:t>., S, B., Hiremath, G.M., &amp;</w:t>
      </w:r>
      <w:r w:rsidRPr="00C91D7C">
        <w:rPr>
          <w:rFonts w:ascii="Arial" w:hAnsi="Arial" w:cs="Arial"/>
        </w:rPr>
        <w:t xml:space="preserve"> Patil, S. S., 2019, Growth performance of silkworm cocoon production in Karnataka, India. </w:t>
      </w:r>
      <w:r w:rsidRPr="00B70156">
        <w:rPr>
          <w:rFonts w:ascii="Arial" w:hAnsi="Arial" w:cs="Arial"/>
          <w:i/>
          <w:iCs/>
        </w:rPr>
        <w:t>International Journal of Current Microbiology and Applied Sciences</w:t>
      </w:r>
      <w:r w:rsidRPr="00C91D7C">
        <w:rPr>
          <w:rFonts w:ascii="Arial" w:hAnsi="Arial" w:cs="Arial"/>
        </w:rPr>
        <w:t xml:space="preserve">. </w:t>
      </w:r>
      <w:r w:rsidRPr="00C91D7C">
        <w:rPr>
          <w:rFonts w:ascii="Arial" w:hAnsi="Arial" w:cs="Arial"/>
          <w:b/>
          <w:bCs/>
        </w:rPr>
        <w:t xml:space="preserve">8 </w:t>
      </w:r>
      <w:r w:rsidRPr="00C91D7C">
        <w:rPr>
          <w:rFonts w:ascii="Arial" w:hAnsi="Arial" w:cs="Arial"/>
        </w:rPr>
        <w:t>(11):674-682.</w:t>
      </w:r>
    </w:p>
    <w:p w14:paraId="42BC6FD6" w14:textId="77777777" w:rsidR="00852798" w:rsidRPr="00B70156" w:rsidRDefault="00852798" w:rsidP="00C47B55">
      <w:pPr>
        <w:spacing w:line="360" w:lineRule="auto"/>
        <w:ind w:left="851" w:hanging="794"/>
        <w:jc w:val="both"/>
        <w:rPr>
          <w:rFonts w:ascii="Arial" w:hAnsi="Arial" w:cs="Arial"/>
          <w:sz w:val="20"/>
          <w:szCs w:val="20"/>
        </w:rPr>
      </w:pPr>
      <w:r w:rsidRPr="00B70156">
        <w:rPr>
          <w:rFonts w:ascii="Arial" w:hAnsi="Arial" w:cs="Arial"/>
          <w:color w:val="000000" w:themeColor="text1"/>
          <w:shd w:val="clear" w:color="auto" w:fill="FFFFFF"/>
        </w:rPr>
        <w:t>Kumar, R., Sha</w:t>
      </w:r>
      <w:r w:rsidR="00B70156">
        <w:rPr>
          <w:rFonts w:ascii="Arial" w:hAnsi="Arial" w:cs="Arial"/>
          <w:color w:val="000000" w:themeColor="text1"/>
          <w:shd w:val="clear" w:color="auto" w:fill="FFFFFF"/>
        </w:rPr>
        <w:t xml:space="preserve">rma, A., &amp; </w:t>
      </w:r>
      <w:r w:rsidRPr="00B70156">
        <w:rPr>
          <w:rFonts w:ascii="Arial" w:hAnsi="Arial" w:cs="Arial"/>
          <w:color w:val="000000" w:themeColor="text1"/>
          <w:shd w:val="clear" w:color="auto" w:fill="FFFFFF"/>
        </w:rPr>
        <w:t xml:space="preserve">Dey, T. (2021). Impact of ASEAN-India FTA on Textile and Apparel Trade: Evidence from Vietnam and India. </w:t>
      </w:r>
      <w:r w:rsidRPr="00B70156">
        <w:rPr>
          <w:rFonts w:ascii="Arial" w:hAnsi="Arial" w:cs="Arial"/>
          <w:i/>
          <w:iCs/>
          <w:color w:val="000000" w:themeColor="text1"/>
          <w:shd w:val="clear" w:color="auto" w:fill="FFFFFF"/>
        </w:rPr>
        <w:t>South Asian Economic Journal</w:t>
      </w:r>
      <w:r w:rsidRPr="00B70156">
        <w:rPr>
          <w:rFonts w:ascii="Arial" w:hAnsi="Arial" w:cs="Arial"/>
          <w:color w:val="000000" w:themeColor="text1"/>
          <w:shd w:val="clear" w:color="auto" w:fill="FFFFFF"/>
        </w:rPr>
        <w:t xml:space="preserve">, </w:t>
      </w:r>
      <w:r w:rsidRPr="00B70156">
        <w:rPr>
          <w:rFonts w:ascii="Arial" w:hAnsi="Arial" w:cs="Arial"/>
          <w:b/>
          <w:bCs/>
          <w:color w:val="000000" w:themeColor="text1"/>
          <w:shd w:val="clear" w:color="auto" w:fill="FFFFFF"/>
        </w:rPr>
        <w:t>22</w:t>
      </w:r>
      <w:r w:rsidR="00B70156">
        <w:rPr>
          <w:rFonts w:ascii="Arial" w:hAnsi="Arial" w:cs="Arial"/>
          <w:color w:val="000000" w:themeColor="text1"/>
          <w:shd w:val="clear" w:color="auto" w:fill="FFFFFF"/>
        </w:rPr>
        <w:t xml:space="preserve"> (2):</w:t>
      </w:r>
      <w:r w:rsidRPr="00B70156">
        <w:rPr>
          <w:rFonts w:ascii="Arial" w:hAnsi="Arial" w:cs="Arial"/>
          <w:color w:val="000000" w:themeColor="text1"/>
          <w:shd w:val="clear" w:color="auto" w:fill="FFFFFF"/>
        </w:rPr>
        <w:t xml:space="preserve"> 178–193.</w:t>
      </w:r>
    </w:p>
    <w:p w14:paraId="521B2A0D"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rPr>
        <w:t>Madhu, D. M., Gowd</w:t>
      </w:r>
      <w:r w:rsidR="00B70156">
        <w:rPr>
          <w:rFonts w:ascii="Arial" w:hAnsi="Arial" w:cs="Arial"/>
        </w:rPr>
        <w:t>a, H., Karthick Reddy, N. R., &amp;</w:t>
      </w:r>
      <w:r w:rsidRPr="00C91D7C">
        <w:rPr>
          <w:rFonts w:ascii="Arial" w:hAnsi="Arial" w:cs="Arial"/>
        </w:rPr>
        <w:t xml:space="preserve"> Kiran, G. V., 2023, Women participation in production of mulberry silk in Chikkaballapur district of Karnataka, India. </w:t>
      </w:r>
      <w:r w:rsidRPr="00C91D7C">
        <w:rPr>
          <w:rFonts w:ascii="Arial" w:hAnsi="Arial" w:cs="Arial"/>
          <w:i/>
          <w:iCs/>
        </w:rPr>
        <w:t>Pharma Innovation Journal</w:t>
      </w:r>
      <w:r w:rsidRPr="00C91D7C">
        <w:rPr>
          <w:rFonts w:ascii="Arial" w:hAnsi="Arial" w:cs="Arial"/>
        </w:rPr>
        <w:t>, 12(3): 3217-3221.</w:t>
      </w:r>
    </w:p>
    <w:p w14:paraId="77290F3C" w14:textId="77777777" w:rsidR="00852798" w:rsidRPr="00C91D7C" w:rsidRDefault="00852798" w:rsidP="00EA61DC">
      <w:pPr>
        <w:spacing w:line="360" w:lineRule="auto"/>
        <w:ind w:left="851" w:hanging="794"/>
        <w:jc w:val="both"/>
        <w:rPr>
          <w:rFonts w:ascii="Arial" w:hAnsi="Arial" w:cs="Arial"/>
          <w:color w:val="222222"/>
          <w:shd w:val="clear" w:color="auto" w:fill="FFFFFF"/>
        </w:rPr>
      </w:pPr>
      <w:r w:rsidRPr="00C91D7C">
        <w:rPr>
          <w:rFonts w:ascii="Arial" w:hAnsi="Arial" w:cs="Arial"/>
          <w:color w:val="222222"/>
          <w:shd w:val="clear" w:color="auto" w:fill="FFFFFF"/>
        </w:rPr>
        <w:t>Madhu, D. M., Irfan, S. M.</w:t>
      </w:r>
      <w:r w:rsidR="00B70156">
        <w:rPr>
          <w:rFonts w:ascii="Arial" w:hAnsi="Arial" w:cs="Arial"/>
          <w:color w:val="222222"/>
          <w:shd w:val="clear" w:color="auto" w:fill="FFFFFF"/>
        </w:rPr>
        <w:t>, Prakash, S., Sinha, D. K., &amp;</w:t>
      </w:r>
      <w:r w:rsidRPr="00C91D7C">
        <w:rPr>
          <w:rFonts w:ascii="Arial" w:hAnsi="Arial" w:cs="Arial"/>
          <w:color w:val="222222"/>
          <w:shd w:val="clear" w:color="auto" w:fill="FFFFFF"/>
        </w:rPr>
        <w:t xml:space="preserve"> Singh, K. M., 2023a. Value Chain Analysis of Cocoons, Constraints faced by women in Production and Marketing of Mulberry Silk in Chikkaballapur District of Karnataka, India. </w:t>
      </w:r>
      <w:r w:rsidRPr="00C91D7C">
        <w:rPr>
          <w:rFonts w:ascii="Arial" w:hAnsi="Arial" w:cs="Arial"/>
          <w:i/>
          <w:iCs/>
          <w:color w:val="222222"/>
          <w:shd w:val="clear" w:color="auto" w:fill="FFFFFF"/>
        </w:rPr>
        <w:t>Asian Journal of Agricultural Extension, Economics and Sociology</w:t>
      </w:r>
      <w:r w:rsidRPr="00C91D7C">
        <w:rPr>
          <w:rFonts w:ascii="Arial" w:hAnsi="Arial" w:cs="Arial"/>
          <w:color w:val="222222"/>
          <w:shd w:val="clear" w:color="auto" w:fill="FFFFFF"/>
        </w:rPr>
        <w:t>, 41</w:t>
      </w:r>
      <w:r w:rsidRPr="00C91D7C">
        <w:rPr>
          <w:rFonts w:ascii="Arial" w:hAnsi="Arial" w:cs="Arial"/>
          <w:i/>
          <w:iCs/>
          <w:color w:val="222222"/>
          <w:shd w:val="clear" w:color="auto" w:fill="FFFFFF"/>
        </w:rPr>
        <w:t xml:space="preserve"> </w:t>
      </w:r>
      <w:r w:rsidRPr="00C91D7C">
        <w:rPr>
          <w:rFonts w:ascii="Arial" w:hAnsi="Arial" w:cs="Arial"/>
          <w:color w:val="222222"/>
          <w:shd w:val="clear" w:color="auto" w:fill="FFFFFF"/>
        </w:rPr>
        <w:t>(5): 36-43.</w:t>
      </w:r>
    </w:p>
    <w:p w14:paraId="7D3A5AD1"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rPr>
        <w:t xml:space="preserve">Madhu, D. M., Sinha, D. K., Gowda, H., Haripriya, S. and Kumari, T., 2024, An Economic Analysis of Mulberry Silk Production in Chikkaballapur District of Karnataka. Agricultural Research Journal, </w:t>
      </w:r>
      <w:r w:rsidRPr="00C91D7C">
        <w:rPr>
          <w:rFonts w:ascii="Arial" w:hAnsi="Arial" w:cs="Arial"/>
          <w:b/>
          <w:bCs/>
        </w:rPr>
        <w:t>61</w:t>
      </w:r>
      <w:r w:rsidRPr="00C91D7C">
        <w:rPr>
          <w:rFonts w:ascii="Arial" w:hAnsi="Arial" w:cs="Arial"/>
        </w:rPr>
        <w:t xml:space="preserve"> (2): 203-217.</w:t>
      </w:r>
    </w:p>
    <w:p w14:paraId="42BB0507"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color w:val="222222"/>
          <w:shd w:val="clear" w:color="auto" w:fill="FFFFFF"/>
        </w:rPr>
        <w:lastRenderedPageBreak/>
        <w:t>Madhu, D. M., Sinha, D. K., Singh, K. M., Kumari, T., Singh, R.</w:t>
      </w:r>
      <w:r w:rsidR="00B70156">
        <w:rPr>
          <w:rFonts w:ascii="Arial" w:hAnsi="Arial" w:cs="Arial"/>
          <w:color w:val="222222"/>
          <w:shd w:val="clear" w:color="auto" w:fill="FFFFFF"/>
        </w:rPr>
        <w:t xml:space="preserve"> P., Kumari, S., &amp;</w:t>
      </w:r>
      <w:r w:rsidRPr="00C91D7C">
        <w:rPr>
          <w:rFonts w:ascii="Arial" w:hAnsi="Arial" w:cs="Arial"/>
          <w:color w:val="222222"/>
          <w:shd w:val="clear" w:color="auto" w:fill="FFFFFF"/>
        </w:rPr>
        <w:t xml:space="preserve"> Ahmad, N., 2023b, Achieving Sustainable Development Goal by Empowering Women through Mulberry Silk Production in Karnataka, India. </w:t>
      </w:r>
      <w:r w:rsidRPr="00C91D7C">
        <w:rPr>
          <w:rFonts w:ascii="Arial" w:hAnsi="Arial" w:cs="Arial"/>
          <w:i/>
          <w:iCs/>
        </w:rPr>
        <w:t>Agriculture Association of Textile Chemical and Critical Reviews Journal</w:t>
      </w:r>
      <w:r w:rsidRPr="00C91D7C">
        <w:rPr>
          <w:rFonts w:ascii="Arial" w:hAnsi="Arial" w:cs="Arial"/>
        </w:rPr>
        <w:t>.,</w:t>
      </w:r>
      <w:r w:rsidRPr="00C91D7C">
        <w:rPr>
          <w:rFonts w:ascii="Arial" w:hAnsi="Arial" w:cs="Arial"/>
          <w:b/>
          <w:bCs/>
        </w:rPr>
        <w:t xml:space="preserve"> 01</w:t>
      </w:r>
      <w:r w:rsidRPr="00C91D7C">
        <w:rPr>
          <w:rFonts w:ascii="Arial" w:hAnsi="Arial" w:cs="Arial"/>
        </w:rPr>
        <w:t xml:space="preserve"> (06):1-6. </w:t>
      </w:r>
    </w:p>
    <w:p w14:paraId="1BBCB630" w14:textId="77777777" w:rsidR="00852798" w:rsidRPr="00C91D7C" w:rsidRDefault="00852798" w:rsidP="00C47B55">
      <w:pPr>
        <w:tabs>
          <w:tab w:val="left" w:pos="1239"/>
        </w:tabs>
        <w:spacing w:line="360" w:lineRule="auto"/>
        <w:jc w:val="both"/>
        <w:rPr>
          <w:rStyle w:val="Hyperlink"/>
          <w:rFonts w:ascii="Arial" w:hAnsi="Arial" w:cs="Arial"/>
          <w:sz w:val="24"/>
          <w:szCs w:val="24"/>
          <w:shd w:val="clear" w:color="auto" w:fill="FFFFFF"/>
        </w:rPr>
      </w:pPr>
      <w:r w:rsidRPr="00C91D7C">
        <w:rPr>
          <w:rFonts w:ascii="Arial" w:hAnsi="Arial" w:cs="Arial"/>
          <w:shd w:val="clear" w:color="auto" w:fill="FFFFFF"/>
        </w:rPr>
        <w:t xml:space="preserve">Ministry of commerce and Industry </w:t>
      </w:r>
      <w:hyperlink r:id="rId20" w:history="1">
        <w:r w:rsidRPr="00C91D7C">
          <w:rPr>
            <w:rStyle w:val="Hyperlink"/>
            <w:rFonts w:ascii="Arial" w:hAnsi="Arial" w:cs="Arial"/>
            <w:shd w:val="clear" w:color="auto" w:fill="FFFFFF"/>
          </w:rPr>
          <w:t>https://commerce.gov.in/</w:t>
        </w:r>
      </w:hyperlink>
      <w:r w:rsidRPr="00C91D7C">
        <w:rPr>
          <w:rStyle w:val="Hyperlink"/>
          <w:rFonts w:ascii="Arial" w:hAnsi="Arial" w:cs="Arial"/>
          <w:sz w:val="24"/>
          <w:szCs w:val="24"/>
          <w:shd w:val="clear" w:color="auto" w:fill="FFFFFF"/>
        </w:rPr>
        <w:t xml:space="preserve"> </w:t>
      </w:r>
    </w:p>
    <w:p w14:paraId="31A5FE58" w14:textId="77777777" w:rsidR="00852798" w:rsidRPr="00C91D7C" w:rsidRDefault="00852798" w:rsidP="00517DA3">
      <w:pPr>
        <w:spacing w:line="360" w:lineRule="auto"/>
        <w:ind w:left="851" w:hanging="794"/>
        <w:jc w:val="both"/>
        <w:rPr>
          <w:rFonts w:ascii="Arial" w:hAnsi="Arial" w:cs="Arial"/>
        </w:rPr>
      </w:pPr>
      <w:r w:rsidRPr="00C91D7C">
        <w:rPr>
          <w:rFonts w:ascii="Arial" w:hAnsi="Arial" w:cs="Arial"/>
        </w:rPr>
        <w:t xml:space="preserve">Ministry of Textiles, Government of India (2021). Annual Report 2020–21. </w:t>
      </w:r>
      <w:hyperlink r:id="rId21" w:history="1">
        <w:r w:rsidRPr="00C91D7C">
          <w:rPr>
            <w:rStyle w:val="Hyperlink"/>
            <w:rFonts w:ascii="Arial" w:hAnsi="Arial" w:cs="Arial"/>
          </w:rPr>
          <w:t>https://texmin.nic.in</w:t>
        </w:r>
      </w:hyperlink>
      <w:r w:rsidRPr="00C91D7C">
        <w:rPr>
          <w:rFonts w:ascii="Arial" w:hAnsi="Arial" w:cs="Arial"/>
        </w:rPr>
        <w:t xml:space="preserve"> </w:t>
      </w:r>
    </w:p>
    <w:p w14:paraId="481B4492"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OECD (2021). Global Value Chains in the Silk Industry. Organisation for Economic Co-operation and Development.</w:t>
      </w:r>
    </w:p>
    <w:p w14:paraId="59225D45" w14:textId="77777777" w:rsidR="00852798" w:rsidRPr="00C91D7C" w:rsidRDefault="00B70156" w:rsidP="0095507F">
      <w:pPr>
        <w:spacing w:line="360" w:lineRule="auto"/>
        <w:ind w:left="851" w:hanging="794"/>
        <w:jc w:val="both"/>
        <w:rPr>
          <w:rFonts w:ascii="Arial" w:hAnsi="Arial" w:cs="Arial"/>
          <w:color w:val="000000" w:themeColor="text1"/>
          <w:sz w:val="24"/>
          <w:szCs w:val="24"/>
          <w:shd w:val="clear" w:color="auto" w:fill="FFFFFF"/>
        </w:rPr>
      </w:pPr>
      <w:r>
        <w:rPr>
          <w:rFonts w:ascii="Arial" w:eastAsia="Times New Roman" w:hAnsi="Arial" w:cs="Arial"/>
          <w:color w:val="000000"/>
          <w:lang w:eastAsia="en-IN"/>
        </w:rPr>
        <w:t>Rao, K. H., Krishnan, M. &amp;</w:t>
      </w:r>
      <w:r w:rsidR="009A3EE8">
        <w:rPr>
          <w:rFonts w:ascii="Arial" w:eastAsia="Times New Roman" w:hAnsi="Arial" w:cs="Arial"/>
          <w:color w:val="000000"/>
          <w:lang w:eastAsia="en-IN"/>
        </w:rPr>
        <w:t xml:space="preserve"> Latha, R. (2018). </w:t>
      </w:r>
      <w:r w:rsidR="00852798" w:rsidRPr="00C91D7C">
        <w:rPr>
          <w:rFonts w:ascii="Arial" w:eastAsia="Times New Roman" w:hAnsi="Arial" w:cs="Arial"/>
          <w:color w:val="000000"/>
          <w:lang w:eastAsia="en-IN"/>
        </w:rPr>
        <w:t>Analysis of I</w:t>
      </w:r>
      <w:r w:rsidR="009A3EE8">
        <w:rPr>
          <w:rFonts w:ascii="Arial" w:eastAsia="Times New Roman" w:hAnsi="Arial" w:cs="Arial"/>
          <w:color w:val="000000"/>
          <w:lang w:eastAsia="en-IN"/>
        </w:rPr>
        <w:t xml:space="preserve">ndia's Silk Trade Performance. </w:t>
      </w:r>
      <w:r w:rsidR="00852798" w:rsidRPr="00C91D7C">
        <w:rPr>
          <w:rFonts w:ascii="Arial" w:eastAsia="Times New Roman" w:hAnsi="Arial" w:cs="Arial"/>
          <w:color w:val="000000"/>
          <w:lang w:eastAsia="en-IN"/>
        </w:rPr>
        <w:t xml:space="preserve">Journal of Sericulture and Silk Science, </w:t>
      </w:r>
      <w:r w:rsidR="00852798" w:rsidRPr="009A3EE8">
        <w:rPr>
          <w:rFonts w:ascii="Arial" w:eastAsia="Times New Roman" w:hAnsi="Arial" w:cs="Arial"/>
          <w:b/>
          <w:bCs/>
          <w:color w:val="000000"/>
          <w:lang w:eastAsia="en-IN"/>
        </w:rPr>
        <w:t>12</w:t>
      </w:r>
      <w:r w:rsidR="009A3EE8" w:rsidRPr="009A3EE8">
        <w:rPr>
          <w:rFonts w:ascii="Arial" w:eastAsia="Times New Roman" w:hAnsi="Arial" w:cs="Arial"/>
          <w:b/>
          <w:bCs/>
          <w:color w:val="000000"/>
          <w:lang w:eastAsia="en-IN"/>
        </w:rPr>
        <w:t xml:space="preserve"> </w:t>
      </w:r>
      <w:r w:rsidR="00852798" w:rsidRPr="00C91D7C">
        <w:rPr>
          <w:rFonts w:ascii="Arial" w:eastAsia="Times New Roman" w:hAnsi="Arial" w:cs="Arial"/>
          <w:color w:val="000000"/>
          <w:lang w:eastAsia="en-IN"/>
        </w:rPr>
        <w:t>(2)</w:t>
      </w:r>
      <w:r w:rsidR="009A3EE8">
        <w:rPr>
          <w:rFonts w:ascii="Arial" w:eastAsia="Times New Roman" w:hAnsi="Arial" w:cs="Arial"/>
          <w:color w:val="000000"/>
          <w:lang w:eastAsia="en-IN"/>
        </w:rPr>
        <w:t>:</w:t>
      </w:r>
      <w:r w:rsidR="00852798" w:rsidRPr="00C91D7C">
        <w:rPr>
          <w:rFonts w:ascii="Arial" w:eastAsia="Times New Roman" w:hAnsi="Arial" w:cs="Arial"/>
          <w:color w:val="000000"/>
          <w:lang w:eastAsia="en-IN"/>
        </w:rPr>
        <w:t xml:space="preserve"> 33–42.</w:t>
      </w:r>
    </w:p>
    <w:p w14:paraId="1660FDCE" w14:textId="77777777" w:rsidR="00852798" w:rsidRPr="00C91D7C" w:rsidRDefault="00B70156" w:rsidP="0095507F">
      <w:pPr>
        <w:spacing w:line="360" w:lineRule="auto"/>
        <w:ind w:left="851" w:hanging="794"/>
        <w:jc w:val="both"/>
        <w:rPr>
          <w:rFonts w:ascii="Arial" w:hAnsi="Arial" w:cs="Arial"/>
          <w:color w:val="000000" w:themeColor="text1"/>
          <w:sz w:val="24"/>
          <w:szCs w:val="24"/>
          <w:shd w:val="clear" w:color="auto" w:fill="FFFFFF"/>
        </w:rPr>
      </w:pPr>
      <w:r>
        <w:rPr>
          <w:rFonts w:ascii="Arial" w:eastAsia="Times New Roman" w:hAnsi="Arial" w:cs="Arial"/>
          <w:color w:val="000000"/>
          <w:lang w:eastAsia="en-IN"/>
        </w:rPr>
        <w:t>Reddy, K. B. &amp;</w:t>
      </w:r>
      <w:r w:rsidR="00852798" w:rsidRPr="00C91D7C">
        <w:rPr>
          <w:rFonts w:ascii="Arial" w:eastAsia="Times New Roman" w:hAnsi="Arial" w:cs="Arial"/>
          <w:color w:val="000000"/>
          <w:lang w:eastAsia="en-IN"/>
        </w:rPr>
        <w:t xml:space="preserve"> Prasad, D. (2016). Challenges in Indian Silk Export Competitiveness. </w:t>
      </w:r>
      <w:r w:rsidR="00852798" w:rsidRPr="00B70156">
        <w:rPr>
          <w:rFonts w:ascii="Arial" w:eastAsia="Times New Roman" w:hAnsi="Arial" w:cs="Arial"/>
          <w:i/>
          <w:iCs/>
          <w:color w:val="000000"/>
          <w:lang w:eastAsia="en-IN"/>
        </w:rPr>
        <w:t>Indian Journal of Agricultural Marketing</w:t>
      </w:r>
      <w:r w:rsidR="00852798" w:rsidRPr="00C91D7C">
        <w:rPr>
          <w:rFonts w:ascii="Arial" w:eastAsia="Times New Roman" w:hAnsi="Arial" w:cs="Arial"/>
          <w:color w:val="000000"/>
          <w:lang w:eastAsia="en-IN"/>
        </w:rPr>
        <w:t xml:space="preserve">, </w:t>
      </w:r>
      <w:r w:rsidR="00852798" w:rsidRPr="009A3EE8">
        <w:rPr>
          <w:rFonts w:ascii="Arial" w:eastAsia="Times New Roman" w:hAnsi="Arial" w:cs="Arial"/>
          <w:b/>
          <w:bCs/>
          <w:color w:val="000000"/>
          <w:lang w:eastAsia="en-IN"/>
        </w:rPr>
        <w:t>30</w:t>
      </w:r>
      <w:r w:rsidR="009A3EE8" w:rsidRPr="009A3EE8">
        <w:rPr>
          <w:rFonts w:ascii="Arial" w:eastAsia="Times New Roman" w:hAnsi="Arial" w:cs="Arial"/>
          <w:b/>
          <w:bCs/>
          <w:color w:val="000000"/>
          <w:lang w:eastAsia="en-IN"/>
        </w:rPr>
        <w:t xml:space="preserve"> </w:t>
      </w:r>
      <w:r w:rsidR="00852798" w:rsidRPr="00C91D7C">
        <w:rPr>
          <w:rFonts w:ascii="Arial" w:eastAsia="Times New Roman" w:hAnsi="Arial" w:cs="Arial"/>
          <w:color w:val="000000"/>
          <w:lang w:eastAsia="en-IN"/>
        </w:rPr>
        <w:t>(3)</w:t>
      </w:r>
      <w:r w:rsidR="009A3EE8">
        <w:rPr>
          <w:rFonts w:ascii="Arial" w:eastAsia="Times New Roman" w:hAnsi="Arial" w:cs="Arial"/>
          <w:color w:val="000000"/>
          <w:lang w:eastAsia="en-IN"/>
        </w:rPr>
        <w:t>:</w:t>
      </w:r>
      <w:r w:rsidR="00852798" w:rsidRPr="00C91D7C">
        <w:rPr>
          <w:rFonts w:ascii="Arial" w:eastAsia="Times New Roman" w:hAnsi="Arial" w:cs="Arial"/>
          <w:color w:val="000000"/>
          <w:lang w:eastAsia="en-IN"/>
        </w:rPr>
        <w:t xml:space="preserve"> 85–91.</w:t>
      </w:r>
    </w:p>
    <w:p w14:paraId="21F5843B"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UNCTAD (2020). World Trade Report: Textile and Clothing. United Nations Conference on Trade and Development.</w:t>
      </w:r>
    </w:p>
    <w:p w14:paraId="62DE8E58" w14:textId="77777777" w:rsidR="00852798" w:rsidRPr="00C91D7C" w:rsidRDefault="00852798" w:rsidP="00037918">
      <w:pPr>
        <w:spacing w:line="360" w:lineRule="auto"/>
        <w:ind w:left="851" w:hanging="794"/>
        <w:jc w:val="both"/>
        <w:rPr>
          <w:rFonts w:ascii="Arial" w:eastAsia="Times New Roman" w:hAnsi="Arial" w:cs="Arial"/>
          <w:color w:val="000000"/>
          <w:lang w:eastAsia="en-IN"/>
        </w:rPr>
      </w:pPr>
      <w:r w:rsidRPr="00C91D7C">
        <w:rPr>
          <w:rFonts w:ascii="Arial" w:eastAsia="Times New Roman" w:hAnsi="Arial" w:cs="Arial"/>
          <w:color w:val="000000"/>
          <w:lang w:eastAsia="en-IN"/>
        </w:rPr>
        <w:t>UNCTAD (2021). Global Silk Market Dynamics and Trade Analysis, United Nations Conference on Trade and Development.</w:t>
      </w:r>
    </w:p>
    <w:p w14:paraId="0F07A7AE"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WTO (2020). World Trade Statistical Review 2020. World Trade Organization.</w:t>
      </w:r>
    </w:p>
    <w:p w14:paraId="33B86C4B"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rPr>
        <w:t xml:space="preserve">WTO (2022). Trade Profiles: India. Geneva: World Trade Organization. </w:t>
      </w:r>
      <w:hyperlink r:id="rId22" w:history="1">
        <w:r w:rsidRPr="00C91D7C">
          <w:rPr>
            <w:rStyle w:val="Hyperlink"/>
            <w:rFonts w:ascii="Arial" w:hAnsi="Arial" w:cs="Arial"/>
          </w:rPr>
          <w:t>https://www.wto.org</w:t>
        </w:r>
      </w:hyperlink>
      <w:r w:rsidRPr="00C91D7C">
        <w:rPr>
          <w:rFonts w:ascii="Arial" w:hAnsi="Arial" w:cs="Arial"/>
        </w:rPr>
        <w:t xml:space="preserve"> </w:t>
      </w:r>
    </w:p>
    <w:p w14:paraId="451F47EC" w14:textId="77777777" w:rsidR="00852798" w:rsidRPr="009A3EE8" w:rsidRDefault="009A3EE8" w:rsidP="00C47B55">
      <w:pPr>
        <w:spacing w:line="360" w:lineRule="auto"/>
        <w:ind w:left="851" w:hanging="794"/>
        <w:jc w:val="both"/>
        <w:rPr>
          <w:rFonts w:ascii="Arial" w:hAnsi="Arial" w:cs="Arial"/>
          <w:sz w:val="20"/>
          <w:szCs w:val="20"/>
        </w:rPr>
      </w:pPr>
      <w:r>
        <w:rPr>
          <w:rFonts w:ascii="Arial" w:hAnsi="Arial" w:cs="Arial"/>
          <w:color w:val="000000" w:themeColor="text1"/>
          <w:shd w:val="clear" w:color="auto" w:fill="FFFFFF"/>
        </w:rPr>
        <w:t>Yuldashev, F. &amp;</w:t>
      </w:r>
      <w:r w:rsidR="00852798" w:rsidRPr="009A3EE8">
        <w:rPr>
          <w:rFonts w:ascii="Arial" w:hAnsi="Arial" w:cs="Arial"/>
          <w:color w:val="000000" w:themeColor="text1"/>
          <w:shd w:val="clear" w:color="auto" w:fill="FFFFFF"/>
        </w:rPr>
        <w:t xml:space="preserve"> Nazarova, D. (2019). Reviving Silk Production in Central Asia: The Role of BACSA in Uzbekistan. </w:t>
      </w:r>
      <w:r w:rsidR="00852798" w:rsidRPr="009A3EE8">
        <w:rPr>
          <w:rFonts w:ascii="Arial" w:hAnsi="Arial" w:cs="Arial"/>
          <w:i/>
          <w:iCs/>
          <w:color w:val="000000" w:themeColor="text1"/>
          <w:shd w:val="clear" w:color="auto" w:fill="FFFFFF"/>
        </w:rPr>
        <w:t>Central Asian Journal of Sustainability Studies</w:t>
      </w:r>
      <w:r>
        <w:rPr>
          <w:rFonts w:ascii="Arial" w:hAnsi="Arial" w:cs="Arial"/>
          <w:color w:val="000000" w:themeColor="text1"/>
          <w:shd w:val="clear" w:color="auto" w:fill="FFFFFF"/>
        </w:rPr>
        <w:t xml:space="preserve">, </w:t>
      </w:r>
      <w:r w:rsidRPr="00172020">
        <w:rPr>
          <w:rFonts w:ascii="Arial" w:hAnsi="Arial" w:cs="Arial"/>
          <w:b/>
          <w:bCs/>
          <w:color w:val="000000" w:themeColor="text1"/>
          <w:shd w:val="clear" w:color="auto" w:fill="FFFFFF"/>
        </w:rPr>
        <w:t>4</w:t>
      </w:r>
      <w:r>
        <w:rPr>
          <w:rFonts w:ascii="Arial" w:hAnsi="Arial" w:cs="Arial"/>
          <w:color w:val="000000" w:themeColor="text1"/>
          <w:shd w:val="clear" w:color="auto" w:fill="FFFFFF"/>
        </w:rPr>
        <w:t>(1):</w:t>
      </w:r>
      <w:r w:rsidR="00852798" w:rsidRPr="009A3EE8">
        <w:rPr>
          <w:rFonts w:ascii="Arial" w:hAnsi="Arial" w:cs="Arial"/>
          <w:color w:val="000000" w:themeColor="text1"/>
          <w:shd w:val="clear" w:color="auto" w:fill="FFFFFF"/>
        </w:rPr>
        <w:t xml:space="preserve"> 45–56.</w:t>
      </w:r>
    </w:p>
    <w:p w14:paraId="5C16F7EF" w14:textId="77777777" w:rsidR="00852798" w:rsidRPr="009A3EE8" w:rsidRDefault="009A3EE8" w:rsidP="0095507F">
      <w:pPr>
        <w:spacing w:line="360" w:lineRule="auto"/>
        <w:ind w:left="851" w:hanging="794"/>
        <w:jc w:val="both"/>
        <w:rPr>
          <w:rFonts w:ascii="Arial" w:hAnsi="Arial" w:cs="Arial"/>
          <w:color w:val="000000" w:themeColor="text1"/>
          <w:shd w:val="clear" w:color="auto" w:fill="FFFFFF"/>
        </w:rPr>
      </w:pPr>
      <w:r>
        <w:rPr>
          <w:rFonts w:ascii="Arial" w:hAnsi="Arial" w:cs="Arial"/>
          <w:color w:val="000000" w:themeColor="text1"/>
          <w:shd w:val="clear" w:color="auto" w:fill="FFFFFF"/>
        </w:rPr>
        <w:t>Zhao, L. &amp;</w:t>
      </w:r>
      <w:r w:rsidR="00852798" w:rsidRPr="009A3EE8">
        <w:rPr>
          <w:rFonts w:ascii="Arial" w:hAnsi="Arial" w:cs="Arial"/>
          <w:color w:val="000000" w:themeColor="text1"/>
          <w:shd w:val="clear" w:color="auto" w:fill="FFFFFF"/>
        </w:rPr>
        <w:t xml:space="preserve"> Liu, M. (2022). China’s Silk Industry under Pandemic Stress: Production, Policy, and Export Responses. </w:t>
      </w:r>
      <w:r w:rsidR="00852798" w:rsidRPr="009A3EE8">
        <w:rPr>
          <w:rFonts w:ascii="Arial" w:hAnsi="Arial" w:cs="Arial"/>
          <w:i/>
          <w:iCs/>
          <w:color w:val="000000" w:themeColor="text1"/>
          <w:shd w:val="clear" w:color="auto" w:fill="FFFFFF"/>
        </w:rPr>
        <w:t>Journal of Asian Trade,</w:t>
      </w:r>
      <w:r w:rsidR="00852798" w:rsidRPr="009A3EE8">
        <w:rPr>
          <w:rFonts w:ascii="Arial" w:hAnsi="Arial" w:cs="Arial"/>
          <w:color w:val="000000" w:themeColor="text1"/>
          <w:shd w:val="clear" w:color="auto" w:fill="FFFFFF"/>
        </w:rPr>
        <w:t xml:space="preserve"> </w:t>
      </w:r>
      <w:r w:rsidR="00852798" w:rsidRPr="009A3EE8">
        <w:rPr>
          <w:rFonts w:ascii="Arial" w:hAnsi="Arial" w:cs="Arial"/>
          <w:b/>
          <w:bCs/>
          <w:color w:val="000000" w:themeColor="text1"/>
          <w:shd w:val="clear" w:color="auto" w:fill="FFFFFF"/>
        </w:rPr>
        <w:t>7</w:t>
      </w:r>
      <w:r>
        <w:rPr>
          <w:rFonts w:ascii="Arial" w:hAnsi="Arial" w:cs="Arial"/>
          <w:color w:val="000000" w:themeColor="text1"/>
          <w:shd w:val="clear" w:color="auto" w:fill="FFFFFF"/>
        </w:rPr>
        <w:t xml:space="preserve">(1): </w:t>
      </w:r>
      <w:r w:rsidR="00852798" w:rsidRPr="009A3EE8">
        <w:rPr>
          <w:rFonts w:ascii="Arial" w:hAnsi="Arial" w:cs="Arial"/>
          <w:color w:val="000000" w:themeColor="text1"/>
          <w:shd w:val="clear" w:color="auto" w:fill="FFFFFF"/>
        </w:rPr>
        <w:t>33–48.</w:t>
      </w:r>
    </w:p>
    <w:p w14:paraId="7832656F" w14:textId="77777777" w:rsidR="00517DA3" w:rsidRPr="009A3EE8" w:rsidRDefault="00517DA3" w:rsidP="00CE5E2C">
      <w:pPr>
        <w:spacing w:line="360" w:lineRule="auto"/>
        <w:ind w:left="851" w:hanging="794"/>
        <w:jc w:val="both"/>
        <w:rPr>
          <w:rFonts w:ascii="Arial" w:eastAsia="Times New Roman" w:hAnsi="Arial" w:cs="Arial"/>
          <w:color w:val="000000"/>
          <w:sz w:val="20"/>
          <w:szCs w:val="20"/>
          <w:lang w:eastAsia="en-IN"/>
        </w:rPr>
      </w:pPr>
    </w:p>
    <w:p w14:paraId="406A5CD1" w14:textId="77777777" w:rsidR="00037918" w:rsidRPr="00C91D7C" w:rsidRDefault="00037918" w:rsidP="0095507F">
      <w:pPr>
        <w:spacing w:line="360" w:lineRule="auto"/>
        <w:ind w:left="851" w:hanging="794"/>
        <w:jc w:val="both"/>
        <w:rPr>
          <w:rFonts w:ascii="Arial" w:eastAsia="Times New Roman" w:hAnsi="Arial" w:cs="Arial"/>
          <w:color w:val="000000"/>
          <w:lang w:eastAsia="en-IN"/>
        </w:rPr>
      </w:pPr>
    </w:p>
    <w:p w14:paraId="4B77A3C1" w14:textId="77777777" w:rsidR="008D1910" w:rsidRPr="00C91D7C" w:rsidRDefault="008D1910" w:rsidP="0095507F">
      <w:pPr>
        <w:spacing w:line="360" w:lineRule="auto"/>
        <w:ind w:left="851" w:hanging="794"/>
        <w:jc w:val="both"/>
        <w:rPr>
          <w:rFonts w:ascii="Arial" w:hAnsi="Arial" w:cs="Arial"/>
          <w:color w:val="000000" w:themeColor="text1"/>
          <w:sz w:val="24"/>
          <w:szCs w:val="24"/>
          <w:shd w:val="clear" w:color="auto" w:fill="FFFFFF"/>
        </w:rPr>
      </w:pPr>
    </w:p>
    <w:p w14:paraId="47D1F72F" w14:textId="77777777" w:rsidR="0095507F" w:rsidRPr="00C91D7C" w:rsidRDefault="0095507F" w:rsidP="00C47B55">
      <w:pPr>
        <w:spacing w:line="360" w:lineRule="auto"/>
        <w:ind w:left="851" w:hanging="794"/>
        <w:jc w:val="both"/>
        <w:rPr>
          <w:rFonts w:ascii="Arial" w:hAnsi="Arial" w:cs="Arial"/>
        </w:rPr>
      </w:pPr>
    </w:p>
    <w:sectPr w:rsidR="0095507F" w:rsidRPr="00C91D7C" w:rsidSect="003332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mpal Dekaraja" w:date="2025-05-03T20:58:00Z" w:initials="DD">
    <w:p w14:paraId="30FED70B" w14:textId="77777777" w:rsidR="00B551F9" w:rsidRDefault="00B551F9" w:rsidP="00B551F9">
      <w:pPr>
        <w:pStyle w:val="CommentText"/>
      </w:pPr>
      <w:r>
        <w:rPr>
          <w:rStyle w:val="CommentReference"/>
        </w:rPr>
        <w:annotationRef/>
      </w:r>
      <w:r>
        <w:t>Not understand the meaning.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FED7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F6B641" w16cex:dateUtc="2025-05-03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FED70B" w16cid:durableId="45F6B6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8489" w14:textId="77777777" w:rsidR="007C6ED1" w:rsidRDefault="007C6ED1" w:rsidP="00CF09A9">
      <w:pPr>
        <w:spacing w:after="0" w:line="240" w:lineRule="auto"/>
      </w:pPr>
      <w:r>
        <w:separator/>
      </w:r>
    </w:p>
  </w:endnote>
  <w:endnote w:type="continuationSeparator" w:id="0">
    <w:p w14:paraId="7F0A2D35" w14:textId="77777777" w:rsidR="007C6ED1" w:rsidRDefault="007C6ED1" w:rsidP="00C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FA71" w14:textId="77777777" w:rsidR="00CF09A9" w:rsidRDefault="00CF0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B26F" w14:textId="77777777" w:rsidR="00CF09A9" w:rsidRDefault="00CF0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80C7" w14:textId="77777777" w:rsidR="00CF09A9" w:rsidRDefault="00CF0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6B15" w14:textId="77777777" w:rsidR="007C6ED1" w:rsidRDefault="007C6ED1" w:rsidP="00CF09A9">
      <w:pPr>
        <w:spacing w:after="0" w:line="240" w:lineRule="auto"/>
      </w:pPr>
      <w:r>
        <w:separator/>
      </w:r>
    </w:p>
  </w:footnote>
  <w:footnote w:type="continuationSeparator" w:id="0">
    <w:p w14:paraId="4414FD18" w14:textId="77777777" w:rsidR="007C6ED1" w:rsidRDefault="007C6ED1" w:rsidP="00CF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981E" w14:textId="5695495F" w:rsidR="00CF09A9" w:rsidRDefault="00000000">
    <w:pPr>
      <w:pStyle w:val="Header"/>
    </w:pPr>
    <w:r>
      <w:rPr>
        <w:noProof/>
      </w:rPr>
      <w:pict w14:anchorId="6E65E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0559" w14:textId="5A97BA8A" w:rsidR="00CF09A9" w:rsidRDefault="00000000">
    <w:pPr>
      <w:pStyle w:val="Header"/>
    </w:pPr>
    <w:r>
      <w:rPr>
        <w:noProof/>
      </w:rPr>
      <w:pict w14:anchorId="115A9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5E0E" w14:textId="1C3E3683" w:rsidR="00CF09A9" w:rsidRDefault="00000000">
    <w:pPr>
      <w:pStyle w:val="Header"/>
    </w:pPr>
    <w:r>
      <w:rPr>
        <w:noProof/>
      </w:rPr>
      <w:pict w14:anchorId="17831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68E"/>
    <w:multiLevelType w:val="hybridMultilevel"/>
    <w:tmpl w:val="0652F19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A7B16F4"/>
    <w:multiLevelType w:val="hybridMultilevel"/>
    <w:tmpl w:val="3FB46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E97B16"/>
    <w:multiLevelType w:val="multilevel"/>
    <w:tmpl w:val="81F0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91A16"/>
    <w:multiLevelType w:val="hybridMultilevel"/>
    <w:tmpl w:val="898C6BD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692B74"/>
    <w:multiLevelType w:val="multilevel"/>
    <w:tmpl w:val="714E30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0A5B6A"/>
    <w:multiLevelType w:val="multilevel"/>
    <w:tmpl w:val="88CE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17269"/>
    <w:multiLevelType w:val="multilevel"/>
    <w:tmpl w:val="E67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70E57"/>
    <w:multiLevelType w:val="multilevel"/>
    <w:tmpl w:val="ABD6B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47259"/>
    <w:multiLevelType w:val="multilevel"/>
    <w:tmpl w:val="339C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B6D90"/>
    <w:multiLevelType w:val="multilevel"/>
    <w:tmpl w:val="1B04D094"/>
    <w:lvl w:ilvl="0">
      <w:start w:val="2"/>
      <w:numFmt w:val="decimal"/>
      <w:lvlText w:val="%1"/>
      <w:lvlJc w:val="left"/>
      <w:pPr>
        <w:ind w:left="360" w:hanging="360"/>
      </w:pPr>
      <w:rPr>
        <w:rFonts w:eastAsiaTheme="minorHAnsi" w:hint="default"/>
      </w:rPr>
    </w:lvl>
    <w:lvl w:ilvl="1">
      <w:start w:val="2"/>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0" w15:restartNumberingAfterBreak="0">
    <w:nsid w:val="7797329C"/>
    <w:multiLevelType w:val="hybridMultilevel"/>
    <w:tmpl w:val="3FB46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3257118">
    <w:abstractNumId w:val="4"/>
  </w:num>
  <w:num w:numId="2" w16cid:durableId="1048453427">
    <w:abstractNumId w:val="10"/>
  </w:num>
  <w:num w:numId="3" w16cid:durableId="516508804">
    <w:abstractNumId w:val="9"/>
  </w:num>
  <w:num w:numId="4" w16cid:durableId="559051150">
    <w:abstractNumId w:val="3"/>
  </w:num>
  <w:num w:numId="5" w16cid:durableId="507870056">
    <w:abstractNumId w:val="1"/>
  </w:num>
  <w:num w:numId="6" w16cid:durableId="1835097824">
    <w:abstractNumId w:val="0"/>
  </w:num>
  <w:num w:numId="7" w16cid:durableId="835340925">
    <w:abstractNumId w:val="2"/>
  </w:num>
  <w:num w:numId="8" w16cid:durableId="445319470">
    <w:abstractNumId w:val="5"/>
  </w:num>
  <w:num w:numId="9" w16cid:durableId="207911262">
    <w:abstractNumId w:val="7"/>
  </w:num>
  <w:num w:numId="10" w16cid:durableId="623465295">
    <w:abstractNumId w:val="8"/>
  </w:num>
  <w:num w:numId="11" w16cid:durableId="7040160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mpal Dekaraja">
    <w15:presenceInfo w15:providerId="Windows Live" w15:userId="04a08b26a0bc58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25"/>
    <w:rsid w:val="00030E7D"/>
    <w:rsid w:val="000378A2"/>
    <w:rsid w:val="00037918"/>
    <w:rsid w:val="00044758"/>
    <w:rsid w:val="00055970"/>
    <w:rsid w:val="00076DD0"/>
    <w:rsid w:val="00080843"/>
    <w:rsid w:val="00086298"/>
    <w:rsid w:val="00091B9E"/>
    <w:rsid w:val="00093268"/>
    <w:rsid w:val="000A065F"/>
    <w:rsid w:val="000A07EC"/>
    <w:rsid w:val="000C1AE7"/>
    <w:rsid w:val="000C3A2A"/>
    <w:rsid w:val="000F0CC4"/>
    <w:rsid w:val="000F1147"/>
    <w:rsid w:val="000F57F4"/>
    <w:rsid w:val="00153303"/>
    <w:rsid w:val="001635CF"/>
    <w:rsid w:val="00172020"/>
    <w:rsid w:val="001F3082"/>
    <w:rsid w:val="00201D58"/>
    <w:rsid w:val="00211BFE"/>
    <w:rsid w:val="002338E2"/>
    <w:rsid w:val="002731BA"/>
    <w:rsid w:val="0027700E"/>
    <w:rsid w:val="002A21CA"/>
    <w:rsid w:val="002C4580"/>
    <w:rsid w:val="002E15B2"/>
    <w:rsid w:val="0030135C"/>
    <w:rsid w:val="00333236"/>
    <w:rsid w:val="0033572A"/>
    <w:rsid w:val="003428DA"/>
    <w:rsid w:val="0036163C"/>
    <w:rsid w:val="00365DE1"/>
    <w:rsid w:val="0036677D"/>
    <w:rsid w:val="00366FB5"/>
    <w:rsid w:val="00370518"/>
    <w:rsid w:val="00371888"/>
    <w:rsid w:val="0037692A"/>
    <w:rsid w:val="003E4434"/>
    <w:rsid w:val="00401C86"/>
    <w:rsid w:val="00401CD7"/>
    <w:rsid w:val="00401F91"/>
    <w:rsid w:val="004138B1"/>
    <w:rsid w:val="004154B3"/>
    <w:rsid w:val="004452C6"/>
    <w:rsid w:val="00475F2C"/>
    <w:rsid w:val="004A3A41"/>
    <w:rsid w:val="004F0B5B"/>
    <w:rsid w:val="004F714A"/>
    <w:rsid w:val="00507CE9"/>
    <w:rsid w:val="00507D25"/>
    <w:rsid w:val="00517DA3"/>
    <w:rsid w:val="0052710F"/>
    <w:rsid w:val="0056417E"/>
    <w:rsid w:val="00597FAF"/>
    <w:rsid w:val="005A4399"/>
    <w:rsid w:val="005B6D1D"/>
    <w:rsid w:val="005F67E1"/>
    <w:rsid w:val="006272E1"/>
    <w:rsid w:val="00632787"/>
    <w:rsid w:val="006713B9"/>
    <w:rsid w:val="00685394"/>
    <w:rsid w:val="006A719E"/>
    <w:rsid w:val="006B147A"/>
    <w:rsid w:val="006D082C"/>
    <w:rsid w:val="006D2F52"/>
    <w:rsid w:val="006F0545"/>
    <w:rsid w:val="006F5B8F"/>
    <w:rsid w:val="00721563"/>
    <w:rsid w:val="00736AAF"/>
    <w:rsid w:val="00791446"/>
    <w:rsid w:val="007A7E92"/>
    <w:rsid w:val="007C6ED1"/>
    <w:rsid w:val="007D3E8F"/>
    <w:rsid w:val="007E00D0"/>
    <w:rsid w:val="007E30DE"/>
    <w:rsid w:val="0080008A"/>
    <w:rsid w:val="00815304"/>
    <w:rsid w:val="0082315F"/>
    <w:rsid w:val="008324B2"/>
    <w:rsid w:val="00837114"/>
    <w:rsid w:val="00852798"/>
    <w:rsid w:val="008568AB"/>
    <w:rsid w:val="00880825"/>
    <w:rsid w:val="00897499"/>
    <w:rsid w:val="008D1910"/>
    <w:rsid w:val="009145B9"/>
    <w:rsid w:val="00916B0D"/>
    <w:rsid w:val="00926633"/>
    <w:rsid w:val="00935534"/>
    <w:rsid w:val="009417F9"/>
    <w:rsid w:val="0095507F"/>
    <w:rsid w:val="00955C15"/>
    <w:rsid w:val="009832ED"/>
    <w:rsid w:val="009A3EE8"/>
    <w:rsid w:val="009D6FE8"/>
    <w:rsid w:val="009E4C07"/>
    <w:rsid w:val="00A519D6"/>
    <w:rsid w:val="00A63D33"/>
    <w:rsid w:val="00A87098"/>
    <w:rsid w:val="00AA3DD7"/>
    <w:rsid w:val="00AC1342"/>
    <w:rsid w:val="00AC61D1"/>
    <w:rsid w:val="00AD0912"/>
    <w:rsid w:val="00B04303"/>
    <w:rsid w:val="00B369EF"/>
    <w:rsid w:val="00B551F9"/>
    <w:rsid w:val="00B70156"/>
    <w:rsid w:val="00BD6F81"/>
    <w:rsid w:val="00C07D4C"/>
    <w:rsid w:val="00C47B55"/>
    <w:rsid w:val="00C5695F"/>
    <w:rsid w:val="00C84667"/>
    <w:rsid w:val="00C87D50"/>
    <w:rsid w:val="00C91D7C"/>
    <w:rsid w:val="00CA5FD9"/>
    <w:rsid w:val="00CD709E"/>
    <w:rsid w:val="00CE4096"/>
    <w:rsid w:val="00CE5E2C"/>
    <w:rsid w:val="00CF09A9"/>
    <w:rsid w:val="00CF6D0A"/>
    <w:rsid w:val="00CF75A7"/>
    <w:rsid w:val="00D4099B"/>
    <w:rsid w:val="00D6445F"/>
    <w:rsid w:val="00D65B73"/>
    <w:rsid w:val="00D66560"/>
    <w:rsid w:val="00D6703B"/>
    <w:rsid w:val="00D76DF1"/>
    <w:rsid w:val="00DA3717"/>
    <w:rsid w:val="00DB1351"/>
    <w:rsid w:val="00DD26CD"/>
    <w:rsid w:val="00DD3CEF"/>
    <w:rsid w:val="00DE11C6"/>
    <w:rsid w:val="00DF10C4"/>
    <w:rsid w:val="00E11F92"/>
    <w:rsid w:val="00E137E1"/>
    <w:rsid w:val="00E16DCA"/>
    <w:rsid w:val="00E2576D"/>
    <w:rsid w:val="00E33FE8"/>
    <w:rsid w:val="00E717D3"/>
    <w:rsid w:val="00E72B86"/>
    <w:rsid w:val="00E81011"/>
    <w:rsid w:val="00EA61DC"/>
    <w:rsid w:val="00EC67C0"/>
    <w:rsid w:val="00ED703E"/>
    <w:rsid w:val="00EE086B"/>
    <w:rsid w:val="00EF535C"/>
    <w:rsid w:val="00F602DF"/>
    <w:rsid w:val="00F637DC"/>
    <w:rsid w:val="00FA0E7A"/>
    <w:rsid w:val="00FA54DC"/>
    <w:rsid w:val="00FF1EF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DACC1"/>
  <w15:chartTrackingRefBased/>
  <w15:docId w15:val="{D42F324F-FBB3-4483-A006-F6374AF8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082"/>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paragraph" w:styleId="Heading3">
    <w:name w:val="heading 3"/>
    <w:basedOn w:val="Normal"/>
    <w:link w:val="Heading3Char"/>
    <w:uiPriority w:val="9"/>
    <w:qFormat/>
    <w:rsid w:val="0033572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34"/>
    <w:qFormat/>
    <w:rsid w:val="006272E1"/>
    <w:pPr>
      <w:spacing w:after="80" w:line="240"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E72B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uiPriority w:val="99"/>
    <w:unhideWhenUsed/>
    <w:rsid w:val="00044758"/>
    <w:rPr>
      <w:color w:val="0563C1"/>
      <w:u w:val="single"/>
    </w:rPr>
  </w:style>
  <w:style w:type="character" w:customStyle="1" w:styleId="Heading3Char">
    <w:name w:val="Heading 3 Char"/>
    <w:basedOn w:val="DefaultParagraphFont"/>
    <w:link w:val="Heading3"/>
    <w:uiPriority w:val="9"/>
    <w:rsid w:val="0033572A"/>
    <w:rPr>
      <w:rFonts w:ascii="Times New Roman" w:eastAsia="Times New Roman" w:hAnsi="Times New Roman" w:cs="Times New Roman"/>
      <w:b/>
      <w:bCs/>
      <w:sz w:val="27"/>
      <w:szCs w:val="27"/>
      <w:lang w:eastAsia="en-IN"/>
    </w:rPr>
  </w:style>
  <w:style w:type="paragraph" w:styleId="Header">
    <w:name w:val="header"/>
    <w:basedOn w:val="Normal"/>
    <w:link w:val="HeaderChar"/>
    <w:uiPriority w:val="99"/>
    <w:unhideWhenUsed/>
    <w:rsid w:val="00C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9A9"/>
    <w:rPr>
      <w:rFonts w:ascii="Calibri" w:hAnsi="Calibri" w:cs="Tunga"/>
    </w:rPr>
  </w:style>
  <w:style w:type="paragraph" w:styleId="Footer">
    <w:name w:val="footer"/>
    <w:basedOn w:val="Normal"/>
    <w:link w:val="FooterChar"/>
    <w:uiPriority w:val="99"/>
    <w:unhideWhenUsed/>
    <w:rsid w:val="00C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9A9"/>
    <w:rPr>
      <w:rFonts w:ascii="Calibri" w:hAnsi="Calibri" w:cs="Tunga"/>
    </w:rPr>
  </w:style>
  <w:style w:type="character" w:styleId="CommentReference">
    <w:name w:val="annotation reference"/>
    <w:basedOn w:val="DefaultParagraphFont"/>
    <w:uiPriority w:val="99"/>
    <w:semiHidden/>
    <w:unhideWhenUsed/>
    <w:rsid w:val="00B551F9"/>
    <w:rPr>
      <w:sz w:val="16"/>
      <w:szCs w:val="16"/>
    </w:rPr>
  </w:style>
  <w:style w:type="paragraph" w:styleId="CommentText">
    <w:name w:val="annotation text"/>
    <w:basedOn w:val="Normal"/>
    <w:link w:val="CommentTextChar"/>
    <w:uiPriority w:val="99"/>
    <w:unhideWhenUsed/>
    <w:rsid w:val="00B551F9"/>
    <w:pPr>
      <w:spacing w:line="240" w:lineRule="auto"/>
    </w:pPr>
    <w:rPr>
      <w:sz w:val="20"/>
      <w:szCs w:val="20"/>
    </w:rPr>
  </w:style>
  <w:style w:type="character" w:customStyle="1" w:styleId="CommentTextChar">
    <w:name w:val="Comment Text Char"/>
    <w:basedOn w:val="DefaultParagraphFont"/>
    <w:link w:val="CommentText"/>
    <w:uiPriority w:val="99"/>
    <w:rsid w:val="00B551F9"/>
    <w:rPr>
      <w:rFonts w:ascii="Calibri" w:hAnsi="Calibri" w:cs="Tunga"/>
      <w:sz w:val="20"/>
      <w:szCs w:val="20"/>
    </w:rPr>
  </w:style>
  <w:style w:type="paragraph" w:styleId="CommentSubject">
    <w:name w:val="annotation subject"/>
    <w:basedOn w:val="CommentText"/>
    <w:next w:val="CommentText"/>
    <w:link w:val="CommentSubjectChar"/>
    <w:uiPriority w:val="99"/>
    <w:semiHidden/>
    <w:unhideWhenUsed/>
    <w:rsid w:val="00B551F9"/>
    <w:rPr>
      <w:b/>
      <w:bCs/>
    </w:rPr>
  </w:style>
  <w:style w:type="character" w:customStyle="1" w:styleId="CommentSubjectChar">
    <w:name w:val="Comment Subject Char"/>
    <w:basedOn w:val="CommentTextChar"/>
    <w:link w:val="CommentSubject"/>
    <w:uiPriority w:val="99"/>
    <w:semiHidden/>
    <w:rsid w:val="00B551F9"/>
    <w:rPr>
      <w:rFonts w:ascii="Calibri" w:hAnsi="Calibri" w:cs="Tung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7826">
      <w:bodyDiv w:val="1"/>
      <w:marLeft w:val="0"/>
      <w:marRight w:val="0"/>
      <w:marTop w:val="0"/>
      <w:marBottom w:val="0"/>
      <w:divBdr>
        <w:top w:val="none" w:sz="0" w:space="0" w:color="auto"/>
        <w:left w:val="none" w:sz="0" w:space="0" w:color="auto"/>
        <w:bottom w:val="none" w:sz="0" w:space="0" w:color="auto"/>
        <w:right w:val="none" w:sz="0" w:space="0" w:color="auto"/>
      </w:divBdr>
    </w:div>
    <w:div w:id="95447255">
      <w:bodyDiv w:val="1"/>
      <w:marLeft w:val="0"/>
      <w:marRight w:val="0"/>
      <w:marTop w:val="0"/>
      <w:marBottom w:val="0"/>
      <w:divBdr>
        <w:top w:val="none" w:sz="0" w:space="0" w:color="auto"/>
        <w:left w:val="none" w:sz="0" w:space="0" w:color="auto"/>
        <w:bottom w:val="none" w:sz="0" w:space="0" w:color="auto"/>
        <w:right w:val="none" w:sz="0" w:space="0" w:color="auto"/>
      </w:divBdr>
    </w:div>
    <w:div w:id="194579528">
      <w:bodyDiv w:val="1"/>
      <w:marLeft w:val="0"/>
      <w:marRight w:val="0"/>
      <w:marTop w:val="0"/>
      <w:marBottom w:val="0"/>
      <w:divBdr>
        <w:top w:val="none" w:sz="0" w:space="0" w:color="auto"/>
        <w:left w:val="none" w:sz="0" w:space="0" w:color="auto"/>
        <w:bottom w:val="none" w:sz="0" w:space="0" w:color="auto"/>
        <w:right w:val="none" w:sz="0" w:space="0" w:color="auto"/>
      </w:divBdr>
    </w:div>
    <w:div w:id="248855348">
      <w:bodyDiv w:val="1"/>
      <w:marLeft w:val="0"/>
      <w:marRight w:val="0"/>
      <w:marTop w:val="0"/>
      <w:marBottom w:val="0"/>
      <w:divBdr>
        <w:top w:val="none" w:sz="0" w:space="0" w:color="auto"/>
        <w:left w:val="none" w:sz="0" w:space="0" w:color="auto"/>
        <w:bottom w:val="none" w:sz="0" w:space="0" w:color="auto"/>
        <w:right w:val="none" w:sz="0" w:space="0" w:color="auto"/>
      </w:divBdr>
    </w:div>
    <w:div w:id="258030372">
      <w:bodyDiv w:val="1"/>
      <w:marLeft w:val="0"/>
      <w:marRight w:val="0"/>
      <w:marTop w:val="0"/>
      <w:marBottom w:val="0"/>
      <w:divBdr>
        <w:top w:val="none" w:sz="0" w:space="0" w:color="auto"/>
        <w:left w:val="none" w:sz="0" w:space="0" w:color="auto"/>
        <w:bottom w:val="none" w:sz="0" w:space="0" w:color="auto"/>
        <w:right w:val="none" w:sz="0" w:space="0" w:color="auto"/>
      </w:divBdr>
    </w:div>
    <w:div w:id="277879803">
      <w:bodyDiv w:val="1"/>
      <w:marLeft w:val="0"/>
      <w:marRight w:val="0"/>
      <w:marTop w:val="0"/>
      <w:marBottom w:val="0"/>
      <w:divBdr>
        <w:top w:val="none" w:sz="0" w:space="0" w:color="auto"/>
        <w:left w:val="none" w:sz="0" w:space="0" w:color="auto"/>
        <w:bottom w:val="none" w:sz="0" w:space="0" w:color="auto"/>
        <w:right w:val="none" w:sz="0" w:space="0" w:color="auto"/>
      </w:divBdr>
    </w:div>
    <w:div w:id="424691220">
      <w:bodyDiv w:val="1"/>
      <w:marLeft w:val="0"/>
      <w:marRight w:val="0"/>
      <w:marTop w:val="0"/>
      <w:marBottom w:val="0"/>
      <w:divBdr>
        <w:top w:val="none" w:sz="0" w:space="0" w:color="auto"/>
        <w:left w:val="none" w:sz="0" w:space="0" w:color="auto"/>
        <w:bottom w:val="none" w:sz="0" w:space="0" w:color="auto"/>
        <w:right w:val="none" w:sz="0" w:space="0" w:color="auto"/>
      </w:divBdr>
    </w:div>
    <w:div w:id="471941551">
      <w:bodyDiv w:val="1"/>
      <w:marLeft w:val="0"/>
      <w:marRight w:val="0"/>
      <w:marTop w:val="0"/>
      <w:marBottom w:val="0"/>
      <w:divBdr>
        <w:top w:val="none" w:sz="0" w:space="0" w:color="auto"/>
        <w:left w:val="none" w:sz="0" w:space="0" w:color="auto"/>
        <w:bottom w:val="none" w:sz="0" w:space="0" w:color="auto"/>
        <w:right w:val="none" w:sz="0" w:space="0" w:color="auto"/>
      </w:divBdr>
    </w:div>
    <w:div w:id="637757501">
      <w:bodyDiv w:val="1"/>
      <w:marLeft w:val="0"/>
      <w:marRight w:val="0"/>
      <w:marTop w:val="0"/>
      <w:marBottom w:val="0"/>
      <w:divBdr>
        <w:top w:val="none" w:sz="0" w:space="0" w:color="auto"/>
        <w:left w:val="none" w:sz="0" w:space="0" w:color="auto"/>
        <w:bottom w:val="none" w:sz="0" w:space="0" w:color="auto"/>
        <w:right w:val="none" w:sz="0" w:space="0" w:color="auto"/>
      </w:divBdr>
    </w:div>
    <w:div w:id="893275972">
      <w:bodyDiv w:val="1"/>
      <w:marLeft w:val="0"/>
      <w:marRight w:val="0"/>
      <w:marTop w:val="0"/>
      <w:marBottom w:val="0"/>
      <w:divBdr>
        <w:top w:val="none" w:sz="0" w:space="0" w:color="auto"/>
        <w:left w:val="none" w:sz="0" w:space="0" w:color="auto"/>
        <w:bottom w:val="none" w:sz="0" w:space="0" w:color="auto"/>
        <w:right w:val="none" w:sz="0" w:space="0" w:color="auto"/>
      </w:divBdr>
    </w:div>
    <w:div w:id="908657767">
      <w:bodyDiv w:val="1"/>
      <w:marLeft w:val="0"/>
      <w:marRight w:val="0"/>
      <w:marTop w:val="0"/>
      <w:marBottom w:val="0"/>
      <w:divBdr>
        <w:top w:val="none" w:sz="0" w:space="0" w:color="auto"/>
        <w:left w:val="none" w:sz="0" w:space="0" w:color="auto"/>
        <w:bottom w:val="none" w:sz="0" w:space="0" w:color="auto"/>
        <w:right w:val="none" w:sz="0" w:space="0" w:color="auto"/>
      </w:divBdr>
    </w:div>
    <w:div w:id="980769346">
      <w:bodyDiv w:val="1"/>
      <w:marLeft w:val="0"/>
      <w:marRight w:val="0"/>
      <w:marTop w:val="0"/>
      <w:marBottom w:val="0"/>
      <w:divBdr>
        <w:top w:val="none" w:sz="0" w:space="0" w:color="auto"/>
        <w:left w:val="none" w:sz="0" w:space="0" w:color="auto"/>
        <w:bottom w:val="none" w:sz="0" w:space="0" w:color="auto"/>
        <w:right w:val="none" w:sz="0" w:space="0" w:color="auto"/>
      </w:divBdr>
    </w:div>
    <w:div w:id="1038625569">
      <w:bodyDiv w:val="1"/>
      <w:marLeft w:val="0"/>
      <w:marRight w:val="0"/>
      <w:marTop w:val="0"/>
      <w:marBottom w:val="0"/>
      <w:divBdr>
        <w:top w:val="none" w:sz="0" w:space="0" w:color="auto"/>
        <w:left w:val="none" w:sz="0" w:space="0" w:color="auto"/>
        <w:bottom w:val="none" w:sz="0" w:space="0" w:color="auto"/>
        <w:right w:val="none" w:sz="0" w:space="0" w:color="auto"/>
      </w:divBdr>
    </w:div>
    <w:div w:id="1230460890">
      <w:bodyDiv w:val="1"/>
      <w:marLeft w:val="0"/>
      <w:marRight w:val="0"/>
      <w:marTop w:val="0"/>
      <w:marBottom w:val="0"/>
      <w:divBdr>
        <w:top w:val="none" w:sz="0" w:space="0" w:color="auto"/>
        <w:left w:val="none" w:sz="0" w:space="0" w:color="auto"/>
        <w:bottom w:val="none" w:sz="0" w:space="0" w:color="auto"/>
        <w:right w:val="none" w:sz="0" w:space="0" w:color="auto"/>
      </w:divBdr>
    </w:div>
    <w:div w:id="1327440450">
      <w:bodyDiv w:val="1"/>
      <w:marLeft w:val="0"/>
      <w:marRight w:val="0"/>
      <w:marTop w:val="0"/>
      <w:marBottom w:val="0"/>
      <w:divBdr>
        <w:top w:val="none" w:sz="0" w:space="0" w:color="auto"/>
        <w:left w:val="none" w:sz="0" w:space="0" w:color="auto"/>
        <w:bottom w:val="none" w:sz="0" w:space="0" w:color="auto"/>
        <w:right w:val="none" w:sz="0" w:space="0" w:color="auto"/>
      </w:divBdr>
    </w:div>
    <w:div w:id="1390030355">
      <w:bodyDiv w:val="1"/>
      <w:marLeft w:val="0"/>
      <w:marRight w:val="0"/>
      <w:marTop w:val="0"/>
      <w:marBottom w:val="0"/>
      <w:divBdr>
        <w:top w:val="none" w:sz="0" w:space="0" w:color="auto"/>
        <w:left w:val="none" w:sz="0" w:space="0" w:color="auto"/>
        <w:bottom w:val="none" w:sz="0" w:space="0" w:color="auto"/>
        <w:right w:val="none" w:sz="0" w:space="0" w:color="auto"/>
      </w:divBdr>
    </w:div>
    <w:div w:id="1420832864">
      <w:bodyDiv w:val="1"/>
      <w:marLeft w:val="0"/>
      <w:marRight w:val="0"/>
      <w:marTop w:val="0"/>
      <w:marBottom w:val="0"/>
      <w:divBdr>
        <w:top w:val="none" w:sz="0" w:space="0" w:color="auto"/>
        <w:left w:val="none" w:sz="0" w:space="0" w:color="auto"/>
        <w:bottom w:val="none" w:sz="0" w:space="0" w:color="auto"/>
        <w:right w:val="none" w:sz="0" w:space="0" w:color="auto"/>
      </w:divBdr>
    </w:div>
    <w:div w:id="1459421894">
      <w:bodyDiv w:val="1"/>
      <w:marLeft w:val="0"/>
      <w:marRight w:val="0"/>
      <w:marTop w:val="0"/>
      <w:marBottom w:val="0"/>
      <w:divBdr>
        <w:top w:val="none" w:sz="0" w:space="0" w:color="auto"/>
        <w:left w:val="none" w:sz="0" w:space="0" w:color="auto"/>
        <w:bottom w:val="none" w:sz="0" w:space="0" w:color="auto"/>
        <w:right w:val="none" w:sz="0" w:space="0" w:color="auto"/>
      </w:divBdr>
    </w:div>
    <w:div w:id="1462965825">
      <w:bodyDiv w:val="1"/>
      <w:marLeft w:val="0"/>
      <w:marRight w:val="0"/>
      <w:marTop w:val="0"/>
      <w:marBottom w:val="0"/>
      <w:divBdr>
        <w:top w:val="none" w:sz="0" w:space="0" w:color="auto"/>
        <w:left w:val="none" w:sz="0" w:space="0" w:color="auto"/>
        <w:bottom w:val="none" w:sz="0" w:space="0" w:color="auto"/>
        <w:right w:val="none" w:sz="0" w:space="0" w:color="auto"/>
      </w:divBdr>
    </w:div>
    <w:div w:id="1609197395">
      <w:bodyDiv w:val="1"/>
      <w:marLeft w:val="0"/>
      <w:marRight w:val="0"/>
      <w:marTop w:val="0"/>
      <w:marBottom w:val="0"/>
      <w:divBdr>
        <w:top w:val="none" w:sz="0" w:space="0" w:color="auto"/>
        <w:left w:val="none" w:sz="0" w:space="0" w:color="auto"/>
        <w:bottom w:val="none" w:sz="0" w:space="0" w:color="auto"/>
        <w:right w:val="none" w:sz="0" w:space="0" w:color="auto"/>
      </w:divBdr>
    </w:div>
    <w:div w:id="1663197389">
      <w:bodyDiv w:val="1"/>
      <w:marLeft w:val="0"/>
      <w:marRight w:val="0"/>
      <w:marTop w:val="0"/>
      <w:marBottom w:val="0"/>
      <w:divBdr>
        <w:top w:val="none" w:sz="0" w:space="0" w:color="auto"/>
        <w:left w:val="none" w:sz="0" w:space="0" w:color="auto"/>
        <w:bottom w:val="none" w:sz="0" w:space="0" w:color="auto"/>
        <w:right w:val="none" w:sz="0" w:space="0" w:color="auto"/>
      </w:divBdr>
    </w:div>
    <w:div w:id="1674411414">
      <w:bodyDiv w:val="1"/>
      <w:marLeft w:val="0"/>
      <w:marRight w:val="0"/>
      <w:marTop w:val="0"/>
      <w:marBottom w:val="0"/>
      <w:divBdr>
        <w:top w:val="none" w:sz="0" w:space="0" w:color="auto"/>
        <w:left w:val="none" w:sz="0" w:space="0" w:color="auto"/>
        <w:bottom w:val="none" w:sz="0" w:space="0" w:color="auto"/>
        <w:right w:val="none" w:sz="0" w:space="0" w:color="auto"/>
      </w:divBdr>
    </w:div>
    <w:div w:id="1804691832">
      <w:bodyDiv w:val="1"/>
      <w:marLeft w:val="0"/>
      <w:marRight w:val="0"/>
      <w:marTop w:val="0"/>
      <w:marBottom w:val="0"/>
      <w:divBdr>
        <w:top w:val="none" w:sz="0" w:space="0" w:color="auto"/>
        <w:left w:val="none" w:sz="0" w:space="0" w:color="auto"/>
        <w:bottom w:val="none" w:sz="0" w:space="0" w:color="auto"/>
        <w:right w:val="none" w:sz="0" w:space="0" w:color="auto"/>
      </w:divBdr>
    </w:div>
    <w:div w:id="2005619548">
      <w:bodyDiv w:val="1"/>
      <w:marLeft w:val="0"/>
      <w:marRight w:val="0"/>
      <w:marTop w:val="0"/>
      <w:marBottom w:val="0"/>
      <w:divBdr>
        <w:top w:val="none" w:sz="0" w:space="0" w:color="auto"/>
        <w:left w:val="none" w:sz="0" w:space="0" w:color="auto"/>
        <w:bottom w:val="none" w:sz="0" w:space="0" w:color="auto"/>
        <w:right w:val="none" w:sz="0" w:space="0" w:color="auto"/>
      </w:divBdr>
    </w:div>
    <w:div w:id="21412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csb.gov.in" TargetMode="External"/><Relationship Id="rId3" Type="http://schemas.openxmlformats.org/officeDocument/2006/relationships/settings" Target="settings.xml"/><Relationship Id="rId21" Type="http://schemas.openxmlformats.org/officeDocument/2006/relationships/hyperlink" Target="https://texmin.nic.in"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csb.gov.in/wp-content/uploads/2021/03/CSB-ANNUAL-REPORT-2019-20-compressed-97-196-eng.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commerce.gov.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www.trademap.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www.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1937</TotalTime>
  <Pages>20</Pages>
  <Words>6817</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Dimpal Dekaraja</cp:lastModifiedBy>
  <cp:revision>111</cp:revision>
  <dcterms:created xsi:type="dcterms:W3CDTF">2023-06-05T13:26:00Z</dcterms:created>
  <dcterms:modified xsi:type="dcterms:W3CDTF">2025-05-03T15:45:00Z</dcterms:modified>
</cp:coreProperties>
</file>