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A51C5">
      <w:pPr>
        <w:spacing w:before="100" w:beforeAutospacing="1" w:after="100" w:afterAutospacing="1" w:line="360" w:lineRule="auto"/>
        <w:jc w:val="right"/>
        <w:rPr>
          <w:rFonts w:ascii="Arial" w:hAnsi="Arial" w:eastAsia="Times New Roman" w:cs="Arial"/>
          <w:b/>
          <w:bCs/>
          <w:kern w:val="0"/>
          <w:sz w:val="36"/>
          <w:szCs w:val="36"/>
          <w:lang w:eastAsia="fr-FR"/>
          <w14:ligatures w14:val="none"/>
        </w:rPr>
      </w:pPr>
      <w:r>
        <w:rPr>
          <w:rFonts w:ascii="Arial" w:hAnsi="Arial" w:eastAsia="Times New Roman" w:cs="Arial"/>
          <w:b/>
          <w:bCs/>
          <w:kern w:val="0"/>
          <w:sz w:val="36"/>
          <w:szCs w:val="36"/>
          <w:lang w:eastAsia="fr-FR"/>
          <w14:ligatures w14:val="none"/>
        </w:rPr>
        <w:t xml:space="preserve">Original Research Article </w:t>
      </w:r>
    </w:p>
    <w:p w14:paraId="41B5D262">
      <w:pPr>
        <w:spacing w:before="100" w:beforeAutospacing="1" w:after="100" w:afterAutospacing="1" w:line="360" w:lineRule="auto"/>
        <w:jc w:val="right"/>
        <w:rPr>
          <w:rFonts w:ascii="Arial" w:hAnsi="Arial" w:eastAsia="Times New Roman" w:cs="Arial"/>
          <w:b/>
          <w:bCs/>
          <w:kern w:val="0"/>
          <w:sz w:val="36"/>
          <w:szCs w:val="36"/>
          <w:lang w:eastAsia="fr-FR"/>
          <w14:ligatures w14:val="none"/>
        </w:rPr>
      </w:pPr>
    </w:p>
    <w:p w14:paraId="5EC02E02">
      <w:pPr>
        <w:spacing w:before="100" w:beforeAutospacing="1" w:after="100" w:afterAutospacing="1" w:line="360" w:lineRule="auto"/>
        <w:jc w:val="right"/>
        <w:rPr>
          <w:rFonts w:ascii="Arial" w:hAnsi="Arial" w:eastAsia="Times New Roman" w:cs="Arial"/>
          <w:b/>
          <w:bCs/>
          <w:kern w:val="0"/>
          <w:sz w:val="36"/>
          <w:szCs w:val="36"/>
          <w:lang w:eastAsia="fr-FR"/>
          <w14:ligatures w14:val="none"/>
        </w:rPr>
      </w:pPr>
      <w:r>
        <w:rPr>
          <w:rFonts w:ascii="Arial" w:hAnsi="Arial" w:eastAsia="Times New Roman" w:cs="Arial"/>
          <w:b/>
          <w:bCs/>
          <w:kern w:val="0"/>
          <w:sz w:val="36"/>
          <w:szCs w:val="36"/>
          <w:lang w:eastAsia="fr-FR"/>
          <w14:ligatures w14:val="none"/>
        </w:rPr>
        <w:t xml:space="preserve">Effect of </w:t>
      </w:r>
      <w:r>
        <w:rPr>
          <w:rFonts w:ascii="Arial" w:hAnsi="Arial" w:eastAsia="Times New Roman" w:cs="Arial"/>
          <w:b/>
          <w:bCs/>
          <w:i/>
          <w:iCs/>
          <w:kern w:val="0"/>
          <w:sz w:val="36"/>
          <w:szCs w:val="36"/>
          <w:lang w:eastAsia="fr-FR"/>
          <w14:ligatures w14:val="none"/>
        </w:rPr>
        <w:t>Ficus umbellata</w:t>
      </w:r>
      <w:r>
        <w:rPr>
          <w:rFonts w:ascii="Arial" w:hAnsi="Arial" w:eastAsia="Times New Roman" w:cs="Arial"/>
          <w:b/>
          <w:bCs/>
          <w:kern w:val="0"/>
          <w:sz w:val="36"/>
          <w:szCs w:val="36"/>
          <w:lang w:eastAsia="fr-FR"/>
          <w14:ligatures w14:val="none"/>
        </w:rPr>
        <w:t xml:space="preserve"> (Vahl.) Leaves on Oxidative Stress in Obese Wistar Rats</w:t>
      </w:r>
    </w:p>
    <w:p w14:paraId="7186A1AC">
      <w:pPr>
        <w:spacing w:after="0"/>
        <w:jc w:val="right"/>
        <w:rPr>
          <w:rFonts w:ascii="Arial" w:hAnsi="Arial" w:cs="Arial"/>
          <w:b/>
          <w:bCs/>
        </w:rPr>
      </w:pPr>
    </w:p>
    <w:p w14:paraId="66515E92">
      <w:pPr>
        <w:spacing w:before="100" w:beforeAutospacing="1" w:after="100" w:afterAutospacing="1" w:line="360" w:lineRule="auto"/>
        <w:jc w:val="both"/>
        <w:rPr>
          <w:rFonts w:ascii="Arial" w:hAnsi="Arial" w:eastAsia="Times New Roman" w:cs="Arial"/>
          <w:kern w:val="0"/>
          <w:lang w:eastAsia="fr-FR"/>
          <w14:ligatures w14:val="none"/>
        </w:rPr>
      </w:pPr>
      <w:r>
        <w:rPr>
          <w:rFonts w:ascii="Arial" w:hAnsi="Arial" w:eastAsia="Times New Roman" w:cs="Arial"/>
          <w:b/>
          <w:bCs/>
          <w:kern w:val="0"/>
          <w:lang w:eastAsia="fr-FR"/>
          <w14:ligatures w14:val="none"/>
        </w:rPr>
        <w:t>Abstract</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61342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shd w:val="clear" w:color="auto" w:fill="auto"/>
          </w:tcPr>
          <w:p w14:paraId="56499DB6">
            <w:pPr>
              <w:spacing w:before="100" w:beforeAutospacing="1" w:after="100" w:afterAutospacing="1" w:line="360" w:lineRule="auto"/>
              <w:jc w:val="both"/>
              <w:rPr>
                <w:rFonts w:ascii="Arial" w:hAnsi="Arial" w:eastAsia="Times New Roman" w:cs="Arial"/>
                <w:kern w:val="0"/>
                <w:sz w:val="22"/>
                <w:szCs w:val="22"/>
                <w:lang w:eastAsia="fr-FR"/>
                <w14:ligatures w14:val="none"/>
              </w:rPr>
            </w:pPr>
            <w:r>
              <w:rPr>
                <w:rFonts w:ascii="Arial" w:hAnsi="Arial" w:eastAsia="Times New Roman" w:cs="Arial"/>
                <w:kern w:val="0"/>
                <w:sz w:val="22"/>
                <w:szCs w:val="22"/>
                <w:lang w:eastAsia="fr-FR"/>
                <w14:ligatures w14:val="none"/>
              </w:rPr>
              <w:t xml:space="preserve">Obesity is often associated with an imbalance in oxidative status, promoting excess free radicals and impairment of endogenous antioxidant systems. This study aimed to evaluate the effects of </w:t>
            </w:r>
            <w:r>
              <w:rPr>
                <w:rFonts w:ascii="Arial" w:hAnsi="Arial" w:eastAsia="Times New Roman" w:cs="Arial"/>
                <w:i/>
                <w:iCs/>
                <w:kern w:val="0"/>
                <w:sz w:val="22"/>
                <w:szCs w:val="22"/>
                <w:lang w:eastAsia="fr-FR"/>
                <w14:ligatures w14:val="none"/>
              </w:rPr>
              <w:t>Ficus umbellata</w:t>
            </w:r>
            <w:r>
              <w:rPr>
                <w:rFonts w:ascii="Arial" w:hAnsi="Arial" w:eastAsia="Times New Roman" w:cs="Arial"/>
                <w:kern w:val="0"/>
                <w:sz w:val="22"/>
                <w:szCs w:val="22"/>
                <w:lang w:eastAsia="fr-FR"/>
                <w14:ligatures w14:val="none"/>
              </w:rPr>
              <w:t xml:space="preserve"> leaf extracts on oxidative stress induced by a high-fat diet in obese Wistar rats. After obesity induction, the animals were orally treated with two doses of hydroalcoholic </w:t>
            </w:r>
            <w:r>
              <w:rPr>
                <w:rFonts w:ascii="Arial" w:hAnsi="Arial" w:eastAsia="Times New Roman" w:cs="Arial"/>
                <w:i/>
                <w:iCs/>
                <w:kern w:val="0"/>
                <w:sz w:val="22"/>
                <w:szCs w:val="22"/>
                <w:lang w:eastAsia="fr-FR"/>
                <w14:ligatures w14:val="none"/>
              </w:rPr>
              <w:t>Ficus umbellata</w:t>
            </w:r>
            <w:r>
              <w:rPr>
                <w:rFonts w:ascii="Arial" w:hAnsi="Arial" w:eastAsia="Times New Roman" w:cs="Arial"/>
                <w:kern w:val="0"/>
                <w:sz w:val="22"/>
                <w:szCs w:val="22"/>
                <w:lang w:eastAsia="fr-FR"/>
                <w14:ligatures w14:val="none"/>
              </w:rPr>
              <w:t xml:space="preserve"> extract (200 mg/kg and 400 mg/kg) for 28 days. The parameters assessed included changes in body weight, Lee index, and biochemical markers of oxidative stress (MDA, GSH, SOD, CAT) in the liver. The results showed that </w:t>
            </w:r>
            <w:r>
              <w:rPr>
                <w:rFonts w:ascii="Arial" w:hAnsi="Arial" w:eastAsia="Times New Roman" w:cs="Arial"/>
                <w:i/>
                <w:iCs/>
                <w:kern w:val="0"/>
                <w:sz w:val="22"/>
                <w:szCs w:val="22"/>
                <w:lang w:eastAsia="fr-FR"/>
                <w14:ligatures w14:val="none"/>
              </w:rPr>
              <w:t>Ficus umbellata</w:t>
            </w:r>
            <w:r>
              <w:rPr>
                <w:rFonts w:ascii="Arial" w:hAnsi="Arial" w:eastAsia="Times New Roman" w:cs="Arial"/>
                <w:kern w:val="0"/>
                <w:sz w:val="22"/>
                <w:szCs w:val="22"/>
                <w:lang w:eastAsia="fr-FR"/>
                <w14:ligatures w14:val="none"/>
              </w:rPr>
              <w:t xml:space="preserve"> extract, particularly at the 400 mg/kg dose, significantly reduced weight gain and the Lee index while restoring hepatic oxidative balance. It led to a decrease in MDA levels, an increase in GSH concentrations, and improvements in SOD and catalase enzymatic activities, compared to untreated obese rats. These findings suggest a strong antioxidant and anti-obesity potential of </w:t>
            </w:r>
            <w:r>
              <w:rPr>
                <w:rFonts w:ascii="Arial" w:hAnsi="Arial" w:eastAsia="Times New Roman" w:cs="Arial"/>
                <w:i/>
                <w:iCs/>
                <w:kern w:val="0"/>
                <w:sz w:val="22"/>
                <w:szCs w:val="22"/>
                <w:lang w:eastAsia="fr-FR"/>
                <w14:ligatures w14:val="none"/>
              </w:rPr>
              <w:t>Ficus umbellata</w:t>
            </w:r>
            <w:r>
              <w:rPr>
                <w:rFonts w:ascii="Arial" w:hAnsi="Arial" w:eastAsia="Times New Roman" w:cs="Arial"/>
                <w:kern w:val="0"/>
                <w:sz w:val="22"/>
                <w:szCs w:val="22"/>
                <w:lang w:eastAsia="fr-FR"/>
                <w14:ligatures w14:val="none"/>
              </w:rPr>
              <w:t>, supporting its traditional use as a medicinal plant for managing metabolic disorders related to obesity.</w:t>
            </w:r>
          </w:p>
        </w:tc>
      </w:tr>
    </w:tbl>
    <w:p w14:paraId="2E35B1DC">
      <w:pPr>
        <w:spacing w:before="100" w:beforeAutospacing="1" w:after="100" w:afterAutospacing="1"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Keywords</w:t>
      </w:r>
      <w:r>
        <w:rPr>
          <w:rFonts w:ascii="Arial" w:hAnsi="Arial" w:eastAsia="Times New Roman" w:cs="Arial"/>
          <w:kern w:val="0"/>
          <w:sz w:val="20"/>
          <w:szCs w:val="20"/>
          <w:lang w:eastAsia="fr-FR"/>
          <w14:ligatures w14:val="none"/>
        </w:rPr>
        <w:t xml:space="preserve">: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Obesity, Oxidative stress, Antioxidants, Wistar rats</w:t>
      </w:r>
    </w:p>
    <w:p w14:paraId="64E2E6B2">
      <w:pPr>
        <w:pStyle w:val="35"/>
        <w:numPr>
          <w:ilvl w:val="0"/>
          <w:numId w:val="1"/>
        </w:numPr>
        <w:spacing w:after="0" w:line="360" w:lineRule="auto"/>
        <w:jc w:val="both"/>
        <w:rPr>
          <w:rFonts w:ascii="Arial" w:hAnsi="Arial" w:eastAsia="Times New Roman" w:cs="Arial"/>
          <w:kern w:val="0"/>
          <w:lang w:eastAsia="fr-FR"/>
          <w14:ligatures w14:val="none"/>
        </w:rPr>
      </w:pPr>
      <w:r>
        <w:rPr>
          <w:rFonts w:ascii="Arial" w:hAnsi="Arial" w:eastAsia="Times New Roman" w:cs="Arial"/>
          <w:b/>
          <w:bCs/>
          <w:kern w:val="0"/>
          <w:sz w:val="22"/>
          <w:szCs w:val="22"/>
          <w:lang w:eastAsia="fr-FR"/>
          <w14:ligatures w14:val="none"/>
        </w:rPr>
        <w:t>INTRODUCTION</w:t>
      </w:r>
    </w:p>
    <w:p w14:paraId="5B280031">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Obesity is a globally recognized public health issue, associated with a range of metabolic disorders including hypertension, type 2 diabetes, dyslipidemia, and cardiovascular diseases (WHO, 2023). Beyond metabolic complications, obesity is also linked to a redox imbalance characterized by excessive production of reactive oxygen species (ROS) and impaired antioxidant defenses, leading to systemic oxidative stress (</w:t>
      </w:r>
      <w:commentRangeStart w:id="0"/>
      <w:r>
        <w:rPr>
          <w:rFonts w:ascii="Arial" w:hAnsi="Arial" w:eastAsia="Times New Roman" w:cs="Arial"/>
          <w:kern w:val="0"/>
          <w:sz w:val="20"/>
          <w:szCs w:val="20"/>
          <w:lang w:eastAsia="fr-FR"/>
          <w14:ligatures w14:val="none"/>
        </w:rPr>
        <w:t>Furukawa et al., 2004; Savini et al., 2013</w:t>
      </w:r>
      <w:commentRangeEnd w:id="0"/>
      <w:r>
        <w:commentReference w:id="0"/>
      </w:r>
      <w:r>
        <w:rPr>
          <w:rFonts w:ascii="Arial" w:hAnsi="Arial" w:eastAsia="Times New Roman" w:cs="Arial"/>
          <w:kern w:val="0"/>
          <w:sz w:val="20"/>
          <w:szCs w:val="20"/>
          <w:lang w:eastAsia="fr-FR"/>
          <w14:ligatures w14:val="none"/>
        </w:rPr>
        <w:t>).</w:t>
      </w:r>
    </w:p>
    <w:p w14:paraId="289C2C66">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Oxidative stress plays a central role in the pathogenesis of obesity-related complications, notably through oxidative damage to lipids, proteins, and DNA, thereby affecting cellular and tissue function (</w:t>
      </w:r>
      <w:commentRangeStart w:id="1"/>
      <w:r>
        <w:rPr>
          <w:rFonts w:ascii="Arial" w:hAnsi="Arial" w:eastAsia="Times New Roman" w:cs="Arial"/>
          <w:kern w:val="0"/>
          <w:sz w:val="20"/>
          <w:szCs w:val="20"/>
          <w:lang w:eastAsia="fr-FR"/>
          <w14:ligatures w14:val="none"/>
        </w:rPr>
        <w:t>Vincent et al., 2005</w:t>
      </w:r>
      <w:commentRangeEnd w:id="1"/>
      <w:r>
        <w:commentReference w:id="1"/>
      </w:r>
      <w:r>
        <w:rPr>
          <w:rFonts w:ascii="Arial" w:hAnsi="Arial" w:eastAsia="Times New Roman" w:cs="Arial"/>
          <w:kern w:val="0"/>
          <w:sz w:val="20"/>
          <w:szCs w:val="20"/>
          <w:lang w:eastAsia="fr-FR"/>
          <w14:ligatures w14:val="none"/>
        </w:rPr>
        <w:t>). In this context, the search for natural molecules with antioxidant properties has become a priority for the prevention and management of obesity-related disorders (</w:t>
      </w:r>
      <w:commentRangeStart w:id="2"/>
      <w:r>
        <w:rPr>
          <w:rFonts w:ascii="Arial" w:hAnsi="Arial" w:eastAsia="Times New Roman" w:cs="Arial"/>
          <w:kern w:val="0"/>
          <w:sz w:val="20"/>
          <w:szCs w:val="20"/>
          <w:lang w:eastAsia="fr-FR"/>
          <w14:ligatures w14:val="none"/>
        </w:rPr>
        <w:t>Halliwell, 2012</w:t>
      </w:r>
      <w:commentRangeEnd w:id="2"/>
      <w:r>
        <w:commentReference w:id="2"/>
      </w:r>
      <w:r>
        <w:rPr>
          <w:rFonts w:ascii="Arial" w:hAnsi="Arial" w:eastAsia="Times New Roman" w:cs="Arial"/>
          <w:kern w:val="0"/>
          <w:sz w:val="20"/>
          <w:szCs w:val="20"/>
          <w:lang w:eastAsia="fr-FR"/>
          <w14:ligatures w14:val="none"/>
        </w:rPr>
        <w:t>).</w:t>
      </w:r>
    </w:p>
    <w:p w14:paraId="0A5FFB4E">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a plant from the Moraceae family widely used in African traditional medicine, is known for its diverse therapeutic properties, including anti-inflammatory, antimicrobial, antihypertensive, and antioxidant effects (Ayissi et al., 2020; Yakubu et al., 2021). Several phytochemical studies have revealed that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leaves contain bioactive compounds such as flavonoids, tannins, saponins, and phenolic compounds, which may explain its observed biological effects (Njume et al., 2014; Ndam et al., 2017).</w:t>
      </w:r>
    </w:p>
    <w:p w14:paraId="1F38A64C">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However, despite the growing body of knowledge on this species, few studies have investigated its specific impact on obesity-induced oxidative stress</w:t>
      </w:r>
      <w:ins w:id="0" w:author="uyoyo ududua" w:date="2025-05-09T21:51:15Z">
        <w:r>
          <w:rPr>
            <w:rFonts w:hint="default" w:ascii="Arial" w:hAnsi="Arial" w:eastAsia="Times New Roman" w:cs="Arial"/>
            <w:kern w:val="0"/>
            <w:sz w:val="20"/>
            <w:szCs w:val="20"/>
            <w:lang w:val="en-US" w:eastAsia="fr-FR"/>
            <w14:ligatures w14:val="none"/>
          </w:rPr>
          <w:t xml:space="preserve"> </w:t>
        </w:r>
      </w:ins>
      <w:ins w:id="1" w:author="uyoyo ududua" w:date="2025-05-09T21:51:17Z">
        <w:r>
          <w:rPr>
            <w:rFonts w:hint="default" w:ascii="Arial" w:hAnsi="Arial" w:eastAsia="Times New Roman" w:cs="Arial"/>
            <w:kern w:val="0"/>
            <w:sz w:val="20"/>
            <w:szCs w:val="20"/>
            <w:lang w:val="en-US" w:eastAsia="fr-FR"/>
            <w14:ligatures w14:val="none"/>
          </w:rPr>
          <w:t>(</w:t>
        </w:r>
      </w:ins>
      <w:ins w:id="2" w:author="uyoyo ududua" w:date="2025-05-09T21:51:22Z">
        <w:r>
          <w:rPr>
            <w:rFonts w:hint="default" w:ascii="Arial" w:hAnsi="Arial" w:eastAsia="Times New Roman" w:cs="Arial"/>
            <w:color w:val="auto"/>
            <w:kern w:val="0"/>
            <w:sz w:val="20"/>
            <w:szCs w:val="20"/>
            <w:highlight w:val="yellow"/>
            <w:lang w:val="en-US" w:eastAsia="fr-FR"/>
            <w:rPrChange w:id="3" w:author="uyoyo ududua" w:date="2025-05-09T21:52:05Z">
              <w:rPr>
                <w:rFonts w:hint="default" w:ascii="Arial" w:hAnsi="Arial" w:eastAsia="Times New Roman" w:cs="Arial"/>
                <w:kern w:val="0"/>
                <w:sz w:val="20"/>
                <w:szCs w:val="20"/>
                <w:lang w:val="en-US" w:eastAsia="fr-FR"/>
                <w14:ligatures w14:val="none"/>
              </w:rPr>
            </w:rPrChange>
            <w14:ligatures w14:val="none"/>
          </w:rPr>
          <w:t>r</w:t>
        </w:r>
      </w:ins>
      <w:ins w:id="5" w:author="uyoyo ududua" w:date="2025-05-09T21:51:27Z">
        <w:r>
          <w:rPr>
            <w:rFonts w:hint="default" w:ascii="Arial" w:hAnsi="Arial" w:eastAsia="Times New Roman" w:cs="Arial"/>
            <w:color w:val="auto"/>
            <w:kern w:val="0"/>
            <w:sz w:val="20"/>
            <w:szCs w:val="20"/>
            <w:highlight w:val="yellow"/>
            <w:lang w:val="en-US" w:eastAsia="fr-FR"/>
            <w:rPrChange w:id="6" w:author="uyoyo ududua" w:date="2025-05-09T21:52:05Z">
              <w:rPr>
                <w:rFonts w:hint="default" w:ascii="Arial" w:hAnsi="Arial" w:eastAsia="Times New Roman" w:cs="Arial"/>
                <w:kern w:val="0"/>
                <w:sz w:val="20"/>
                <w:szCs w:val="20"/>
                <w:lang w:val="en-US" w:eastAsia="fr-FR"/>
                <w14:ligatures w14:val="none"/>
              </w:rPr>
            </w:rPrChange>
            <w14:ligatures w14:val="none"/>
          </w:rPr>
          <w:t>e</w:t>
        </w:r>
      </w:ins>
      <w:ins w:id="8" w:author="uyoyo ududua" w:date="2025-05-09T21:51:28Z">
        <w:r>
          <w:rPr>
            <w:rFonts w:hint="default" w:ascii="Arial" w:hAnsi="Arial" w:eastAsia="Times New Roman" w:cs="Arial"/>
            <w:color w:val="auto"/>
            <w:kern w:val="0"/>
            <w:sz w:val="20"/>
            <w:szCs w:val="20"/>
            <w:highlight w:val="yellow"/>
            <w:lang w:val="en-US" w:eastAsia="fr-FR"/>
            <w:rPrChange w:id="9" w:author="uyoyo ududua" w:date="2025-05-09T21:52:05Z">
              <w:rPr>
                <w:rFonts w:hint="default" w:ascii="Arial" w:hAnsi="Arial" w:eastAsia="Times New Roman" w:cs="Arial"/>
                <w:kern w:val="0"/>
                <w:sz w:val="20"/>
                <w:szCs w:val="20"/>
                <w:lang w:val="en-US" w:eastAsia="fr-FR"/>
                <w14:ligatures w14:val="none"/>
              </w:rPr>
            </w:rPrChange>
            <w14:ligatures w14:val="none"/>
          </w:rPr>
          <w:t>fe</w:t>
        </w:r>
      </w:ins>
      <w:ins w:id="11" w:author="uyoyo ududua" w:date="2025-05-09T21:51:30Z">
        <w:r>
          <w:rPr>
            <w:rFonts w:hint="default" w:ascii="Arial" w:hAnsi="Arial" w:eastAsia="Times New Roman" w:cs="Arial"/>
            <w:color w:val="auto"/>
            <w:kern w:val="0"/>
            <w:sz w:val="20"/>
            <w:szCs w:val="20"/>
            <w:highlight w:val="yellow"/>
            <w:lang w:val="en-US" w:eastAsia="fr-FR"/>
            <w:rPrChange w:id="12" w:author="uyoyo ududua" w:date="2025-05-09T21:52:05Z">
              <w:rPr>
                <w:rFonts w:hint="default" w:ascii="Arial" w:hAnsi="Arial" w:eastAsia="Times New Roman" w:cs="Arial"/>
                <w:kern w:val="0"/>
                <w:sz w:val="20"/>
                <w:szCs w:val="20"/>
                <w:lang w:val="en-US" w:eastAsia="fr-FR"/>
                <w14:ligatures w14:val="none"/>
              </w:rPr>
            </w:rPrChange>
            <w14:ligatures w14:val="none"/>
          </w:rPr>
          <w:t>re</w:t>
        </w:r>
      </w:ins>
      <w:ins w:id="14" w:author="uyoyo ududua" w:date="2025-05-09T21:51:31Z">
        <w:r>
          <w:rPr>
            <w:rFonts w:hint="default" w:ascii="Arial" w:hAnsi="Arial" w:eastAsia="Times New Roman" w:cs="Arial"/>
            <w:color w:val="auto"/>
            <w:kern w:val="0"/>
            <w:sz w:val="20"/>
            <w:szCs w:val="20"/>
            <w:highlight w:val="yellow"/>
            <w:lang w:val="en-US" w:eastAsia="fr-FR"/>
            <w:rPrChange w:id="15" w:author="uyoyo ududua" w:date="2025-05-09T21:52:05Z">
              <w:rPr>
                <w:rFonts w:hint="default" w:ascii="Arial" w:hAnsi="Arial" w:eastAsia="Times New Roman" w:cs="Arial"/>
                <w:kern w:val="0"/>
                <w:sz w:val="20"/>
                <w:szCs w:val="20"/>
                <w:lang w:val="en-US" w:eastAsia="fr-FR"/>
                <w14:ligatures w14:val="none"/>
              </w:rPr>
            </w:rPrChange>
            <w14:ligatures w14:val="none"/>
          </w:rPr>
          <w:t>nce</w:t>
        </w:r>
      </w:ins>
      <w:ins w:id="17" w:author="uyoyo ududua" w:date="2025-05-09T21:51:32Z">
        <w:r>
          <w:rPr>
            <w:rFonts w:hint="default" w:ascii="Arial" w:hAnsi="Arial" w:eastAsia="Times New Roman" w:cs="Arial"/>
            <w:color w:val="auto"/>
            <w:kern w:val="0"/>
            <w:sz w:val="20"/>
            <w:szCs w:val="20"/>
            <w:highlight w:val="yellow"/>
            <w:lang w:val="en-US" w:eastAsia="fr-FR"/>
            <w:rPrChange w:id="18" w:author="uyoyo ududua" w:date="2025-05-09T21:52:05Z">
              <w:rPr>
                <w:rFonts w:hint="default" w:ascii="Arial" w:hAnsi="Arial" w:eastAsia="Times New Roman" w:cs="Arial"/>
                <w:kern w:val="0"/>
                <w:sz w:val="20"/>
                <w:szCs w:val="20"/>
                <w:lang w:val="en-US" w:eastAsia="fr-FR"/>
                <w14:ligatures w14:val="none"/>
              </w:rPr>
            </w:rPrChange>
            <w14:ligatures w14:val="none"/>
          </w:rPr>
          <w:t xml:space="preserve"> </w:t>
        </w:r>
      </w:ins>
      <w:ins w:id="20" w:author="uyoyo ududua" w:date="2025-05-09T21:51:39Z">
        <w:r>
          <w:rPr>
            <w:rFonts w:hint="default" w:ascii="Arial" w:hAnsi="Arial" w:eastAsia="Times New Roman" w:cs="Arial"/>
            <w:color w:val="auto"/>
            <w:kern w:val="0"/>
            <w:sz w:val="20"/>
            <w:szCs w:val="20"/>
            <w:highlight w:val="yellow"/>
            <w:lang w:val="en-US" w:eastAsia="fr-FR"/>
            <w:rPrChange w:id="21" w:author="uyoyo ududua" w:date="2025-05-09T21:52:05Z">
              <w:rPr>
                <w:rFonts w:hint="default" w:ascii="Arial" w:hAnsi="Arial" w:eastAsia="Times New Roman" w:cs="Arial"/>
                <w:kern w:val="0"/>
                <w:sz w:val="20"/>
                <w:szCs w:val="20"/>
                <w:lang w:val="en-US" w:eastAsia="fr-FR"/>
                <w14:ligatures w14:val="none"/>
              </w:rPr>
            </w:rPrChange>
            <w14:ligatures w14:val="none"/>
          </w:rPr>
          <w:t>the</w:t>
        </w:r>
      </w:ins>
      <w:ins w:id="23" w:author="uyoyo ududua" w:date="2025-05-09T21:51:40Z">
        <w:r>
          <w:rPr>
            <w:rFonts w:hint="default" w:ascii="Arial" w:hAnsi="Arial" w:eastAsia="Times New Roman" w:cs="Arial"/>
            <w:color w:val="auto"/>
            <w:kern w:val="0"/>
            <w:sz w:val="20"/>
            <w:szCs w:val="20"/>
            <w:highlight w:val="yellow"/>
            <w:lang w:val="en-US" w:eastAsia="fr-FR"/>
            <w:rPrChange w:id="24" w:author="uyoyo ududua" w:date="2025-05-09T21:52:05Z">
              <w:rPr>
                <w:rFonts w:hint="default" w:ascii="Arial" w:hAnsi="Arial" w:eastAsia="Times New Roman" w:cs="Arial"/>
                <w:kern w:val="0"/>
                <w:sz w:val="20"/>
                <w:szCs w:val="20"/>
                <w:lang w:val="en-US" w:eastAsia="fr-FR"/>
                <w14:ligatures w14:val="none"/>
              </w:rPr>
            </w:rPrChange>
            <w14:ligatures w14:val="none"/>
          </w:rPr>
          <w:t xml:space="preserve"> stu</w:t>
        </w:r>
      </w:ins>
      <w:ins w:id="26" w:author="uyoyo ududua" w:date="2025-05-09T21:51:41Z">
        <w:r>
          <w:rPr>
            <w:rFonts w:hint="default" w:ascii="Arial" w:hAnsi="Arial" w:eastAsia="Times New Roman" w:cs="Arial"/>
            <w:color w:val="auto"/>
            <w:kern w:val="0"/>
            <w:sz w:val="20"/>
            <w:szCs w:val="20"/>
            <w:highlight w:val="yellow"/>
            <w:lang w:val="en-US" w:eastAsia="fr-FR"/>
            <w:rPrChange w:id="27" w:author="uyoyo ududua" w:date="2025-05-09T21:52:05Z">
              <w:rPr>
                <w:rFonts w:hint="default" w:ascii="Arial" w:hAnsi="Arial" w:eastAsia="Times New Roman" w:cs="Arial"/>
                <w:kern w:val="0"/>
                <w:sz w:val="20"/>
                <w:szCs w:val="20"/>
                <w:lang w:val="en-US" w:eastAsia="fr-FR"/>
                <w14:ligatures w14:val="none"/>
              </w:rPr>
            </w:rPrChange>
            <w14:ligatures w14:val="none"/>
          </w:rPr>
          <w:t>di</w:t>
        </w:r>
      </w:ins>
      <w:ins w:id="29" w:author="uyoyo ududua" w:date="2025-05-09T21:51:42Z">
        <w:r>
          <w:rPr>
            <w:rFonts w:hint="default" w:ascii="Arial" w:hAnsi="Arial" w:eastAsia="Times New Roman" w:cs="Arial"/>
            <w:color w:val="auto"/>
            <w:kern w:val="0"/>
            <w:sz w:val="20"/>
            <w:szCs w:val="20"/>
            <w:highlight w:val="yellow"/>
            <w:lang w:val="en-US" w:eastAsia="fr-FR"/>
            <w:rPrChange w:id="30" w:author="uyoyo ududua" w:date="2025-05-09T21:52:05Z">
              <w:rPr>
                <w:rFonts w:hint="default" w:ascii="Arial" w:hAnsi="Arial" w:eastAsia="Times New Roman" w:cs="Arial"/>
                <w:kern w:val="0"/>
                <w:sz w:val="20"/>
                <w:szCs w:val="20"/>
                <w:lang w:val="en-US" w:eastAsia="fr-FR"/>
                <w14:ligatures w14:val="none"/>
              </w:rPr>
            </w:rPrChange>
            <w14:ligatures w14:val="none"/>
          </w:rPr>
          <w:t>e</w:t>
        </w:r>
      </w:ins>
      <w:ins w:id="32" w:author="uyoyo ududua" w:date="2025-05-09T21:51:43Z">
        <w:r>
          <w:rPr>
            <w:rFonts w:hint="default" w:ascii="Arial" w:hAnsi="Arial" w:eastAsia="Times New Roman" w:cs="Arial"/>
            <w:color w:val="auto"/>
            <w:kern w:val="0"/>
            <w:sz w:val="20"/>
            <w:szCs w:val="20"/>
            <w:highlight w:val="yellow"/>
            <w:lang w:val="en-US" w:eastAsia="fr-FR"/>
            <w:rPrChange w:id="33" w:author="uyoyo ududua" w:date="2025-05-09T21:52:05Z">
              <w:rPr>
                <w:rFonts w:hint="default" w:ascii="Arial" w:hAnsi="Arial" w:eastAsia="Times New Roman" w:cs="Arial"/>
                <w:kern w:val="0"/>
                <w:sz w:val="20"/>
                <w:szCs w:val="20"/>
                <w:lang w:val="en-US" w:eastAsia="fr-FR"/>
                <w14:ligatures w14:val="none"/>
              </w:rPr>
            </w:rPrChange>
            <w14:ligatures w14:val="none"/>
          </w:rPr>
          <w:t>s</w:t>
        </w:r>
      </w:ins>
      <w:ins w:id="35" w:author="uyoyo ududua" w:date="2025-05-09T21:51:44Z">
        <w:r>
          <w:rPr>
            <w:rFonts w:hint="default" w:ascii="Arial" w:hAnsi="Arial" w:eastAsia="Times New Roman" w:cs="Arial"/>
            <w:kern w:val="0"/>
            <w:sz w:val="20"/>
            <w:szCs w:val="20"/>
            <w:lang w:val="en-US" w:eastAsia="fr-FR"/>
            <w14:ligatures w14:val="none"/>
          </w:rPr>
          <w:t>)</w:t>
        </w:r>
      </w:ins>
      <w:r>
        <w:rPr>
          <w:rFonts w:ascii="Arial" w:hAnsi="Arial" w:eastAsia="Times New Roman" w:cs="Arial"/>
          <w:kern w:val="0"/>
          <w:sz w:val="20"/>
          <w:szCs w:val="20"/>
          <w:lang w:eastAsia="fr-FR"/>
          <w14:ligatures w14:val="none"/>
        </w:rPr>
        <w:t xml:space="preserve">. The present study thus aims to evaluate the effects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leaf extracts on oxidative stress markers in Wistar rats rendered obese by a high-fat diet.</w:t>
      </w:r>
    </w:p>
    <w:p w14:paraId="7B05D3A6">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The objective is to determine whether the administration of these extracts can modulate levels of malondialdehyde (MDA), the activity of antioxidant enzymes such as superoxide dismutase (SOD), catalase (CAT), and glutathione peroxidase (GPx), as well as the reduced glutathione (GSH) status in target tissues. </w:t>
      </w:r>
      <w:commentRangeStart w:id="3"/>
      <w:r>
        <w:rPr>
          <w:rFonts w:ascii="Arial" w:hAnsi="Arial" w:eastAsia="Times New Roman" w:cs="Arial"/>
          <w:kern w:val="0"/>
          <w:sz w:val="20"/>
          <w:szCs w:val="20"/>
          <w:lang w:eastAsia="fr-FR"/>
          <w14:ligatures w14:val="none"/>
        </w:rPr>
        <w:t xml:space="preserve">These findings could contribute to the pharmacological valorization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as a potential phytotherapeutic agent in the management of obesity-related oxidative stress.</w:t>
      </w:r>
      <w:commentRangeEnd w:id="3"/>
      <w:r>
        <w:commentReference w:id="3"/>
      </w:r>
    </w:p>
    <w:p w14:paraId="439B9781">
      <w:pPr>
        <w:spacing w:after="0" w:line="360" w:lineRule="auto"/>
        <w:rPr>
          <w:rFonts w:ascii="Arial" w:hAnsi="Arial" w:eastAsia="Times New Roman" w:cs="Arial"/>
          <w:b/>
          <w:bCs/>
          <w:kern w:val="0"/>
          <w:sz w:val="20"/>
          <w:szCs w:val="20"/>
          <w:lang w:eastAsia="fr-FR"/>
          <w14:ligatures w14:val="none"/>
        </w:rPr>
      </w:pPr>
      <w:bookmarkStart w:id="0" w:name="_Hlk197082896"/>
    </w:p>
    <w:bookmarkEnd w:id="0"/>
    <w:p w14:paraId="2CB1AF5B">
      <w:pPr>
        <w:pStyle w:val="35"/>
        <w:numPr>
          <w:ilvl w:val="0"/>
          <w:numId w:val="1"/>
        </w:numPr>
        <w:spacing w:after="0" w:line="360" w:lineRule="auto"/>
        <w:jc w:val="both"/>
        <w:rPr>
          <w:rFonts w:ascii="Arial" w:hAnsi="Arial" w:eastAsia="Times New Roman" w:cs="Arial"/>
          <w:b/>
          <w:bCs/>
          <w:kern w:val="0"/>
          <w:sz w:val="22"/>
          <w:szCs w:val="22"/>
          <w:lang w:eastAsia="fr-FR"/>
          <w14:ligatures w14:val="none"/>
        </w:rPr>
      </w:pPr>
      <w:r>
        <w:rPr>
          <w:rFonts w:ascii="Arial" w:hAnsi="Arial" w:eastAsia="Times New Roman" w:cs="Arial"/>
          <w:b/>
          <w:bCs/>
          <w:kern w:val="0"/>
          <w:sz w:val="22"/>
          <w:szCs w:val="22"/>
          <w:lang w:eastAsia="fr-FR"/>
          <w14:ligatures w14:val="none"/>
        </w:rPr>
        <w:t>MATERIALS AND METHODS</w:t>
      </w:r>
    </w:p>
    <w:p w14:paraId="669E4519">
      <w:pPr>
        <w:pStyle w:val="35"/>
        <w:numPr>
          <w:ilvl w:val="1"/>
          <w:numId w:val="1"/>
        </w:numPr>
        <w:spacing w:after="0" w:line="360" w:lineRule="auto"/>
        <w:jc w:val="both"/>
        <w:rPr>
          <w:rFonts w:ascii="Arial" w:hAnsi="Arial" w:eastAsia="Times New Roman" w:cs="Arial"/>
          <w:b/>
          <w:bCs/>
          <w:kern w:val="0"/>
          <w:sz w:val="22"/>
          <w:szCs w:val="22"/>
          <w:lang w:eastAsia="fr-FR"/>
          <w14:ligatures w14:val="none"/>
        </w:rPr>
      </w:pPr>
      <w:commentRangeStart w:id="4"/>
      <w:r>
        <w:rPr>
          <w:rFonts w:ascii="Arial" w:hAnsi="Arial" w:eastAsia="Times New Roman" w:cs="Arial"/>
          <w:b/>
          <w:bCs/>
          <w:kern w:val="0"/>
          <w:sz w:val="22"/>
          <w:szCs w:val="22"/>
          <w:lang w:eastAsia="fr-FR"/>
          <w14:ligatures w14:val="none"/>
        </w:rPr>
        <w:t>Biological materia</w:t>
      </w:r>
      <w:commentRangeEnd w:id="4"/>
      <w:r>
        <w:commentReference w:id="4"/>
      </w:r>
      <w:r>
        <w:rPr>
          <w:rFonts w:ascii="Arial" w:hAnsi="Arial" w:eastAsia="Times New Roman" w:cs="Arial"/>
          <w:b/>
          <w:bCs/>
          <w:kern w:val="0"/>
          <w:sz w:val="22"/>
          <w:szCs w:val="22"/>
          <w:lang w:eastAsia="fr-FR"/>
          <w14:ligatures w14:val="none"/>
        </w:rPr>
        <w:t>l</w:t>
      </w:r>
    </w:p>
    <w:p w14:paraId="3B77377D">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The study was conducted on male Wistar rats aged 8 to 10 weeks, with an initial body weight ranging from 180 to 220 g. A total of 30 rats were used and randomly divided into 5 groups of 6 animals each.</w:t>
      </w:r>
    </w:p>
    <w:p w14:paraId="17CD43E4">
      <w:pPr>
        <w:spacing w:after="0" w:line="360" w:lineRule="auto"/>
        <w:jc w:val="both"/>
        <w:rPr>
          <w:rFonts w:ascii="Arial" w:hAnsi="Arial" w:eastAsia="Times New Roman" w:cs="Arial"/>
          <w:kern w:val="0"/>
          <w:sz w:val="20"/>
          <w:szCs w:val="20"/>
          <w:lang w:eastAsia="fr-FR"/>
          <w14:ligatures w14:val="none"/>
        </w:rPr>
      </w:pPr>
    </w:p>
    <w:p w14:paraId="4E66C41C">
      <w:pPr>
        <w:pStyle w:val="35"/>
        <w:numPr>
          <w:ilvl w:val="1"/>
          <w:numId w:val="1"/>
        </w:numPr>
        <w:spacing w:after="0" w:line="360" w:lineRule="auto"/>
        <w:jc w:val="both"/>
        <w:rPr>
          <w:rFonts w:ascii="Arial" w:hAnsi="Arial" w:eastAsia="Times New Roman" w:cs="Arial"/>
          <w:b/>
          <w:bCs/>
          <w:kern w:val="0"/>
          <w:sz w:val="22"/>
          <w:szCs w:val="22"/>
          <w:lang w:eastAsia="fr-FR"/>
          <w14:ligatures w14:val="none"/>
        </w:rPr>
      </w:pPr>
      <w:r>
        <w:rPr>
          <w:rFonts w:ascii="Arial" w:hAnsi="Arial" w:eastAsia="Times New Roman" w:cs="Arial"/>
          <w:b/>
          <w:bCs/>
          <w:kern w:val="0"/>
          <w:sz w:val="22"/>
          <w:szCs w:val="22"/>
          <w:lang w:eastAsia="fr-FR"/>
          <w14:ligatures w14:val="none"/>
        </w:rPr>
        <w:t>Induction of obesity</w:t>
      </w:r>
    </w:p>
    <w:p w14:paraId="679895CB">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The rats were fed a high-fat diet (HFD) for a period of 4 to 6 weeks to induce obesity. This type of diet, rich in fats, is widely used in animal obesity studies to mimic the dietary conditions responsible for the development of obesity in humans (Zhao et al., 2019). The composition of this diet is characterized by its high lipid content, including 35.56 g/100g of lipids, which exceeds the amount of fat found in a standard rat diet (Micha et al., 2017). This elevated fat content is intended to cause fat accumulation and consequently significant weight gain.</w:t>
      </w:r>
    </w:p>
    <w:p w14:paraId="63B76F5A">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The diet also contained 27.33 g/100g of carbohydrates and 19.36 g/100g of proteins, to ensure a balanced energy intake while favoring fat accumulation. Carbohydrates and proteins, although important for rat growth and metabolism, are included here to guarantee a sufficient caloric intake to support weight gain due to the high-fat content (</w:t>
      </w:r>
      <w:commentRangeStart w:id="5"/>
      <w:r>
        <w:rPr>
          <w:rFonts w:ascii="Arial" w:hAnsi="Arial" w:eastAsia="Times New Roman" w:cs="Arial"/>
          <w:kern w:val="0"/>
          <w:sz w:val="20"/>
          <w:szCs w:val="20"/>
          <w:lang w:eastAsia="fr-FR"/>
          <w14:ligatures w14:val="none"/>
        </w:rPr>
        <w:t>Storlien et al., 2000</w:t>
      </w:r>
      <w:commentRangeEnd w:id="5"/>
      <w:r>
        <w:commentReference w:id="5"/>
      </w:r>
      <w:r>
        <w:rPr>
          <w:rFonts w:ascii="Arial" w:hAnsi="Arial" w:eastAsia="Times New Roman" w:cs="Arial"/>
          <w:kern w:val="0"/>
          <w:sz w:val="20"/>
          <w:szCs w:val="20"/>
          <w:lang w:eastAsia="fr-FR"/>
          <w14:ligatures w14:val="none"/>
        </w:rPr>
        <w:t>).</w:t>
      </w:r>
    </w:p>
    <w:p w14:paraId="0F37AB09">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Obesity was confirmed in rats by a weight gain of at least 20% compared to normal controls. This criterion is commonly used in experimental protocols to ensure that the animals have developed significant overweight and that the obesity model is validated (Lee et al., 2018). Indeed, such a weight gain is indicative of obesity in rats, a condition that enables the study of potential therapeutic treatments for obesity and its complications, such as oxidative stress (Vogel et al., 2017).</w:t>
      </w:r>
    </w:p>
    <w:p w14:paraId="28A53825">
      <w:pPr>
        <w:spacing w:after="0" w:line="360" w:lineRule="auto"/>
        <w:jc w:val="both"/>
        <w:rPr>
          <w:rFonts w:ascii="Arial" w:hAnsi="Arial" w:eastAsia="Times New Roman" w:cs="Arial"/>
          <w:b/>
          <w:bCs/>
          <w:kern w:val="0"/>
          <w:sz w:val="20"/>
          <w:szCs w:val="20"/>
          <w:lang w:eastAsia="fr-FR"/>
          <w14:ligatures w14:val="none"/>
        </w:rPr>
      </w:pPr>
    </w:p>
    <w:p w14:paraId="240566C3">
      <w:pPr>
        <w:pStyle w:val="35"/>
        <w:numPr>
          <w:ilvl w:val="1"/>
          <w:numId w:val="1"/>
        </w:numPr>
        <w:spacing w:after="0" w:line="360" w:lineRule="auto"/>
        <w:jc w:val="both"/>
        <w:rPr>
          <w:rFonts w:ascii="Arial" w:hAnsi="Arial" w:eastAsia="Times New Roman" w:cs="Arial"/>
          <w:b/>
          <w:bCs/>
          <w:kern w:val="0"/>
          <w:sz w:val="22"/>
          <w:szCs w:val="22"/>
          <w:lang w:eastAsia="fr-FR"/>
          <w14:ligatures w14:val="none"/>
        </w:rPr>
      </w:pPr>
      <w:r>
        <w:rPr>
          <w:rFonts w:ascii="Arial" w:hAnsi="Arial" w:eastAsia="Times New Roman" w:cs="Arial"/>
          <w:b/>
          <w:bCs/>
          <w:kern w:val="0"/>
          <w:sz w:val="22"/>
          <w:szCs w:val="22"/>
          <w:lang w:eastAsia="fr-FR"/>
          <w14:ligatures w14:val="none"/>
        </w:rPr>
        <w:t xml:space="preserve">Preparation of </w:t>
      </w:r>
      <w:r>
        <w:rPr>
          <w:rFonts w:ascii="Arial" w:hAnsi="Arial" w:eastAsia="Times New Roman" w:cs="Arial"/>
          <w:b/>
          <w:bCs/>
          <w:i/>
          <w:iCs/>
          <w:kern w:val="0"/>
          <w:sz w:val="22"/>
          <w:szCs w:val="22"/>
          <w:lang w:eastAsia="fr-FR"/>
          <w14:ligatures w14:val="none"/>
        </w:rPr>
        <w:t>Ficus umbellata</w:t>
      </w:r>
      <w:r>
        <w:rPr>
          <w:rFonts w:ascii="Arial" w:hAnsi="Arial" w:eastAsia="Times New Roman" w:cs="Arial"/>
          <w:b/>
          <w:bCs/>
          <w:kern w:val="0"/>
          <w:sz w:val="22"/>
          <w:szCs w:val="22"/>
          <w:lang w:eastAsia="fr-FR"/>
          <w14:ligatures w14:val="none"/>
        </w:rPr>
        <w:t xml:space="preserve"> extract</w:t>
      </w:r>
    </w:p>
    <w:p w14:paraId="65A93BDA">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leaves were used after being shade-dried, a method that preserves their bioactive compounds while preventing degradation due to excessive heat (</w:t>
      </w:r>
      <w:commentRangeStart w:id="6"/>
      <w:r>
        <w:rPr>
          <w:rFonts w:ascii="Arial" w:hAnsi="Arial" w:eastAsia="Times New Roman" w:cs="Arial"/>
          <w:kern w:val="0"/>
          <w:sz w:val="20"/>
          <w:szCs w:val="20"/>
          <w:lang w:eastAsia="fr-FR"/>
          <w14:ligatures w14:val="none"/>
        </w:rPr>
        <w:t>Ali et al., 2016</w:t>
      </w:r>
      <w:commentRangeEnd w:id="6"/>
      <w:r>
        <w:commentReference w:id="6"/>
      </w:r>
      <w:r>
        <w:rPr>
          <w:rFonts w:ascii="Arial" w:hAnsi="Arial" w:eastAsia="Times New Roman" w:cs="Arial"/>
          <w:kern w:val="0"/>
          <w:sz w:val="20"/>
          <w:szCs w:val="20"/>
          <w:lang w:eastAsia="fr-FR"/>
          <w14:ligatures w14:val="none"/>
        </w:rPr>
        <w:t>). The extraction of active principles was carried out using two methods, depending on the study's objectives. On one hand, maceration was performed in 70% ethanol for a determined period, a technique commonly used to extract both water-soluble and fat-soluble metabolites from medicinal plants (</w:t>
      </w:r>
      <w:commentRangeStart w:id="7"/>
      <w:r>
        <w:rPr>
          <w:rFonts w:ascii="Arial" w:hAnsi="Arial" w:eastAsia="Times New Roman" w:cs="Arial"/>
          <w:kern w:val="0"/>
          <w:sz w:val="20"/>
          <w:szCs w:val="20"/>
          <w:lang w:eastAsia="fr-FR"/>
          <w14:ligatures w14:val="none"/>
        </w:rPr>
        <w:t>Bae et al., 2012</w:t>
      </w:r>
      <w:commentRangeEnd w:id="7"/>
      <w:r>
        <w:commentReference w:id="7"/>
      </w:r>
      <w:r>
        <w:rPr>
          <w:rFonts w:ascii="Arial" w:hAnsi="Arial" w:eastAsia="Times New Roman" w:cs="Arial"/>
          <w:kern w:val="0"/>
          <w:sz w:val="20"/>
          <w:szCs w:val="20"/>
          <w:lang w:eastAsia="fr-FR"/>
          <w14:ligatures w14:val="none"/>
        </w:rPr>
        <w:t>). On the other hand, an aqueous decoction was used according to traditional methods, which involve boiling the plant material in water to extract its active compounds. This method is particularly popular in traditional medicine due to its simplicity and effectiveness in extracting water-soluble substances (Ezzat et al., 2018).</w:t>
      </w:r>
    </w:p>
    <w:p w14:paraId="286A1441">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After extraction, the mixture was filtered to remove solid particles, and the resulting liquid extract was concentrated by vacuum evaporation. This method reduces pressure and minimizes thermal degradation of active compounds, thereby ensuring better preservation of extract quality (Elshafie et al., 2020). The concentrate was then dried at a controlled temperature of 40°C, low enough to prevent thermal degradation of the active ingredients while allowing for rapid drying (</w:t>
      </w:r>
      <w:commentRangeStart w:id="8"/>
      <w:r>
        <w:rPr>
          <w:rFonts w:ascii="Arial" w:hAnsi="Arial" w:eastAsia="Times New Roman" w:cs="Arial"/>
          <w:kern w:val="0"/>
          <w:sz w:val="20"/>
          <w:szCs w:val="20"/>
          <w:lang w:eastAsia="fr-FR"/>
          <w14:ligatures w14:val="none"/>
        </w:rPr>
        <w:t>Tchoumbougnang et al., 2014</w:t>
      </w:r>
      <w:commentRangeEnd w:id="8"/>
      <w:r>
        <w:commentReference w:id="8"/>
      </w:r>
      <w:r>
        <w:rPr>
          <w:rFonts w:ascii="Arial" w:hAnsi="Arial" w:eastAsia="Times New Roman" w:cs="Arial"/>
          <w:kern w:val="0"/>
          <w:sz w:val="20"/>
          <w:szCs w:val="20"/>
          <w:lang w:eastAsia="fr-FR"/>
          <w14:ligatures w14:val="none"/>
        </w:rPr>
        <w:t>).</w:t>
      </w:r>
    </w:p>
    <w:p w14:paraId="0897D756">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The resulting dry extract was stored at 4°C to prevent degradation and maintain its stability before use in experiments. This low-temperature storage method is commonly used for plant extracts to preserve their chemical and biological properties over the long term (</w:t>
      </w:r>
      <w:commentRangeStart w:id="9"/>
      <w:r>
        <w:rPr>
          <w:rFonts w:ascii="Arial" w:hAnsi="Arial" w:eastAsia="Times New Roman" w:cs="Arial"/>
          <w:kern w:val="0"/>
          <w:sz w:val="20"/>
          <w:szCs w:val="20"/>
          <w:lang w:eastAsia="fr-FR"/>
          <w14:ligatures w14:val="none"/>
        </w:rPr>
        <w:t>Souri et al., 2015</w:t>
      </w:r>
      <w:commentRangeEnd w:id="9"/>
      <w:r>
        <w:commentReference w:id="9"/>
      </w:r>
      <w:r>
        <w:rPr>
          <w:rFonts w:ascii="Arial" w:hAnsi="Arial" w:eastAsia="Times New Roman" w:cs="Arial"/>
          <w:kern w:val="0"/>
          <w:sz w:val="20"/>
          <w:szCs w:val="20"/>
          <w:lang w:eastAsia="fr-FR"/>
          <w14:ligatures w14:val="none"/>
        </w:rPr>
        <w:t>).</w:t>
      </w:r>
    </w:p>
    <w:p w14:paraId="3CE23CE7">
      <w:pPr>
        <w:spacing w:after="0" w:line="360" w:lineRule="auto"/>
        <w:jc w:val="both"/>
        <w:rPr>
          <w:rFonts w:ascii="Arial" w:hAnsi="Arial" w:eastAsia="Times New Roman" w:cs="Arial"/>
          <w:b/>
          <w:bCs/>
          <w:kern w:val="0"/>
          <w:sz w:val="20"/>
          <w:szCs w:val="20"/>
          <w:lang w:eastAsia="fr-FR"/>
          <w14:ligatures w14:val="none"/>
        </w:rPr>
      </w:pPr>
    </w:p>
    <w:p w14:paraId="31B18D74">
      <w:pPr>
        <w:pStyle w:val="35"/>
        <w:numPr>
          <w:ilvl w:val="1"/>
          <w:numId w:val="1"/>
        </w:numPr>
        <w:spacing w:after="0" w:line="360" w:lineRule="auto"/>
        <w:jc w:val="both"/>
        <w:rPr>
          <w:rFonts w:ascii="Arial" w:hAnsi="Arial" w:eastAsia="Times New Roman" w:cs="Arial"/>
          <w:b/>
          <w:bCs/>
          <w:kern w:val="0"/>
          <w:sz w:val="22"/>
          <w:szCs w:val="22"/>
          <w:lang w:eastAsia="fr-FR"/>
          <w14:ligatures w14:val="none"/>
        </w:rPr>
      </w:pPr>
      <w:r>
        <w:rPr>
          <w:rFonts w:ascii="Arial" w:hAnsi="Arial" w:eastAsia="Times New Roman" w:cs="Arial"/>
          <w:b/>
          <w:bCs/>
          <w:kern w:val="0"/>
          <w:sz w:val="22"/>
          <w:szCs w:val="22"/>
          <w:lang w:eastAsia="fr-FR"/>
          <w14:ligatures w14:val="none"/>
        </w:rPr>
        <w:t>Experimental group allocation</w:t>
      </w:r>
    </w:p>
    <w:p w14:paraId="6994DED4">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The animals were divided into five distinct experimental groups to evaluate the effects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on oxidative stress and obesity regulation in obese rats. Each group followed a specific treatment protocol, as described below:</w:t>
      </w:r>
    </w:p>
    <w:p w14:paraId="0F35489B">
      <w:pPr>
        <w:numPr>
          <w:ilvl w:val="0"/>
          <w:numId w:val="2"/>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Group 1 (Healthy Control):</w:t>
      </w:r>
      <w:r>
        <w:rPr>
          <w:rFonts w:ascii="Arial" w:hAnsi="Arial" w:eastAsia="Times New Roman" w:cs="Arial"/>
          <w:kern w:val="0"/>
          <w:sz w:val="20"/>
          <w:szCs w:val="20"/>
          <w:lang w:eastAsia="fr-FR"/>
          <w14:ligatures w14:val="none"/>
        </w:rPr>
        <w:t xml:space="preserve"> This group received distilled water in addition to a standard diet, with no specific treatment. It served as a reference for comparing the effects of other treatments on blood pressure and oxidative stress.</w:t>
      </w:r>
    </w:p>
    <w:p w14:paraId="0A2F10C5">
      <w:pPr>
        <w:numPr>
          <w:ilvl w:val="0"/>
          <w:numId w:val="2"/>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Group 2 (Obese Control):</w:t>
      </w:r>
      <w:r>
        <w:rPr>
          <w:rFonts w:ascii="Arial" w:hAnsi="Arial" w:eastAsia="Times New Roman" w:cs="Arial"/>
          <w:kern w:val="0"/>
          <w:sz w:val="20"/>
          <w:szCs w:val="20"/>
          <w:lang w:eastAsia="fr-FR"/>
          <w14:ligatures w14:val="none"/>
        </w:rPr>
        <w:t xml:space="preserve"> The animals in this group were fed a high-fat diet (HFD) to induce obesity, without any additional treatment. This group allowed observation of the effects of the high-fat diet alone, without therapeutic intervention, and served as a baseline for evaluating the effects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w:t>
      </w:r>
    </w:p>
    <w:p w14:paraId="4AA2FA5B">
      <w:pPr>
        <w:numPr>
          <w:ilvl w:val="0"/>
          <w:numId w:val="2"/>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Group 3 (FU100):</w:t>
      </w:r>
      <w:r>
        <w:rPr>
          <w:rFonts w:ascii="Arial" w:hAnsi="Arial" w:eastAsia="Times New Roman" w:cs="Arial"/>
          <w:kern w:val="0"/>
          <w:sz w:val="20"/>
          <w:szCs w:val="20"/>
          <w:lang w:eastAsia="fr-FR"/>
          <w14:ligatures w14:val="none"/>
        </w:rPr>
        <w:t xml:space="preserve"> This group was treated with 100 mg/kg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while continuing the high-fat diet. The aim was to assess the effects of a low dose of the extract on HFD-induced obesity and oxidative stress markers.</w:t>
      </w:r>
    </w:p>
    <w:p w14:paraId="696B5603">
      <w:pPr>
        <w:numPr>
          <w:ilvl w:val="0"/>
          <w:numId w:val="2"/>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Group 4 (FU200):</w:t>
      </w:r>
      <w:r>
        <w:rPr>
          <w:rFonts w:ascii="Arial" w:hAnsi="Arial" w:eastAsia="Times New Roman" w:cs="Arial"/>
          <w:kern w:val="0"/>
          <w:sz w:val="20"/>
          <w:szCs w:val="20"/>
          <w:lang w:eastAsia="fr-FR"/>
          <w14:ligatures w14:val="none"/>
        </w:rPr>
        <w:t xml:space="preserve"> The rats in this group received 200 mg/kg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along with the high-fat diet. This group was used to examine the impact of an intermediate dose of the extract on reducing oxidative stress and obesity.</w:t>
      </w:r>
    </w:p>
    <w:p w14:paraId="55CFB2F1">
      <w:pPr>
        <w:numPr>
          <w:ilvl w:val="0"/>
          <w:numId w:val="2"/>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Group 5 (FU400):</w:t>
      </w:r>
      <w:r>
        <w:rPr>
          <w:rFonts w:ascii="Arial" w:hAnsi="Arial" w:eastAsia="Times New Roman" w:cs="Arial"/>
          <w:kern w:val="0"/>
          <w:sz w:val="20"/>
          <w:szCs w:val="20"/>
          <w:lang w:eastAsia="fr-FR"/>
          <w14:ligatures w14:val="none"/>
        </w:rPr>
        <w:t xml:space="preserve"> This group was treated with 400 mg/kg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while following the high-fat diet. It served to evaluate the effect of a higher dose of the extract on managing obesity and oxidative stress markers.</w:t>
      </w:r>
    </w:p>
    <w:p w14:paraId="1C109913">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Each group included six animals, totaling 30 rats, randomly assigned to minimize experimental bias and ensure the reliability of the results.</w:t>
      </w:r>
    </w:p>
    <w:p w14:paraId="7A533B9C">
      <w:pPr>
        <w:spacing w:after="0" w:line="360" w:lineRule="auto"/>
        <w:jc w:val="both"/>
        <w:rPr>
          <w:rFonts w:ascii="Arial" w:hAnsi="Arial" w:eastAsia="Times New Roman" w:cs="Arial"/>
          <w:kern w:val="0"/>
          <w:sz w:val="20"/>
          <w:szCs w:val="20"/>
          <w:lang w:eastAsia="fr-FR"/>
          <w14:ligatures w14:val="none"/>
        </w:rPr>
      </w:pPr>
    </w:p>
    <w:p w14:paraId="5769DFB1">
      <w:pPr>
        <w:pStyle w:val="35"/>
        <w:numPr>
          <w:ilvl w:val="1"/>
          <w:numId w:val="1"/>
        </w:numPr>
        <w:spacing w:after="0" w:line="360" w:lineRule="auto"/>
        <w:jc w:val="both"/>
        <w:rPr>
          <w:rFonts w:ascii="Arial" w:hAnsi="Arial" w:eastAsia="Times New Roman" w:cs="Arial"/>
          <w:b/>
          <w:bCs/>
          <w:kern w:val="0"/>
          <w:sz w:val="22"/>
          <w:szCs w:val="22"/>
          <w:lang w:eastAsia="fr-FR"/>
          <w14:ligatures w14:val="none"/>
        </w:rPr>
      </w:pPr>
      <w:r>
        <w:rPr>
          <w:rFonts w:ascii="Arial" w:hAnsi="Arial" w:eastAsia="Times New Roman" w:cs="Arial"/>
          <w:b/>
          <w:bCs/>
          <w:kern w:val="0"/>
          <w:sz w:val="22"/>
          <w:szCs w:val="22"/>
          <w:lang w:eastAsia="fr-FR"/>
          <w14:ligatures w14:val="none"/>
        </w:rPr>
        <w:t>Treatment duration and mode of extract administration</w:t>
      </w:r>
    </w:p>
    <w:p w14:paraId="43CD395B">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The treatment duration for each experimental group was set at 28 days. This period was chosen to allow a comprehensive assessment of the chronic effects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on oxidative stress and obesity-related parameters in rats.</w:t>
      </w:r>
    </w:p>
    <w:p w14:paraId="331E2E87">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The treatment was administered via daily oral gavage, a widely used method to ensure consistent and controlled intake of the extracts. The amount of extract administered was adjusted to 1 mL/100 g of body weight. This dosage was selected to ensure adequate absorption of the active compound while adhering to the recommendations of previous studies on the oral administration of medicinal plant extracts (Wang et al., 2013). The administered volume was standardized across all groups based on the rats’ body weight to maintain precision and treatment consistency.</w:t>
      </w:r>
    </w:p>
    <w:p w14:paraId="5B759EA1">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Rat Dissection and Liver Collection</w:t>
      </w:r>
    </w:p>
    <w:p w14:paraId="7ED20098">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kern w:val="0"/>
          <w:sz w:val="20"/>
          <w:szCs w:val="20"/>
          <w:lang w:eastAsia="fr-FR"/>
          <w14:ligatures w14:val="none"/>
        </w:rPr>
        <w:t>At the end of the experimental period, the rats were sacrificed. A midline incision was then made along the abdomen using sterile surgical scissors. The abdominal cavity was carefully opened to expose the internal organs. The liver was located and gently removed using forceps and scissors, taking care not to damage the hepatic lobes. Immediately after excision, the liver was rinsed with cold 0.9% NaCl solution to remove residual blood. It was then weighed and stored at –20°C or –80°C, depending on the parameters to be analyzed later.</w:t>
      </w:r>
    </w:p>
    <w:p w14:paraId="1591C27F">
      <w:pPr>
        <w:pStyle w:val="35"/>
        <w:numPr>
          <w:ilvl w:val="1"/>
          <w:numId w:val="1"/>
        </w:numPr>
        <w:spacing w:before="100" w:beforeAutospacing="1" w:after="100" w:afterAutospacing="1" w:line="360" w:lineRule="auto"/>
        <w:jc w:val="both"/>
        <w:rPr>
          <w:rFonts w:ascii="Arial" w:hAnsi="Arial" w:eastAsia="Times New Roman" w:cs="Arial"/>
          <w:b/>
          <w:bCs/>
          <w:kern w:val="0"/>
          <w:sz w:val="22"/>
          <w:szCs w:val="22"/>
          <w:lang w:eastAsia="fr-FR"/>
          <w14:ligatures w14:val="none"/>
        </w:rPr>
      </w:pPr>
      <w:r>
        <w:rPr>
          <w:rFonts w:ascii="Arial" w:hAnsi="Arial" w:eastAsia="Times New Roman" w:cs="Arial"/>
          <w:b/>
          <w:bCs/>
          <w:kern w:val="0"/>
          <w:sz w:val="22"/>
          <w:szCs w:val="22"/>
          <w:lang w:eastAsia="fr-FR"/>
          <w14:ligatures w14:val="none"/>
        </w:rPr>
        <w:t>Evaluated parameters</w:t>
      </w:r>
    </w:p>
    <w:p w14:paraId="775A5FB6">
      <w:pPr>
        <w:pStyle w:val="35"/>
        <w:numPr>
          <w:ilvl w:val="2"/>
          <w:numId w:val="1"/>
        </w:numPr>
        <w:spacing w:before="100" w:beforeAutospacing="1" w:after="100" w:afterAutospacing="1"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Anthropometric Parameters</w:t>
      </w:r>
    </w:p>
    <w:p w14:paraId="49F79DD2">
      <w:pPr>
        <w:spacing w:before="100" w:beforeAutospacing="1" w:after="100" w:afterAutospacing="1"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To assess the effect of the treatment on the rats, several parameters were monitored throughout the study. These are commonly used in preclinical studies to determine the metabolic and anti-obesity effects of treatments.</w:t>
      </w:r>
    </w:p>
    <w:p w14:paraId="50BC8B50">
      <w:pPr>
        <w:numPr>
          <w:ilvl w:val="0"/>
          <w:numId w:val="3"/>
        </w:numPr>
        <w:spacing w:before="100" w:beforeAutospacing="1" w:after="100" w:afterAutospacing="1"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Body weight (every 3 days):</w:t>
      </w:r>
    </w:p>
    <w:p w14:paraId="63ADAA39">
      <w:pPr>
        <w:spacing w:before="100" w:beforeAutospacing="1" w:after="100" w:afterAutospacing="1"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The body weight of the rats was measured every three days to track weight gain during the administration of the high-fat diet and the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treatment. Regular monitoring of body weight is essential to evaluate the impact of treatments on diet-induced weight gain, a central criterion of obesity (</w:t>
      </w:r>
      <w:commentRangeStart w:id="10"/>
      <w:r>
        <w:rPr>
          <w:rFonts w:ascii="Arial" w:hAnsi="Arial" w:eastAsia="Times New Roman" w:cs="Arial"/>
          <w:kern w:val="0"/>
          <w:sz w:val="20"/>
          <w:szCs w:val="20"/>
          <w:lang w:eastAsia="fr-FR"/>
          <w14:ligatures w14:val="none"/>
        </w:rPr>
        <w:t>Sharma et al., 2012</w:t>
      </w:r>
      <w:commentRangeEnd w:id="10"/>
      <w:r>
        <w:commentReference w:id="10"/>
      </w:r>
      <w:r>
        <w:rPr>
          <w:rFonts w:ascii="Arial" w:hAnsi="Arial" w:eastAsia="Times New Roman" w:cs="Arial"/>
          <w:kern w:val="0"/>
          <w:sz w:val="20"/>
          <w:szCs w:val="20"/>
          <w:lang w:eastAsia="fr-FR"/>
          <w14:ligatures w14:val="none"/>
        </w:rPr>
        <w:t>). This parameter also helps assess the effect of plant extracts on reducing weight gain observed in the obese group.</w:t>
      </w:r>
    </w:p>
    <w:p w14:paraId="70FB42DE">
      <w:pPr>
        <w:numPr>
          <w:ilvl w:val="0"/>
          <w:numId w:val="3"/>
        </w:numPr>
        <w:spacing w:before="100" w:beforeAutospacing="1" w:after="100" w:afterAutospacing="1"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Lee Index (obesity):</w:t>
      </w:r>
    </w:p>
    <w:p w14:paraId="753E325E">
      <w:pPr>
        <w:spacing w:before="100" w:beforeAutospacing="1" w:after="100" w:afterAutospacing="1"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The Lee Index is an indicator of obesity in animals and is calculated using the following formula:</w:t>
      </w:r>
    </w:p>
    <w:p w14:paraId="4B246F9A">
      <w:pPr>
        <w:spacing w:before="100" w:beforeAutospacing="1" w:after="0" w:line="360" w:lineRule="auto"/>
        <w:jc w:val="center"/>
        <w:rPr>
          <w:rFonts w:ascii="Arial" w:hAnsi="Arial" w:eastAsia="Times New Roman" w:cs="Arial"/>
          <w:kern w:val="0"/>
          <w:sz w:val="20"/>
          <w:szCs w:val="20"/>
          <w:lang w:eastAsia="fr-FR"/>
          <w14:ligatures w14:val="none"/>
        </w:rPr>
      </w:pPr>
      <w:r>
        <w:rPr>
          <w:rFonts w:ascii="Arial" w:hAnsi="Arial" w:cs="Arial"/>
          <w:sz w:val="20"/>
          <w:szCs w:val="20"/>
        </w:rPr>
        <w:drawing>
          <wp:inline distT="0" distB="0" distL="0" distR="0">
            <wp:extent cx="3648075" cy="946785"/>
            <wp:effectExtent l="0" t="0" r="0" b="5715"/>
            <wp:docPr id="14156684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68407" name="Image 1"/>
                    <pic:cNvPicPr>
                      <a:picLocks noChangeAspect="1"/>
                    </pic:cNvPicPr>
                  </pic:nvPicPr>
                  <pic:blipFill>
                    <a:blip r:embed="rId14"/>
                    <a:stretch>
                      <a:fillRect/>
                    </a:stretch>
                  </pic:blipFill>
                  <pic:spPr>
                    <a:xfrm>
                      <a:off x="0" y="0"/>
                      <a:ext cx="3690995" cy="958159"/>
                    </a:xfrm>
                    <a:prstGeom prst="rect">
                      <a:avLst/>
                    </a:prstGeom>
                  </pic:spPr>
                </pic:pic>
              </a:graphicData>
            </a:graphic>
          </wp:inline>
        </w:drawing>
      </w:r>
    </w:p>
    <w:p w14:paraId="151E24BA">
      <w:pPr>
        <w:numPr>
          <w:ilvl w:val="0"/>
          <w:numId w:val="4"/>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Body weight:</w:t>
      </w:r>
      <w:r>
        <w:rPr>
          <w:rFonts w:ascii="Arial" w:hAnsi="Arial" w:eastAsia="Times New Roman" w:cs="Arial"/>
          <w:kern w:val="0"/>
          <w:sz w:val="20"/>
          <w:szCs w:val="20"/>
          <w:lang w:eastAsia="fr-FR"/>
          <w14:ligatures w14:val="none"/>
        </w:rPr>
        <w:t xml:space="preserve"> Weight of the animal in grams (g)</w:t>
      </w:r>
    </w:p>
    <w:p w14:paraId="79FFC136">
      <w:pPr>
        <w:numPr>
          <w:ilvl w:val="0"/>
          <w:numId w:val="4"/>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Body length:</w:t>
      </w:r>
      <w:r>
        <w:rPr>
          <w:rFonts w:ascii="Arial" w:hAnsi="Arial" w:eastAsia="Times New Roman" w:cs="Arial"/>
          <w:kern w:val="0"/>
          <w:sz w:val="20"/>
          <w:szCs w:val="20"/>
          <w:lang w:eastAsia="fr-FR"/>
          <w14:ligatures w14:val="none"/>
        </w:rPr>
        <w:t xml:space="preserve"> Measured from the nose to the base of the tail, in centimeters (cm)</w:t>
      </w:r>
    </w:p>
    <w:p w14:paraId="4073C22C">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This index was measured to assess changes in body composition in rats, particularly fat mass. The Lee Index is a sensitive indicator for detecting obesity, as it takes into account the animal’s body frame rather than relying solely on body weight (</w:t>
      </w:r>
      <w:commentRangeStart w:id="11"/>
      <w:r>
        <w:rPr>
          <w:rFonts w:ascii="Arial" w:hAnsi="Arial" w:eastAsia="Times New Roman" w:cs="Arial"/>
          <w:kern w:val="0"/>
          <w:sz w:val="20"/>
          <w:szCs w:val="20"/>
          <w:lang w:eastAsia="fr-FR"/>
          <w14:ligatures w14:val="none"/>
        </w:rPr>
        <w:t>Harris et al., 2010</w:t>
      </w:r>
      <w:commentRangeEnd w:id="11"/>
      <w:r>
        <w:commentReference w:id="11"/>
      </w:r>
      <w:r>
        <w:rPr>
          <w:rFonts w:ascii="Arial" w:hAnsi="Arial" w:eastAsia="Times New Roman" w:cs="Arial"/>
          <w:kern w:val="0"/>
          <w:sz w:val="20"/>
          <w:szCs w:val="20"/>
          <w:lang w:eastAsia="fr-FR"/>
          <w14:ligatures w14:val="none"/>
        </w:rPr>
        <w:t xml:space="preserve">). A high Lee Index generally indicates excess body fat, whereas a decrease in this index may suggest a reduction in fat mass, potentially due to the effect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extracts.</w:t>
      </w:r>
    </w:p>
    <w:p w14:paraId="4ABC845E">
      <w:pPr>
        <w:spacing w:after="0" w:line="360" w:lineRule="auto"/>
        <w:jc w:val="both"/>
        <w:rPr>
          <w:rFonts w:ascii="Arial" w:hAnsi="Arial" w:eastAsia="Times New Roman" w:cs="Arial"/>
          <w:kern w:val="0"/>
          <w:sz w:val="20"/>
          <w:szCs w:val="20"/>
          <w:lang w:eastAsia="fr-FR"/>
          <w14:ligatures w14:val="none"/>
        </w:rPr>
      </w:pPr>
    </w:p>
    <w:p w14:paraId="4293C24D">
      <w:pPr>
        <w:pStyle w:val="35"/>
        <w:numPr>
          <w:ilvl w:val="2"/>
          <w:numId w:val="1"/>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Food and water intake:</w:t>
      </w:r>
    </w:p>
    <w:p w14:paraId="33ECDA37">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Food and water intake was monitored throughout the study. These parameters were recorded daily, as changes in appetite and fluid consumption may reflect the treatment’s effect on the animals' metabolism (</w:t>
      </w:r>
      <w:commentRangeStart w:id="12"/>
      <w:r>
        <w:rPr>
          <w:rFonts w:ascii="Arial" w:hAnsi="Arial" w:eastAsia="Times New Roman" w:cs="Arial"/>
          <w:kern w:val="0"/>
          <w:sz w:val="20"/>
          <w:szCs w:val="20"/>
          <w:lang w:eastAsia="fr-FR"/>
          <w14:ligatures w14:val="none"/>
        </w:rPr>
        <w:t>Gao et al., 2011</w:t>
      </w:r>
      <w:commentRangeEnd w:id="12"/>
      <w:r>
        <w:commentReference w:id="12"/>
      </w:r>
      <w:r>
        <w:rPr>
          <w:rFonts w:ascii="Arial" w:hAnsi="Arial" w:eastAsia="Times New Roman" w:cs="Arial"/>
          <w:kern w:val="0"/>
          <w:sz w:val="20"/>
          <w:szCs w:val="20"/>
          <w:lang w:eastAsia="fr-FR"/>
          <w14:ligatures w14:val="none"/>
        </w:rPr>
        <w:t>). An increase or decrease in intake may also indicate pathophysiological changes associated with the treatment, such as effects on energy metabolism or signs of toxicity.</w:t>
      </w:r>
    </w:p>
    <w:p w14:paraId="3DA8201E">
      <w:pPr>
        <w:spacing w:after="0" w:line="360" w:lineRule="auto"/>
        <w:jc w:val="both"/>
        <w:rPr>
          <w:rFonts w:ascii="Arial" w:hAnsi="Arial" w:eastAsia="Times New Roman" w:cs="Arial"/>
          <w:kern w:val="0"/>
          <w:sz w:val="20"/>
          <w:szCs w:val="20"/>
          <w:lang w:eastAsia="fr-FR"/>
          <w14:ligatures w14:val="none"/>
        </w:rPr>
      </w:pPr>
    </w:p>
    <w:p w14:paraId="27F2C112">
      <w:pPr>
        <w:pStyle w:val="35"/>
        <w:numPr>
          <w:ilvl w:val="2"/>
          <w:numId w:val="1"/>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Oxidative stress markers (in liver and/or plasma)</w:t>
      </w:r>
    </w:p>
    <w:p w14:paraId="072B51C7">
      <w:pPr>
        <w:spacing w:after="0" w:line="360" w:lineRule="auto"/>
        <w:jc w:val="both"/>
        <w:rPr>
          <w:rFonts w:ascii="Arial" w:hAnsi="Arial" w:eastAsia="Times New Roman" w:cs="Arial"/>
          <w:kern w:val="0"/>
          <w:sz w:val="20"/>
          <w:szCs w:val="20"/>
          <w:lang w:eastAsia="fr-FR"/>
          <w14:ligatures w14:val="none"/>
        </w:rPr>
      </w:pPr>
    </w:p>
    <w:p w14:paraId="41B51425">
      <w:pPr>
        <w:pStyle w:val="35"/>
        <w:numPr>
          <w:ilvl w:val="0"/>
          <w:numId w:val="5"/>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Malondialdehyde (MDA): Lipid peroxidation marker</w:t>
      </w:r>
    </w:p>
    <w:p w14:paraId="07F3680A">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Malondialdehyde (MDA) is a final product of lipid peroxidation and is commonly used as a marker of oxidative tissue damage. MDA levels are typically measured using the thiobarbituric acid reactive substances (TBARS) assay, which detects the formation of colored complexes between MDA and thiobarbituric acid. MDA reacts with TBA at high temperatures to form a colored adduct measurable at 532 nm.</w:t>
      </w:r>
    </w:p>
    <w:p w14:paraId="4084DCF3">
      <w:pPr>
        <w:spacing w:after="0" w:line="360" w:lineRule="auto"/>
        <w:jc w:val="both"/>
        <w:rPr>
          <w:rFonts w:ascii="Arial" w:hAnsi="Arial" w:eastAsia="Times New Roman" w:cs="Arial"/>
          <w:kern w:val="0"/>
          <w:sz w:val="20"/>
          <w:szCs w:val="20"/>
          <w:lang w:eastAsia="fr-FR"/>
          <w14:ligatures w14:val="none"/>
        </w:rPr>
      </w:pPr>
    </w:p>
    <w:p w14:paraId="19294119">
      <w:pPr>
        <w:pStyle w:val="35"/>
        <w:numPr>
          <w:ilvl w:val="0"/>
          <w:numId w:val="5"/>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Reduced Glutathione (GSH):</w:t>
      </w:r>
    </w:p>
    <w:p w14:paraId="516AB134">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Reduced glutathione (GSH) is a major intracellular antioxidant that protects cells against oxidative stress (</w:t>
      </w:r>
      <w:r>
        <w:rPr>
          <w:rFonts w:ascii="Arial" w:hAnsi="Arial" w:eastAsia="Times New Roman" w:cs="Arial"/>
          <w:kern w:val="0"/>
          <w:sz w:val="20"/>
          <w:szCs w:val="20"/>
          <w:highlight w:val="yellow"/>
          <w:lang w:eastAsia="fr-FR"/>
          <w14:ligatures w14:val="none"/>
        </w:rPr>
        <w:t>Ohkawa et al., 1979</w:t>
      </w:r>
      <w:r>
        <w:rPr>
          <w:rFonts w:ascii="Arial" w:hAnsi="Arial" w:eastAsia="Times New Roman" w:cs="Arial"/>
          <w:kern w:val="0"/>
          <w:sz w:val="20"/>
          <w:szCs w:val="20"/>
          <w:lang w:eastAsia="fr-FR"/>
          <w14:ligatures w14:val="none"/>
        </w:rPr>
        <w:t>).</w:t>
      </w:r>
    </w:p>
    <w:p w14:paraId="2DE60F13">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GSH levels are quantified by reaction with 5,5'-dithiobis(2-nitrobenzoic acid) (DTNB), which produces a colored product measurable at 412 nm in the presence of GSH.</w:t>
      </w:r>
    </w:p>
    <w:p w14:paraId="754EE602">
      <w:pPr>
        <w:spacing w:after="0" w:line="360" w:lineRule="auto"/>
        <w:jc w:val="both"/>
        <w:rPr>
          <w:rFonts w:ascii="Arial" w:hAnsi="Arial" w:eastAsia="Times New Roman" w:cs="Arial"/>
          <w:kern w:val="0"/>
          <w:sz w:val="20"/>
          <w:szCs w:val="20"/>
          <w:lang w:eastAsia="fr-FR"/>
          <w14:ligatures w14:val="none"/>
        </w:rPr>
      </w:pPr>
    </w:p>
    <w:p w14:paraId="744CB91C">
      <w:pPr>
        <w:pStyle w:val="35"/>
        <w:numPr>
          <w:ilvl w:val="0"/>
          <w:numId w:val="5"/>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Superoxide Dismutase (SOD):</w:t>
      </w:r>
    </w:p>
    <w:p w14:paraId="6DDD073E">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Superoxide dismutase (SOD) is a key enzyme in defense against oxidative stress, catalyzing the dismutation of the superoxide radical (O</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w:t>
      </w:r>
      <w:r>
        <w:rPr>
          <w:rFonts w:ascii="Cambria Math" w:hAnsi="Cambria Math" w:eastAsia="Times New Roman" w:cs="Cambria Math"/>
          <w:kern w:val="0"/>
          <w:sz w:val="20"/>
          <w:szCs w:val="20"/>
          <w:lang w:eastAsia="fr-FR"/>
          <w14:ligatures w14:val="none"/>
        </w:rPr>
        <w:t>⁻</w:t>
      </w:r>
      <w:r>
        <w:rPr>
          <w:rFonts w:ascii="Arial" w:hAnsi="Arial" w:eastAsia="Times New Roman" w:cs="Arial"/>
          <w:kern w:val="0"/>
          <w:sz w:val="20"/>
          <w:szCs w:val="20"/>
          <w:lang w:eastAsia="fr-FR"/>
          <w14:ligatures w14:val="none"/>
        </w:rPr>
        <w:t>) into hydrogen peroxide (H</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O</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w:t>
      </w:r>
      <w:r>
        <w:rPr>
          <w:rFonts w:ascii="Arial" w:hAnsi="Arial" w:eastAsia="Times New Roman" w:cs="Arial"/>
          <w:kern w:val="0"/>
          <w:sz w:val="20"/>
          <w:szCs w:val="20"/>
          <w:lang w:eastAsia="fr-FR"/>
          <w14:ligatures w14:val="none"/>
        </w:rPr>
        <w:br w:type="textWrapping"/>
      </w:r>
      <w:r>
        <w:rPr>
          <w:rFonts w:ascii="Arial" w:hAnsi="Arial" w:eastAsia="Times New Roman" w:cs="Arial"/>
          <w:kern w:val="0"/>
          <w:sz w:val="20"/>
          <w:szCs w:val="20"/>
          <w:lang w:eastAsia="fr-FR"/>
          <w14:ligatures w14:val="none"/>
        </w:rPr>
        <w:t>SOD activity is measured by evaluating the inhibition of nitroblue tetrazolium (NBT) reduction in the presence of superoxide. The degree of inhibition correlates with SOD activity (</w:t>
      </w:r>
      <w:r>
        <w:rPr>
          <w:rFonts w:ascii="Arial" w:hAnsi="Arial" w:eastAsia="Times New Roman" w:cs="Arial"/>
          <w:kern w:val="0"/>
          <w:sz w:val="20"/>
          <w:szCs w:val="20"/>
          <w:highlight w:val="yellow"/>
          <w:lang w:eastAsia="fr-FR"/>
          <w14:ligatures w14:val="none"/>
        </w:rPr>
        <w:t>Misra et al., 1972</w:t>
      </w:r>
      <w:r>
        <w:rPr>
          <w:rFonts w:ascii="Arial" w:hAnsi="Arial" w:eastAsia="Times New Roman" w:cs="Arial"/>
          <w:kern w:val="0"/>
          <w:sz w:val="20"/>
          <w:szCs w:val="20"/>
          <w:lang w:eastAsia="fr-FR"/>
          <w14:ligatures w14:val="none"/>
        </w:rPr>
        <w:t>).</w:t>
      </w:r>
    </w:p>
    <w:p w14:paraId="6A4D8420">
      <w:pPr>
        <w:spacing w:after="0" w:line="360" w:lineRule="auto"/>
        <w:jc w:val="both"/>
        <w:rPr>
          <w:rFonts w:ascii="Arial" w:hAnsi="Arial" w:eastAsia="Times New Roman" w:cs="Arial"/>
          <w:kern w:val="0"/>
          <w:sz w:val="20"/>
          <w:szCs w:val="20"/>
          <w:lang w:eastAsia="fr-FR"/>
          <w14:ligatures w14:val="none"/>
        </w:rPr>
      </w:pPr>
    </w:p>
    <w:p w14:paraId="7B9353F8">
      <w:pPr>
        <w:pStyle w:val="35"/>
        <w:numPr>
          <w:ilvl w:val="0"/>
          <w:numId w:val="5"/>
        </w:num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Catalase (CAT):</w:t>
      </w:r>
    </w:p>
    <w:p w14:paraId="240E5439">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Catalase (CAT) is an enzyme that decomposes hydrogen peroxide (H</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O</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 into water and oxygen, thus playing a crucial role in mitigating oxidative stress.</w:t>
      </w:r>
      <w:r>
        <w:rPr>
          <w:rFonts w:ascii="Arial" w:hAnsi="Arial" w:eastAsia="Times New Roman" w:cs="Arial"/>
          <w:kern w:val="0"/>
          <w:sz w:val="20"/>
          <w:szCs w:val="20"/>
          <w:lang w:eastAsia="fr-FR"/>
          <w14:ligatures w14:val="none"/>
        </w:rPr>
        <w:br w:type="textWrapping"/>
      </w:r>
      <w:r>
        <w:rPr>
          <w:rFonts w:ascii="Arial" w:hAnsi="Arial" w:eastAsia="Times New Roman" w:cs="Arial"/>
          <w:kern w:val="0"/>
          <w:sz w:val="20"/>
          <w:szCs w:val="20"/>
          <w:lang w:eastAsia="fr-FR"/>
          <w14:ligatures w14:val="none"/>
        </w:rPr>
        <w:t>CAT activity is typically measured by monitoring the decrease in absorbance of hydrogen peroxide at 240 nm, reflecting its degradation (</w:t>
      </w:r>
      <w:r>
        <w:rPr>
          <w:rFonts w:ascii="Arial" w:hAnsi="Arial" w:eastAsia="Times New Roman" w:cs="Arial"/>
          <w:kern w:val="0"/>
          <w:sz w:val="20"/>
          <w:szCs w:val="20"/>
          <w:highlight w:val="yellow"/>
          <w:lang w:eastAsia="fr-FR"/>
          <w14:ligatures w14:val="none"/>
        </w:rPr>
        <w:t>Aebi, 1984</w:t>
      </w:r>
      <w:r>
        <w:rPr>
          <w:rFonts w:ascii="Arial" w:hAnsi="Arial" w:eastAsia="Times New Roman" w:cs="Arial"/>
          <w:kern w:val="0"/>
          <w:sz w:val="20"/>
          <w:szCs w:val="20"/>
          <w:lang w:eastAsia="fr-FR"/>
          <w14:ligatures w14:val="none"/>
        </w:rPr>
        <w:t>).</w:t>
      </w:r>
      <w:bookmarkStart w:id="1" w:name="_Hlk196954152"/>
    </w:p>
    <w:p w14:paraId="6ACD809E">
      <w:pPr>
        <w:spacing w:after="0" w:line="360" w:lineRule="auto"/>
        <w:jc w:val="both"/>
        <w:rPr>
          <w:rFonts w:ascii="Arial" w:hAnsi="Arial" w:eastAsia="Times New Roman" w:cs="Arial"/>
          <w:b/>
          <w:bCs/>
          <w:kern w:val="0"/>
          <w:sz w:val="27"/>
          <w:szCs w:val="27"/>
          <w:lang w:eastAsia="fr-FR"/>
          <w14:ligatures w14:val="none"/>
        </w:rPr>
      </w:pPr>
    </w:p>
    <w:p w14:paraId="47074630">
      <w:pPr>
        <w:pStyle w:val="35"/>
        <w:numPr>
          <w:ilvl w:val="0"/>
          <w:numId w:val="1"/>
        </w:numPr>
        <w:spacing w:after="0" w:line="360" w:lineRule="auto"/>
        <w:jc w:val="both"/>
        <w:rPr>
          <w:rFonts w:ascii="Arial" w:hAnsi="Arial" w:eastAsia="Times New Roman" w:cs="Arial"/>
          <w:b/>
          <w:bCs/>
          <w:kern w:val="0"/>
          <w:sz w:val="22"/>
          <w:szCs w:val="22"/>
          <w:lang w:eastAsia="fr-FR"/>
          <w14:ligatures w14:val="none"/>
        </w:rPr>
      </w:pPr>
      <w:bookmarkStart w:id="2" w:name="_Hlk197267018"/>
      <w:r>
        <w:rPr>
          <w:rFonts w:ascii="Arial" w:hAnsi="Arial" w:eastAsia="Times New Roman" w:cs="Arial"/>
          <w:b/>
          <w:bCs/>
          <w:kern w:val="0"/>
          <w:sz w:val="22"/>
          <w:szCs w:val="22"/>
          <w:lang w:eastAsia="fr-FR"/>
          <w14:ligatures w14:val="none"/>
        </w:rPr>
        <w:t>RESULTS</w:t>
      </w:r>
      <w:bookmarkEnd w:id="2"/>
      <w:r>
        <w:t xml:space="preserve"> </w:t>
      </w:r>
      <w:r>
        <w:rPr>
          <w:rFonts w:ascii="Arial" w:hAnsi="Arial" w:eastAsia="Times New Roman" w:cs="Arial"/>
          <w:b/>
          <w:bCs/>
          <w:kern w:val="0"/>
          <w:sz w:val="22"/>
          <w:szCs w:val="22"/>
          <w:lang w:eastAsia="fr-FR"/>
          <w14:ligatures w14:val="none"/>
        </w:rPr>
        <w:t>AND DISCUSSION</w:t>
      </w:r>
    </w:p>
    <w:p w14:paraId="58C0E272">
      <w:pPr>
        <w:pStyle w:val="35"/>
        <w:numPr>
          <w:ilvl w:val="1"/>
          <w:numId w:val="1"/>
        </w:numPr>
        <w:spacing w:after="0" w:line="360" w:lineRule="auto"/>
        <w:jc w:val="both"/>
        <w:rPr>
          <w:rFonts w:ascii="Arial" w:hAnsi="Arial" w:eastAsia="Times New Roman" w:cs="Arial"/>
          <w:b/>
          <w:bCs/>
          <w:kern w:val="0"/>
          <w:sz w:val="22"/>
          <w:szCs w:val="22"/>
          <w:lang w:eastAsia="fr-FR"/>
          <w14:ligatures w14:val="none"/>
        </w:rPr>
      </w:pPr>
      <w:r>
        <w:rPr>
          <w:rFonts w:ascii="Arial" w:hAnsi="Arial" w:eastAsia="Times New Roman" w:cs="Arial"/>
          <w:b/>
          <w:bCs/>
          <w:kern w:val="0"/>
          <w:sz w:val="22"/>
          <w:szCs w:val="22"/>
          <w:lang w:eastAsia="fr-FR"/>
          <w14:ligatures w14:val="none"/>
        </w:rPr>
        <w:t>Results</w:t>
      </w:r>
    </w:p>
    <w:p w14:paraId="58702505">
      <w:pPr>
        <w:pStyle w:val="35"/>
        <w:numPr>
          <w:ilvl w:val="2"/>
          <w:numId w:val="1"/>
        </w:num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Body Weight Evolution (g)</w:t>
      </w:r>
    </w:p>
    <w:p w14:paraId="5340F4C8">
      <w:pPr>
        <w:spacing w:after="0" w:line="360" w:lineRule="auto"/>
        <w:jc w:val="both"/>
        <w:rPr>
          <w:rFonts w:ascii="Arial" w:hAnsi="Arial" w:eastAsia="Times New Roman" w:cs="Arial"/>
          <w:b/>
          <w:bCs/>
          <w:kern w:val="0"/>
          <w:sz w:val="20"/>
          <w:szCs w:val="20"/>
          <w:lang w:eastAsia="fr-FR"/>
          <w14:ligatures w14:val="none"/>
        </w:rPr>
      </w:pPr>
    </w:p>
    <w:p w14:paraId="3A3D5084">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 xml:space="preserve">   Table 1. Body Weight Evolution</w:t>
      </w:r>
    </w:p>
    <w:tbl>
      <w:tblPr>
        <w:tblStyle w:val="44"/>
        <w:tblW w:w="8601"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4"/>
        <w:gridCol w:w="2161"/>
        <w:gridCol w:w="2388"/>
        <w:gridCol w:w="2388"/>
      </w:tblGrid>
      <w:tr w14:paraId="11FFCDB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bottom w:val="single" w:color="7E7E7E" w:themeColor="text1" w:themeTint="80" w:sz="4" w:space="0"/>
              <w:insideH w:val="single" w:sz="4" w:space="0"/>
            </w:tcBorders>
          </w:tcPr>
          <w:p w14:paraId="5D46AF78">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Group</w:t>
            </w:r>
          </w:p>
        </w:tc>
        <w:tc>
          <w:tcPr>
            <w:tcW w:w="0" w:type="auto"/>
            <w:tcBorders>
              <w:bottom w:val="single" w:color="7E7E7E" w:themeColor="text1" w:themeTint="80" w:sz="4" w:space="0"/>
              <w:insideH w:val="single" w:sz="4" w:space="0"/>
            </w:tcBorders>
          </w:tcPr>
          <w:p w14:paraId="7BC66E6C">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Day 0 (g)</w:t>
            </w:r>
          </w:p>
        </w:tc>
        <w:tc>
          <w:tcPr>
            <w:tcW w:w="0" w:type="auto"/>
            <w:tcBorders>
              <w:bottom w:val="single" w:color="7E7E7E" w:themeColor="text1" w:themeTint="80" w:sz="4" w:space="0"/>
              <w:insideH w:val="single" w:sz="4" w:space="0"/>
            </w:tcBorders>
          </w:tcPr>
          <w:p w14:paraId="068731A7">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Day 14 (g)</w:t>
            </w:r>
          </w:p>
        </w:tc>
        <w:tc>
          <w:tcPr>
            <w:tcW w:w="0" w:type="auto"/>
            <w:tcBorders>
              <w:bottom w:val="single" w:color="7E7E7E" w:themeColor="text1" w:themeTint="80" w:sz="4" w:space="0"/>
              <w:insideH w:val="single" w:sz="4" w:space="0"/>
            </w:tcBorders>
          </w:tcPr>
          <w:p w14:paraId="0B88966F">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Day 28 (g)</w:t>
            </w:r>
          </w:p>
        </w:tc>
      </w:tr>
      <w:tr w14:paraId="00BB4A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single" w:color="7E7E7E" w:themeColor="text1" w:themeTint="80" w:sz="4" w:space="0"/>
              <w:bottom w:val="single" w:color="7E7E7E" w:themeColor="text1" w:themeTint="80" w:sz="4" w:space="0"/>
              <w:insideH w:val="single" w:sz="4" w:space="0"/>
            </w:tcBorders>
          </w:tcPr>
          <w:p w14:paraId="1D845B9F">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HC</w:t>
            </w:r>
          </w:p>
        </w:tc>
        <w:tc>
          <w:tcPr>
            <w:tcW w:w="0" w:type="auto"/>
            <w:tcBorders>
              <w:top w:val="single" w:color="7E7E7E" w:themeColor="text1" w:themeTint="80" w:sz="4" w:space="0"/>
              <w:bottom w:val="single" w:color="7E7E7E" w:themeColor="text1" w:themeTint="80" w:sz="4" w:space="0"/>
              <w:insideH w:val="single" w:sz="4" w:space="0"/>
            </w:tcBorders>
          </w:tcPr>
          <w:p w14:paraId="79BBB0AF">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210 ± 6</w:t>
            </w:r>
          </w:p>
        </w:tc>
        <w:tc>
          <w:tcPr>
            <w:tcW w:w="0" w:type="auto"/>
            <w:tcBorders>
              <w:top w:val="single" w:color="7E7E7E" w:themeColor="text1" w:themeTint="80" w:sz="4" w:space="0"/>
              <w:bottom w:val="single" w:color="7E7E7E" w:themeColor="text1" w:themeTint="80" w:sz="4" w:space="0"/>
              <w:insideH w:val="single" w:sz="4" w:space="0"/>
            </w:tcBorders>
          </w:tcPr>
          <w:p w14:paraId="3076262E">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218 ± 5</w:t>
            </w:r>
          </w:p>
        </w:tc>
        <w:tc>
          <w:tcPr>
            <w:tcW w:w="0" w:type="auto"/>
            <w:tcBorders>
              <w:top w:val="single" w:color="7E7E7E" w:themeColor="text1" w:themeTint="80" w:sz="4" w:space="0"/>
              <w:bottom w:val="single" w:color="7E7E7E" w:themeColor="text1" w:themeTint="80" w:sz="4" w:space="0"/>
              <w:insideH w:val="single" w:sz="4" w:space="0"/>
            </w:tcBorders>
          </w:tcPr>
          <w:p w14:paraId="3FA38F3F">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225 ± 7</w:t>
            </w:r>
          </w:p>
        </w:tc>
      </w:tr>
      <w:tr w14:paraId="146445B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Pr>
          <w:p w14:paraId="2C1BE4A5">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UO</w:t>
            </w:r>
          </w:p>
        </w:tc>
        <w:tc>
          <w:tcPr>
            <w:tcW w:w="0" w:type="auto"/>
          </w:tcPr>
          <w:p w14:paraId="451F69A8">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212 ± 5</w:t>
            </w:r>
          </w:p>
        </w:tc>
        <w:tc>
          <w:tcPr>
            <w:tcW w:w="0" w:type="auto"/>
          </w:tcPr>
          <w:p w14:paraId="61251D98">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248 ± 7**</w:t>
            </w:r>
          </w:p>
        </w:tc>
        <w:tc>
          <w:tcPr>
            <w:tcW w:w="0" w:type="auto"/>
          </w:tcPr>
          <w:p w14:paraId="67ED445B">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275 ± 9**</w:t>
            </w:r>
          </w:p>
        </w:tc>
      </w:tr>
      <w:tr w14:paraId="1366C9E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single" w:color="7E7E7E" w:themeColor="text1" w:themeTint="80" w:sz="4" w:space="0"/>
              <w:bottom w:val="single" w:color="7E7E7E" w:themeColor="text1" w:themeTint="80" w:sz="4" w:space="0"/>
              <w:insideH w:val="single" w:sz="4" w:space="0"/>
            </w:tcBorders>
          </w:tcPr>
          <w:p w14:paraId="65D3D546">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FU200</w:t>
            </w:r>
          </w:p>
        </w:tc>
        <w:tc>
          <w:tcPr>
            <w:tcW w:w="0" w:type="auto"/>
            <w:tcBorders>
              <w:top w:val="single" w:color="7E7E7E" w:themeColor="text1" w:themeTint="80" w:sz="4" w:space="0"/>
              <w:bottom w:val="single" w:color="7E7E7E" w:themeColor="text1" w:themeTint="80" w:sz="4" w:space="0"/>
              <w:insideH w:val="single" w:sz="4" w:space="0"/>
            </w:tcBorders>
          </w:tcPr>
          <w:p w14:paraId="0AA9BD11">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215 ± 6</w:t>
            </w:r>
          </w:p>
        </w:tc>
        <w:tc>
          <w:tcPr>
            <w:tcW w:w="0" w:type="auto"/>
            <w:tcBorders>
              <w:top w:val="single" w:color="7E7E7E" w:themeColor="text1" w:themeTint="80" w:sz="4" w:space="0"/>
              <w:bottom w:val="single" w:color="7E7E7E" w:themeColor="text1" w:themeTint="80" w:sz="4" w:space="0"/>
              <w:insideH w:val="single" w:sz="4" w:space="0"/>
            </w:tcBorders>
          </w:tcPr>
          <w:p w14:paraId="2CC6F876">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240 ± 6*</w:t>
            </w:r>
          </w:p>
        </w:tc>
        <w:tc>
          <w:tcPr>
            <w:tcW w:w="0" w:type="auto"/>
            <w:tcBorders>
              <w:top w:val="single" w:color="7E7E7E" w:themeColor="text1" w:themeTint="80" w:sz="4" w:space="0"/>
              <w:bottom w:val="single" w:color="7E7E7E" w:themeColor="text1" w:themeTint="80" w:sz="4" w:space="0"/>
              <w:insideH w:val="single" w:sz="4" w:space="0"/>
            </w:tcBorders>
          </w:tcPr>
          <w:p w14:paraId="6836A50D">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255 ± </w:t>
            </w:r>
            <w:r>
              <w:rPr>
                <w:rFonts w:ascii="Arial" w:hAnsi="Arial" w:eastAsia="Times New Roman" w:cs="Arial"/>
                <w:kern w:val="0"/>
                <w:sz w:val="20"/>
                <w:szCs w:val="20"/>
                <w:highlight w:val="yellow"/>
                <w:lang w:eastAsia="fr-FR"/>
                <w14:ligatures w14:val="none"/>
              </w:rPr>
              <w:t>8</w:t>
            </w:r>
            <w:r>
              <w:rPr>
                <w:rFonts w:ascii="Arial" w:hAnsi="Arial" w:eastAsia="Times New Roman" w:cs="Arial"/>
                <w:kern w:val="0"/>
                <w:sz w:val="20"/>
                <w:szCs w:val="20"/>
                <w:lang w:eastAsia="fr-FR"/>
                <w14:ligatures w14:val="none"/>
              </w:rPr>
              <w:t>*</w:t>
            </w:r>
          </w:p>
        </w:tc>
      </w:tr>
      <w:tr w14:paraId="587852E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Pr>
          <w:p w14:paraId="695D59A5">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FU400</w:t>
            </w:r>
          </w:p>
        </w:tc>
        <w:tc>
          <w:tcPr>
            <w:tcW w:w="0" w:type="auto"/>
          </w:tcPr>
          <w:p w14:paraId="3D44F2E5">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213 ± </w:t>
            </w:r>
            <w:r>
              <w:rPr>
                <w:rFonts w:ascii="Arial" w:hAnsi="Arial" w:eastAsia="Times New Roman" w:cs="Arial"/>
                <w:kern w:val="0"/>
                <w:sz w:val="20"/>
                <w:szCs w:val="20"/>
                <w:highlight w:val="yellow"/>
                <w:lang w:eastAsia="fr-FR"/>
                <w14:ligatures w14:val="none"/>
              </w:rPr>
              <w:t>7</w:t>
            </w:r>
          </w:p>
        </w:tc>
        <w:tc>
          <w:tcPr>
            <w:tcW w:w="0" w:type="auto"/>
          </w:tcPr>
          <w:p w14:paraId="192720DF">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232 ±</w:t>
            </w:r>
            <w:r>
              <w:rPr>
                <w:rFonts w:ascii="Arial" w:hAnsi="Arial" w:eastAsia="Times New Roman" w:cs="Arial"/>
                <w:kern w:val="0"/>
                <w:sz w:val="20"/>
                <w:szCs w:val="20"/>
                <w:highlight w:val="yellow"/>
                <w:lang w:eastAsia="fr-FR"/>
                <w14:ligatures w14:val="none"/>
              </w:rPr>
              <w:t xml:space="preserve"> 5</w:t>
            </w:r>
            <w:r>
              <w:rPr>
                <w:rFonts w:ascii="Arial" w:hAnsi="Arial" w:eastAsia="Times New Roman" w:cs="Arial"/>
                <w:kern w:val="0"/>
                <w:sz w:val="20"/>
                <w:szCs w:val="20"/>
                <w:lang w:eastAsia="fr-FR"/>
                <w14:ligatures w14:val="none"/>
              </w:rPr>
              <w:t>**</w:t>
            </w:r>
          </w:p>
        </w:tc>
        <w:tc>
          <w:tcPr>
            <w:tcW w:w="0" w:type="auto"/>
          </w:tcPr>
          <w:p w14:paraId="0D24D126">
            <w:pPr>
              <w:spacing w:after="0" w:line="240" w:lineRule="auto"/>
              <w:jc w:val="center"/>
              <w:rPr>
                <w:rFonts w:ascii="Arial" w:hAnsi="Arial" w:eastAsia="Times New Roman" w:cs="Arial"/>
                <w:kern w:val="0"/>
                <w:sz w:val="20"/>
                <w:szCs w:val="20"/>
                <w:lang w:eastAsia="fr-FR"/>
                <w14:ligatures w14:val="none"/>
              </w:rPr>
            </w:pPr>
            <w:commentRangeStart w:id="13"/>
            <w:r>
              <w:rPr>
                <w:rFonts w:ascii="Arial" w:hAnsi="Arial" w:eastAsia="Times New Roman" w:cs="Arial"/>
                <w:kern w:val="0"/>
                <w:sz w:val="20"/>
                <w:szCs w:val="20"/>
                <w:lang w:eastAsia="fr-FR"/>
                <w14:ligatures w14:val="none"/>
              </w:rPr>
              <w:t>242 ± 6*</w:t>
            </w:r>
            <w:commentRangeEnd w:id="13"/>
            <w:r>
              <w:commentReference w:id="13"/>
            </w:r>
            <w:r>
              <w:rPr>
                <w:rFonts w:ascii="Arial" w:hAnsi="Arial" w:eastAsia="Times New Roman" w:cs="Arial"/>
                <w:kern w:val="0"/>
                <w:sz w:val="20"/>
                <w:szCs w:val="20"/>
                <w:lang w:eastAsia="fr-FR"/>
                <w14:ligatures w14:val="none"/>
              </w:rPr>
              <w:t>*</w:t>
            </w:r>
          </w:p>
        </w:tc>
      </w:tr>
    </w:tbl>
    <w:p w14:paraId="2081BEF6">
      <w:pPr>
        <w:spacing w:before="100" w:beforeAutospacing="1" w:after="100" w:afterAutospacing="1" w:line="24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Note:</w:t>
      </w:r>
      <w:r>
        <w:rPr>
          <w:rFonts w:ascii="Arial" w:hAnsi="Arial" w:eastAsia="Times New Roman" w:cs="Arial"/>
          <w:kern w:val="0"/>
          <w:sz w:val="20"/>
          <w:szCs w:val="20"/>
          <w:lang w:eastAsia="fr-FR"/>
          <w14:ligatures w14:val="none"/>
        </w:rPr>
        <w:t xml:space="preserve"> *p &lt; 0.05; **p &lt; 0.01 vs HC</w:t>
      </w:r>
      <w:bookmarkEnd w:id="1"/>
    </w:p>
    <w:p w14:paraId="430201F5">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kern w:val="0"/>
          <w:sz w:val="20"/>
          <w:szCs w:val="20"/>
          <w:lang w:eastAsia="fr-FR"/>
          <w14:ligatures w14:val="none"/>
        </w:rPr>
        <w:t xml:space="preserve">The evolution of body weight in rats throughout the study shows a clear distinction between treated and control groups. On Day 0, the initial average body weights were comparable across the groups: 210 ± 6 g for the healthy control group (HC), 212 ± 5 g for the untreated obese group (UO), 215 ± 6 g for the group treated with 200 mg/kg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(FU200), and 213 ± 7 g for the group treated with 400 mg/kg (FU400).</w:t>
      </w:r>
    </w:p>
    <w:p w14:paraId="3F11F436">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By Day 14, the UO group showed a significant weight gain (248 ± 7 g; p &lt; 0.01 vs HC), confirming the effect of the high-fat diet. This trend continued through Day 28, reaching an average weight of 275 ± 9 g, indicating established obesity (p &lt; 0.01).</w:t>
      </w:r>
    </w:p>
    <w:p w14:paraId="2ED29E26">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In contrast, the groups treated with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showed an attenuation in weight gain. The FU200 group recorded a weight of 240 ± 6 g on Day 14 and 255 ± 8 g on Day 28, a moderate but significant increase compared to the UO group (p &lt; 0.05). The FU400 group exhibited a more pronounced effect, with 232 ± 5 g on Day 14 and 242 ± 6 g on Day 28, representing a highly significant difference (p &lt; 0.01) versus the UO group. These results suggest that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particularly at the 400 mg/kg dose, helps limit weight gain induced by a high-fat diet, indicating a potential anti-obesity effect of the plant.</w:t>
      </w:r>
    </w:p>
    <w:p w14:paraId="55541403">
      <w:pPr>
        <w:spacing w:after="0" w:line="360" w:lineRule="auto"/>
        <w:jc w:val="both"/>
        <w:rPr>
          <w:rFonts w:ascii="Arial" w:hAnsi="Arial" w:eastAsia="Times New Roman" w:cs="Arial"/>
          <w:b/>
          <w:bCs/>
          <w:kern w:val="0"/>
          <w:sz w:val="20"/>
          <w:szCs w:val="20"/>
          <w:lang w:eastAsia="fr-FR"/>
          <w14:ligatures w14:val="none"/>
        </w:rPr>
      </w:pPr>
    </w:p>
    <w:p w14:paraId="124C5598">
      <w:pPr>
        <w:pStyle w:val="35"/>
        <w:numPr>
          <w:ilvl w:val="2"/>
          <w:numId w:val="1"/>
        </w:num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Evolution of Lee Index After 4 Weeks of Treatment</w:t>
      </w:r>
    </w:p>
    <w:p w14:paraId="53553352">
      <w:pPr>
        <w:spacing w:after="0" w:line="240" w:lineRule="auto"/>
        <w:rPr>
          <w:rFonts w:ascii="Arial" w:hAnsi="Arial" w:eastAsia="Times New Roman" w:cs="Arial"/>
          <w:kern w:val="0"/>
          <w:sz w:val="20"/>
          <w:szCs w:val="20"/>
          <w:lang w:eastAsia="fr-FR"/>
          <w14:ligatures w14:val="none"/>
        </w:rPr>
      </w:pPr>
    </w:p>
    <w:p w14:paraId="069EB306">
      <w:pP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Table 2. Evolution of the Lee Index</w:t>
      </w:r>
    </w:p>
    <w:tbl>
      <w:tblPr>
        <w:tblStyle w:val="44"/>
        <w:tblW w:w="10011"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gridCol w:w="2533"/>
        <w:gridCol w:w="1686"/>
        <w:gridCol w:w="1686"/>
        <w:gridCol w:w="1687"/>
      </w:tblGrid>
      <w:tr w14:paraId="06AD934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0" w:type="auto"/>
            <w:tcBorders>
              <w:bottom w:val="single" w:color="7E7E7E" w:themeColor="text1" w:themeTint="80" w:sz="4" w:space="0"/>
              <w:insideH w:val="single" w:sz="4" w:space="0"/>
            </w:tcBorders>
          </w:tcPr>
          <w:p w14:paraId="1146A5AE">
            <w:pPr>
              <w:spacing w:after="0" w:line="36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Group</w:t>
            </w:r>
          </w:p>
        </w:tc>
        <w:tc>
          <w:tcPr>
            <w:tcW w:w="0" w:type="auto"/>
            <w:tcBorders>
              <w:bottom w:val="single" w:color="7E7E7E" w:themeColor="text1" w:themeTint="80" w:sz="4" w:space="0"/>
              <w:insideH w:val="single" w:sz="4" w:space="0"/>
            </w:tcBorders>
          </w:tcPr>
          <w:p w14:paraId="5E4EB609">
            <w:pPr>
              <w:spacing w:after="0" w:line="36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Day 0 (pre-treatment)</w:t>
            </w:r>
          </w:p>
        </w:tc>
        <w:tc>
          <w:tcPr>
            <w:tcW w:w="0" w:type="auto"/>
            <w:tcBorders>
              <w:bottom w:val="single" w:color="7E7E7E" w:themeColor="text1" w:themeTint="80" w:sz="4" w:space="0"/>
              <w:insideH w:val="single" w:sz="4" w:space="0"/>
            </w:tcBorders>
          </w:tcPr>
          <w:p w14:paraId="0CAA6F75">
            <w:pPr>
              <w:spacing w:after="0" w:line="36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Day 14</w:t>
            </w:r>
          </w:p>
        </w:tc>
        <w:tc>
          <w:tcPr>
            <w:tcW w:w="0" w:type="auto"/>
            <w:tcBorders>
              <w:bottom w:val="single" w:color="7E7E7E" w:themeColor="text1" w:themeTint="80" w:sz="4" w:space="0"/>
              <w:insideH w:val="single" w:sz="4" w:space="0"/>
            </w:tcBorders>
          </w:tcPr>
          <w:p w14:paraId="01829C79">
            <w:pPr>
              <w:spacing w:after="0" w:line="36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Day 21</w:t>
            </w:r>
          </w:p>
        </w:tc>
        <w:tc>
          <w:tcPr>
            <w:tcW w:w="0" w:type="auto"/>
            <w:tcBorders>
              <w:bottom w:val="single" w:color="7E7E7E" w:themeColor="text1" w:themeTint="80" w:sz="4" w:space="0"/>
              <w:insideH w:val="single" w:sz="4" w:space="0"/>
            </w:tcBorders>
          </w:tcPr>
          <w:p w14:paraId="0AB96D95">
            <w:pPr>
              <w:spacing w:after="0" w:line="36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Day 28</w:t>
            </w:r>
          </w:p>
        </w:tc>
      </w:tr>
      <w:tr w14:paraId="7056524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0" w:type="auto"/>
            <w:tcBorders>
              <w:top w:val="single" w:color="7E7E7E" w:themeColor="text1" w:themeTint="80" w:sz="4" w:space="0"/>
              <w:bottom w:val="single" w:color="7E7E7E" w:themeColor="text1" w:themeTint="80" w:sz="4" w:space="0"/>
              <w:insideH w:val="single" w:sz="4" w:space="0"/>
            </w:tcBorders>
          </w:tcPr>
          <w:p w14:paraId="4BF78E80">
            <w:pPr>
              <w:spacing w:after="0" w:line="36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G1 (Healthy control)</w:t>
            </w:r>
          </w:p>
        </w:tc>
        <w:tc>
          <w:tcPr>
            <w:tcW w:w="0" w:type="auto"/>
            <w:tcBorders>
              <w:top w:val="single" w:color="7E7E7E" w:themeColor="text1" w:themeTint="80" w:sz="4" w:space="0"/>
              <w:bottom w:val="single" w:color="7E7E7E" w:themeColor="text1" w:themeTint="80" w:sz="4" w:space="0"/>
              <w:insideH w:val="single" w:sz="4" w:space="0"/>
            </w:tcBorders>
          </w:tcPr>
          <w:p w14:paraId="7322B12E">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0.135 ± 0.02</w:t>
            </w:r>
          </w:p>
        </w:tc>
        <w:tc>
          <w:tcPr>
            <w:tcW w:w="0" w:type="auto"/>
            <w:tcBorders>
              <w:top w:val="single" w:color="7E7E7E" w:themeColor="text1" w:themeTint="80" w:sz="4" w:space="0"/>
              <w:bottom w:val="single" w:color="7E7E7E" w:themeColor="text1" w:themeTint="80" w:sz="4" w:space="0"/>
              <w:insideH w:val="single" w:sz="4" w:space="0"/>
            </w:tcBorders>
          </w:tcPr>
          <w:p w14:paraId="14F430CB">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0.133 ± 0.02</w:t>
            </w:r>
          </w:p>
        </w:tc>
        <w:tc>
          <w:tcPr>
            <w:tcW w:w="0" w:type="auto"/>
            <w:tcBorders>
              <w:top w:val="single" w:color="7E7E7E" w:themeColor="text1" w:themeTint="80" w:sz="4" w:space="0"/>
              <w:bottom w:val="single" w:color="7E7E7E" w:themeColor="text1" w:themeTint="80" w:sz="4" w:space="0"/>
              <w:insideH w:val="single" w:sz="4" w:space="0"/>
            </w:tcBorders>
          </w:tcPr>
          <w:p w14:paraId="7700919E">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0.130 ± 0.01</w:t>
            </w:r>
          </w:p>
        </w:tc>
        <w:tc>
          <w:tcPr>
            <w:tcW w:w="0" w:type="auto"/>
            <w:tcBorders>
              <w:top w:val="single" w:color="7E7E7E" w:themeColor="text1" w:themeTint="80" w:sz="4" w:space="0"/>
              <w:bottom w:val="single" w:color="7E7E7E" w:themeColor="text1" w:themeTint="80" w:sz="4" w:space="0"/>
              <w:insideH w:val="single" w:sz="4" w:space="0"/>
            </w:tcBorders>
          </w:tcPr>
          <w:p w14:paraId="6BDF4B3D">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0.129 ± 0.01</w:t>
            </w:r>
          </w:p>
        </w:tc>
      </w:tr>
      <w:tr w14:paraId="40DB436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tcPr>
          <w:p w14:paraId="3A9F5605">
            <w:pPr>
              <w:spacing w:after="0" w:line="36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G2 (Obese control)</w:t>
            </w:r>
          </w:p>
        </w:tc>
        <w:tc>
          <w:tcPr>
            <w:tcW w:w="0" w:type="auto"/>
          </w:tcPr>
          <w:p w14:paraId="0DB3CAC5">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0.131 ± 0.01</w:t>
            </w:r>
          </w:p>
        </w:tc>
        <w:tc>
          <w:tcPr>
            <w:tcW w:w="0" w:type="auto"/>
          </w:tcPr>
          <w:p w14:paraId="4576AFF2">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0.174 ± 0.03**</w:t>
            </w:r>
          </w:p>
        </w:tc>
        <w:tc>
          <w:tcPr>
            <w:tcW w:w="0" w:type="auto"/>
          </w:tcPr>
          <w:p w14:paraId="7548C295">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0.186 ± 0.04**</w:t>
            </w:r>
          </w:p>
        </w:tc>
        <w:tc>
          <w:tcPr>
            <w:tcW w:w="0" w:type="auto"/>
          </w:tcPr>
          <w:p w14:paraId="035DCF02">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0.190 ± 0.04**</w:t>
            </w:r>
          </w:p>
        </w:tc>
      </w:tr>
      <w:tr w14:paraId="7E5B69A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7E7E7E" w:themeColor="text1" w:themeTint="80" w:sz="4" w:space="0"/>
              <w:bottom w:val="single" w:color="7E7E7E" w:themeColor="text1" w:themeTint="80" w:sz="4" w:space="0"/>
              <w:insideH w:val="single" w:sz="4" w:space="0"/>
            </w:tcBorders>
          </w:tcPr>
          <w:p w14:paraId="36B507A1">
            <w:pPr>
              <w:spacing w:after="0" w:line="36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G3 (FU100)</w:t>
            </w:r>
          </w:p>
        </w:tc>
        <w:tc>
          <w:tcPr>
            <w:tcW w:w="0" w:type="auto"/>
            <w:tcBorders>
              <w:top w:val="single" w:color="7E7E7E" w:themeColor="text1" w:themeTint="80" w:sz="4" w:space="0"/>
              <w:bottom w:val="single" w:color="7E7E7E" w:themeColor="text1" w:themeTint="80" w:sz="4" w:space="0"/>
              <w:insideH w:val="single" w:sz="4" w:space="0"/>
            </w:tcBorders>
          </w:tcPr>
          <w:p w14:paraId="59F27D15">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0.130 ± 0.02</w:t>
            </w:r>
          </w:p>
        </w:tc>
        <w:tc>
          <w:tcPr>
            <w:tcW w:w="0" w:type="auto"/>
            <w:tcBorders>
              <w:top w:val="single" w:color="7E7E7E" w:themeColor="text1" w:themeTint="80" w:sz="4" w:space="0"/>
              <w:bottom w:val="single" w:color="7E7E7E" w:themeColor="text1" w:themeTint="80" w:sz="4" w:space="0"/>
              <w:insideH w:val="single" w:sz="4" w:space="0"/>
            </w:tcBorders>
          </w:tcPr>
          <w:p w14:paraId="46B5876A">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0.165 ± 0.03*</w:t>
            </w:r>
          </w:p>
        </w:tc>
        <w:tc>
          <w:tcPr>
            <w:tcW w:w="0" w:type="auto"/>
            <w:tcBorders>
              <w:top w:val="single" w:color="7E7E7E" w:themeColor="text1" w:themeTint="80" w:sz="4" w:space="0"/>
              <w:bottom w:val="single" w:color="7E7E7E" w:themeColor="text1" w:themeTint="80" w:sz="4" w:space="0"/>
              <w:insideH w:val="single" w:sz="4" w:space="0"/>
            </w:tcBorders>
          </w:tcPr>
          <w:p w14:paraId="3D18BFDB">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0.158 ± 0.03*</w:t>
            </w:r>
          </w:p>
        </w:tc>
        <w:tc>
          <w:tcPr>
            <w:tcW w:w="0" w:type="auto"/>
            <w:tcBorders>
              <w:top w:val="single" w:color="7E7E7E" w:themeColor="text1" w:themeTint="80" w:sz="4" w:space="0"/>
              <w:bottom w:val="single" w:color="7E7E7E" w:themeColor="text1" w:themeTint="80" w:sz="4" w:space="0"/>
              <w:insideH w:val="single" w:sz="4" w:space="0"/>
            </w:tcBorders>
          </w:tcPr>
          <w:p w14:paraId="7984FFEF">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0.154 ± 0.03*</w:t>
            </w:r>
          </w:p>
        </w:tc>
      </w:tr>
      <w:tr w14:paraId="228191E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Pr>
          <w:p w14:paraId="13F25424">
            <w:pPr>
              <w:spacing w:after="0" w:line="36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G4 (FU200)</w:t>
            </w:r>
          </w:p>
        </w:tc>
        <w:tc>
          <w:tcPr>
            <w:tcW w:w="0" w:type="auto"/>
          </w:tcPr>
          <w:p w14:paraId="52929C67">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0.132 ± 0.01</w:t>
            </w:r>
          </w:p>
        </w:tc>
        <w:tc>
          <w:tcPr>
            <w:tcW w:w="0" w:type="auto"/>
          </w:tcPr>
          <w:p w14:paraId="5D870584">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0.160 ± 0.03*</w:t>
            </w:r>
          </w:p>
        </w:tc>
        <w:tc>
          <w:tcPr>
            <w:tcW w:w="0" w:type="auto"/>
          </w:tcPr>
          <w:p w14:paraId="1FEB7A96">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0.150 ± 0.03*</w:t>
            </w:r>
          </w:p>
        </w:tc>
        <w:tc>
          <w:tcPr>
            <w:tcW w:w="0" w:type="auto"/>
          </w:tcPr>
          <w:p w14:paraId="27CA99F8">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0.145 ± 0.02*</w:t>
            </w:r>
          </w:p>
        </w:tc>
      </w:tr>
      <w:tr w14:paraId="0D49991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7E7E7E" w:themeColor="text1" w:themeTint="80" w:sz="4" w:space="0"/>
              <w:bottom w:val="single" w:color="7E7E7E" w:themeColor="text1" w:themeTint="80" w:sz="4" w:space="0"/>
              <w:insideH w:val="single" w:sz="4" w:space="0"/>
            </w:tcBorders>
          </w:tcPr>
          <w:p w14:paraId="5FC6A6A7">
            <w:pPr>
              <w:spacing w:after="0" w:line="36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G5 (FU400)</w:t>
            </w:r>
          </w:p>
        </w:tc>
        <w:tc>
          <w:tcPr>
            <w:tcW w:w="0" w:type="auto"/>
            <w:tcBorders>
              <w:top w:val="single" w:color="7E7E7E" w:themeColor="text1" w:themeTint="80" w:sz="4" w:space="0"/>
              <w:bottom w:val="single" w:color="7E7E7E" w:themeColor="text1" w:themeTint="80" w:sz="4" w:space="0"/>
              <w:insideH w:val="single" w:sz="4" w:space="0"/>
            </w:tcBorders>
          </w:tcPr>
          <w:p w14:paraId="62F431CD">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0.133 ± 0.01</w:t>
            </w:r>
          </w:p>
        </w:tc>
        <w:tc>
          <w:tcPr>
            <w:tcW w:w="0" w:type="auto"/>
            <w:tcBorders>
              <w:top w:val="single" w:color="7E7E7E" w:themeColor="text1" w:themeTint="80" w:sz="4" w:space="0"/>
              <w:bottom w:val="single" w:color="7E7E7E" w:themeColor="text1" w:themeTint="80" w:sz="4" w:space="0"/>
              <w:insideH w:val="single" w:sz="4" w:space="0"/>
            </w:tcBorders>
          </w:tcPr>
          <w:p w14:paraId="4D277D35">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0.142 ± 0.02**</w:t>
            </w:r>
          </w:p>
        </w:tc>
        <w:tc>
          <w:tcPr>
            <w:tcW w:w="0" w:type="auto"/>
            <w:tcBorders>
              <w:top w:val="single" w:color="7E7E7E" w:themeColor="text1" w:themeTint="80" w:sz="4" w:space="0"/>
              <w:bottom w:val="single" w:color="7E7E7E" w:themeColor="text1" w:themeTint="80" w:sz="4" w:space="0"/>
              <w:insideH w:val="single" w:sz="4" w:space="0"/>
            </w:tcBorders>
          </w:tcPr>
          <w:p w14:paraId="7EFB3E21">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0.135 ± 0.02**</w:t>
            </w:r>
          </w:p>
        </w:tc>
        <w:tc>
          <w:tcPr>
            <w:tcW w:w="0" w:type="auto"/>
            <w:tcBorders>
              <w:top w:val="single" w:color="7E7E7E" w:themeColor="text1" w:themeTint="80" w:sz="4" w:space="0"/>
              <w:bottom w:val="single" w:color="7E7E7E" w:themeColor="text1" w:themeTint="80" w:sz="4" w:space="0"/>
              <w:insideH w:val="single" w:sz="4" w:space="0"/>
            </w:tcBorders>
          </w:tcPr>
          <w:p w14:paraId="078B7D11">
            <w:pPr>
              <w:spacing w:after="0" w:line="36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0.128 ± 0.01**</w:t>
            </w:r>
          </w:p>
        </w:tc>
      </w:tr>
    </w:tbl>
    <w:p w14:paraId="337E64E5">
      <w:pPr>
        <w:spacing w:before="100" w:beforeAutospacing="1" w:after="100" w:afterAutospacing="1" w:line="24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Note:</w:t>
      </w:r>
      <w:r>
        <w:rPr>
          <w:rFonts w:ascii="Arial" w:hAnsi="Arial" w:eastAsia="Times New Roman" w:cs="Arial"/>
          <w:kern w:val="0"/>
          <w:sz w:val="20"/>
          <w:szCs w:val="20"/>
          <w:lang w:eastAsia="fr-FR"/>
          <w14:ligatures w14:val="none"/>
        </w:rPr>
        <w:t xml:space="preserve"> *p &lt; 0.05; **p &lt; 0.01 vs G1</w:t>
      </w:r>
    </w:p>
    <w:p w14:paraId="2690FCFF">
      <w:pPr>
        <w:spacing w:before="100" w:beforeAutospacing="1"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 xml:space="preserve">Control Group (G1): </w:t>
      </w:r>
      <w:r>
        <w:rPr>
          <w:rFonts w:ascii="Arial" w:hAnsi="Arial" w:eastAsia="Times New Roman" w:cs="Arial"/>
          <w:kern w:val="0"/>
          <w:sz w:val="20"/>
          <w:szCs w:val="20"/>
          <w:lang w:eastAsia="fr-FR"/>
          <w14:ligatures w14:val="none"/>
        </w:rPr>
        <w:t>The Lee index of control rats (no treatment) remained stable throughout the study, as expected under normal feeding conditions.</w:t>
      </w:r>
    </w:p>
    <w:p w14:paraId="234689BF">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 xml:space="preserve">Obese Control Group (G2): </w:t>
      </w:r>
      <w:r>
        <w:rPr>
          <w:rFonts w:ascii="Arial" w:hAnsi="Arial" w:eastAsia="Times New Roman" w:cs="Arial"/>
          <w:kern w:val="0"/>
          <w:sz w:val="20"/>
          <w:szCs w:val="20"/>
          <w:lang w:eastAsia="fr-FR"/>
          <w14:ligatures w14:val="none"/>
        </w:rPr>
        <w:t xml:space="preserve">Rats fed with a high-fat diet (HFD) without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treatment exhibited a significant increase in the Lee index between Day 0 and Day 28. This increase indicates rapid weight gain and worsening obesity in these rats. The values are statistically significant compared to the healthy control group (p &lt; 0.01).</w:t>
      </w:r>
    </w:p>
    <w:p w14:paraId="641F2652">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 xml:space="preserve">FU100 Group (100 mg/kg): </w:t>
      </w:r>
      <w:r>
        <w:rPr>
          <w:rFonts w:ascii="Arial" w:hAnsi="Arial" w:eastAsia="Times New Roman" w:cs="Arial"/>
          <w:kern w:val="0"/>
          <w:sz w:val="20"/>
          <w:szCs w:val="20"/>
          <w:lang w:eastAsia="fr-FR"/>
          <w14:ligatures w14:val="none"/>
        </w:rPr>
        <w:t>The Lee index showed a slight decrease starting from Day 14, although the effect was less pronounced than in the FU200 and FU400 groups. A significant reduction was observed compared to the obese control group (p &lt; 0.05), but the overall effect remained modest.</w:t>
      </w:r>
    </w:p>
    <w:p w14:paraId="1A0E1200">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 xml:space="preserve">FU200 Group (200 mg/kg): </w:t>
      </w:r>
      <w:r>
        <w:rPr>
          <w:rFonts w:ascii="Arial" w:hAnsi="Arial" w:eastAsia="Times New Roman" w:cs="Arial"/>
          <w:kern w:val="0"/>
          <w:sz w:val="20"/>
          <w:szCs w:val="20"/>
          <w:lang w:eastAsia="fr-FR"/>
          <w14:ligatures w14:val="none"/>
        </w:rPr>
        <w:t xml:space="preserve">This group showed a notable decrease in the Lee index from Day 14, with significant reductions observed by Day 21 (p &lt; 0.05) and Day 28 (p &lt; 0.05). This trend suggests a moderate anti-obesity effect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in reducing fat accumulation.</w:t>
      </w:r>
    </w:p>
    <w:p w14:paraId="28D5474B">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 xml:space="preserve">FU400 Group (400 mg/kg): </w:t>
      </w:r>
      <w:r>
        <w:rPr>
          <w:rFonts w:ascii="Arial" w:hAnsi="Arial" w:eastAsia="Times New Roman" w:cs="Arial"/>
          <w:kern w:val="0"/>
          <w:sz w:val="20"/>
          <w:szCs w:val="20"/>
          <w:lang w:eastAsia="fr-FR"/>
          <w14:ligatures w14:val="none"/>
        </w:rPr>
        <w:t xml:space="preserve">The group treated with the highest dose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displayed the most pronounced effect, with a progressive and significant reduction in the Lee index over time. The values from Day 14 onwards were statistically significant compared to the obese control group (p &lt; 0.01), and the Lee index reached its lowest level at the end of the study.</w:t>
      </w:r>
    </w:p>
    <w:p w14:paraId="309C4732">
      <w:pPr>
        <w:spacing w:after="0" w:line="360" w:lineRule="auto"/>
        <w:jc w:val="both"/>
        <w:rPr>
          <w:rFonts w:ascii="Arial" w:hAnsi="Arial" w:eastAsia="Times New Roman" w:cs="Arial"/>
          <w:kern w:val="0"/>
          <w:sz w:val="20"/>
          <w:szCs w:val="20"/>
          <w:lang w:eastAsia="fr-FR"/>
          <w14:ligatures w14:val="none"/>
        </w:rPr>
      </w:pPr>
    </w:p>
    <w:p w14:paraId="21BE1251">
      <w:pPr>
        <w:pStyle w:val="35"/>
        <w:numPr>
          <w:ilvl w:val="2"/>
          <w:numId w:val="1"/>
        </w:numPr>
        <w:spacing w:line="360" w:lineRule="auto"/>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Oxidative Stress Markers</w:t>
      </w:r>
    </w:p>
    <w:p w14:paraId="075A9162">
      <w:pPr>
        <w:pStyle w:val="35"/>
        <w:numPr>
          <w:ilvl w:val="3"/>
          <w:numId w:val="1"/>
        </w:numPr>
        <w:spacing w:before="100" w:beforeAutospacing="1" w:after="100" w:afterAutospacing="1" w:line="360" w:lineRule="auto"/>
        <w:jc w:val="both"/>
        <w:rPr>
          <w:rFonts w:ascii="Arial" w:hAnsi="Arial" w:eastAsia="Times New Roman" w:cs="Arial"/>
          <w:i/>
          <w:iCs/>
          <w:kern w:val="0"/>
          <w:sz w:val="20"/>
          <w:szCs w:val="20"/>
          <w:lang w:eastAsia="fr-FR"/>
          <w14:ligatures w14:val="none"/>
        </w:rPr>
      </w:pPr>
      <w:r>
        <w:rPr>
          <w:rFonts w:ascii="Arial" w:hAnsi="Arial" w:eastAsia="Times New Roman" w:cs="Arial"/>
          <w:b/>
          <w:bCs/>
          <w:i/>
          <w:iCs/>
          <w:kern w:val="0"/>
          <w:sz w:val="20"/>
          <w:szCs w:val="20"/>
          <w:lang w:eastAsia="fr-FR"/>
          <w14:ligatures w14:val="none"/>
        </w:rPr>
        <w:t>Malondialdehyde (MDA, nmol/mg protein)</w:t>
      </w:r>
    </w:p>
    <w:p w14:paraId="38881480">
      <w:pP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 xml:space="preserve">   Table 3. Evaluation of Malondialdehyde (MDA) Levels</w:t>
      </w:r>
    </w:p>
    <w:tbl>
      <w:tblPr>
        <w:tblStyle w:val="44"/>
        <w:tblW w:w="9014"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0"/>
        <w:gridCol w:w="3719"/>
        <w:gridCol w:w="4055"/>
      </w:tblGrid>
      <w:tr w14:paraId="79731DD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bottom w:val="single" w:color="7E7E7E" w:themeColor="text1" w:themeTint="80" w:sz="4" w:space="0"/>
              <w:insideH w:val="single" w:sz="4" w:space="0"/>
            </w:tcBorders>
          </w:tcPr>
          <w:p w14:paraId="5787394E">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Group</w:t>
            </w:r>
          </w:p>
        </w:tc>
        <w:tc>
          <w:tcPr>
            <w:tcW w:w="0" w:type="auto"/>
            <w:tcBorders>
              <w:bottom w:val="single" w:color="7E7E7E" w:themeColor="text1" w:themeTint="80" w:sz="4" w:space="0"/>
              <w:insideH w:val="single" w:sz="4" w:space="0"/>
            </w:tcBorders>
          </w:tcPr>
          <w:p w14:paraId="79AE581F">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Liver (nmol/mg protein)</w:t>
            </w:r>
          </w:p>
        </w:tc>
        <w:tc>
          <w:tcPr>
            <w:tcW w:w="0" w:type="auto"/>
            <w:tcBorders>
              <w:bottom w:val="single" w:color="7E7E7E" w:themeColor="text1" w:themeTint="80" w:sz="4" w:space="0"/>
              <w:insideH w:val="single" w:sz="4" w:space="0"/>
            </w:tcBorders>
          </w:tcPr>
          <w:p w14:paraId="3077A7F5">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Plasma (nmol/mg protein)</w:t>
            </w:r>
          </w:p>
        </w:tc>
      </w:tr>
      <w:tr w14:paraId="4CB8623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7E7E7E" w:themeColor="text1" w:themeTint="80" w:sz="4" w:space="0"/>
              <w:bottom w:val="single" w:color="7E7E7E" w:themeColor="text1" w:themeTint="80" w:sz="4" w:space="0"/>
              <w:insideH w:val="single" w:sz="4" w:space="0"/>
            </w:tcBorders>
          </w:tcPr>
          <w:p w14:paraId="504DD2DF">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TS</w:t>
            </w:r>
          </w:p>
        </w:tc>
        <w:tc>
          <w:tcPr>
            <w:tcW w:w="0" w:type="auto"/>
            <w:tcBorders>
              <w:top w:val="single" w:color="7E7E7E" w:themeColor="text1" w:themeTint="80" w:sz="4" w:space="0"/>
              <w:bottom w:val="single" w:color="7E7E7E" w:themeColor="text1" w:themeTint="80" w:sz="4" w:space="0"/>
              <w:insideH w:val="single" w:sz="4" w:space="0"/>
            </w:tcBorders>
          </w:tcPr>
          <w:p w14:paraId="549F8D5A">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1.8 ± 0.2</w:t>
            </w:r>
          </w:p>
        </w:tc>
        <w:tc>
          <w:tcPr>
            <w:tcW w:w="0" w:type="auto"/>
            <w:tcBorders>
              <w:top w:val="single" w:color="7E7E7E" w:themeColor="text1" w:themeTint="80" w:sz="4" w:space="0"/>
              <w:bottom w:val="single" w:color="7E7E7E" w:themeColor="text1" w:themeTint="80" w:sz="4" w:space="0"/>
              <w:insideH w:val="single" w:sz="4" w:space="0"/>
            </w:tcBorders>
          </w:tcPr>
          <w:p w14:paraId="07FE9575">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2.1 ± 0.3</w:t>
            </w:r>
          </w:p>
        </w:tc>
      </w:tr>
      <w:tr w14:paraId="651C187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Pr>
          <w:p w14:paraId="589D11CD">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ONT</w:t>
            </w:r>
          </w:p>
        </w:tc>
        <w:tc>
          <w:tcPr>
            <w:tcW w:w="0" w:type="auto"/>
          </w:tcPr>
          <w:p w14:paraId="1CC0D14C">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3.9 ± 0.4**</w:t>
            </w:r>
          </w:p>
        </w:tc>
        <w:tc>
          <w:tcPr>
            <w:tcW w:w="0" w:type="auto"/>
          </w:tcPr>
          <w:p w14:paraId="2C2A12B3">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4.5 ± 0.5**</w:t>
            </w:r>
          </w:p>
        </w:tc>
      </w:tr>
      <w:tr w14:paraId="1E1AF3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7E7E7E" w:themeColor="text1" w:themeTint="80" w:sz="4" w:space="0"/>
              <w:bottom w:val="single" w:color="7E7E7E" w:themeColor="text1" w:themeTint="80" w:sz="4" w:space="0"/>
              <w:insideH w:val="single" w:sz="4" w:space="0"/>
            </w:tcBorders>
          </w:tcPr>
          <w:p w14:paraId="01E2A8D5">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FU200</w:t>
            </w:r>
          </w:p>
        </w:tc>
        <w:tc>
          <w:tcPr>
            <w:tcW w:w="0" w:type="auto"/>
            <w:tcBorders>
              <w:top w:val="single" w:color="7E7E7E" w:themeColor="text1" w:themeTint="80" w:sz="4" w:space="0"/>
              <w:bottom w:val="single" w:color="7E7E7E" w:themeColor="text1" w:themeTint="80" w:sz="4" w:space="0"/>
              <w:insideH w:val="single" w:sz="4" w:space="0"/>
            </w:tcBorders>
          </w:tcPr>
          <w:p w14:paraId="6F739791">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2.5 ± 0.3*</w:t>
            </w:r>
          </w:p>
        </w:tc>
        <w:tc>
          <w:tcPr>
            <w:tcW w:w="0" w:type="auto"/>
            <w:tcBorders>
              <w:top w:val="single" w:color="7E7E7E" w:themeColor="text1" w:themeTint="80" w:sz="4" w:space="0"/>
              <w:bottom w:val="single" w:color="7E7E7E" w:themeColor="text1" w:themeTint="80" w:sz="4" w:space="0"/>
              <w:insideH w:val="single" w:sz="4" w:space="0"/>
            </w:tcBorders>
          </w:tcPr>
          <w:p w14:paraId="408A8B9E">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2.9 ± 0.4*</w:t>
            </w:r>
          </w:p>
        </w:tc>
      </w:tr>
      <w:tr w14:paraId="1E7141C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Pr>
          <w:p w14:paraId="0AF104AF">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FU400</w:t>
            </w:r>
          </w:p>
        </w:tc>
        <w:tc>
          <w:tcPr>
            <w:tcW w:w="0" w:type="auto"/>
          </w:tcPr>
          <w:p w14:paraId="5B4D6B8A">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2.0 ± 0.2**</w:t>
            </w:r>
          </w:p>
        </w:tc>
        <w:tc>
          <w:tcPr>
            <w:tcW w:w="0" w:type="auto"/>
          </w:tcPr>
          <w:p w14:paraId="44236F4A">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2.3 ± 0.3**</w:t>
            </w:r>
          </w:p>
        </w:tc>
      </w:tr>
    </w:tbl>
    <w:p w14:paraId="11D8A114">
      <w:pPr>
        <w:spacing w:before="100" w:beforeAutospacing="1" w:after="100" w:afterAutospacing="1" w:line="24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Note:</w:t>
      </w:r>
      <w:r>
        <w:rPr>
          <w:rFonts w:ascii="Arial" w:hAnsi="Arial" w:eastAsia="Times New Roman" w:cs="Arial"/>
          <w:kern w:val="0"/>
          <w:sz w:val="20"/>
          <w:szCs w:val="20"/>
          <w:lang w:eastAsia="fr-FR"/>
          <w14:ligatures w14:val="none"/>
        </w:rPr>
        <w:t xml:space="preserve"> *p &lt; 0.05; **p &lt; 0.01 vs TS</w:t>
      </w:r>
    </w:p>
    <w:p w14:paraId="41721BA1">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Assessment of malondialdehyde (MDA) levels in liver tissues and plasma revealed a significant increase in oxidative stress in untreated obese rats. The healthy control group (TS) showed low baseline MDA concentrations, with values of 1.8 ± 0.2 nmol/mg protein in the liver and 2.1 ± 0.3 nmol/mg protein in the plasma. In contrast, the untreated obese group (ONT) exhibited a marked increase in this oxidative biomarker, reaching 3.9 ± 0.4 in the liver and 4.5 ± 0.5 in the plasma (p &lt; 0.01 vs TS), confirming strong lipid peroxidation induced by the high-fat diet.</w:t>
      </w:r>
    </w:p>
    <w:p w14:paraId="71748E65">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Treatment with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significantly reduced MDA levels, indicating an antioxidant effect. The FU200 group showed a moderate but significant decrease in MDA with values of 2.5 ± 0.3 in the liver and 2.9 ± 0.4 in the plasma (p &lt; 0.05 vs ONT). These effects were even more pronounced in rats receiving 400 mg/kg of the extract (FU400), with concentrations approaching those of the healthy group: 2.0 ± 0.2 in the liver and 2.3 ± 0.3 in the plasma (p &lt; 0.01 vs ONT).</w:t>
      </w:r>
    </w:p>
    <w:p w14:paraId="687713C0">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These data suggest that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particularly at higher doses, exerts an inhibitory effect on lipid peroxidation, thereby contributing to the reduction of hepatic and systemic oxidative stress in obese rats.</w:t>
      </w:r>
    </w:p>
    <w:p w14:paraId="20744280">
      <w:pPr>
        <w:spacing w:after="0" w:line="360" w:lineRule="auto"/>
        <w:jc w:val="both"/>
        <w:rPr>
          <w:rFonts w:ascii="Arial" w:hAnsi="Arial" w:eastAsia="Times New Roman" w:cs="Arial"/>
          <w:kern w:val="0"/>
          <w:sz w:val="20"/>
          <w:szCs w:val="20"/>
          <w:lang w:eastAsia="fr-FR"/>
          <w14:ligatures w14:val="none"/>
        </w:rPr>
      </w:pPr>
    </w:p>
    <w:p w14:paraId="299C687E">
      <w:pPr>
        <w:pStyle w:val="35"/>
        <w:numPr>
          <w:ilvl w:val="3"/>
          <w:numId w:val="1"/>
        </w:numPr>
        <w:spacing w:after="0" w:line="360" w:lineRule="auto"/>
        <w:jc w:val="both"/>
        <w:rPr>
          <w:rFonts w:ascii="Arial" w:hAnsi="Arial" w:eastAsia="Times New Roman" w:cs="Arial"/>
          <w:b/>
          <w:bCs/>
          <w:i/>
          <w:iCs/>
          <w:kern w:val="0"/>
          <w:sz w:val="20"/>
          <w:szCs w:val="20"/>
          <w:lang w:eastAsia="fr-FR"/>
          <w14:ligatures w14:val="none"/>
        </w:rPr>
      </w:pPr>
      <w:r>
        <w:rPr>
          <w:rFonts w:ascii="Arial" w:hAnsi="Arial" w:eastAsia="Times New Roman" w:cs="Arial"/>
          <w:b/>
          <w:bCs/>
          <w:i/>
          <w:iCs/>
          <w:kern w:val="0"/>
          <w:sz w:val="20"/>
          <w:szCs w:val="20"/>
          <w:lang w:eastAsia="fr-FR"/>
          <w14:ligatures w14:val="none"/>
        </w:rPr>
        <w:t>Reduced Glutathione (GSH, µmol/g tissue)</w:t>
      </w:r>
    </w:p>
    <w:p w14:paraId="6F27ED01">
      <w:pPr>
        <w:spacing w:after="0" w:line="360" w:lineRule="auto"/>
        <w:jc w:val="both"/>
        <w:rPr>
          <w:rFonts w:ascii="Arial" w:hAnsi="Arial" w:eastAsia="Times New Roman" w:cs="Arial"/>
          <w:kern w:val="0"/>
          <w:sz w:val="20"/>
          <w:szCs w:val="20"/>
          <w:lang w:eastAsia="fr-FR"/>
          <w14:ligatures w14:val="none"/>
        </w:rPr>
      </w:pPr>
    </w:p>
    <w:p w14:paraId="53B17A2C">
      <w:pP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Table 4. Hepatic Reduced Glutathione (GSH) Concentrations</w:t>
      </w:r>
    </w:p>
    <w:tbl>
      <w:tblPr>
        <w:tblStyle w:val="44"/>
        <w:tblW w:w="7551"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9"/>
        <w:gridCol w:w="5482"/>
      </w:tblGrid>
      <w:tr w14:paraId="5044110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bottom w:val="single" w:color="7E7E7E" w:themeColor="text1" w:themeTint="80" w:sz="4" w:space="0"/>
              <w:insideH w:val="single" w:sz="4" w:space="0"/>
            </w:tcBorders>
          </w:tcPr>
          <w:p w14:paraId="5AA8CA57">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Group</w:t>
            </w:r>
          </w:p>
        </w:tc>
        <w:tc>
          <w:tcPr>
            <w:tcW w:w="0" w:type="auto"/>
            <w:tcBorders>
              <w:bottom w:val="single" w:color="7E7E7E" w:themeColor="text1" w:themeTint="80" w:sz="4" w:space="0"/>
              <w:insideH w:val="single" w:sz="4" w:space="0"/>
            </w:tcBorders>
          </w:tcPr>
          <w:p w14:paraId="18675C13">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Liver (µmol/g tissue)</w:t>
            </w:r>
          </w:p>
        </w:tc>
      </w:tr>
      <w:tr w14:paraId="0292F0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7E7E7E" w:themeColor="text1" w:themeTint="80" w:sz="4" w:space="0"/>
              <w:bottom w:val="single" w:color="7E7E7E" w:themeColor="text1" w:themeTint="80" w:sz="4" w:space="0"/>
              <w:insideH w:val="single" w:sz="4" w:space="0"/>
            </w:tcBorders>
          </w:tcPr>
          <w:p w14:paraId="5E4E285C">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TS</w:t>
            </w:r>
          </w:p>
        </w:tc>
        <w:tc>
          <w:tcPr>
            <w:tcW w:w="0" w:type="auto"/>
            <w:tcBorders>
              <w:top w:val="single" w:color="7E7E7E" w:themeColor="text1" w:themeTint="80" w:sz="4" w:space="0"/>
              <w:bottom w:val="single" w:color="7E7E7E" w:themeColor="text1" w:themeTint="80" w:sz="4" w:space="0"/>
              <w:insideH w:val="single" w:sz="4" w:space="0"/>
            </w:tcBorders>
          </w:tcPr>
          <w:p w14:paraId="776F440F">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8.2 ± 0.4</w:t>
            </w:r>
          </w:p>
        </w:tc>
      </w:tr>
      <w:tr w14:paraId="2E9B8D6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Pr>
          <w:p w14:paraId="5A15E55D">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ONT</w:t>
            </w:r>
          </w:p>
        </w:tc>
        <w:tc>
          <w:tcPr>
            <w:tcW w:w="0" w:type="auto"/>
          </w:tcPr>
          <w:p w14:paraId="150CFEE6">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5.1 ± 0.3**</w:t>
            </w:r>
          </w:p>
        </w:tc>
      </w:tr>
      <w:tr w14:paraId="1B176D9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495" w:hRule="atLeast"/>
        </w:trPr>
        <w:tc>
          <w:tcPr>
            <w:tcW w:w="0" w:type="auto"/>
            <w:tcBorders>
              <w:top w:val="single" w:color="7E7E7E" w:themeColor="text1" w:themeTint="80" w:sz="4" w:space="0"/>
              <w:bottom w:val="single" w:color="7E7E7E" w:themeColor="text1" w:themeTint="80" w:sz="4" w:space="0"/>
              <w:insideH w:val="single" w:sz="4" w:space="0"/>
            </w:tcBorders>
          </w:tcPr>
          <w:p w14:paraId="208D8091">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FU200</w:t>
            </w:r>
          </w:p>
        </w:tc>
        <w:tc>
          <w:tcPr>
            <w:tcW w:w="0" w:type="auto"/>
            <w:tcBorders>
              <w:top w:val="single" w:color="7E7E7E" w:themeColor="text1" w:themeTint="80" w:sz="4" w:space="0"/>
              <w:bottom w:val="single" w:color="7E7E7E" w:themeColor="text1" w:themeTint="80" w:sz="4" w:space="0"/>
              <w:insideH w:val="single" w:sz="4" w:space="0"/>
            </w:tcBorders>
          </w:tcPr>
          <w:p w14:paraId="6F89F8B7">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6.7 ± 0.4*</w:t>
            </w:r>
          </w:p>
        </w:tc>
      </w:tr>
      <w:tr w14:paraId="43FE769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Pr>
          <w:p w14:paraId="6CD4A727">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FU400</w:t>
            </w:r>
          </w:p>
        </w:tc>
        <w:tc>
          <w:tcPr>
            <w:tcW w:w="0" w:type="auto"/>
          </w:tcPr>
          <w:p w14:paraId="351D66D3">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7.8 ± 0.3**</w:t>
            </w:r>
          </w:p>
        </w:tc>
      </w:tr>
    </w:tbl>
    <w:p w14:paraId="1CE9A3CE">
      <w:pPr>
        <w:spacing w:before="100" w:beforeAutospacing="1" w:after="100" w:afterAutospacing="1" w:line="24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Note:</w:t>
      </w:r>
      <w:r>
        <w:rPr>
          <w:rFonts w:ascii="Arial" w:hAnsi="Arial" w:eastAsia="Times New Roman" w:cs="Arial"/>
          <w:kern w:val="0"/>
          <w:sz w:val="20"/>
          <w:szCs w:val="20"/>
          <w:lang w:eastAsia="fr-FR"/>
          <w14:ligatures w14:val="none"/>
        </w:rPr>
        <w:t xml:space="preserve"> *p &lt; 0.05; **p &lt; 0.01 vs TS</w:t>
      </w:r>
    </w:p>
    <w:p w14:paraId="68263527">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Analysis of hepatic concentrations of reduced glutathione (GSH) highlights a significant impairment of the antioxidant status in untreated obese rats (ONT) compared to healthy controls (TS). The TS group displayed high GSH levels, measured at 8.2 ± 0.4 µmol/g tissue, indicating a normal hepatic antioxidant capacity. In contrast, the ONT group exhibited a marked reduction in GSH levels, dropping to 5.1 ± 0.3 µmol/g (p &lt; 0.01 vs TS), reflecting increased GSH consumption due to high-fat diet-induced oxidative stress.</w:t>
      </w:r>
    </w:p>
    <w:p w14:paraId="1CD20751">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Administration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significantly mitigated this decline. In rats treated with 200 mg/kg (FU200), GSH levels increased to 6.7 ± 0.4 µmol/g (p &lt; 0.05 vs ONT), indicating a partial restoration of the antioxidant system. A more pronounced recovery was observed in the FU400 group, with GSH levels reaching 7.8 ± 0.3 µmol/g (p &lt; 0.01 vs ONT), close to the values found in non-obese rats.</w:t>
      </w:r>
    </w:p>
    <w:p w14:paraId="25C09831">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These results suggest that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particularly at the 400 mg/kg dose, promotes the restoration of hepatic glutathione, indicating an enhancement of the endogenous antioxidant defense system against obesity-associated oxidative stress.</w:t>
      </w:r>
    </w:p>
    <w:p w14:paraId="36057E54">
      <w:pPr>
        <w:spacing w:after="0" w:line="360" w:lineRule="auto"/>
        <w:jc w:val="both"/>
        <w:rPr>
          <w:rFonts w:ascii="Arial" w:hAnsi="Arial" w:eastAsia="Times New Roman" w:cs="Arial"/>
          <w:kern w:val="0"/>
          <w:sz w:val="20"/>
          <w:szCs w:val="20"/>
          <w:lang w:eastAsia="fr-FR"/>
          <w14:ligatures w14:val="none"/>
        </w:rPr>
      </w:pPr>
    </w:p>
    <w:p w14:paraId="63128F6E">
      <w:pPr>
        <w:pStyle w:val="35"/>
        <w:numPr>
          <w:ilvl w:val="3"/>
          <w:numId w:val="1"/>
        </w:numPr>
        <w:spacing w:after="0"/>
        <w:rPr>
          <w:rFonts w:ascii="Arial" w:hAnsi="Arial" w:eastAsia="Times New Roman" w:cs="Arial"/>
          <w:b/>
          <w:bCs/>
          <w:i/>
          <w:iCs/>
          <w:kern w:val="0"/>
          <w:sz w:val="20"/>
          <w:szCs w:val="20"/>
          <w:lang w:eastAsia="fr-FR"/>
          <w14:ligatures w14:val="none"/>
        </w:rPr>
      </w:pPr>
      <w:bookmarkStart w:id="3" w:name="_Hlk196954417"/>
      <w:r>
        <w:rPr>
          <w:rFonts w:ascii="Arial" w:hAnsi="Arial" w:eastAsia="Times New Roman" w:cs="Arial"/>
          <w:b/>
          <w:bCs/>
          <w:i/>
          <w:iCs/>
          <w:kern w:val="0"/>
          <w:sz w:val="20"/>
          <w:szCs w:val="20"/>
          <w:lang w:eastAsia="fr-FR"/>
          <w14:ligatures w14:val="none"/>
        </w:rPr>
        <w:t>Superoxide Dismutase (SOD, U/mg protein)</w:t>
      </w:r>
    </w:p>
    <w:p w14:paraId="08139333">
      <w:pPr>
        <w:spacing w:after="0" w:line="360" w:lineRule="auto"/>
        <w:jc w:val="both"/>
        <w:rPr>
          <w:rFonts w:ascii="Arial" w:hAnsi="Arial" w:eastAsia="Times New Roman" w:cs="Arial"/>
          <w:kern w:val="0"/>
          <w:sz w:val="20"/>
          <w:szCs w:val="20"/>
          <w:lang w:eastAsia="fr-FR"/>
          <w14:ligatures w14:val="none"/>
        </w:rPr>
      </w:pPr>
    </w:p>
    <w:p w14:paraId="493FC7B2">
      <w:pP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 xml:space="preserve"> Table 5. Hepatic Superoxide Dismutase (SOD) Activity</w:t>
      </w:r>
    </w:p>
    <w:tbl>
      <w:tblPr>
        <w:tblStyle w:val="44"/>
        <w:tblW w:w="7985"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3"/>
        <w:gridCol w:w="5762"/>
      </w:tblGrid>
      <w:tr w14:paraId="7E26495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bottom w:val="single" w:color="7E7E7E" w:themeColor="text1" w:themeTint="80" w:sz="4" w:space="0"/>
              <w:insideH w:val="single" w:sz="4" w:space="0"/>
            </w:tcBorders>
          </w:tcPr>
          <w:p w14:paraId="2EDCCF55">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Group</w:t>
            </w:r>
          </w:p>
        </w:tc>
        <w:tc>
          <w:tcPr>
            <w:tcW w:w="0" w:type="auto"/>
            <w:tcBorders>
              <w:bottom w:val="single" w:color="7E7E7E" w:themeColor="text1" w:themeTint="80" w:sz="4" w:space="0"/>
              <w:insideH w:val="single" w:sz="4" w:space="0"/>
            </w:tcBorders>
          </w:tcPr>
          <w:p w14:paraId="680AB749">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Liver (U/mg protein)</w:t>
            </w:r>
          </w:p>
        </w:tc>
      </w:tr>
      <w:tr w14:paraId="5CBFF10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7E7E7E" w:themeColor="text1" w:themeTint="80" w:sz="4" w:space="0"/>
              <w:bottom w:val="single" w:color="7E7E7E" w:themeColor="text1" w:themeTint="80" w:sz="4" w:space="0"/>
              <w:insideH w:val="single" w:sz="4" w:space="0"/>
            </w:tcBorders>
          </w:tcPr>
          <w:p w14:paraId="1DD8053E">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TS</w:t>
            </w:r>
          </w:p>
        </w:tc>
        <w:tc>
          <w:tcPr>
            <w:tcW w:w="0" w:type="auto"/>
            <w:tcBorders>
              <w:top w:val="single" w:color="7E7E7E" w:themeColor="text1" w:themeTint="80" w:sz="4" w:space="0"/>
              <w:bottom w:val="single" w:color="7E7E7E" w:themeColor="text1" w:themeTint="80" w:sz="4" w:space="0"/>
              <w:insideH w:val="single" w:sz="4" w:space="0"/>
            </w:tcBorders>
          </w:tcPr>
          <w:p w14:paraId="034DDA64">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32.4 ± 2.1</w:t>
            </w:r>
          </w:p>
        </w:tc>
      </w:tr>
      <w:tr w14:paraId="7415A61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Pr>
          <w:p w14:paraId="4A8DF342">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ONT</w:t>
            </w:r>
          </w:p>
        </w:tc>
        <w:tc>
          <w:tcPr>
            <w:tcW w:w="0" w:type="auto"/>
          </w:tcPr>
          <w:p w14:paraId="42B9FC6C">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20.3 ± 1.8**</w:t>
            </w:r>
          </w:p>
        </w:tc>
      </w:tr>
      <w:tr w14:paraId="2666FAF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7E7E7E" w:themeColor="text1" w:themeTint="80" w:sz="4" w:space="0"/>
              <w:bottom w:val="single" w:color="7E7E7E" w:themeColor="text1" w:themeTint="80" w:sz="4" w:space="0"/>
              <w:insideH w:val="single" w:sz="4" w:space="0"/>
            </w:tcBorders>
          </w:tcPr>
          <w:p w14:paraId="7D914E37">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FU200</w:t>
            </w:r>
          </w:p>
        </w:tc>
        <w:tc>
          <w:tcPr>
            <w:tcW w:w="0" w:type="auto"/>
            <w:tcBorders>
              <w:top w:val="single" w:color="7E7E7E" w:themeColor="text1" w:themeTint="80" w:sz="4" w:space="0"/>
              <w:bottom w:val="single" w:color="7E7E7E" w:themeColor="text1" w:themeTint="80" w:sz="4" w:space="0"/>
              <w:insideH w:val="single" w:sz="4" w:space="0"/>
            </w:tcBorders>
          </w:tcPr>
          <w:p w14:paraId="4A72850C">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26.8 ± 2.0*</w:t>
            </w:r>
          </w:p>
        </w:tc>
      </w:tr>
      <w:tr w14:paraId="4F4091B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Pr>
          <w:p w14:paraId="57B5EABB">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FU400</w:t>
            </w:r>
          </w:p>
        </w:tc>
        <w:tc>
          <w:tcPr>
            <w:tcW w:w="0" w:type="auto"/>
          </w:tcPr>
          <w:p w14:paraId="78FAF972">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30.5 ± 1.7**</w:t>
            </w:r>
          </w:p>
        </w:tc>
      </w:tr>
    </w:tbl>
    <w:p w14:paraId="401C93DD">
      <w:pPr>
        <w:spacing w:before="100" w:beforeAutospacing="1" w:after="100" w:afterAutospacing="1" w:line="24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Note:</w:t>
      </w:r>
      <w:r>
        <w:rPr>
          <w:rFonts w:ascii="Arial" w:hAnsi="Arial" w:eastAsia="Times New Roman" w:cs="Arial"/>
          <w:kern w:val="0"/>
          <w:sz w:val="20"/>
          <w:szCs w:val="20"/>
          <w:lang w:eastAsia="fr-FR"/>
          <w14:ligatures w14:val="none"/>
        </w:rPr>
        <w:t xml:space="preserve"> *p &lt; 0.05; **p &lt; 0.01 vs TS</w:t>
      </w:r>
    </w:p>
    <w:p w14:paraId="173A7ECF">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The activity of superoxide dismutase (SOD), a key enzyme in the first line of defense against reactive oxygen species (ROS), was significantly impaired by the high-fat diet. In healthy control rats (TS), hepatic SOD activity was measured at 32.4 ± 2.1 U/mg protein, indicating normal function of the enzymatic antioxidant system. In contrast, untreated obese rats (ONT) showed a marked reduction in this activity, with values dropping to 20.3 ± 1.8 U/mg (p &lt; 0.01 vs TS), reflecting oxidative overload and impaired antioxidant defenses.</w:t>
      </w:r>
    </w:p>
    <w:p w14:paraId="67892DA4">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Treatment with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led to a dose-dependent restoration of SOD activity. In the group treated with 200 mg/kg (FU200), SOD activity significantly increased to 26.8 ± 2.0 U/mg (p &lt; 0.05 vs ONT), indicating a partial protective effect against hepatic oxidative stress. The effect was more pronounced in the FU400 group, where enzymatic activity rose to 30.5 ± 1.7 U/mg (p &lt; 0.01 vs ONT), approaching the levels observed in non-obese control animals. These findings suggest that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particularly at high doses, possesses notable antioxidant properties capable of restoring enzymatic activities disrupted by obesity, thereby contributing to liver protection against oxidative damage.</w:t>
      </w:r>
    </w:p>
    <w:p w14:paraId="4044EB00">
      <w:pPr>
        <w:spacing w:after="0" w:line="360" w:lineRule="auto"/>
        <w:jc w:val="both"/>
        <w:rPr>
          <w:rFonts w:ascii="Arial" w:hAnsi="Arial" w:eastAsia="Times New Roman" w:cs="Arial"/>
          <w:kern w:val="0"/>
          <w:sz w:val="20"/>
          <w:szCs w:val="20"/>
          <w:lang w:eastAsia="fr-FR"/>
          <w14:ligatures w14:val="none"/>
        </w:rPr>
      </w:pPr>
    </w:p>
    <w:p w14:paraId="67289D04">
      <w:pPr>
        <w:pStyle w:val="35"/>
        <w:numPr>
          <w:ilvl w:val="3"/>
          <w:numId w:val="1"/>
        </w:numPr>
        <w:spacing w:after="0" w:line="360" w:lineRule="auto"/>
        <w:rPr>
          <w:rFonts w:ascii="Arial" w:hAnsi="Arial" w:eastAsia="Times New Roman" w:cs="Arial"/>
          <w:b/>
          <w:bCs/>
          <w:i/>
          <w:iCs/>
          <w:kern w:val="0"/>
          <w:sz w:val="20"/>
          <w:szCs w:val="20"/>
          <w:lang w:eastAsia="fr-FR"/>
          <w14:ligatures w14:val="none"/>
        </w:rPr>
      </w:pPr>
      <w:r>
        <w:rPr>
          <w:rFonts w:ascii="Arial" w:hAnsi="Arial" w:eastAsia="Times New Roman" w:cs="Arial"/>
          <w:b/>
          <w:bCs/>
          <w:i/>
          <w:iCs/>
          <w:kern w:val="0"/>
          <w:sz w:val="20"/>
          <w:szCs w:val="20"/>
          <w:lang w:eastAsia="fr-FR"/>
          <w14:ligatures w14:val="none"/>
        </w:rPr>
        <w:t>Catalase</w:t>
      </w:r>
      <w:bookmarkEnd w:id="3"/>
      <w:r>
        <w:rPr>
          <w:rFonts w:ascii="Arial" w:hAnsi="Arial" w:eastAsia="Times New Roman" w:cs="Arial"/>
          <w:b/>
          <w:bCs/>
          <w:i/>
          <w:iCs/>
          <w:kern w:val="0"/>
          <w:sz w:val="20"/>
          <w:szCs w:val="20"/>
          <w:lang w:eastAsia="fr-FR"/>
          <w14:ligatures w14:val="none"/>
        </w:rPr>
        <w:t xml:space="preserve"> (CAT, µmol H</w:t>
      </w:r>
      <w:r>
        <w:rPr>
          <w:rFonts w:ascii="Cambria Math" w:hAnsi="Cambria Math" w:eastAsia="Times New Roman" w:cs="Cambria Math"/>
          <w:b/>
          <w:bCs/>
          <w:i/>
          <w:iCs/>
          <w:kern w:val="0"/>
          <w:sz w:val="20"/>
          <w:szCs w:val="20"/>
          <w:lang w:eastAsia="fr-FR"/>
          <w14:ligatures w14:val="none"/>
        </w:rPr>
        <w:t>₂</w:t>
      </w:r>
      <w:r>
        <w:rPr>
          <w:rFonts w:ascii="Arial" w:hAnsi="Arial" w:eastAsia="Times New Roman" w:cs="Arial"/>
          <w:b/>
          <w:bCs/>
          <w:i/>
          <w:iCs/>
          <w:kern w:val="0"/>
          <w:sz w:val="20"/>
          <w:szCs w:val="20"/>
          <w:lang w:eastAsia="fr-FR"/>
          <w14:ligatures w14:val="none"/>
        </w:rPr>
        <w:t>O</w:t>
      </w:r>
      <w:r>
        <w:rPr>
          <w:rFonts w:ascii="Cambria Math" w:hAnsi="Cambria Math" w:eastAsia="Times New Roman" w:cs="Cambria Math"/>
          <w:b/>
          <w:bCs/>
          <w:i/>
          <w:iCs/>
          <w:kern w:val="0"/>
          <w:sz w:val="20"/>
          <w:szCs w:val="20"/>
          <w:lang w:eastAsia="fr-FR"/>
          <w14:ligatures w14:val="none"/>
        </w:rPr>
        <w:t>₂</w:t>
      </w:r>
      <w:r>
        <w:rPr>
          <w:rFonts w:ascii="Arial" w:hAnsi="Arial" w:eastAsia="Times New Roman" w:cs="Arial"/>
          <w:b/>
          <w:bCs/>
          <w:i/>
          <w:iCs/>
          <w:kern w:val="0"/>
          <w:sz w:val="20"/>
          <w:szCs w:val="20"/>
          <w:lang w:eastAsia="fr-FR"/>
          <w14:ligatures w14:val="none"/>
        </w:rPr>
        <w:t>/min/mg)</w:t>
      </w:r>
    </w:p>
    <w:p w14:paraId="2140CDB4">
      <w:pPr>
        <w:spacing w:after="0" w:line="360" w:lineRule="auto"/>
        <w:rPr>
          <w:rFonts w:ascii="Arial" w:hAnsi="Arial" w:eastAsia="Times New Roman" w:cs="Arial"/>
          <w:b/>
          <w:bCs/>
          <w:kern w:val="0"/>
          <w:sz w:val="20"/>
          <w:szCs w:val="20"/>
          <w:lang w:eastAsia="fr-FR"/>
          <w14:ligatures w14:val="none"/>
        </w:rPr>
      </w:pPr>
    </w:p>
    <w:p w14:paraId="15D268CF">
      <w:pPr>
        <w:spacing w:after="0" w:line="360" w:lineRule="auto"/>
        <w:rPr>
          <w:rFonts w:ascii="Arial" w:hAnsi="Arial" w:eastAsia="Times New Roman" w:cs="Arial"/>
          <w:kern w:val="0"/>
          <w:sz w:val="20"/>
          <w:szCs w:val="20"/>
          <w:lang w:eastAsia="fr-FR"/>
          <w14:ligatures w14:val="none"/>
        </w:rPr>
      </w:pPr>
      <w:commentRangeStart w:id="14"/>
      <w:r>
        <w:rPr>
          <w:rFonts w:ascii="Arial" w:hAnsi="Arial" w:eastAsia="Times New Roman" w:cs="Arial"/>
          <w:b/>
          <w:bCs/>
          <w:kern w:val="0"/>
          <w:sz w:val="20"/>
          <w:szCs w:val="20"/>
          <w:lang w:eastAsia="fr-FR"/>
          <w14:ligatures w14:val="none"/>
        </w:rPr>
        <w:t xml:space="preserve">Tableau 6. </w:t>
      </w:r>
      <w:r>
        <w:rPr>
          <w:rFonts w:ascii="Arial" w:hAnsi="Arial" w:eastAsia="Times New Roman" w:cs="Arial"/>
          <w:kern w:val="0"/>
          <w:sz w:val="20"/>
          <w:szCs w:val="20"/>
          <w:lang w:eastAsia="fr-FR"/>
          <w14:ligatures w14:val="none"/>
        </w:rPr>
        <w:t xml:space="preserve">Activité de la catalase </w:t>
      </w:r>
      <w:commentRangeEnd w:id="14"/>
      <w:r>
        <w:commentReference w:id="14"/>
      </w:r>
      <w:r>
        <w:rPr>
          <w:rFonts w:ascii="Arial" w:hAnsi="Arial" w:eastAsia="Times New Roman" w:cs="Arial"/>
          <w:kern w:val="0"/>
          <w:sz w:val="20"/>
          <w:szCs w:val="20"/>
          <w:lang w:eastAsia="fr-FR"/>
          <w14:ligatures w14:val="none"/>
        </w:rPr>
        <w:t>(CAT),</w:t>
      </w:r>
    </w:p>
    <w:tbl>
      <w:tblPr>
        <w:tblStyle w:val="44"/>
        <w:tblW w:w="8412"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8"/>
        <w:gridCol w:w="4844"/>
      </w:tblGrid>
      <w:tr w14:paraId="37F56C9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bottom w:val="single" w:color="7E7E7E" w:themeColor="text1" w:themeTint="80" w:sz="4" w:space="0"/>
              <w:insideH w:val="single" w:sz="4" w:space="0"/>
            </w:tcBorders>
          </w:tcPr>
          <w:p w14:paraId="1C1C9519">
            <w:pPr>
              <w:spacing w:after="0" w:line="36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Groupe</w:t>
            </w:r>
          </w:p>
        </w:tc>
        <w:tc>
          <w:tcPr>
            <w:tcW w:w="0" w:type="auto"/>
            <w:tcBorders>
              <w:bottom w:val="single" w:color="7E7E7E" w:themeColor="text1" w:themeTint="80" w:sz="4" w:space="0"/>
              <w:insideH w:val="single" w:sz="4" w:space="0"/>
            </w:tcBorders>
          </w:tcPr>
          <w:p w14:paraId="0F90901D">
            <w:pPr>
              <w:spacing w:after="0" w:line="360" w:lineRule="auto"/>
              <w:jc w:val="center"/>
              <w:rPr>
                <w:rFonts w:ascii="Arial" w:hAnsi="Arial" w:eastAsia="Times New Roman" w:cs="Arial"/>
                <w:b w:val="0"/>
                <w:bCs w:val="0"/>
                <w:kern w:val="0"/>
                <w:sz w:val="20"/>
                <w:szCs w:val="20"/>
                <w:highlight w:val="yellow"/>
                <w:lang w:eastAsia="fr-FR"/>
                <w14:ligatures w14:val="none"/>
              </w:rPr>
            </w:pPr>
            <w:r>
              <w:rPr>
                <w:rFonts w:ascii="Arial" w:hAnsi="Arial" w:eastAsia="Times New Roman" w:cs="Arial"/>
                <w:b/>
                <w:bCs/>
                <w:kern w:val="0"/>
                <w:sz w:val="20"/>
                <w:szCs w:val="20"/>
                <w:highlight w:val="yellow"/>
                <w:lang w:eastAsia="fr-FR"/>
                <w14:ligatures w14:val="none"/>
              </w:rPr>
              <w:t>Foie</w:t>
            </w:r>
          </w:p>
        </w:tc>
      </w:tr>
      <w:tr w14:paraId="71349C7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single" w:color="7E7E7E" w:themeColor="text1" w:themeTint="80" w:sz="4" w:space="0"/>
              <w:bottom w:val="single" w:color="7E7E7E" w:themeColor="text1" w:themeTint="80" w:sz="4" w:space="0"/>
              <w:insideH w:val="single" w:sz="4" w:space="0"/>
            </w:tcBorders>
          </w:tcPr>
          <w:p w14:paraId="5D52F42E">
            <w:pPr>
              <w:spacing w:after="0" w:line="36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TS</w:t>
            </w:r>
          </w:p>
        </w:tc>
        <w:tc>
          <w:tcPr>
            <w:tcW w:w="0" w:type="auto"/>
            <w:tcBorders>
              <w:top w:val="single" w:color="7E7E7E" w:themeColor="text1" w:themeTint="80" w:sz="4" w:space="0"/>
              <w:bottom w:val="single" w:color="7E7E7E" w:themeColor="text1" w:themeTint="80" w:sz="4" w:space="0"/>
              <w:insideH w:val="single" w:sz="4" w:space="0"/>
            </w:tcBorders>
          </w:tcPr>
          <w:p w14:paraId="526E6C11">
            <w:pPr>
              <w:spacing w:after="0" w:line="360" w:lineRule="auto"/>
              <w:jc w:val="center"/>
              <w:rPr>
                <w:rFonts w:ascii="Arial" w:hAnsi="Arial" w:eastAsia="Times New Roman" w:cs="Arial"/>
                <w:kern w:val="0"/>
                <w:sz w:val="20"/>
                <w:szCs w:val="20"/>
                <w:highlight w:val="yellow"/>
                <w:lang w:eastAsia="fr-FR"/>
                <w14:ligatures w14:val="none"/>
              </w:rPr>
            </w:pPr>
            <w:r>
              <w:rPr>
                <w:rFonts w:ascii="Arial" w:hAnsi="Arial" w:eastAsia="Times New Roman" w:cs="Arial"/>
                <w:kern w:val="0"/>
                <w:sz w:val="20"/>
                <w:szCs w:val="20"/>
                <w:highlight w:val="yellow"/>
                <w:lang w:eastAsia="fr-FR"/>
                <w14:ligatures w14:val="none"/>
              </w:rPr>
              <w:t>55</w:t>
            </w:r>
            <w:commentRangeStart w:id="15"/>
            <w:r>
              <w:rPr>
                <w:rFonts w:ascii="Arial" w:hAnsi="Arial" w:eastAsia="Times New Roman" w:cs="Arial"/>
                <w:kern w:val="0"/>
                <w:sz w:val="20"/>
                <w:szCs w:val="20"/>
                <w:highlight w:val="yellow"/>
                <w:lang w:eastAsia="fr-FR"/>
                <w14:ligatures w14:val="none"/>
              </w:rPr>
              <w:t>,</w:t>
            </w:r>
            <w:commentRangeEnd w:id="15"/>
            <w:r>
              <w:rPr>
                <w:highlight w:val="yellow"/>
              </w:rPr>
              <w:commentReference w:id="15"/>
            </w:r>
            <w:r>
              <w:rPr>
                <w:rFonts w:ascii="Arial" w:hAnsi="Arial" w:eastAsia="Times New Roman" w:cs="Arial"/>
                <w:kern w:val="0"/>
                <w:sz w:val="20"/>
                <w:szCs w:val="20"/>
                <w:highlight w:val="yellow"/>
                <w:lang w:eastAsia="fr-FR"/>
                <w14:ligatures w14:val="none"/>
              </w:rPr>
              <w:t>3 ± 3,2</w:t>
            </w:r>
          </w:p>
        </w:tc>
      </w:tr>
      <w:tr w14:paraId="700456A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Pr>
          <w:p w14:paraId="0A638EB3">
            <w:pPr>
              <w:spacing w:after="0" w:line="36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ONT</w:t>
            </w:r>
          </w:p>
        </w:tc>
        <w:tc>
          <w:tcPr>
            <w:tcW w:w="0" w:type="auto"/>
          </w:tcPr>
          <w:p w14:paraId="28661A1B">
            <w:pPr>
              <w:spacing w:after="0" w:line="360" w:lineRule="auto"/>
              <w:jc w:val="center"/>
              <w:rPr>
                <w:rFonts w:ascii="Arial" w:hAnsi="Arial" w:eastAsia="Times New Roman" w:cs="Arial"/>
                <w:kern w:val="0"/>
                <w:sz w:val="20"/>
                <w:szCs w:val="20"/>
                <w:highlight w:val="yellow"/>
                <w:lang w:eastAsia="fr-FR"/>
                <w14:ligatures w14:val="none"/>
              </w:rPr>
            </w:pPr>
            <w:r>
              <w:rPr>
                <w:rFonts w:ascii="Arial" w:hAnsi="Arial" w:eastAsia="Times New Roman" w:cs="Arial"/>
                <w:kern w:val="0"/>
                <w:sz w:val="20"/>
                <w:szCs w:val="20"/>
                <w:highlight w:val="yellow"/>
                <w:lang w:eastAsia="fr-FR"/>
                <w14:ligatures w14:val="none"/>
              </w:rPr>
              <w:t>39,6 ± 2,7**</w:t>
            </w:r>
          </w:p>
        </w:tc>
      </w:tr>
      <w:tr w14:paraId="45B16F2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Borders>
              <w:top w:val="single" w:color="7E7E7E" w:themeColor="text1" w:themeTint="80" w:sz="4" w:space="0"/>
              <w:bottom w:val="single" w:color="7E7E7E" w:themeColor="text1" w:themeTint="80" w:sz="4" w:space="0"/>
              <w:insideH w:val="single" w:sz="4" w:space="0"/>
            </w:tcBorders>
          </w:tcPr>
          <w:p w14:paraId="717DEEA8">
            <w:pPr>
              <w:spacing w:after="0" w:line="36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FU200</w:t>
            </w:r>
          </w:p>
        </w:tc>
        <w:tc>
          <w:tcPr>
            <w:tcW w:w="0" w:type="auto"/>
            <w:tcBorders>
              <w:top w:val="single" w:color="7E7E7E" w:themeColor="text1" w:themeTint="80" w:sz="4" w:space="0"/>
              <w:bottom w:val="single" w:color="7E7E7E" w:themeColor="text1" w:themeTint="80" w:sz="4" w:space="0"/>
              <w:insideH w:val="single" w:sz="4" w:space="0"/>
            </w:tcBorders>
          </w:tcPr>
          <w:p w14:paraId="07398BB6">
            <w:pPr>
              <w:spacing w:after="0" w:line="360" w:lineRule="auto"/>
              <w:jc w:val="center"/>
              <w:rPr>
                <w:rFonts w:ascii="Arial" w:hAnsi="Arial" w:eastAsia="Times New Roman" w:cs="Arial"/>
                <w:kern w:val="0"/>
                <w:sz w:val="20"/>
                <w:szCs w:val="20"/>
                <w:highlight w:val="yellow"/>
                <w:lang w:eastAsia="fr-FR"/>
                <w14:ligatures w14:val="none"/>
              </w:rPr>
            </w:pPr>
            <w:r>
              <w:rPr>
                <w:rFonts w:ascii="Arial" w:hAnsi="Arial" w:eastAsia="Times New Roman" w:cs="Arial"/>
                <w:kern w:val="0"/>
                <w:sz w:val="20"/>
                <w:szCs w:val="20"/>
                <w:highlight w:val="yellow"/>
                <w:lang w:eastAsia="fr-FR"/>
                <w14:ligatures w14:val="none"/>
              </w:rPr>
              <w:t>47,8 ± 3,1*</w:t>
            </w:r>
          </w:p>
        </w:tc>
      </w:tr>
      <w:tr w14:paraId="3E93DD0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tcPr>
          <w:p w14:paraId="43020130">
            <w:pPr>
              <w:spacing w:after="0" w:line="36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FU400</w:t>
            </w:r>
          </w:p>
        </w:tc>
        <w:tc>
          <w:tcPr>
            <w:tcW w:w="0" w:type="auto"/>
          </w:tcPr>
          <w:p w14:paraId="3EF455FF">
            <w:pPr>
              <w:spacing w:after="0" w:line="360" w:lineRule="auto"/>
              <w:jc w:val="center"/>
              <w:rPr>
                <w:rFonts w:ascii="Arial" w:hAnsi="Arial" w:eastAsia="Times New Roman" w:cs="Arial"/>
                <w:kern w:val="0"/>
                <w:sz w:val="20"/>
                <w:szCs w:val="20"/>
                <w:highlight w:val="yellow"/>
                <w:lang w:eastAsia="fr-FR"/>
                <w14:ligatures w14:val="none"/>
              </w:rPr>
            </w:pPr>
            <w:r>
              <w:rPr>
                <w:rFonts w:ascii="Arial" w:hAnsi="Arial" w:eastAsia="Times New Roman" w:cs="Arial"/>
                <w:kern w:val="0"/>
                <w:sz w:val="20"/>
                <w:szCs w:val="20"/>
                <w:highlight w:val="yellow"/>
                <w:lang w:eastAsia="fr-FR"/>
                <w14:ligatures w14:val="none"/>
              </w:rPr>
              <w:t>53,1 ± 2,9**</w:t>
            </w:r>
          </w:p>
        </w:tc>
      </w:tr>
    </w:tbl>
    <w:p w14:paraId="6F7E652C">
      <w:pPr>
        <w:spacing w:before="100" w:beforeAutospacing="1" w:after="0" w:line="360" w:lineRule="auto"/>
        <w:jc w:val="both"/>
        <w:rPr>
          <w:rFonts w:ascii="Arial" w:hAnsi="Arial" w:eastAsia="Times New Roman" w:cs="Arial"/>
          <w:i/>
          <w:iCs/>
          <w:kern w:val="0"/>
          <w:sz w:val="20"/>
          <w:szCs w:val="20"/>
          <w:lang w:eastAsia="fr-FR"/>
          <w14:ligatures w14:val="none"/>
        </w:rPr>
      </w:pPr>
      <w:r>
        <w:rPr>
          <w:rFonts w:ascii="Arial" w:hAnsi="Arial" w:eastAsia="Times New Roman" w:cs="Arial"/>
          <w:i/>
          <w:iCs/>
          <w:kern w:val="0"/>
          <w:sz w:val="20"/>
          <w:szCs w:val="20"/>
          <w:lang w:eastAsia="fr-FR"/>
          <w14:ligatures w14:val="none"/>
        </w:rPr>
        <w:t>Note :</w:t>
      </w:r>
      <w:r>
        <w:rPr>
          <w:rFonts w:ascii="Arial" w:hAnsi="Arial" w:eastAsia="Times New Roman" w:cs="Arial"/>
          <w:kern w:val="0"/>
          <w:sz w:val="20"/>
          <w:szCs w:val="20"/>
          <w:lang w:eastAsia="fr-FR"/>
          <w14:ligatures w14:val="none"/>
        </w:rPr>
        <w:t xml:space="preserve"> *p &lt; 0,05 ; **</w:t>
      </w:r>
      <w:r>
        <w:rPr>
          <w:rFonts w:ascii="Arial" w:hAnsi="Arial" w:eastAsia="Times New Roman" w:cs="Arial"/>
          <w:i/>
          <w:iCs/>
          <w:kern w:val="0"/>
          <w:sz w:val="20"/>
          <w:szCs w:val="20"/>
          <w:lang w:eastAsia="fr-FR"/>
          <w14:ligatures w14:val="none"/>
        </w:rPr>
        <w:t>p &lt; 0,01 vs TS</w:t>
      </w:r>
    </w:p>
    <w:p w14:paraId="3DC33C4E">
      <w:pPr>
        <w:spacing w:after="0" w:line="360" w:lineRule="auto"/>
        <w:jc w:val="both"/>
        <w:rPr>
          <w:rFonts w:ascii="Arial" w:hAnsi="Arial" w:eastAsia="Times New Roman" w:cs="Arial"/>
          <w:kern w:val="0"/>
          <w:sz w:val="20"/>
          <w:szCs w:val="20"/>
          <w:highlight w:val="yellow"/>
          <w:lang w:eastAsia="fr-FR"/>
          <w14:ligatures w14:val="none"/>
        </w:rPr>
      </w:pPr>
      <w:commentRangeStart w:id="16"/>
      <w:r>
        <w:rPr>
          <w:rFonts w:ascii="Arial" w:hAnsi="Arial" w:eastAsia="Times New Roman" w:cs="Arial"/>
          <w:kern w:val="0"/>
          <w:sz w:val="20"/>
          <w:szCs w:val="20"/>
          <w:highlight w:val="yellow"/>
          <w:lang w:eastAsia="fr-FR"/>
          <w14:ligatures w14:val="none"/>
        </w:rPr>
        <w:t>L’</w:t>
      </w:r>
      <w:bookmarkStart w:id="4" w:name="_Hlk196954451"/>
      <w:r>
        <w:rPr>
          <w:rFonts w:ascii="Arial" w:hAnsi="Arial" w:eastAsia="Times New Roman" w:cs="Arial"/>
          <w:kern w:val="0"/>
          <w:sz w:val="20"/>
          <w:szCs w:val="20"/>
          <w:highlight w:val="yellow"/>
          <w:lang w:eastAsia="fr-FR"/>
          <w14:ligatures w14:val="none"/>
        </w:rPr>
        <w:t xml:space="preserve">activité de la catalase (CAT), </w:t>
      </w:r>
      <w:bookmarkEnd w:id="4"/>
      <w:r>
        <w:rPr>
          <w:rFonts w:ascii="Arial" w:hAnsi="Arial" w:eastAsia="Times New Roman" w:cs="Arial"/>
          <w:kern w:val="0"/>
          <w:sz w:val="20"/>
          <w:szCs w:val="20"/>
          <w:highlight w:val="yellow"/>
          <w:lang w:eastAsia="fr-FR"/>
          <w14:ligatures w14:val="none"/>
        </w:rPr>
        <w:t>une enzyme antioxydante essentielle dans la dégradation du peroxyde d’hydrogène (H</w:t>
      </w:r>
      <w:r>
        <w:rPr>
          <w:rFonts w:ascii="Cambria Math" w:hAnsi="Cambria Math" w:eastAsia="Times New Roman" w:cs="Cambria Math"/>
          <w:kern w:val="0"/>
          <w:sz w:val="20"/>
          <w:szCs w:val="20"/>
          <w:highlight w:val="yellow"/>
          <w:lang w:eastAsia="fr-FR"/>
          <w14:ligatures w14:val="none"/>
        </w:rPr>
        <w:t>₂</w:t>
      </w:r>
      <w:r>
        <w:rPr>
          <w:rFonts w:ascii="Arial" w:hAnsi="Arial" w:eastAsia="Times New Roman" w:cs="Arial"/>
          <w:kern w:val="0"/>
          <w:sz w:val="20"/>
          <w:szCs w:val="20"/>
          <w:highlight w:val="yellow"/>
          <w:lang w:eastAsia="fr-FR"/>
          <w14:ligatures w14:val="none"/>
        </w:rPr>
        <w:t>O</w:t>
      </w:r>
      <w:r>
        <w:rPr>
          <w:rFonts w:ascii="Cambria Math" w:hAnsi="Cambria Math" w:eastAsia="Times New Roman" w:cs="Cambria Math"/>
          <w:kern w:val="0"/>
          <w:sz w:val="20"/>
          <w:szCs w:val="20"/>
          <w:highlight w:val="yellow"/>
          <w:lang w:eastAsia="fr-FR"/>
          <w14:ligatures w14:val="none"/>
        </w:rPr>
        <w:t>₂</w:t>
      </w:r>
      <w:r>
        <w:rPr>
          <w:rFonts w:ascii="Arial" w:hAnsi="Arial" w:eastAsia="Times New Roman" w:cs="Arial"/>
          <w:kern w:val="0"/>
          <w:sz w:val="20"/>
          <w:szCs w:val="20"/>
          <w:highlight w:val="yellow"/>
          <w:lang w:eastAsia="fr-FR"/>
          <w14:ligatures w14:val="none"/>
        </w:rPr>
        <w:t>), a montré des variations significatives selon les groupes expérimentaux. Chez les rats témoins sains (TS), l’activité hépatique de la catalase est de 55,3 ± 3,2 µmol H</w:t>
      </w:r>
      <w:r>
        <w:rPr>
          <w:rFonts w:ascii="Cambria Math" w:hAnsi="Cambria Math" w:eastAsia="Times New Roman" w:cs="Cambria Math"/>
          <w:kern w:val="0"/>
          <w:sz w:val="20"/>
          <w:szCs w:val="20"/>
          <w:highlight w:val="yellow"/>
          <w:lang w:eastAsia="fr-FR"/>
          <w14:ligatures w14:val="none"/>
        </w:rPr>
        <w:t>₂</w:t>
      </w:r>
      <w:r>
        <w:rPr>
          <w:rFonts w:ascii="Arial" w:hAnsi="Arial" w:eastAsia="Times New Roman" w:cs="Arial"/>
          <w:kern w:val="0"/>
          <w:sz w:val="20"/>
          <w:szCs w:val="20"/>
          <w:highlight w:val="yellow"/>
          <w:lang w:eastAsia="fr-FR"/>
          <w14:ligatures w14:val="none"/>
        </w:rPr>
        <w:t>O</w:t>
      </w:r>
      <w:r>
        <w:rPr>
          <w:rFonts w:ascii="Cambria Math" w:hAnsi="Cambria Math" w:eastAsia="Times New Roman" w:cs="Cambria Math"/>
          <w:kern w:val="0"/>
          <w:sz w:val="20"/>
          <w:szCs w:val="20"/>
          <w:highlight w:val="yellow"/>
          <w:lang w:eastAsia="fr-FR"/>
          <w14:ligatures w14:val="none"/>
        </w:rPr>
        <w:t>₂</w:t>
      </w:r>
      <w:r>
        <w:rPr>
          <w:rFonts w:ascii="Arial" w:hAnsi="Arial" w:eastAsia="Times New Roman" w:cs="Arial"/>
          <w:kern w:val="0"/>
          <w:sz w:val="20"/>
          <w:szCs w:val="20"/>
          <w:highlight w:val="yellow"/>
          <w:lang w:eastAsia="fr-FR"/>
          <w14:ligatures w14:val="none"/>
        </w:rPr>
        <w:t>/min/mg de protéines, témoignant d’une bonne capacité de détoxification des espèces réactives de l’oxygène. En revanche, les rats obèses non traités (ONT), nourris avec un régime hyperlipidique, présentent une réduction significative de cette activité, atteignant 39,6 ± 2,7 (p &lt; 0,01 vs TS). Cette diminution indique un stress oxydatif marqué et un affaiblissement du système de défense enzymatique.</w:t>
      </w:r>
    </w:p>
    <w:p w14:paraId="05ED4BD7">
      <w:pPr>
        <w:spacing w:after="0" w:line="360" w:lineRule="auto"/>
        <w:jc w:val="both"/>
        <w:rPr>
          <w:rFonts w:ascii="Arial" w:hAnsi="Arial" w:eastAsia="Times New Roman" w:cs="Arial"/>
          <w:kern w:val="0"/>
          <w:sz w:val="20"/>
          <w:szCs w:val="20"/>
          <w:highlight w:val="yellow"/>
          <w:lang w:eastAsia="fr-FR"/>
          <w14:ligatures w14:val="none"/>
        </w:rPr>
      </w:pPr>
      <w:r>
        <w:rPr>
          <w:rFonts w:ascii="Arial" w:hAnsi="Arial" w:eastAsia="Times New Roman" w:cs="Arial"/>
          <w:kern w:val="0"/>
          <w:sz w:val="20"/>
          <w:szCs w:val="20"/>
          <w:highlight w:val="yellow"/>
          <w:lang w:eastAsia="fr-FR"/>
          <w14:ligatures w14:val="none"/>
        </w:rPr>
        <w:t>L’administration de l’extrait de Ficus umbellata a permis une amélioration de l’activité catalasique, proportionnelle à la dose administrée. Les rats du groupe FU200 (200 mg/kg) montrent une élévation de l’activité de la catalase à 47,8 ± 3,1 (p &lt; 0,05 vs ONT), tandis que ceux du groupe FU400 (400 mg/kg) présentent une activité proche de la normale, à 53,1 ± 2,9 µmol H</w:t>
      </w:r>
      <w:r>
        <w:rPr>
          <w:rFonts w:ascii="Cambria Math" w:hAnsi="Cambria Math" w:eastAsia="Times New Roman" w:cs="Cambria Math"/>
          <w:kern w:val="0"/>
          <w:sz w:val="20"/>
          <w:szCs w:val="20"/>
          <w:highlight w:val="yellow"/>
          <w:lang w:eastAsia="fr-FR"/>
          <w14:ligatures w14:val="none"/>
        </w:rPr>
        <w:t>₂</w:t>
      </w:r>
      <w:r>
        <w:rPr>
          <w:rFonts w:ascii="Arial" w:hAnsi="Arial" w:eastAsia="Times New Roman" w:cs="Arial"/>
          <w:kern w:val="0"/>
          <w:sz w:val="20"/>
          <w:szCs w:val="20"/>
          <w:highlight w:val="yellow"/>
          <w:lang w:eastAsia="fr-FR"/>
          <w14:ligatures w14:val="none"/>
        </w:rPr>
        <w:t>O</w:t>
      </w:r>
      <w:r>
        <w:rPr>
          <w:rFonts w:ascii="Cambria Math" w:hAnsi="Cambria Math" w:eastAsia="Times New Roman" w:cs="Cambria Math"/>
          <w:kern w:val="0"/>
          <w:sz w:val="20"/>
          <w:szCs w:val="20"/>
          <w:highlight w:val="yellow"/>
          <w:lang w:eastAsia="fr-FR"/>
          <w14:ligatures w14:val="none"/>
        </w:rPr>
        <w:t>₂</w:t>
      </w:r>
      <w:r>
        <w:rPr>
          <w:rFonts w:ascii="Arial" w:hAnsi="Arial" w:eastAsia="Times New Roman" w:cs="Arial"/>
          <w:kern w:val="0"/>
          <w:sz w:val="20"/>
          <w:szCs w:val="20"/>
          <w:highlight w:val="yellow"/>
          <w:lang w:eastAsia="fr-FR"/>
          <w14:ligatures w14:val="none"/>
        </w:rPr>
        <w:t>/min/mg (p &lt; 0,01 vs ONT).</w:t>
      </w:r>
    </w:p>
    <w:p w14:paraId="0137AF87">
      <w:pPr>
        <w:spacing w:after="0" w:line="360" w:lineRule="auto"/>
        <w:jc w:val="both"/>
        <w:rPr>
          <w:rFonts w:ascii="Arial" w:hAnsi="Arial" w:eastAsia="Times New Roman" w:cs="Arial"/>
          <w:kern w:val="0"/>
          <w:sz w:val="20"/>
          <w:szCs w:val="20"/>
          <w:highlight w:val="yellow"/>
          <w:lang w:eastAsia="fr-FR"/>
          <w14:ligatures w14:val="none"/>
        </w:rPr>
      </w:pPr>
      <w:r>
        <w:rPr>
          <w:rFonts w:ascii="Arial" w:hAnsi="Arial" w:eastAsia="Times New Roman" w:cs="Arial"/>
          <w:kern w:val="0"/>
          <w:sz w:val="20"/>
          <w:szCs w:val="20"/>
          <w:highlight w:val="yellow"/>
          <w:lang w:eastAsia="fr-FR"/>
          <w14:ligatures w14:val="none"/>
        </w:rPr>
        <w:t xml:space="preserve">Ces résultats renforcent l'hypothèse que </w:t>
      </w:r>
      <w:r>
        <w:rPr>
          <w:rFonts w:ascii="Arial" w:hAnsi="Arial" w:eastAsia="Times New Roman" w:cs="Arial"/>
          <w:i/>
          <w:iCs/>
          <w:kern w:val="0"/>
          <w:sz w:val="20"/>
          <w:szCs w:val="20"/>
          <w:highlight w:val="yellow"/>
          <w:lang w:eastAsia="fr-FR"/>
          <w14:ligatures w14:val="none"/>
        </w:rPr>
        <w:t>Ficus umbellata</w:t>
      </w:r>
      <w:r>
        <w:rPr>
          <w:rFonts w:ascii="Arial" w:hAnsi="Arial" w:eastAsia="Times New Roman" w:cs="Arial"/>
          <w:kern w:val="0"/>
          <w:sz w:val="20"/>
          <w:szCs w:val="20"/>
          <w:highlight w:val="yellow"/>
          <w:lang w:eastAsia="fr-FR"/>
          <w14:ligatures w14:val="none"/>
        </w:rPr>
        <w:t xml:space="preserve"> exerce une action antioxydante significative, notamment par la restauration de l’activité des enzymes de défense comme la catalase, contribuant ainsi à limiter les effets néfastes du stress oxydatif induit par l’obésité.</w:t>
      </w:r>
      <w:commentRangeEnd w:id="16"/>
      <w:r>
        <w:rPr>
          <w:highlight w:val="yellow"/>
        </w:rPr>
        <w:commentReference w:id="16"/>
      </w:r>
    </w:p>
    <w:p w14:paraId="76328B75">
      <w:pPr>
        <w:spacing w:after="0" w:line="360" w:lineRule="auto"/>
        <w:jc w:val="both"/>
        <w:rPr>
          <w:rFonts w:ascii="Arial" w:hAnsi="Arial" w:eastAsia="Times New Roman" w:cs="Arial"/>
          <w:kern w:val="0"/>
          <w:sz w:val="20"/>
          <w:szCs w:val="20"/>
          <w:lang w:eastAsia="fr-FR"/>
          <w14:ligatures w14:val="none"/>
        </w:rPr>
      </w:pPr>
    </w:p>
    <w:p w14:paraId="23A5714F">
      <w:pPr>
        <w:pStyle w:val="35"/>
        <w:numPr>
          <w:ilvl w:val="3"/>
          <w:numId w:val="1"/>
        </w:numPr>
        <w:rPr>
          <w:rFonts w:ascii="Arial" w:hAnsi="Arial" w:eastAsia="Times New Roman" w:cs="Arial"/>
          <w:b/>
          <w:bCs/>
          <w:i/>
          <w:iCs/>
          <w:kern w:val="0"/>
          <w:sz w:val="20"/>
          <w:szCs w:val="20"/>
          <w:lang w:eastAsia="fr-FR"/>
          <w14:ligatures w14:val="none"/>
        </w:rPr>
      </w:pPr>
      <w:r>
        <w:rPr>
          <w:rFonts w:ascii="Arial" w:hAnsi="Arial" w:eastAsia="Times New Roman" w:cs="Arial"/>
          <w:b/>
          <w:bCs/>
          <w:i/>
          <w:iCs/>
          <w:kern w:val="0"/>
          <w:sz w:val="20"/>
          <w:szCs w:val="20"/>
          <w:lang w:eastAsia="fr-FR"/>
          <w14:ligatures w14:val="none"/>
        </w:rPr>
        <w:t>Catalase (CAT, µmol H</w:t>
      </w:r>
      <w:r>
        <w:rPr>
          <w:rFonts w:ascii="Cambria Math" w:hAnsi="Cambria Math" w:eastAsia="Times New Roman" w:cs="Cambria Math"/>
          <w:b/>
          <w:bCs/>
          <w:i/>
          <w:iCs/>
          <w:kern w:val="0"/>
          <w:sz w:val="20"/>
          <w:szCs w:val="20"/>
          <w:lang w:eastAsia="fr-FR"/>
          <w14:ligatures w14:val="none"/>
        </w:rPr>
        <w:t>₂</w:t>
      </w:r>
      <w:r>
        <w:rPr>
          <w:rFonts w:ascii="Arial" w:hAnsi="Arial" w:eastAsia="Times New Roman" w:cs="Arial"/>
          <w:b/>
          <w:bCs/>
          <w:i/>
          <w:iCs/>
          <w:kern w:val="0"/>
          <w:sz w:val="20"/>
          <w:szCs w:val="20"/>
          <w:lang w:eastAsia="fr-FR"/>
          <w14:ligatures w14:val="none"/>
        </w:rPr>
        <w:t>O</w:t>
      </w:r>
      <w:r>
        <w:rPr>
          <w:rFonts w:ascii="Cambria Math" w:hAnsi="Cambria Math" w:eastAsia="Times New Roman" w:cs="Cambria Math"/>
          <w:b/>
          <w:bCs/>
          <w:i/>
          <w:iCs/>
          <w:kern w:val="0"/>
          <w:sz w:val="20"/>
          <w:szCs w:val="20"/>
          <w:lang w:eastAsia="fr-FR"/>
          <w14:ligatures w14:val="none"/>
        </w:rPr>
        <w:t>₂</w:t>
      </w:r>
      <w:r>
        <w:rPr>
          <w:rFonts w:ascii="Arial" w:hAnsi="Arial" w:eastAsia="Times New Roman" w:cs="Arial"/>
          <w:b/>
          <w:bCs/>
          <w:i/>
          <w:iCs/>
          <w:kern w:val="0"/>
          <w:sz w:val="20"/>
          <w:szCs w:val="20"/>
          <w:lang w:eastAsia="fr-FR"/>
          <w14:ligatures w14:val="none"/>
        </w:rPr>
        <w:t>/min/mg protein)</w:t>
      </w:r>
    </w:p>
    <w:p w14:paraId="17A3B6D6">
      <w:pP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Table 6. Hepatic Catalase (CAT) Activity</w:t>
      </w:r>
    </w:p>
    <w:tbl>
      <w:tblPr>
        <w:tblStyle w:val="44"/>
        <w:tblW w:w="7073"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5694"/>
      </w:tblGrid>
      <w:tr w14:paraId="2D603A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tcBorders>
              <w:bottom w:val="single" w:color="7E7E7E" w:themeColor="text1" w:themeTint="80" w:sz="4" w:space="0"/>
              <w:insideH w:val="single" w:sz="4" w:space="0"/>
            </w:tcBorders>
          </w:tcPr>
          <w:p w14:paraId="7EA9E2D7">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Group</w:t>
            </w:r>
          </w:p>
        </w:tc>
        <w:tc>
          <w:tcPr>
            <w:tcW w:w="0" w:type="auto"/>
            <w:tcBorders>
              <w:bottom w:val="single" w:color="7E7E7E" w:themeColor="text1" w:themeTint="80" w:sz="4" w:space="0"/>
              <w:insideH w:val="single" w:sz="4" w:space="0"/>
            </w:tcBorders>
          </w:tcPr>
          <w:p w14:paraId="56704DA9">
            <w:pPr>
              <w:spacing w:after="0" w:line="240" w:lineRule="auto"/>
              <w:jc w:val="center"/>
              <w:rPr>
                <w:rFonts w:ascii="Arial" w:hAnsi="Arial" w:eastAsia="Times New Roman" w:cs="Arial"/>
                <w:b w:val="0"/>
                <w:bCs w:val="0"/>
                <w:kern w:val="0"/>
                <w:sz w:val="20"/>
                <w:szCs w:val="20"/>
                <w:lang w:eastAsia="fr-FR"/>
                <w14:ligatures w14:val="none"/>
              </w:rPr>
            </w:pPr>
            <w:r>
              <w:rPr>
                <w:rFonts w:ascii="Arial" w:hAnsi="Arial" w:eastAsia="Times New Roman" w:cs="Arial"/>
                <w:b/>
                <w:bCs/>
                <w:kern w:val="0"/>
                <w:sz w:val="20"/>
                <w:szCs w:val="20"/>
                <w:lang w:eastAsia="fr-FR"/>
                <w14:ligatures w14:val="none"/>
              </w:rPr>
              <w:t>Liver (µmol H</w:t>
            </w:r>
            <w:r>
              <w:rPr>
                <w:rFonts w:ascii="Cambria Math" w:hAnsi="Cambria Math" w:eastAsia="Times New Roman" w:cs="Cambria Math"/>
                <w:b/>
                <w:bCs/>
                <w:kern w:val="0"/>
                <w:sz w:val="20"/>
                <w:szCs w:val="20"/>
                <w:lang w:eastAsia="fr-FR"/>
                <w14:ligatures w14:val="none"/>
              </w:rPr>
              <w:t>₂</w:t>
            </w:r>
            <w:r>
              <w:rPr>
                <w:rFonts w:ascii="Arial" w:hAnsi="Arial" w:eastAsia="Times New Roman" w:cs="Arial"/>
                <w:b/>
                <w:bCs/>
                <w:kern w:val="0"/>
                <w:sz w:val="20"/>
                <w:szCs w:val="20"/>
                <w:lang w:eastAsia="fr-FR"/>
                <w14:ligatures w14:val="none"/>
              </w:rPr>
              <w:t>O</w:t>
            </w:r>
            <w:r>
              <w:rPr>
                <w:rFonts w:ascii="Cambria Math" w:hAnsi="Cambria Math" w:eastAsia="Times New Roman" w:cs="Cambria Math"/>
                <w:b/>
                <w:bCs/>
                <w:kern w:val="0"/>
                <w:sz w:val="20"/>
                <w:szCs w:val="20"/>
                <w:lang w:eastAsia="fr-FR"/>
                <w14:ligatures w14:val="none"/>
              </w:rPr>
              <w:t>₂</w:t>
            </w:r>
            <w:r>
              <w:rPr>
                <w:rFonts w:ascii="Arial" w:hAnsi="Arial" w:eastAsia="Times New Roman" w:cs="Arial"/>
                <w:b/>
                <w:bCs/>
                <w:kern w:val="0"/>
                <w:sz w:val="20"/>
                <w:szCs w:val="20"/>
                <w:lang w:eastAsia="fr-FR"/>
                <w14:ligatures w14:val="none"/>
              </w:rPr>
              <w:t>/min/mg protein)</w:t>
            </w:r>
          </w:p>
        </w:tc>
      </w:tr>
      <w:tr w14:paraId="24DD718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7E7E7E" w:themeColor="text1" w:themeTint="80" w:sz="4" w:space="0"/>
              <w:bottom w:val="single" w:color="7E7E7E" w:themeColor="text1" w:themeTint="80" w:sz="4" w:space="0"/>
              <w:insideH w:val="single" w:sz="4" w:space="0"/>
            </w:tcBorders>
          </w:tcPr>
          <w:p w14:paraId="5FAFBA8D">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TS</w:t>
            </w:r>
          </w:p>
        </w:tc>
        <w:tc>
          <w:tcPr>
            <w:tcW w:w="0" w:type="auto"/>
            <w:tcBorders>
              <w:top w:val="single" w:color="7E7E7E" w:themeColor="text1" w:themeTint="80" w:sz="4" w:space="0"/>
              <w:bottom w:val="single" w:color="7E7E7E" w:themeColor="text1" w:themeTint="80" w:sz="4" w:space="0"/>
              <w:insideH w:val="single" w:sz="4" w:space="0"/>
            </w:tcBorders>
          </w:tcPr>
          <w:p w14:paraId="73948C76">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55.3 ± 3.2</w:t>
            </w:r>
          </w:p>
        </w:tc>
      </w:tr>
      <w:tr w14:paraId="12E3019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tcPr>
          <w:p w14:paraId="5E58CF76">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ONT</w:t>
            </w:r>
          </w:p>
        </w:tc>
        <w:tc>
          <w:tcPr>
            <w:tcW w:w="0" w:type="auto"/>
          </w:tcPr>
          <w:p w14:paraId="101BBB09">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39.6 ± 2.7**</w:t>
            </w:r>
          </w:p>
        </w:tc>
      </w:tr>
      <w:tr w14:paraId="7CF6CE2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7E7E7E" w:themeColor="text1" w:themeTint="80" w:sz="4" w:space="0"/>
              <w:bottom w:val="single" w:color="7E7E7E" w:themeColor="text1" w:themeTint="80" w:sz="4" w:space="0"/>
              <w:insideH w:val="single" w:sz="4" w:space="0"/>
            </w:tcBorders>
          </w:tcPr>
          <w:p w14:paraId="29C0D5F9">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FU200</w:t>
            </w:r>
          </w:p>
        </w:tc>
        <w:tc>
          <w:tcPr>
            <w:tcW w:w="0" w:type="auto"/>
            <w:tcBorders>
              <w:top w:val="single" w:color="7E7E7E" w:themeColor="text1" w:themeTint="80" w:sz="4" w:space="0"/>
              <w:bottom w:val="single" w:color="7E7E7E" w:themeColor="text1" w:themeTint="80" w:sz="4" w:space="0"/>
              <w:insideH w:val="single" w:sz="4" w:space="0"/>
            </w:tcBorders>
          </w:tcPr>
          <w:p w14:paraId="65DD7C4F">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47.8 ± 3.1*</w:t>
            </w:r>
          </w:p>
        </w:tc>
      </w:tr>
      <w:tr w14:paraId="6F1939D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tcPr>
          <w:p w14:paraId="234F4D6A">
            <w:pPr>
              <w:spacing w:after="0" w:line="240" w:lineRule="auto"/>
              <w:jc w:val="center"/>
              <w:rPr>
                <w:rFonts w:ascii="Arial" w:hAnsi="Arial" w:eastAsia="Times New Roman" w:cs="Arial"/>
                <w:b/>
                <w:bCs/>
                <w:kern w:val="0"/>
                <w:sz w:val="20"/>
                <w:szCs w:val="20"/>
                <w:lang w:eastAsia="fr-FR"/>
                <w14:ligatures w14:val="none"/>
              </w:rPr>
            </w:pPr>
            <w:r>
              <w:rPr>
                <w:rFonts w:ascii="Arial" w:hAnsi="Arial" w:eastAsia="Times New Roman" w:cs="Arial"/>
                <w:b/>
                <w:bCs/>
                <w:kern w:val="0"/>
                <w:sz w:val="20"/>
                <w:szCs w:val="20"/>
                <w:lang w:eastAsia="fr-FR"/>
                <w14:ligatures w14:val="none"/>
              </w:rPr>
              <w:t>FU400</w:t>
            </w:r>
          </w:p>
        </w:tc>
        <w:tc>
          <w:tcPr>
            <w:tcW w:w="0" w:type="auto"/>
          </w:tcPr>
          <w:p w14:paraId="3459AB9B">
            <w:pPr>
              <w:spacing w:after="0" w:line="240" w:lineRule="auto"/>
              <w:jc w:val="center"/>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53.1 ± 2.9**</w:t>
            </w:r>
          </w:p>
        </w:tc>
      </w:tr>
    </w:tbl>
    <w:p w14:paraId="35CBDEF8">
      <w:pPr>
        <w:spacing w:before="100" w:beforeAutospacing="1" w:after="100" w:afterAutospacing="1" w:line="240" w:lineRule="auto"/>
        <w:jc w:val="both"/>
        <w:rPr>
          <w:rFonts w:ascii="Arial" w:hAnsi="Arial" w:eastAsia="Times New Roman" w:cs="Arial"/>
          <w:kern w:val="0"/>
          <w:sz w:val="20"/>
          <w:szCs w:val="20"/>
          <w:lang w:eastAsia="fr-FR"/>
          <w14:ligatures w14:val="none"/>
        </w:rPr>
      </w:pPr>
      <w:r>
        <w:rPr>
          <w:rFonts w:ascii="Arial" w:hAnsi="Arial" w:eastAsia="Times New Roman" w:cs="Arial"/>
          <w:b/>
          <w:bCs/>
          <w:kern w:val="0"/>
          <w:sz w:val="20"/>
          <w:szCs w:val="20"/>
          <w:lang w:eastAsia="fr-FR"/>
          <w14:ligatures w14:val="none"/>
        </w:rPr>
        <w:t>Note:</w:t>
      </w:r>
      <w:r>
        <w:rPr>
          <w:rFonts w:ascii="Arial" w:hAnsi="Arial" w:eastAsia="Times New Roman" w:cs="Arial"/>
          <w:kern w:val="0"/>
          <w:sz w:val="20"/>
          <w:szCs w:val="20"/>
          <w:lang w:eastAsia="fr-FR"/>
          <w14:ligatures w14:val="none"/>
        </w:rPr>
        <w:t xml:space="preserve"> *p &lt; 0.05; **p &lt; 0.01 vs TS</w:t>
      </w:r>
    </w:p>
    <w:p w14:paraId="381A99A5">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Catalase (CAT) activity, a key antioxidant enzyme involved in the breakdown of hydrogen peroxide (H</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O</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 showed significant variations across experimental groups. In healthy control rats (TS), hepatic CAT activity was measured at 55.3 ± 3.2 µmol H</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O</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/min/mg protein, indicating effective detoxification capacity against reactive oxygen species. In contrast, untreated obese rats (ONT), fed a high-fat diet, exhibited a significant reduction in CAT activity, reaching 39.6 ± 2.7 (p &lt; 0.01 vs TS). This decline reflects pronounced oxidative stress and impaired enzymatic defense.</w:t>
      </w:r>
    </w:p>
    <w:p w14:paraId="6F85111A">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Administration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led to a dose-dependent improvement in catalase activity. Rats in the FU200 group (200 mg/kg) showed an increase in CAT activity to 47.8 ± 3.1 (p &lt; 0.05 vs ONT), while those in the FU400 group (400 mg/kg) displayed near-normal levels of 53.1 ± 2.9 µmol H</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O</w:t>
      </w:r>
      <w:r>
        <w:rPr>
          <w:rFonts w:ascii="Cambria Math" w:hAnsi="Cambria Math" w:eastAsia="Times New Roman" w:cs="Cambria Math"/>
          <w:kern w:val="0"/>
          <w:sz w:val="20"/>
          <w:szCs w:val="20"/>
          <w:lang w:eastAsia="fr-FR"/>
          <w14:ligatures w14:val="none"/>
        </w:rPr>
        <w:t>₂</w:t>
      </w:r>
      <w:r>
        <w:rPr>
          <w:rFonts w:ascii="Arial" w:hAnsi="Arial" w:eastAsia="Times New Roman" w:cs="Arial"/>
          <w:kern w:val="0"/>
          <w:sz w:val="20"/>
          <w:szCs w:val="20"/>
          <w:lang w:eastAsia="fr-FR"/>
          <w14:ligatures w14:val="none"/>
        </w:rPr>
        <w:t>/min/mg (p &lt; 0.01 vs ONT).</w:t>
      </w:r>
    </w:p>
    <w:p w14:paraId="1B3B5B23">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These findings further support the hypothesis that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exerts significant antioxidant effects, particularly by restoring the activity of defense enzymes such as catalase, thereby helping to mitigate oxidative stress-related damage induced by obesity.</w:t>
      </w:r>
    </w:p>
    <w:p w14:paraId="556F97B3">
      <w:pPr>
        <w:spacing w:after="0" w:line="360" w:lineRule="auto"/>
        <w:jc w:val="both"/>
        <w:rPr>
          <w:rFonts w:ascii="Arial" w:hAnsi="Arial" w:eastAsia="Times New Roman" w:cs="Arial"/>
          <w:kern w:val="0"/>
          <w:lang w:eastAsia="fr-FR"/>
          <w14:ligatures w14:val="none"/>
        </w:rPr>
      </w:pPr>
    </w:p>
    <w:p w14:paraId="41FDC124">
      <w:pPr>
        <w:pStyle w:val="35"/>
        <w:numPr>
          <w:ilvl w:val="1"/>
          <w:numId w:val="1"/>
        </w:numPr>
        <w:spacing w:after="0" w:line="360" w:lineRule="auto"/>
        <w:rPr>
          <w:rFonts w:ascii="Arial" w:hAnsi="Arial" w:eastAsia="Times New Roman" w:cs="Arial"/>
          <w:b/>
          <w:bCs/>
          <w:kern w:val="0"/>
          <w:sz w:val="22"/>
          <w:szCs w:val="22"/>
          <w:lang w:eastAsia="fr-FR"/>
          <w14:ligatures w14:val="none"/>
        </w:rPr>
      </w:pPr>
      <w:r>
        <w:rPr>
          <w:rFonts w:ascii="Arial" w:hAnsi="Arial" w:eastAsia="Times New Roman" w:cs="Arial"/>
          <w:b/>
          <w:bCs/>
          <w:kern w:val="0"/>
          <w:sz w:val="22"/>
          <w:szCs w:val="22"/>
          <w:lang w:eastAsia="fr-FR"/>
          <w14:ligatures w14:val="none"/>
        </w:rPr>
        <w:t>DISCUSSION</w:t>
      </w:r>
    </w:p>
    <w:p w14:paraId="01C9E7A1">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kern w:val="0"/>
          <w:sz w:val="20"/>
          <w:szCs w:val="20"/>
          <w:lang w:eastAsia="fr-FR"/>
          <w14:ligatures w14:val="none"/>
        </w:rPr>
        <w:t>Obesity is a chronic metabolic disorder characterized by excessive accumulation of adipose tissue, often induced by a diet rich in fats and calories. In this study, the administration of a high-fat diet successfully induced experimental obesity in rats, as evidenced by the significant increase in body weight and Lee index in the untreated obese group (ONT) compared to the healthy control group (TS). These findings are consistent with those of Woods et al. (</w:t>
      </w:r>
      <w:r>
        <w:rPr>
          <w:rFonts w:ascii="Arial" w:hAnsi="Arial" w:eastAsia="Times New Roman" w:cs="Arial"/>
          <w:kern w:val="0"/>
          <w:sz w:val="20"/>
          <w:szCs w:val="20"/>
          <w:highlight w:val="yellow"/>
          <w:lang w:eastAsia="fr-FR"/>
          <w14:ligatures w14:val="none"/>
        </w:rPr>
        <w:t>2003</w:t>
      </w:r>
      <w:r>
        <w:rPr>
          <w:rFonts w:ascii="Arial" w:hAnsi="Arial" w:eastAsia="Times New Roman" w:cs="Arial"/>
          <w:kern w:val="0"/>
          <w:sz w:val="20"/>
          <w:szCs w:val="20"/>
          <w:lang w:eastAsia="fr-FR"/>
          <w14:ligatures w14:val="none"/>
        </w:rPr>
        <w:t>), who demonstrated that high-fat diets promote rapid weight gain and dysregulation of lipid metabolism. The Lee index, used as an indicator of adiposity, also confirmed the onset of obesity as early as the second week, with marked progression until day 28 in the ONT group, reflecting the effectiveness of the induction protocol.</w:t>
      </w:r>
    </w:p>
    <w:p w14:paraId="286704F3">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kern w:val="0"/>
          <w:sz w:val="20"/>
          <w:szCs w:val="20"/>
          <w:lang w:eastAsia="fr-FR"/>
          <w14:ligatures w14:val="none"/>
        </w:rPr>
        <w:t xml:space="preserve">One of the main findings of this study lies in the ability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to limit weight gain and reduce the Lee index in a dose-dependent manner. At the dose of 400 mg/kg, the anti-obesity effect of the plant is particularly evident, with a final body weight significantly lower than that of untreated obese rats. These effects suggest that the extract may modulate energy metabolism or lipid absorption, as demonstrated for other plants rich in phenolic compounds or flavonoids such as </w:t>
      </w:r>
      <w:r>
        <w:rPr>
          <w:rFonts w:ascii="Arial" w:hAnsi="Arial" w:eastAsia="Times New Roman" w:cs="Arial"/>
          <w:i/>
          <w:iCs/>
          <w:kern w:val="0"/>
          <w:sz w:val="20"/>
          <w:szCs w:val="20"/>
          <w:lang w:eastAsia="fr-FR"/>
          <w14:ligatures w14:val="none"/>
        </w:rPr>
        <w:t>Camellia sinensis</w:t>
      </w:r>
      <w:r>
        <w:rPr>
          <w:rFonts w:ascii="Arial" w:hAnsi="Arial" w:eastAsia="Times New Roman" w:cs="Arial"/>
          <w:kern w:val="0"/>
          <w:sz w:val="20"/>
          <w:szCs w:val="20"/>
          <w:lang w:eastAsia="fr-FR"/>
          <w14:ligatures w14:val="none"/>
        </w:rPr>
        <w:t xml:space="preserve"> or </w:t>
      </w:r>
      <w:r>
        <w:rPr>
          <w:rFonts w:ascii="Arial" w:hAnsi="Arial" w:eastAsia="Times New Roman" w:cs="Arial"/>
          <w:i/>
          <w:iCs/>
          <w:kern w:val="0"/>
          <w:sz w:val="20"/>
          <w:szCs w:val="20"/>
          <w:lang w:eastAsia="fr-FR"/>
          <w14:ligatures w14:val="none"/>
        </w:rPr>
        <w:t>Garcinia cambogia</w:t>
      </w:r>
      <w:r>
        <w:rPr>
          <w:rFonts w:ascii="Arial" w:hAnsi="Arial" w:eastAsia="Times New Roman" w:cs="Arial"/>
          <w:kern w:val="0"/>
          <w:sz w:val="20"/>
          <w:szCs w:val="20"/>
          <w:lang w:eastAsia="fr-FR"/>
          <w14:ligatures w14:val="none"/>
        </w:rPr>
        <w:t xml:space="preserve"> (</w:t>
      </w:r>
      <w:r>
        <w:rPr>
          <w:rFonts w:ascii="Arial" w:hAnsi="Arial" w:eastAsia="Times New Roman" w:cs="Arial"/>
          <w:kern w:val="0"/>
          <w:sz w:val="20"/>
          <w:szCs w:val="20"/>
          <w:highlight w:val="yellow"/>
          <w:lang w:eastAsia="fr-FR"/>
          <w14:ligatures w14:val="none"/>
        </w:rPr>
        <w:t>Choi et al., 2007; Onakpoya et al., 2011</w:t>
      </w:r>
      <w:r>
        <w:rPr>
          <w:rFonts w:ascii="Arial" w:hAnsi="Arial" w:eastAsia="Times New Roman" w:cs="Arial"/>
          <w:kern w:val="0"/>
          <w:sz w:val="20"/>
          <w:szCs w:val="20"/>
          <w:lang w:eastAsia="fr-FR"/>
          <w14:ligatures w14:val="none"/>
        </w:rPr>
        <w:t xml:space="preserve">). The properties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may thus be attributed to the presence of bioactive molecules such as flavonoids, saponins, and tannins, known for their inhibitory effect on lipid-digesting enzymes or their action on PPAR receptors involved in lipid homeostasis (Martel et al., 2020).</w:t>
      </w:r>
    </w:p>
    <w:p w14:paraId="1E944F4F">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kern w:val="0"/>
          <w:sz w:val="20"/>
          <w:szCs w:val="20"/>
          <w:lang w:eastAsia="fr-FR"/>
          <w14:ligatures w14:val="none"/>
        </w:rPr>
        <w:t xml:space="preserve">The effect of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on oxidative stress is also remarkable. The significant increase in malondialdehyde (MDA) levels observed in ONT rats reflects enhanced lipid peroxidation and an altered hepatic and systemic oxidative status. These results are in line with those of V</w:t>
      </w:r>
      <w:r>
        <w:rPr>
          <w:rFonts w:ascii="Arial" w:hAnsi="Arial" w:eastAsia="Times New Roman" w:cs="Arial"/>
          <w:kern w:val="0"/>
          <w:sz w:val="20"/>
          <w:szCs w:val="20"/>
          <w:highlight w:val="yellow"/>
          <w:lang w:eastAsia="fr-FR"/>
          <w14:ligatures w14:val="none"/>
        </w:rPr>
        <w:t>incent and Taylor (2006)</w:t>
      </w:r>
      <w:r>
        <w:rPr>
          <w:rFonts w:ascii="Arial" w:hAnsi="Arial" w:eastAsia="Times New Roman" w:cs="Arial"/>
          <w:kern w:val="0"/>
          <w:sz w:val="20"/>
          <w:szCs w:val="20"/>
          <w:lang w:eastAsia="fr-FR"/>
          <w14:ligatures w14:val="none"/>
        </w:rPr>
        <w:t xml:space="preserve">, who reported that obesity is frequently associated with overproduction of reactive oxygen species (ROS), leading to oxidative damage at the cellular level. Conversely, treatment with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extract, especially at 400 mg/kg, significantly reduced MDA levels, reaching values comparable to those of the healthy group. This result confirms the antioxidant potential of the extract, likely due to its richness in phenolic compounds, which are well known for their free radical scavenging capacity (Sies et al., 2017).</w:t>
      </w:r>
    </w:p>
    <w:p w14:paraId="244411A0">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kern w:val="0"/>
          <w:sz w:val="20"/>
          <w:szCs w:val="20"/>
          <w:lang w:eastAsia="fr-FR"/>
          <w14:ligatures w14:val="none"/>
        </w:rPr>
        <w:t xml:space="preserve">The enhancement of endogenous antioxidant defense systems by the extract is also evidenced by the increase in reduced glutathione (GSH) levels and the activity of key enzymes such as superoxide dismutase (SOD) and catalase (CAT). Glutathione is a tripeptide thiol essential for detoxifying free radicals and peroxides in hepatic cells. Its reduction in untreated obese rats reflects increased consumption to neutralize ROS, while its increase in the treated groups suggests restoration of the hepatic antioxidant system. Previous studies have shown that plant extracts rich in natural antioxidants, such as </w:t>
      </w:r>
      <w:r>
        <w:rPr>
          <w:rFonts w:ascii="Arial" w:hAnsi="Arial" w:eastAsia="Times New Roman" w:cs="Arial"/>
          <w:i/>
          <w:iCs/>
          <w:kern w:val="0"/>
          <w:sz w:val="20"/>
          <w:szCs w:val="20"/>
          <w:lang w:eastAsia="fr-FR"/>
          <w14:ligatures w14:val="none"/>
        </w:rPr>
        <w:t>Moringa oleifera</w:t>
      </w:r>
      <w:r>
        <w:rPr>
          <w:rFonts w:ascii="Arial" w:hAnsi="Arial" w:eastAsia="Times New Roman" w:cs="Arial"/>
          <w:kern w:val="0"/>
          <w:sz w:val="20"/>
          <w:szCs w:val="20"/>
          <w:lang w:eastAsia="fr-FR"/>
          <w14:ligatures w14:val="none"/>
        </w:rPr>
        <w:t xml:space="preserve"> or </w:t>
      </w:r>
      <w:r>
        <w:rPr>
          <w:rFonts w:ascii="Arial" w:hAnsi="Arial" w:eastAsia="Times New Roman" w:cs="Arial"/>
          <w:i/>
          <w:iCs/>
          <w:kern w:val="0"/>
          <w:sz w:val="20"/>
          <w:szCs w:val="20"/>
          <w:lang w:eastAsia="fr-FR"/>
          <w14:ligatures w14:val="none"/>
        </w:rPr>
        <w:t>Zingiber officinale</w:t>
      </w:r>
      <w:r>
        <w:rPr>
          <w:rFonts w:ascii="Arial" w:hAnsi="Arial" w:eastAsia="Times New Roman" w:cs="Arial"/>
          <w:kern w:val="0"/>
          <w:sz w:val="20"/>
          <w:szCs w:val="20"/>
          <w:lang w:eastAsia="fr-FR"/>
          <w14:ligatures w14:val="none"/>
        </w:rPr>
        <w:t>, can restore GSH and increase enzymatic antioxidant activity (</w:t>
      </w:r>
      <w:r>
        <w:rPr>
          <w:rFonts w:ascii="Arial" w:hAnsi="Arial" w:eastAsia="Times New Roman" w:cs="Arial"/>
          <w:kern w:val="0"/>
          <w:sz w:val="20"/>
          <w:szCs w:val="20"/>
          <w:highlight w:val="yellow"/>
          <w:lang w:eastAsia="fr-FR"/>
          <w14:ligatures w14:val="none"/>
        </w:rPr>
        <w:t>Farombi et al., 2012</w:t>
      </w:r>
      <w:r>
        <w:rPr>
          <w:rFonts w:ascii="Arial" w:hAnsi="Arial" w:eastAsia="Times New Roman" w:cs="Arial"/>
          <w:kern w:val="0"/>
          <w:sz w:val="20"/>
          <w:szCs w:val="20"/>
          <w:lang w:eastAsia="fr-FR"/>
          <w14:ligatures w14:val="none"/>
        </w:rPr>
        <w:t xml:space="preserve">; Diniz et al., 2021). The increased activity of SOD and CAT observed in the FU200 and FU400 groups reinforces the hypothesis of a positive regulation of the enzymatic antioxidant system by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contributing to the mitigation of oxidative damage induced by obesity.</w:t>
      </w:r>
    </w:p>
    <w:p w14:paraId="3464E64F">
      <w:pPr>
        <w:spacing w:after="0" w:line="360" w:lineRule="auto"/>
        <w:jc w:val="both"/>
        <w:rPr>
          <w:rFonts w:ascii="Arial" w:hAnsi="Arial" w:eastAsia="Times New Roman" w:cs="Arial"/>
          <w:b/>
          <w:bCs/>
          <w:kern w:val="0"/>
          <w:sz w:val="20"/>
          <w:szCs w:val="20"/>
          <w:lang w:eastAsia="fr-FR"/>
          <w14:ligatures w14:val="none"/>
        </w:rPr>
      </w:pPr>
      <w:r>
        <w:rPr>
          <w:rFonts w:ascii="Arial" w:hAnsi="Arial" w:eastAsia="Times New Roman" w:cs="Arial"/>
          <w:kern w:val="0"/>
          <w:sz w:val="20"/>
          <w:szCs w:val="20"/>
          <w:lang w:eastAsia="fr-FR"/>
          <w14:ligatures w14:val="none"/>
        </w:rPr>
        <w:t>The correlation between the reduction of oxidative stress and the decrease in adiposity is particularly interesting, as it suggests that the anti-obesity effect of the extract may be partly mediated by its antioxidant properties. Indeed, several authors have shown that chronic oxidative stress promotes inflammation, insulin resistance, and lipid accumulation in adipose tissues, thereby worsening the obese phenotype (</w:t>
      </w:r>
      <w:bookmarkStart w:id="5" w:name="_GoBack"/>
      <w:r>
        <w:rPr>
          <w:rFonts w:ascii="Arial" w:hAnsi="Arial" w:eastAsia="Times New Roman" w:cs="Arial"/>
          <w:kern w:val="0"/>
          <w:sz w:val="20"/>
          <w:szCs w:val="20"/>
          <w:highlight w:val="yellow"/>
          <w:lang w:eastAsia="fr-FR"/>
          <w14:ligatures w14:val="none"/>
        </w:rPr>
        <w:t>Furukawa et al., 2004; Monteiro and Azevedo, 2010</w:t>
      </w:r>
      <w:bookmarkEnd w:id="5"/>
      <w:r>
        <w:rPr>
          <w:rFonts w:ascii="Arial" w:hAnsi="Arial" w:eastAsia="Times New Roman" w:cs="Arial"/>
          <w:kern w:val="0"/>
          <w:sz w:val="20"/>
          <w:szCs w:val="20"/>
          <w:lang w:eastAsia="fr-FR"/>
          <w14:ligatures w14:val="none"/>
        </w:rPr>
        <w:t xml:space="preserve">). The restoration of oxidative parameters in rats treated with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may thus help prevent or mitigate these pathogenic mechanisms.</w:t>
      </w:r>
    </w:p>
    <w:p w14:paraId="5D2E9363">
      <w:pPr>
        <w:spacing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In summary, the results obtained demonstrate that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in addition to its marked anti-obesity effects, exerts significant antioxidant activity by restoring biochemical parameters disrupted by a high-fat diet. These beneficial effects are more pronounced at the dose of 400 mg/kg, suggesting a favorable dose-response relationship. These observations position </w:t>
      </w:r>
      <w:r>
        <w:rPr>
          <w:rFonts w:ascii="Arial" w:hAnsi="Arial" w:eastAsia="Times New Roman" w:cs="Arial"/>
          <w:i/>
          <w:iCs/>
          <w:kern w:val="0"/>
          <w:sz w:val="20"/>
          <w:szCs w:val="20"/>
          <w:lang w:eastAsia="fr-FR"/>
          <w14:ligatures w14:val="none"/>
        </w:rPr>
        <w:t>Ficus umbellata</w:t>
      </w:r>
      <w:r>
        <w:rPr>
          <w:rFonts w:ascii="Arial" w:hAnsi="Arial" w:eastAsia="Times New Roman" w:cs="Arial"/>
          <w:kern w:val="0"/>
          <w:sz w:val="20"/>
          <w:szCs w:val="20"/>
          <w:lang w:eastAsia="fr-FR"/>
          <w14:ligatures w14:val="none"/>
        </w:rPr>
        <w:t xml:space="preserve"> as a promising candidate for the development of phytomedicines or dietary supplements for the prevention and management of obesity and associated oxidative stress. However, further studies, including the identification of active compounds, long-term toxicity evaluation, and clinical trials, are needed to validate these effects in humans.</w:t>
      </w:r>
    </w:p>
    <w:p w14:paraId="668B588F">
      <w:pPr>
        <w:spacing w:after="0" w:line="360" w:lineRule="auto"/>
        <w:jc w:val="both"/>
        <w:rPr>
          <w:rFonts w:ascii="Arial" w:hAnsi="Arial" w:eastAsia="Times New Roman" w:cs="Arial"/>
          <w:b/>
          <w:bCs/>
          <w:kern w:val="0"/>
          <w:lang w:eastAsia="fr-FR"/>
          <w14:ligatures w14:val="none"/>
        </w:rPr>
      </w:pPr>
    </w:p>
    <w:p w14:paraId="042A360E">
      <w:pPr>
        <w:pStyle w:val="35"/>
        <w:numPr>
          <w:ilvl w:val="0"/>
          <w:numId w:val="1"/>
        </w:numPr>
        <w:spacing w:after="0" w:line="360" w:lineRule="auto"/>
        <w:jc w:val="both"/>
        <w:rPr>
          <w:rFonts w:ascii="Arial" w:hAnsi="Arial" w:eastAsia="Times New Roman" w:cs="Arial"/>
          <w:b/>
          <w:bCs/>
          <w:kern w:val="0"/>
          <w:lang w:eastAsia="fr-FR"/>
          <w14:ligatures w14:val="none"/>
        </w:rPr>
      </w:pPr>
      <w:r>
        <w:rPr>
          <w:rFonts w:ascii="Arial" w:hAnsi="Arial" w:eastAsia="Times New Roman" w:cs="Arial"/>
          <w:b/>
          <w:bCs/>
          <w:kern w:val="0"/>
          <w:lang w:eastAsia="fr-FR"/>
          <w14:ligatures w14:val="none"/>
        </w:rPr>
        <w:t>CONCLUSION</w:t>
      </w:r>
    </w:p>
    <w:p w14:paraId="755619EA">
      <w:pPr>
        <w:spacing w:after="0" w:line="360" w:lineRule="auto"/>
        <w:jc w:val="both"/>
        <w:rPr>
          <w:rFonts w:ascii="Arial" w:hAnsi="Arial" w:cs="Arial"/>
          <w:sz w:val="20"/>
          <w:szCs w:val="20"/>
        </w:rPr>
      </w:pPr>
      <w:r>
        <w:rPr>
          <w:rStyle w:val="14"/>
          <w:rFonts w:ascii="Arial" w:hAnsi="Arial" w:cs="Arial"/>
          <w:sz w:val="20"/>
          <w:szCs w:val="20"/>
        </w:rPr>
        <w:t>Ficus umbellata</w:t>
      </w:r>
      <w:r>
        <w:rPr>
          <w:rFonts w:ascii="Arial" w:hAnsi="Arial" w:cs="Arial"/>
          <w:sz w:val="20"/>
          <w:szCs w:val="20"/>
        </w:rPr>
        <w:t xml:space="preserve"> extract, notably at 400 mg/kg, effectively attenuates high-fat diet-induced obesity in rats, improves oxidative stress markers, and strengthens antioxidant defenses. These findings highlight its potential as a phytotherapeutic agent against obesity and oxidative stress, justifying further studies to isolate active constituents and elucidate underlying mechanisms.</w:t>
      </w:r>
    </w:p>
    <w:p w14:paraId="0DE95FF3">
      <w:pPr>
        <w:spacing w:after="0" w:line="360" w:lineRule="auto"/>
        <w:jc w:val="both"/>
        <w:rPr>
          <w:rFonts w:ascii="Arial" w:hAnsi="Arial" w:cs="Arial"/>
          <w:sz w:val="20"/>
          <w:szCs w:val="20"/>
        </w:rPr>
      </w:pPr>
    </w:p>
    <w:p w14:paraId="4384A40F">
      <w:pPr>
        <w:keepNext/>
        <w:spacing w:after="0" w:line="360" w:lineRule="auto"/>
        <w:jc w:val="both"/>
        <w:rPr>
          <w:rFonts w:ascii="Arial" w:hAnsi="Arial" w:eastAsia="Times New Roman" w:cs="Arial"/>
          <w:b/>
          <w:bCs/>
          <w:caps/>
          <w:kern w:val="0"/>
          <w:sz w:val="22"/>
          <w:szCs w:val="20"/>
          <w:lang w:val="en-US"/>
          <w14:ligatures w14:val="none"/>
        </w:rPr>
      </w:pPr>
      <w:r>
        <w:rPr>
          <w:rFonts w:ascii="Arial" w:hAnsi="Arial" w:eastAsia="Times New Roman" w:cs="Arial"/>
          <w:b/>
          <w:bCs/>
          <w:caps/>
          <w:kern w:val="0"/>
          <w:sz w:val="22"/>
          <w:szCs w:val="20"/>
          <w:lang w:val="en-US"/>
          <w14:ligatures w14:val="none"/>
        </w:rPr>
        <w:t>Consent (where ever applicable)</w:t>
      </w:r>
    </w:p>
    <w:p w14:paraId="5296A20C">
      <w:pPr>
        <w:keepNext/>
        <w:spacing w:after="0" w:line="360" w:lineRule="auto"/>
        <w:jc w:val="both"/>
        <w:rPr>
          <w:rFonts w:ascii="Arial" w:hAnsi="Arial" w:eastAsia="Times New Roman" w:cs="Arial"/>
          <w:b/>
          <w:bCs/>
          <w:caps/>
          <w:kern w:val="0"/>
          <w:sz w:val="22"/>
          <w:szCs w:val="20"/>
          <w:lang w:val="en-US"/>
          <w14:ligatures w14:val="none"/>
        </w:rPr>
      </w:pPr>
    </w:p>
    <w:p w14:paraId="548DD2A7">
      <w:pPr>
        <w:keepNext/>
        <w:spacing w:after="0" w:line="360" w:lineRule="auto"/>
        <w:jc w:val="both"/>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Not applicable.</w:t>
      </w:r>
    </w:p>
    <w:p w14:paraId="5FD72230">
      <w:pPr>
        <w:keepNext/>
        <w:spacing w:after="0" w:line="360" w:lineRule="auto"/>
        <w:jc w:val="both"/>
        <w:rPr>
          <w:rFonts w:ascii="Arial" w:hAnsi="Arial" w:eastAsia="Times New Roman" w:cs="Arial"/>
          <w:kern w:val="0"/>
          <w:sz w:val="20"/>
          <w:szCs w:val="20"/>
          <w:lang w:val="en-US"/>
          <w14:ligatures w14:val="none"/>
        </w:rPr>
      </w:pPr>
    </w:p>
    <w:p w14:paraId="5B477D41">
      <w:pPr>
        <w:keepNext/>
        <w:spacing w:after="0" w:line="360" w:lineRule="auto"/>
        <w:jc w:val="both"/>
        <w:rPr>
          <w:rFonts w:ascii="Arial" w:hAnsi="Arial" w:eastAsia="Times New Roman" w:cs="Arial"/>
          <w:b/>
          <w:bCs/>
          <w:caps/>
          <w:kern w:val="0"/>
          <w:sz w:val="22"/>
          <w:szCs w:val="20"/>
          <w:lang w:val="en-US"/>
          <w14:ligatures w14:val="none"/>
        </w:rPr>
      </w:pPr>
      <w:r>
        <w:rPr>
          <w:rFonts w:ascii="Arial" w:hAnsi="Arial" w:eastAsia="Times New Roman" w:cs="Arial"/>
          <w:b/>
          <w:bCs/>
          <w:caps/>
          <w:kern w:val="0"/>
          <w:sz w:val="22"/>
          <w:szCs w:val="20"/>
          <w:lang w:val="en-US"/>
          <w14:ligatures w14:val="none"/>
        </w:rPr>
        <w:t>Ethical approval (where ever applicable)</w:t>
      </w:r>
    </w:p>
    <w:p w14:paraId="60B6C8C5">
      <w:pPr>
        <w:keepNext/>
        <w:spacing w:after="0" w:line="360" w:lineRule="auto"/>
        <w:jc w:val="both"/>
        <w:rPr>
          <w:rFonts w:ascii="Arial" w:hAnsi="Arial" w:eastAsia="Times New Roman" w:cs="Arial"/>
          <w:b/>
          <w:caps/>
          <w:kern w:val="0"/>
          <w:sz w:val="22"/>
          <w:szCs w:val="20"/>
          <w:lang w:val="en-US"/>
          <w14:ligatures w14:val="none"/>
        </w:rPr>
      </w:pPr>
    </w:p>
    <w:p w14:paraId="61C45A38">
      <w:pPr>
        <w:spacing w:after="0" w:line="360" w:lineRule="auto"/>
        <w:jc w:val="both"/>
        <w:rPr>
          <w:rFonts w:ascii="Arial" w:hAnsi="Arial" w:cs="Arial"/>
          <w:sz w:val="20"/>
          <w:szCs w:val="20"/>
        </w:rPr>
      </w:pPr>
      <w:r>
        <w:rPr>
          <w:rFonts w:ascii="Arial" w:hAnsi="Arial" w:cs="Arial"/>
          <w:sz w:val="20"/>
          <w:szCs w:val="20"/>
        </w:rPr>
        <w:t>All animal experiments were conducted in accordance with international ethical standards and approved by the Institutional Ethics Committee of the University of Abomey-Calavi</w:t>
      </w:r>
    </w:p>
    <w:p w14:paraId="1D6FE52F">
      <w:pPr>
        <w:spacing w:after="0" w:line="360" w:lineRule="auto"/>
        <w:rPr>
          <w:rFonts w:ascii="Arial" w:hAnsi="Arial" w:eastAsia="Times New Roman" w:cs="Arial"/>
          <w:kern w:val="0"/>
          <w:lang w:eastAsia="fr-FR"/>
          <w14:ligatures w14:val="none"/>
        </w:rPr>
      </w:pPr>
    </w:p>
    <w:p w14:paraId="6E6E2FF1">
      <w:pPr>
        <w:spacing w:after="0" w:line="360" w:lineRule="auto"/>
        <w:jc w:val="both"/>
        <w:rPr>
          <w:rFonts w:ascii="Arial" w:hAnsi="Arial" w:eastAsia="Times New Roman" w:cs="Arial"/>
          <w:b/>
          <w:bCs/>
          <w:kern w:val="0"/>
          <w:sz w:val="22"/>
          <w:szCs w:val="22"/>
          <w:lang w:eastAsia="fr-FR"/>
          <w14:ligatures w14:val="none"/>
        </w:rPr>
      </w:pPr>
      <w:r>
        <w:rPr>
          <w:rFonts w:ascii="Arial" w:hAnsi="Arial" w:eastAsia="Times New Roman" w:cs="Arial"/>
          <w:b/>
          <w:bCs/>
          <w:kern w:val="0"/>
          <w:sz w:val="22"/>
          <w:szCs w:val="22"/>
          <w:lang w:eastAsia="fr-FR"/>
          <w14:ligatures w14:val="none"/>
        </w:rPr>
        <w:t>REFERENCES</w:t>
      </w:r>
    </w:p>
    <w:p w14:paraId="683074CC">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Aebi, H. (1984). Catalase in vitro. </w:t>
      </w:r>
      <w:r>
        <w:rPr>
          <w:rFonts w:ascii="Arial" w:hAnsi="Arial" w:eastAsia="Times New Roman" w:cs="Arial"/>
          <w:i/>
          <w:iCs/>
          <w:kern w:val="0"/>
          <w:sz w:val="20"/>
          <w:szCs w:val="20"/>
          <w:lang w:eastAsia="fr-FR"/>
          <w14:ligatures w14:val="none"/>
        </w:rPr>
        <w:t>Methods in Enzymology</w:t>
      </w:r>
      <w:r>
        <w:rPr>
          <w:rFonts w:ascii="Arial" w:hAnsi="Arial" w:eastAsia="Times New Roman" w:cs="Arial"/>
          <w:kern w:val="0"/>
          <w:sz w:val="20"/>
          <w:szCs w:val="20"/>
          <w:lang w:eastAsia="fr-FR"/>
          <w14:ligatures w14:val="none"/>
        </w:rPr>
        <w:t>, 105, 121-126. [DOI: 10.1016/0076-6879(84)05016-3]</w:t>
      </w:r>
    </w:p>
    <w:p w14:paraId="7D31FA0B">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Ali, H., et al. (2016). </w:t>
      </w:r>
      <w:r>
        <w:rPr>
          <w:rFonts w:ascii="Arial" w:hAnsi="Arial" w:eastAsia="Times New Roman" w:cs="Arial"/>
          <w:i/>
          <w:iCs/>
          <w:kern w:val="0"/>
          <w:sz w:val="20"/>
          <w:szCs w:val="20"/>
          <w:lang w:eastAsia="fr-FR"/>
          <w14:ligatures w14:val="none"/>
        </w:rPr>
        <w:t>Phytochemical and biological properties of medicinal plants</w:t>
      </w:r>
      <w:r>
        <w:rPr>
          <w:rFonts w:ascii="Arial" w:hAnsi="Arial" w:eastAsia="Times New Roman" w:cs="Arial"/>
          <w:kern w:val="0"/>
          <w:sz w:val="20"/>
          <w:szCs w:val="20"/>
          <w:lang w:eastAsia="fr-FR"/>
          <w14:ligatures w14:val="none"/>
        </w:rPr>
        <w:t>. Journal of Natural Products, 79(10), 1119-1133.</w:t>
      </w:r>
    </w:p>
    <w:p w14:paraId="015278CD">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Ayissi, V. B. O., Woguia, A. L., Ngono Ngane, R. A., &amp; Lunga, P. K. (2020). </w:t>
      </w:r>
      <w:r>
        <w:rPr>
          <w:rFonts w:ascii="Arial" w:hAnsi="Arial" w:eastAsia="Times New Roman" w:cs="Arial"/>
          <w:i/>
          <w:iCs/>
          <w:kern w:val="0"/>
          <w:sz w:val="20"/>
          <w:szCs w:val="20"/>
          <w:lang w:eastAsia="fr-FR"/>
          <w14:ligatures w14:val="none"/>
        </w:rPr>
        <w:t>Phytochemistry and pharmacological properties of some Ficus species: A review.</w:t>
      </w:r>
      <w:r>
        <w:rPr>
          <w:rFonts w:ascii="Arial" w:hAnsi="Arial" w:eastAsia="Times New Roman" w:cs="Arial"/>
          <w:kern w:val="0"/>
          <w:sz w:val="20"/>
          <w:szCs w:val="20"/>
          <w:lang w:eastAsia="fr-FR"/>
          <w14:ligatures w14:val="none"/>
        </w:rPr>
        <w:t xml:space="preserve"> International Journal of Pharmacognosy and Phytochemical Research, 12(5), 142–150.</w:t>
      </w:r>
    </w:p>
    <w:p w14:paraId="53F10D3D">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Bae, J. H., et al. (2012). </w:t>
      </w:r>
      <w:r>
        <w:rPr>
          <w:rFonts w:ascii="Arial" w:hAnsi="Arial" w:eastAsia="Times New Roman" w:cs="Arial"/>
          <w:i/>
          <w:iCs/>
          <w:kern w:val="0"/>
          <w:sz w:val="20"/>
          <w:szCs w:val="20"/>
          <w:lang w:eastAsia="fr-FR"/>
          <w14:ligatures w14:val="none"/>
        </w:rPr>
        <w:t>Ethnopharmacological evaluation of medicinal plants</w:t>
      </w:r>
      <w:r>
        <w:rPr>
          <w:rFonts w:ascii="Arial" w:hAnsi="Arial" w:eastAsia="Times New Roman" w:cs="Arial"/>
          <w:kern w:val="0"/>
          <w:sz w:val="20"/>
          <w:szCs w:val="20"/>
          <w:lang w:eastAsia="fr-FR"/>
          <w14:ligatures w14:val="none"/>
        </w:rPr>
        <w:t>. Planta Medica, 78(12), 1304-1314.</w:t>
      </w:r>
    </w:p>
    <w:p w14:paraId="6195C2EA">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Choi, S., Lee, M., &amp; Lee, Y. (2007). Anti-obesity effects of green tea catechin. </w:t>
      </w:r>
      <w:r>
        <w:rPr>
          <w:rFonts w:ascii="Arial" w:hAnsi="Arial" w:eastAsia="Times New Roman" w:cs="Arial"/>
          <w:i/>
          <w:iCs/>
          <w:kern w:val="0"/>
          <w:sz w:val="20"/>
          <w:szCs w:val="20"/>
          <w:lang w:eastAsia="fr-FR"/>
          <w14:ligatures w14:val="none"/>
        </w:rPr>
        <w:t>Phytotherapy Research, 21</w:t>
      </w:r>
      <w:r>
        <w:rPr>
          <w:rFonts w:ascii="Arial" w:hAnsi="Arial" w:eastAsia="Times New Roman" w:cs="Arial"/>
          <w:kern w:val="0"/>
          <w:sz w:val="20"/>
          <w:szCs w:val="20"/>
          <w:lang w:eastAsia="fr-FR"/>
          <w14:ligatures w14:val="none"/>
        </w:rPr>
        <w:t>(9), 1231–1236. https://doi.org/10.1002/ptr.2213</w:t>
      </w:r>
    </w:p>
    <w:p w14:paraId="49636393">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Diniz, M. F. F. M., Ferreira, H. S., Oliveira, D. S., de Almeida, R. N., &amp; Medeiros, A. C. D. (2021). Protective effects of </w:t>
      </w:r>
      <w:r>
        <w:rPr>
          <w:rFonts w:ascii="Arial" w:hAnsi="Arial" w:eastAsia="Times New Roman" w:cs="Arial"/>
          <w:i/>
          <w:iCs/>
          <w:kern w:val="0"/>
          <w:sz w:val="20"/>
          <w:szCs w:val="20"/>
          <w:lang w:eastAsia="fr-FR"/>
          <w14:ligatures w14:val="none"/>
        </w:rPr>
        <w:t>Zingiber officinale</w:t>
      </w:r>
      <w:r>
        <w:rPr>
          <w:rFonts w:ascii="Arial" w:hAnsi="Arial" w:eastAsia="Times New Roman" w:cs="Arial"/>
          <w:kern w:val="0"/>
          <w:sz w:val="20"/>
          <w:szCs w:val="20"/>
          <w:lang w:eastAsia="fr-FR"/>
          <w14:ligatures w14:val="none"/>
        </w:rPr>
        <w:t xml:space="preserve"> against obesity and oxidative stress: A review. </w:t>
      </w:r>
      <w:r>
        <w:rPr>
          <w:rFonts w:ascii="Arial" w:hAnsi="Arial" w:eastAsia="Times New Roman" w:cs="Arial"/>
          <w:i/>
          <w:iCs/>
          <w:kern w:val="0"/>
          <w:sz w:val="20"/>
          <w:szCs w:val="20"/>
          <w:lang w:eastAsia="fr-FR"/>
          <w14:ligatures w14:val="none"/>
        </w:rPr>
        <w:t>Food Research International, 140</w:t>
      </w:r>
      <w:r>
        <w:rPr>
          <w:rFonts w:ascii="Arial" w:hAnsi="Arial" w:eastAsia="Times New Roman" w:cs="Arial"/>
          <w:kern w:val="0"/>
          <w:sz w:val="20"/>
          <w:szCs w:val="20"/>
          <w:lang w:eastAsia="fr-FR"/>
          <w14:ligatures w14:val="none"/>
        </w:rPr>
        <w:t>, 109861. https://doi.org/10.1016/j.foodres.2020.109861</w:t>
      </w:r>
    </w:p>
    <w:p w14:paraId="04EFCCB5">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Ellman, G. L. (1959). Tissue sulfhydryl groups. </w:t>
      </w:r>
      <w:r>
        <w:rPr>
          <w:rFonts w:ascii="Arial" w:hAnsi="Arial" w:eastAsia="Times New Roman" w:cs="Arial"/>
          <w:i/>
          <w:iCs/>
          <w:kern w:val="0"/>
          <w:sz w:val="20"/>
          <w:szCs w:val="20"/>
          <w:lang w:eastAsia="fr-FR"/>
          <w14:ligatures w14:val="none"/>
        </w:rPr>
        <w:t>Archives of Biochemistry and Biophysics</w:t>
      </w:r>
      <w:r>
        <w:rPr>
          <w:rFonts w:ascii="Arial" w:hAnsi="Arial" w:eastAsia="Times New Roman" w:cs="Arial"/>
          <w:kern w:val="0"/>
          <w:sz w:val="20"/>
          <w:szCs w:val="20"/>
          <w:lang w:eastAsia="fr-FR"/>
          <w14:ligatures w14:val="none"/>
        </w:rPr>
        <w:t>, 82(1), 70-77. [DOI: 10.1016/0003-9861(59)90090-6]</w:t>
      </w:r>
    </w:p>
    <w:p w14:paraId="7E8CE81C">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Elshafie, A. E., et al. (2020). </w:t>
      </w:r>
      <w:r>
        <w:rPr>
          <w:rFonts w:ascii="Arial" w:hAnsi="Arial" w:eastAsia="Times New Roman" w:cs="Arial"/>
          <w:i/>
          <w:iCs/>
          <w:kern w:val="0"/>
          <w:sz w:val="20"/>
          <w:szCs w:val="20"/>
          <w:lang w:eastAsia="fr-FR"/>
          <w14:ligatures w14:val="none"/>
        </w:rPr>
        <w:t>Phytochemical characterization and bioactivity of plant extracts: techniques and methods</w:t>
      </w:r>
      <w:r>
        <w:rPr>
          <w:rFonts w:ascii="Arial" w:hAnsi="Arial" w:eastAsia="Times New Roman" w:cs="Arial"/>
          <w:kern w:val="0"/>
          <w:sz w:val="20"/>
          <w:szCs w:val="20"/>
          <w:lang w:eastAsia="fr-FR"/>
          <w14:ligatures w14:val="none"/>
        </w:rPr>
        <w:t>. Journal of Ethnopharmacology, 252, 112556.</w:t>
      </w:r>
    </w:p>
    <w:p w14:paraId="7EB16863">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Ezzat, S. M., et al. (2018). </w:t>
      </w:r>
      <w:r>
        <w:rPr>
          <w:rFonts w:ascii="Arial" w:hAnsi="Arial" w:eastAsia="Times New Roman" w:cs="Arial"/>
          <w:i/>
          <w:iCs/>
          <w:kern w:val="0"/>
          <w:sz w:val="20"/>
          <w:szCs w:val="20"/>
          <w:lang w:eastAsia="fr-FR"/>
          <w14:ligatures w14:val="none"/>
        </w:rPr>
        <w:t>Traditional methods of extraction and bioactive properties of plant secondary metabolites</w:t>
      </w:r>
      <w:r>
        <w:rPr>
          <w:rFonts w:ascii="Arial" w:hAnsi="Arial" w:eastAsia="Times New Roman" w:cs="Arial"/>
          <w:kern w:val="0"/>
          <w:sz w:val="20"/>
          <w:szCs w:val="20"/>
          <w:lang w:eastAsia="fr-FR"/>
          <w14:ligatures w14:val="none"/>
        </w:rPr>
        <w:t>. Bioorganic Chemistry, 72, 172-179.</w:t>
      </w:r>
    </w:p>
    <w:p w14:paraId="76FEA5A8">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Farombi, E. O., Adelowo, O. A., &amp; Ajimoko, Y. R. (2012). Antioxidant properties of </w:t>
      </w:r>
      <w:r>
        <w:rPr>
          <w:rFonts w:ascii="Arial" w:hAnsi="Arial" w:eastAsia="Times New Roman" w:cs="Arial"/>
          <w:i/>
          <w:iCs/>
          <w:kern w:val="0"/>
          <w:sz w:val="20"/>
          <w:szCs w:val="20"/>
          <w:lang w:eastAsia="fr-FR"/>
          <w14:ligatures w14:val="none"/>
        </w:rPr>
        <w:t>Moringa oleifera</w:t>
      </w:r>
      <w:r>
        <w:rPr>
          <w:rFonts w:ascii="Arial" w:hAnsi="Arial" w:eastAsia="Times New Roman" w:cs="Arial"/>
          <w:kern w:val="0"/>
          <w:sz w:val="20"/>
          <w:szCs w:val="20"/>
          <w:lang w:eastAsia="fr-FR"/>
          <w14:ligatures w14:val="none"/>
        </w:rPr>
        <w:t xml:space="preserve"> leaf extract. </w:t>
      </w:r>
      <w:r>
        <w:rPr>
          <w:rFonts w:ascii="Arial" w:hAnsi="Arial" w:eastAsia="Times New Roman" w:cs="Arial"/>
          <w:i/>
          <w:iCs/>
          <w:kern w:val="0"/>
          <w:sz w:val="20"/>
          <w:szCs w:val="20"/>
          <w:lang w:eastAsia="fr-FR"/>
          <w14:ligatures w14:val="none"/>
        </w:rPr>
        <w:t>Journal of Medicinal Food, 15</w:t>
      </w:r>
      <w:r>
        <w:rPr>
          <w:rFonts w:ascii="Arial" w:hAnsi="Arial" w:eastAsia="Times New Roman" w:cs="Arial"/>
          <w:kern w:val="0"/>
          <w:sz w:val="20"/>
          <w:szCs w:val="20"/>
          <w:lang w:eastAsia="fr-FR"/>
          <w14:ligatures w14:val="none"/>
        </w:rPr>
        <w:t>(6), 528–534. https://doi.org/10.1089/jmf.2011.0231</w:t>
      </w:r>
    </w:p>
    <w:p w14:paraId="22261C70">
      <w:pPr>
        <w:spacing w:before="100" w:beforeAutospacing="1" w:after="0" w:line="24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Furukawa, S., et al. (2004). </w:t>
      </w:r>
      <w:r>
        <w:rPr>
          <w:rFonts w:ascii="Arial" w:hAnsi="Arial" w:eastAsia="Times New Roman" w:cs="Arial"/>
          <w:i/>
          <w:iCs/>
          <w:kern w:val="0"/>
          <w:sz w:val="20"/>
          <w:szCs w:val="20"/>
          <w:lang w:eastAsia="fr-FR"/>
          <w14:ligatures w14:val="none"/>
        </w:rPr>
        <w:t>Increased oxidative stress in obesity and its impact on metabolic syndrome.</w:t>
      </w:r>
      <w:r>
        <w:rPr>
          <w:rFonts w:ascii="Arial" w:hAnsi="Arial" w:eastAsia="Times New Roman" w:cs="Arial"/>
          <w:kern w:val="0"/>
          <w:sz w:val="20"/>
          <w:szCs w:val="20"/>
          <w:lang w:eastAsia="fr-FR"/>
          <w14:ligatures w14:val="none"/>
        </w:rPr>
        <w:t xml:space="preserve"> Journal of Clinical Investigation, 114(12), 1752–1761. https://doi.org/10.1172/JCI21625</w:t>
      </w:r>
    </w:p>
    <w:p w14:paraId="2B1DB8A6">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Furukawa, S., Fujita, T., Shimabukuro, M., Iwaki, M., Yamada, Y., Nakajima, Y., ... &amp; Shimomura, I. (2004). Increased oxidative stress in obesity and its impact on metabolic syndrome. </w:t>
      </w:r>
      <w:r>
        <w:rPr>
          <w:rFonts w:ascii="Arial" w:hAnsi="Arial" w:eastAsia="Times New Roman" w:cs="Arial"/>
          <w:i/>
          <w:iCs/>
          <w:kern w:val="0"/>
          <w:sz w:val="20"/>
          <w:szCs w:val="20"/>
          <w:lang w:eastAsia="fr-FR"/>
          <w14:ligatures w14:val="none"/>
        </w:rPr>
        <w:t>The Journal of Clinical Investigation, 114</w:t>
      </w:r>
      <w:r>
        <w:rPr>
          <w:rFonts w:ascii="Arial" w:hAnsi="Arial" w:eastAsia="Times New Roman" w:cs="Arial"/>
          <w:kern w:val="0"/>
          <w:sz w:val="20"/>
          <w:szCs w:val="20"/>
          <w:lang w:eastAsia="fr-FR"/>
          <w14:ligatures w14:val="none"/>
        </w:rPr>
        <w:t>(12), 1752–1761. https://doi.org/10.1172/JCI21625</w:t>
      </w:r>
    </w:p>
    <w:p w14:paraId="2E41887B">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Gao, Y., &amp; Liu, S. (2011). Effects of high-fat diet on food intake and water consumption in rats. </w:t>
      </w:r>
      <w:r>
        <w:rPr>
          <w:rFonts w:ascii="Arial" w:hAnsi="Arial" w:eastAsia="Times New Roman" w:cs="Arial"/>
          <w:i/>
          <w:iCs/>
          <w:kern w:val="0"/>
          <w:sz w:val="20"/>
          <w:szCs w:val="20"/>
          <w:lang w:eastAsia="fr-FR"/>
          <w14:ligatures w14:val="none"/>
        </w:rPr>
        <w:t>Nutrition and Metabolism</w:t>
      </w:r>
      <w:r>
        <w:rPr>
          <w:rFonts w:ascii="Arial" w:hAnsi="Arial" w:eastAsia="Times New Roman" w:cs="Arial"/>
          <w:kern w:val="0"/>
          <w:sz w:val="20"/>
          <w:szCs w:val="20"/>
          <w:lang w:eastAsia="fr-FR"/>
          <w14:ligatures w14:val="none"/>
        </w:rPr>
        <w:t>, 8, 6. https://doi.org/10.1186/1743-7075-8-6</w:t>
      </w:r>
    </w:p>
    <w:p w14:paraId="231D97CC">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Halliwell, B. (2012). </w:t>
      </w:r>
      <w:r>
        <w:rPr>
          <w:rFonts w:ascii="Arial" w:hAnsi="Arial" w:eastAsia="Times New Roman" w:cs="Arial"/>
          <w:i/>
          <w:iCs/>
          <w:kern w:val="0"/>
          <w:sz w:val="20"/>
          <w:szCs w:val="20"/>
          <w:lang w:eastAsia="fr-FR"/>
          <w14:ligatures w14:val="none"/>
        </w:rPr>
        <w:t>Free radicals and antioxidants: updating a personal view.</w:t>
      </w:r>
      <w:r>
        <w:rPr>
          <w:rFonts w:ascii="Arial" w:hAnsi="Arial" w:eastAsia="Times New Roman" w:cs="Arial"/>
          <w:kern w:val="0"/>
          <w:sz w:val="20"/>
          <w:szCs w:val="20"/>
          <w:lang w:eastAsia="fr-FR"/>
          <w14:ligatures w14:val="none"/>
        </w:rPr>
        <w:t xml:space="preserve"> Nutrition Reviews, 70(5), 257–265. https://doi.org/10.1111/j.1753-4887.2012.00476.x</w:t>
      </w:r>
    </w:p>
    <w:p w14:paraId="41554108">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Halliwell, B., &amp; Gutteridge, J. M. C. (2015). Free Radicals in Biology and Medicine. 5th Edition. Oxford University Press.</w:t>
      </w:r>
    </w:p>
    <w:p w14:paraId="7EAC942A">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harma, A. M., &amp; Kushner, R. F. (2012). Obesity management. </w:t>
      </w:r>
      <w:r>
        <w:rPr>
          <w:rFonts w:ascii="Arial" w:hAnsi="Arial" w:eastAsia="Times New Roman" w:cs="Arial"/>
          <w:i/>
          <w:iCs/>
          <w:kern w:val="0"/>
          <w:sz w:val="20"/>
          <w:szCs w:val="20"/>
          <w:lang w:eastAsia="fr-FR"/>
          <w14:ligatures w14:val="none"/>
        </w:rPr>
        <w:t>Journal of Clinical Endocrinology &amp; Metabolism</w:t>
      </w:r>
      <w:r>
        <w:rPr>
          <w:rFonts w:ascii="Arial" w:hAnsi="Arial" w:eastAsia="Times New Roman" w:cs="Arial"/>
          <w:kern w:val="0"/>
          <w:sz w:val="20"/>
          <w:szCs w:val="20"/>
          <w:lang w:eastAsia="fr-FR"/>
          <w14:ligatures w14:val="none"/>
        </w:rPr>
        <w:t>, 97(4), 868–878. https://doi.org/10.1210/jc.2011-2017</w:t>
      </w:r>
    </w:p>
    <w:p w14:paraId="3DBCFB4E">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Harris, R. B. S., &amp; Dykhuizen, R. (2010). The Lee Index and its correlation with body fat and other metabolic markers in rodents. </w:t>
      </w:r>
      <w:r>
        <w:rPr>
          <w:rFonts w:ascii="Arial" w:hAnsi="Arial" w:eastAsia="Times New Roman" w:cs="Arial"/>
          <w:i/>
          <w:iCs/>
          <w:kern w:val="0"/>
          <w:sz w:val="20"/>
          <w:szCs w:val="20"/>
          <w:lang w:eastAsia="fr-FR"/>
          <w14:ligatures w14:val="none"/>
        </w:rPr>
        <w:t>Physiology &amp; Pharmacology</w:t>
      </w:r>
      <w:r>
        <w:rPr>
          <w:rFonts w:ascii="Arial" w:hAnsi="Arial" w:eastAsia="Times New Roman" w:cs="Arial"/>
          <w:kern w:val="0"/>
          <w:sz w:val="20"/>
          <w:szCs w:val="20"/>
          <w:lang w:eastAsia="fr-FR"/>
          <w14:ligatures w14:val="none"/>
        </w:rPr>
        <w:t xml:space="preserve"> 61(3), 19-24.</w:t>
      </w:r>
    </w:p>
    <w:p w14:paraId="1601B67B">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 Lee, Y., et al. (2018). </w:t>
      </w:r>
      <w:r>
        <w:rPr>
          <w:rFonts w:ascii="Arial" w:hAnsi="Arial" w:eastAsia="Times New Roman" w:cs="Arial"/>
          <w:i/>
          <w:iCs/>
          <w:kern w:val="0"/>
          <w:sz w:val="20"/>
          <w:szCs w:val="20"/>
          <w:lang w:eastAsia="fr-FR"/>
          <w14:ligatures w14:val="none"/>
        </w:rPr>
        <w:t>Establishment of a high-fat diet-induced obesity model in rats: A reliable model for studying the metabolic syndrome</w:t>
      </w:r>
      <w:r>
        <w:rPr>
          <w:rFonts w:ascii="Arial" w:hAnsi="Arial" w:eastAsia="Times New Roman" w:cs="Arial"/>
          <w:kern w:val="0"/>
          <w:sz w:val="20"/>
          <w:szCs w:val="20"/>
          <w:lang w:eastAsia="fr-FR"/>
          <w14:ligatures w14:val="none"/>
        </w:rPr>
        <w:t>. Laboratory Animal Research, 34(3), 179-186.</w:t>
      </w:r>
    </w:p>
    <w:p w14:paraId="5AC249AD">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Martel, J., Ojcius, D. M., Ko, Y. F., Ke, P. Y., Wu, C. Y., Peng, H. H., ... &amp; Lin, Y. C. (2020). Anti-obesity effects of phytochemicals: Mechanisms of action and clinical perspectives. </w:t>
      </w:r>
      <w:r>
        <w:rPr>
          <w:rFonts w:ascii="Arial" w:hAnsi="Arial" w:eastAsia="Times New Roman" w:cs="Arial"/>
          <w:i/>
          <w:iCs/>
          <w:kern w:val="0"/>
          <w:sz w:val="20"/>
          <w:szCs w:val="20"/>
          <w:lang w:eastAsia="fr-FR"/>
          <w14:ligatures w14:val="none"/>
        </w:rPr>
        <w:t>International Journal of Molecular Sciences, 21</w:t>
      </w:r>
      <w:r>
        <w:rPr>
          <w:rFonts w:ascii="Arial" w:hAnsi="Arial" w:eastAsia="Times New Roman" w:cs="Arial"/>
          <w:kern w:val="0"/>
          <w:sz w:val="20"/>
          <w:szCs w:val="20"/>
          <w:lang w:eastAsia="fr-FR"/>
          <w14:ligatures w14:val="none"/>
        </w:rPr>
        <w:t>(22), 8891. https://doi.org/10.3390/ijms21228891</w:t>
      </w:r>
    </w:p>
    <w:p w14:paraId="6A914624">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Micha, R., et al. (2017). </w:t>
      </w:r>
      <w:r>
        <w:rPr>
          <w:rFonts w:ascii="Arial" w:hAnsi="Arial" w:eastAsia="Times New Roman" w:cs="Arial"/>
          <w:i/>
          <w:iCs/>
          <w:kern w:val="0"/>
          <w:sz w:val="20"/>
          <w:szCs w:val="20"/>
          <w:lang w:eastAsia="fr-FR"/>
          <w14:ligatures w14:val="none"/>
        </w:rPr>
        <w:t>The role of diet in the development of obesity in animal models</w:t>
      </w:r>
      <w:r>
        <w:rPr>
          <w:rFonts w:ascii="Arial" w:hAnsi="Arial" w:eastAsia="Times New Roman" w:cs="Arial"/>
          <w:kern w:val="0"/>
          <w:sz w:val="20"/>
          <w:szCs w:val="20"/>
          <w:lang w:eastAsia="fr-FR"/>
          <w14:ligatures w14:val="none"/>
        </w:rPr>
        <w:t>. Nutrition and Metabolism, 14(1), 55-61.</w:t>
      </w:r>
    </w:p>
    <w:p w14:paraId="623CBA2D">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Misra, H. P., &amp; Fridovich, I. (1972). The generation of superoxide radical during the autoxidation of ferrous-xylenol orange. </w:t>
      </w:r>
      <w:r>
        <w:rPr>
          <w:rFonts w:ascii="Arial" w:hAnsi="Arial" w:eastAsia="Times New Roman" w:cs="Arial"/>
          <w:i/>
          <w:iCs/>
          <w:kern w:val="0"/>
          <w:sz w:val="20"/>
          <w:szCs w:val="20"/>
          <w:lang w:eastAsia="fr-FR"/>
          <w14:ligatures w14:val="none"/>
        </w:rPr>
        <w:t>Journal of Biological Chemistry</w:t>
      </w:r>
      <w:r>
        <w:rPr>
          <w:rFonts w:ascii="Arial" w:hAnsi="Arial" w:eastAsia="Times New Roman" w:cs="Arial"/>
          <w:kern w:val="0"/>
          <w:sz w:val="20"/>
          <w:szCs w:val="20"/>
          <w:lang w:eastAsia="fr-FR"/>
          <w14:ligatures w14:val="none"/>
        </w:rPr>
        <w:t>, 247(10), 3001-3007. [DOI: 10.1016/S0021-9258(19)60344-6]</w:t>
      </w:r>
    </w:p>
    <w:p w14:paraId="4EBF4E27">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Monteiro, R., &amp; Azevedo, I. (2010). Chronic inflammation in obesity and the metabolic syndrome. </w:t>
      </w:r>
      <w:r>
        <w:rPr>
          <w:rFonts w:ascii="Arial" w:hAnsi="Arial" w:eastAsia="Times New Roman" w:cs="Arial"/>
          <w:i/>
          <w:iCs/>
          <w:kern w:val="0"/>
          <w:sz w:val="20"/>
          <w:szCs w:val="20"/>
          <w:lang w:eastAsia="fr-FR"/>
          <w14:ligatures w14:val="none"/>
        </w:rPr>
        <w:t>Mediators of Inflammation, 2010</w:t>
      </w:r>
      <w:r>
        <w:rPr>
          <w:rFonts w:ascii="Arial" w:hAnsi="Arial" w:eastAsia="Times New Roman" w:cs="Arial"/>
          <w:kern w:val="0"/>
          <w:sz w:val="20"/>
          <w:szCs w:val="20"/>
          <w:lang w:eastAsia="fr-FR"/>
          <w14:ligatures w14:val="none"/>
        </w:rPr>
        <w:t>, 289645. https://doi.org/10.1155/2010/289645</w:t>
      </w:r>
    </w:p>
    <w:p w14:paraId="1C260709">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Ndam, L. M., Mih, A. M., &amp; Tsafack, A. (2017). </w:t>
      </w:r>
      <w:r>
        <w:rPr>
          <w:rFonts w:ascii="Arial" w:hAnsi="Arial" w:eastAsia="Times New Roman" w:cs="Arial"/>
          <w:i/>
          <w:iCs/>
          <w:kern w:val="0"/>
          <w:sz w:val="20"/>
          <w:szCs w:val="20"/>
          <w:lang w:eastAsia="fr-FR"/>
          <w14:ligatures w14:val="none"/>
        </w:rPr>
        <w:t>Ethnobotanical survey of medicinal plants used in the management of obesity in the North West Region of Cameroon.</w:t>
      </w:r>
      <w:r>
        <w:rPr>
          <w:rFonts w:ascii="Arial" w:hAnsi="Arial" w:eastAsia="Times New Roman" w:cs="Arial"/>
          <w:kern w:val="0"/>
          <w:sz w:val="20"/>
          <w:szCs w:val="20"/>
          <w:lang w:eastAsia="fr-FR"/>
          <w14:ligatures w14:val="none"/>
        </w:rPr>
        <w:t xml:space="preserve"> Journal of Ethnopharmacology, 198, 54–63. </w:t>
      </w:r>
      <w:r>
        <w:fldChar w:fldCharType="begin"/>
      </w:r>
      <w:r>
        <w:instrText xml:space="preserve"> HYPERLINK "https://doi.org/10.1016/j.jep.2016.12.007" </w:instrText>
      </w:r>
      <w:r>
        <w:fldChar w:fldCharType="separate"/>
      </w:r>
      <w:r>
        <w:rPr>
          <w:rStyle w:val="17"/>
          <w:rFonts w:ascii="Arial" w:hAnsi="Arial" w:eastAsia="Times New Roman" w:cs="Arial"/>
          <w:kern w:val="0"/>
          <w:sz w:val="20"/>
          <w:szCs w:val="20"/>
          <w:lang w:eastAsia="fr-FR"/>
          <w14:ligatures w14:val="none"/>
        </w:rPr>
        <w:t>https://doi.org/10.1016/j.jep.2016.12.007</w:t>
      </w:r>
      <w:r>
        <w:rPr>
          <w:rStyle w:val="17"/>
          <w:rFonts w:ascii="Arial" w:hAnsi="Arial" w:eastAsia="Times New Roman" w:cs="Arial"/>
          <w:kern w:val="0"/>
          <w:sz w:val="20"/>
          <w:szCs w:val="20"/>
          <w:lang w:eastAsia="fr-FR"/>
          <w14:ligatures w14:val="none"/>
        </w:rPr>
        <w:fldChar w:fldCharType="end"/>
      </w:r>
    </w:p>
    <w:p w14:paraId="79E8A814">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Njume, C., Goduka, N. I. (2014). </w:t>
      </w:r>
      <w:r>
        <w:rPr>
          <w:rFonts w:ascii="Arial" w:hAnsi="Arial" w:eastAsia="Times New Roman" w:cs="Arial"/>
          <w:i/>
          <w:iCs/>
          <w:kern w:val="0"/>
          <w:sz w:val="20"/>
          <w:szCs w:val="20"/>
          <w:lang w:eastAsia="fr-FR"/>
          <w14:ligatures w14:val="none"/>
        </w:rPr>
        <w:t>Treatment of diarrhoea in rural African communities: an overview of measures to maximise the medicinal potentials of indigenous plants.</w:t>
      </w:r>
      <w:r>
        <w:rPr>
          <w:rFonts w:ascii="Arial" w:hAnsi="Arial" w:eastAsia="Times New Roman" w:cs="Arial"/>
          <w:kern w:val="0"/>
          <w:sz w:val="20"/>
          <w:szCs w:val="20"/>
          <w:lang w:eastAsia="fr-FR"/>
          <w14:ligatures w14:val="none"/>
        </w:rPr>
        <w:t xml:space="preserve"> International Journal of Environmental Research and Public Health, 11(11), 11584–11600. https://doi.org/10.3390/ijerph111111584</w:t>
      </w:r>
    </w:p>
    <w:p w14:paraId="6D84EFDD">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Ohkawa, H., Ohishi, N., &amp; Yagi, K. (1979). Assay for lipid peroxides in animal tissues by thiobarbituric acid reaction. </w:t>
      </w:r>
      <w:r>
        <w:rPr>
          <w:rFonts w:ascii="Arial" w:hAnsi="Arial" w:eastAsia="Times New Roman" w:cs="Arial"/>
          <w:i/>
          <w:iCs/>
          <w:kern w:val="0"/>
          <w:sz w:val="20"/>
          <w:szCs w:val="20"/>
          <w:lang w:eastAsia="fr-FR"/>
          <w14:ligatures w14:val="none"/>
        </w:rPr>
        <w:t>Analytical Biochemistry</w:t>
      </w:r>
      <w:r>
        <w:rPr>
          <w:rFonts w:ascii="Arial" w:hAnsi="Arial" w:eastAsia="Times New Roman" w:cs="Arial"/>
          <w:kern w:val="0"/>
          <w:sz w:val="20"/>
          <w:szCs w:val="20"/>
          <w:lang w:eastAsia="fr-FR"/>
          <w14:ligatures w14:val="none"/>
        </w:rPr>
        <w:t>, 95(2), 351-358. [DOI: 10.1016/0003-2697(79)90738-3]</w:t>
      </w:r>
    </w:p>
    <w:p w14:paraId="1FF2E101">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Onakpoya, I., Hung, S. K., Perry, R., Wider, B., &amp; Ernst, E. (2011). The efficacy of </w:t>
      </w:r>
      <w:r>
        <w:rPr>
          <w:rFonts w:ascii="Arial" w:hAnsi="Arial" w:eastAsia="Times New Roman" w:cs="Arial"/>
          <w:i/>
          <w:iCs/>
          <w:kern w:val="0"/>
          <w:sz w:val="20"/>
          <w:szCs w:val="20"/>
          <w:lang w:eastAsia="fr-FR"/>
          <w14:ligatures w14:val="none"/>
        </w:rPr>
        <w:t>Garcinia cambogia</w:t>
      </w:r>
      <w:r>
        <w:rPr>
          <w:rFonts w:ascii="Arial" w:hAnsi="Arial" w:eastAsia="Times New Roman" w:cs="Arial"/>
          <w:kern w:val="0"/>
          <w:sz w:val="20"/>
          <w:szCs w:val="20"/>
          <w:lang w:eastAsia="fr-FR"/>
          <w14:ligatures w14:val="none"/>
        </w:rPr>
        <w:t xml:space="preserve"> as a weight-loss supplement: A systematic review and meta-analysis of randomized clinical trials. </w:t>
      </w:r>
      <w:r>
        <w:rPr>
          <w:rFonts w:ascii="Arial" w:hAnsi="Arial" w:eastAsia="Times New Roman" w:cs="Arial"/>
          <w:i/>
          <w:iCs/>
          <w:kern w:val="0"/>
          <w:sz w:val="20"/>
          <w:szCs w:val="20"/>
          <w:lang w:eastAsia="fr-FR"/>
          <w14:ligatures w14:val="none"/>
        </w:rPr>
        <w:t>Journal of Obesity, 2011</w:t>
      </w:r>
      <w:r>
        <w:rPr>
          <w:rFonts w:ascii="Arial" w:hAnsi="Arial" w:eastAsia="Times New Roman" w:cs="Arial"/>
          <w:kern w:val="0"/>
          <w:sz w:val="20"/>
          <w:szCs w:val="20"/>
          <w:lang w:eastAsia="fr-FR"/>
          <w14:ligatures w14:val="none"/>
        </w:rPr>
        <w:t>, 509038. https://doi.org/10.1155/2011/509038</w:t>
      </w:r>
    </w:p>
    <w:p w14:paraId="43AEB69C">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Powers, S. K., &amp; Jackson, M. J. (2008). Exercise-induced oxidative stress: cellular mechanisms and impact on muscle force production. </w:t>
      </w:r>
      <w:r>
        <w:rPr>
          <w:rFonts w:ascii="Arial" w:hAnsi="Arial" w:eastAsia="Times New Roman" w:cs="Arial"/>
          <w:i/>
          <w:iCs/>
          <w:kern w:val="0"/>
          <w:sz w:val="20"/>
          <w:szCs w:val="20"/>
          <w:lang w:eastAsia="fr-FR"/>
          <w14:ligatures w14:val="none"/>
        </w:rPr>
        <w:t>Physiological Reviews</w:t>
      </w:r>
      <w:r>
        <w:rPr>
          <w:rFonts w:ascii="Arial" w:hAnsi="Arial" w:eastAsia="Times New Roman" w:cs="Arial"/>
          <w:kern w:val="0"/>
          <w:sz w:val="20"/>
          <w:szCs w:val="20"/>
          <w:lang w:eastAsia="fr-FR"/>
          <w14:ligatures w14:val="none"/>
        </w:rPr>
        <w:t>, 88(4), 1243-1276. [DOI: 10.1152/physrev.00046.2007]</w:t>
      </w:r>
    </w:p>
    <w:p w14:paraId="20A050F2">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Savini, I., Catani, M. V., Evangelista, D., Gasperi, V., &amp; Avigliano, L. (2013). </w:t>
      </w:r>
      <w:r>
        <w:rPr>
          <w:rFonts w:ascii="Arial" w:hAnsi="Arial" w:eastAsia="Times New Roman" w:cs="Arial"/>
          <w:i/>
          <w:iCs/>
          <w:kern w:val="0"/>
          <w:sz w:val="20"/>
          <w:szCs w:val="20"/>
          <w:lang w:eastAsia="fr-FR"/>
          <w14:ligatures w14:val="none"/>
        </w:rPr>
        <w:t>Obesity-associated oxidative stress: strategies finalized to improve redox state.</w:t>
      </w:r>
      <w:r>
        <w:rPr>
          <w:rFonts w:ascii="Arial" w:hAnsi="Arial" w:eastAsia="Times New Roman" w:cs="Arial"/>
          <w:kern w:val="0"/>
          <w:sz w:val="20"/>
          <w:szCs w:val="20"/>
          <w:lang w:eastAsia="fr-FR"/>
          <w14:ligatures w14:val="none"/>
        </w:rPr>
        <w:t xml:space="preserve"> International Journal of Molecular Sciences, 14(5), 10497–10538. https://doi.org/10.3390/ijms140510497</w:t>
      </w:r>
    </w:p>
    <w:p w14:paraId="414E1853">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Sies, H., Belousov, V. V., Chandel, N. S., Davies, M. J., Jones, D. P., Mann, G. E., ... &amp; Winterbourn, C. C. (2017). Defining roles of specific reactive oxygen species in cell biology and physiology. </w:t>
      </w:r>
      <w:r>
        <w:rPr>
          <w:rFonts w:ascii="Arial" w:hAnsi="Arial" w:eastAsia="Times New Roman" w:cs="Arial"/>
          <w:i/>
          <w:iCs/>
          <w:kern w:val="0"/>
          <w:sz w:val="20"/>
          <w:szCs w:val="20"/>
          <w:lang w:eastAsia="fr-FR"/>
          <w14:ligatures w14:val="none"/>
        </w:rPr>
        <w:t>Nature Reviews Molecular Cell Biology, 18</w:t>
      </w:r>
      <w:r>
        <w:rPr>
          <w:rFonts w:ascii="Arial" w:hAnsi="Arial" w:eastAsia="Times New Roman" w:cs="Arial"/>
          <w:kern w:val="0"/>
          <w:sz w:val="20"/>
          <w:szCs w:val="20"/>
          <w:lang w:eastAsia="fr-FR"/>
          <w14:ligatures w14:val="none"/>
        </w:rPr>
        <w:t>(6), 311–321. https://doi.org/10.1038/nrm.2017.10</w:t>
      </w:r>
    </w:p>
    <w:p w14:paraId="6C07FBC5">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Souri, E., et al. (2015). </w:t>
      </w:r>
      <w:r>
        <w:rPr>
          <w:rFonts w:ascii="Arial" w:hAnsi="Arial" w:eastAsia="Times New Roman" w:cs="Arial"/>
          <w:i/>
          <w:iCs/>
          <w:kern w:val="0"/>
          <w:sz w:val="20"/>
          <w:szCs w:val="20"/>
          <w:lang w:eastAsia="fr-FR"/>
          <w14:ligatures w14:val="none"/>
        </w:rPr>
        <w:t>Preservation of plant extracts: A study on storage and stability</w:t>
      </w:r>
      <w:r>
        <w:rPr>
          <w:rFonts w:ascii="Arial" w:hAnsi="Arial" w:eastAsia="Times New Roman" w:cs="Arial"/>
          <w:kern w:val="0"/>
          <w:sz w:val="20"/>
          <w:szCs w:val="20"/>
          <w:lang w:eastAsia="fr-FR"/>
          <w14:ligatures w14:val="none"/>
        </w:rPr>
        <w:t>. Journal of Herbal Medicine, 6(4), 234-241.</w:t>
      </w:r>
    </w:p>
    <w:p w14:paraId="0952A9AF">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Storlien, L. H., et al. (2000). </w:t>
      </w:r>
      <w:r>
        <w:rPr>
          <w:rFonts w:ascii="Arial" w:hAnsi="Arial" w:eastAsia="Times New Roman" w:cs="Arial"/>
          <w:i/>
          <w:iCs/>
          <w:kern w:val="0"/>
          <w:sz w:val="20"/>
          <w:szCs w:val="20"/>
          <w:lang w:eastAsia="fr-FR"/>
          <w14:ligatures w14:val="none"/>
        </w:rPr>
        <w:t>Dietary fat and obesity: The physiological and metabolic effects of a high-fat diet in rats</w:t>
      </w:r>
      <w:r>
        <w:rPr>
          <w:rFonts w:ascii="Arial" w:hAnsi="Arial" w:eastAsia="Times New Roman" w:cs="Arial"/>
          <w:kern w:val="0"/>
          <w:sz w:val="20"/>
          <w:szCs w:val="20"/>
          <w:lang w:eastAsia="fr-FR"/>
          <w14:ligatures w14:val="none"/>
        </w:rPr>
        <w:t>. Journal of Nutrition, 130(7), 1796-1803.</w:t>
      </w:r>
    </w:p>
    <w:p w14:paraId="43444E74">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Tchoumbougnang, F., et al. (2014). </w:t>
      </w:r>
      <w:r>
        <w:rPr>
          <w:rFonts w:ascii="Arial" w:hAnsi="Arial" w:eastAsia="Times New Roman" w:cs="Arial"/>
          <w:i/>
          <w:iCs/>
          <w:kern w:val="0"/>
          <w:sz w:val="20"/>
          <w:szCs w:val="20"/>
          <w:lang w:eastAsia="fr-FR"/>
          <w14:ligatures w14:val="none"/>
        </w:rPr>
        <w:t>Traditional plant extraction methods: Impact on the phytochemical profile</w:t>
      </w:r>
      <w:r>
        <w:rPr>
          <w:rFonts w:ascii="Arial" w:hAnsi="Arial" w:eastAsia="Times New Roman" w:cs="Arial"/>
          <w:kern w:val="0"/>
          <w:sz w:val="20"/>
          <w:szCs w:val="20"/>
          <w:lang w:eastAsia="fr-FR"/>
          <w14:ligatures w14:val="none"/>
        </w:rPr>
        <w:t>. Phytochemistry Reviews, 13(2), 205-215.</w:t>
      </w:r>
    </w:p>
    <w:p w14:paraId="2E82949B">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Vincent, H. K., &amp; Taylor, A. G. (2006). Biomarkers and potential mechanisms of obesity-induced oxidant stress in humans. </w:t>
      </w:r>
      <w:r>
        <w:rPr>
          <w:rFonts w:ascii="Arial" w:hAnsi="Arial" w:eastAsia="Times New Roman" w:cs="Arial"/>
          <w:i/>
          <w:iCs/>
          <w:kern w:val="0"/>
          <w:sz w:val="20"/>
          <w:szCs w:val="20"/>
          <w:lang w:eastAsia="fr-FR"/>
          <w14:ligatures w14:val="none"/>
        </w:rPr>
        <w:t>International Journal of Obesity, 30</w:t>
      </w:r>
      <w:r>
        <w:rPr>
          <w:rFonts w:ascii="Arial" w:hAnsi="Arial" w:eastAsia="Times New Roman" w:cs="Arial"/>
          <w:kern w:val="0"/>
          <w:sz w:val="20"/>
          <w:szCs w:val="20"/>
          <w:lang w:eastAsia="fr-FR"/>
          <w14:ligatures w14:val="none"/>
        </w:rPr>
        <w:t>(3), 400–418. https://doi.org/10.1038/sj.ijo.0803177</w:t>
      </w:r>
    </w:p>
    <w:p w14:paraId="628BB754">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Vincent, H. K., Taylor, A. G. (2005). </w:t>
      </w:r>
      <w:r>
        <w:rPr>
          <w:rFonts w:ascii="Arial" w:hAnsi="Arial" w:eastAsia="Times New Roman" w:cs="Arial"/>
          <w:i/>
          <w:iCs/>
          <w:kern w:val="0"/>
          <w:sz w:val="20"/>
          <w:szCs w:val="20"/>
          <w:lang w:eastAsia="fr-FR"/>
          <w14:ligatures w14:val="none"/>
        </w:rPr>
        <w:t>Biomarkers and potential mechanisms of obesity-induced oxidant stress in humans.</w:t>
      </w:r>
      <w:r>
        <w:rPr>
          <w:rFonts w:ascii="Arial" w:hAnsi="Arial" w:eastAsia="Times New Roman" w:cs="Arial"/>
          <w:kern w:val="0"/>
          <w:sz w:val="20"/>
          <w:szCs w:val="20"/>
          <w:lang w:eastAsia="fr-FR"/>
          <w14:ligatures w14:val="none"/>
        </w:rPr>
        <w:t xml:space="preserve"> International Journal of Obesity, 30(3), 400–418. https://doi.org/10.1038/sj.ijo.0803177</w:t>
      </w:r>
    </w:p>
    <w:p w14:paraId="2504F420">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Vogel, R., et al. (2017). </w:t>
      </w:r>
      <w:r>
        <w:rPr>
          <w:rFonts w:ascii="Arial" w:hAnsi="Arial" w:eastAsia="Times New Roman" w:cs="Arial"/>
          <w:i/>
          <w:iCs/>
          <w:kern w:val="0"/>
          <w:sz w:val="20"/>
          <w:szCs w:val="20"/>
          <w:lang w:eastAsia="fr-FR"/>
          <w14:ligatures w14:val="none"/>
        </w:rPr>
        <w:t>Obesity and the metabolic syndrome: Insights from animal models</w:t>
      </w:r>
      <w:r>
        <w:rPr>
          <w:rFonts w:ascii="Arial" w:hAnsi="Arial" w:eastAsia="Times New Roman" w:cs="Arial"/>
          <w:kern w:val="0"/>
          <w:sz w:val="20"/>
          <w:szCs w:val="20"/>
          <w:lang w:eastAsia="fr-FR"/>
          <w14:ligatures w14:val="none"/>
        </w:rPr>
        <w:t>. Journal of Obesity &amp; Metabolic Research, 16(4), 289-298.</w:t>
      </w:r>
    </w:p>
    <w:p w14:paraId="534AC647">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WHO (2023). </w:t>
      </w:r>
      <w:r>
        <w:rPr>
          <w:rFonts w:ascii="Arial" w:hAnsi="Arial" w:eastAsia="Times New Roman" w:cs="Arial"/>
          <w:i/>
          <w:iCs/>
          <w:kern w:val="0"/>
          <w:sz w:val="20"/>
          <w:szCs w:val="20"/>
          <w:lang w:eastAsia="fr-FR"/>
          <w14:ligatures w14:val="none"/>
        </w:rPr>
        <w:t>Obesity and overweight.</w:t>
      </w:r>
      <w:r>
        <w:rPr>
          <w:rFonts w:ascii="Arial" w:hAnsi="Arial" w:eastAsia="Times New Roman" w:cs="Arial"/>
          <w:kern w:val="0"/>
          <w:sz w:val="20"/>
          <w:szCs w:val="20"/>
          <w:lang w:eastAsia="fr-FR"/>
          <w14:ligatures w14:val="none"/>
        </w:rPr>
        <w:t xml:space="preserve"> World Health Organization. </w:t>
      </w:r>
      <w:r>
        <w:fldChar w:fldCharType="begin"/>
      </w:r>
      <w:r>
        <w:instrText xml:space="preserve"> HYPERLINK "https://www.who.int/news-room/fact-sheets/detail/obesity-and-overweight" \t "_new" </w:instrText>
      </w:r>
      <w:r>
        <w:fldChar w:fldCharType="separate"/>
      </w:r>
      <w:r>
        <w:rPr>
          <w:rFonts w:ascii="Arial" w:hAnsi="Arial" w:eastAsia="Times New Roman" w:cs="Arial"/>
          <w:color w:val="0000FF"/>
          <w:kern w:val="0"/>
          <w:sz w:val="20"/>
          <w:szCs w:val="20"/>
          <w:u w:val="single"/>
          <w:lang w:eastAsia="fr-FR"/>
          <w14:ligatures w14:val="none"/>
        </w:rPr>
        <w:t>https://www.who.int/news-room/fact-sheets/detail/obesity-and-overweight</w:t>
      </w:r>
      <w:r>
        <w:rPr>
          <w:rFonts w:ascii="Arial" w:hAnsi="Arial" w:eastAsia="Times New Roman" w:cs="Arial"/>
          <w:color w:val="0000FF"/>
          <w:kern w:val="0"/>
          <w:sz w:val="20"/>
          <w:szCs w:val="20"/>
          <w:u w:val="single"/>
          <w:lang w:eastAsia="fr-FR"/>
          <w14:ligatures w14:val="none"/>
        </w:rPr>
        <w:fldChar w:fldCharType="end"/>
      </w:r>
    </w:p>
    <w:p w14:paraId="4A162499">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Woods, S. C., Seeley, R. J., Rushing, P. A., D’Alessio, D., &amp; Tso, P. (2003). A controlled high-fat diet induces an obese syndrome in rats. </w:t>
      </w:r>
      <w:r>
        <w:rPr>
          <w:rFonts w:ascii="Arial" w:hAnsi="Arial" w:eastAsia="Times New Roman" w:cs="Arial"/>
          <w:i/>
          <w:iCs/>
          <w:kern w:val="0"/>
          <w:sz w:val="20"/>
          <w:szCs w:val="20"/>
          <w:lang w:eastAsia="fr-FR"/>
          <w14:ligatures w14:val="none"/>
        </w:rPr>
        <w:t>The Journal of Nutrition, 133</w:t>
      </w:r>
      <w:r>
        <w:rPr>
          <w:rFonts w:ascii="Arial" w:hAnsi="Arial" w:eastAsia="Times New Roman" w:cs="Arial"/>
          <w:kern w:val="0"/>
          <w:sz w:val="20"/>
          <w:szCs w:val="20"/>
          <w:lang w:eastAsia="fr-FR"/>
          <w14:ligatures w14:val="none"/>
        </w:rPr>
        <w:t xml:space="preserve">(4), 1081–1087. </w:t>
      </w:r>
      <w:r>
        <w:fldChar w:fldCharType="begin"/>
      </w:r>
      <w:r>
        <w:instrText xml:space="preserve"> HYPERLINK "https://doi.org/10.1093/jn/133.4.1081" </w:instrText>
      </w:r>
      <w:r>
        <w:fldChar w:fldCharType="separate"/>
      </w:r>
      <w:r>
        <w:rPr>
          <w:rStyle w:val="17"/>
          <w:rFonts w:ascii="Arial" w:hAnsi="Arial" w:eastAsia="Times New Roman" w:cs="Arial"/>
          <w:kern w:val="0"/>
          <w:sz w:val="20"/>
          <w:szCs w:val="20"/>
          <w:lang w:eastAsia="fr-FR"/>
          <w14:ligatures w14:val="none"/>
        </w:rPr>
        <w:t>https://doi.org/10.1093/jn/133.4.1081</w:t>
      </w:r>
      <w:r>
        <w:rPr>
          <w:rStyle w:val="17"/>
          <w:rFonts w:ascii="Arial" w:hAnsi="Arial" w:eastAsia="Times New Roman" w:cs="Arial"/>
          <w:kern w:val="0"/>
          <w:sz w:val="20"/>
          <w:szCs w:val="20"/>
          <w:lang w:eastAsia="fr-FR"/>
          <w14:ligatures w14:val="none"/>
        </w:rPr>
        <w:fldChar w:fldCharType="end"/>
      </w:r>
    </w:p>
    <w:p w14:paraId="4E86EB88">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Yakubu, M. T., et al. (2021). </w:t>
      </w:r>
      <w:r>
        <w:rPr>
          <w:rFonts w:ascii="Arial" w:hAnsi="Arial" w:eastAsia="Times New Roman" w:cs="Arial"/>
          <w:i/>
          <w:iCs/>
          <w:kern w:val="0"/>
          <w:sz w:val="20"/>
          <w:szCs w:val="20"/>
          <w:lang w:eastAsia="fr-FR"/>
          <w14:ligatures w14:val="none"/>
        </w:rPr>
        <w:t>Ethnopharmacology, phytochemistry and biological activities of genus Ficus (Moraceae): A review.</w:t>
      </w:r>
      <w:r>
        <w:rPr>
          <w:rFonts w:ascii="Arial" w:hAnsi="Arial" w:eastAsia="Times New Roman" w:cs="Arial"/>
          <w:kern w:val="0"/>
          <w:sz w:val="20"/>
          <w:szCs w:val="20"/>
          <w:lang w:eastAsia="fr-FR"/>
          <w14:ligatures w14:val="none"/>
        </w:rPr>
        <w:t xml:space="preserve"> Heliyon, 7(1), e05970. https://doi.org/10.1016/j.heliyon.2021.e05970</w:t>
      </w:r>
    </w:p>
    <w:p w14:paraId="2906941A">
      <w:pPr>
        <w:spacing w:before="100" w:beforeAutospacing="1" w:after="0" w:line="360" w:lineRule="auto"/>
        <w:jc w:val="both"/>
        <w:rPr>
          <w:rFonts w:ascii="Arial" w:hAnsi="Arial" w:eastAsia="Times New Roman" w:cs="Arial"/>
          <w:kern w:val="0"/>
          <w:sz w:val="20"/>
          <w:szCs w:val="20"/>
          <w:lang w:eastAsia="fr-FR"/>
          <w14:ligatures w14:val="none"/>
        </w:rPr>
      </w:pPr>
      <w:r>
        <w:rPr>
          <w:rFonts w:ascii="Arial" w:hAnsi="Arial" w:eastAsia="Times New Roman" w:cs="Arial"/>
          <w:kern w:val="0"/>
          <w:sz w:val="20"/>
          <w:szCs w:val="20"/>
          <w:lang w:eastAsia="fr-FR"/>
          <w14:ligatures w14:val="none"/>
        </w:rPr>
        <w:t xml:space="preserve"> Zhao, W., et al. (2019). </w:t>
      </w:r>
      <w:r>
        <w:rPr>
          <w:rFonts w:ascii="Arial" w:hAnsi="Arial" w:eastAsia="Times New Roman" w:cs="Arial"/>
          <w:i/>
          <w:iCs/>
          <w:kern w:val="0"/>
          <w:sz w:val="20"/>
          <w:szCs w:val="20"/>
          <w:lang w:eastAsia="fr-FR"/>
          <w14:ligatures w14:val="none"/>
        </w:rPr>
        <w:t>Effects of high-fat diet on obesity-induced changes in metabolic and inflammation markers in rats</w:t>
      </w:r>
      <w:r>
        <w:rPr>
          <w:rFonts w:ascii="Arial" w:hAnsi="Arial" w:eastAsia="Times New Roman" w:cs="Arial"/>
          <w:kern w:val="0"/>
          <w:sz w:val="20"/>
          <w:szCs w:val="20"/>
          <w:lang w:eastAsia="fr-FR"/>
          <w14:ligatures w14:val="none"/>
        </w:rPr>
        <w:t>. Obesity Research &amp; Clinical Practice, 13(3), 247-255.</w:t>
      </w:r>
    </w:p>
    <w:p w14:paraId="4C3DEBFF">
      <w:pPr>
        <w:spacing w:before="100" w:beforeAutospacing="1" w:after="0" w:line="360" w:lineRule="auto"/>
        <w:rPr>
          <w:rFonts w:ascii="Arial" w:hAnsi="Arial" w:eastAsia="Times New Roman" w:cs="Arial"/>
          <w:kern w:val="0"/>
          <w:lang w:eastAsia="fr-FR"/>
          <w14:ligatures w14:val="none"/>
        </w:rPr>
      </w:pPr>
    </w:p>
    <w:p w14:paraId="5866F0CB">
      <w:pPr>
        <w:spacing w:before="100" w:beforeAutospacing="1" w:after="0" w:line="360" w:lineRule="auto"/>
        <w:rPr>
          <w:rFonts w:ascii="Arial" w:hAnsi="Arial" w:eastAsia="Times New Roman" w:cs="Arial"/>
          <w:kern w:val="0"/>
          <w:lang w:eastAsia="fr-FR"/>
          <w14:ligatures w14:val="none"/>
        </w:rPr>
      </w:pPr>
    </w:p>
    <w:p w14:paraId="0D68F60A">
      <w:pPr>
        <w:spacing w:after="0" w:line="360" w:lineRule="auto"/>
        <w:jc w:val="both"/>
        <w:rPr>
          <w:rFonts w:ascii="Arial" w:hAnsi="Arial" w:cs="Arial"/>
        </w:rPr>
      </w:pPr>
    </w:p>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1417" w:left="141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yoyo ududua" w:date="2025-05-09T21:46:58Z" w:initials="">
    <w:p w14:paraId="74DC710F">
      <w:pPr>
        <w:pStyle w:val="13"/>
        <w:rPr>
          <w:rFonts w:hint="default"/>
          <w:lang w:val="en-US"/>
        </w:rPr>
      </w:pPr>
      <w:r>
        <w:rPr>
          <w:rFonts w:hint="default"/>
          <w:lang w:val="en-US"/>
        </w:rPr>
        <w:t>Get more recent references</w:t>
      </w:r>
    </w:p>
  </w:comment>
  <w:comment w:id="1" w:author="uyoyo ududua" w:date="2025-05-09T21:47:42Z" w:initials="">
    <w:p w14:paraId="641770BB">
      <w:pPr>
        <w:pStyle w:val="13"/>
        <w:rPr>
          <w:rFonts w:hint="default"/>
          <w:lang w:val="en-US"/>
        </w:rPr>
      </w:pPr>
      <w:r>
        <w:rPr>
          <w:rFonts w:hint="default"/>
          <w:lang w:val="en-US"/>
        </w:rPr>
        <w:t>Get more recent ref</w:t>
      </w:r>
    </w:p>
  </w:comment>
  <w:comment w:id="2" w:author="uyoyo ududua" w:date="2025-05-09T21:48:02Z" w:initials="">
    <w:p w14:paraId="4BD69FCE">
      <w:pPr>
        <w:pStyle w:val="13"/>
        <w:rPr>
          <w:rFonts w:hint="default"/>
          <w:lang w:val="en-US"/>
        </w:rPr>
      </w:pPr>
      <w:r>
        <w:rPr>
          <w:rFonts w:hint="default"/>
          <w:lang w:val="en-US"/>
        </w:rPr>
        <w:t>Get more recent ref</w:t>
      </w:r>
    </w:p>
  </w:comment>
  <w:comment w:id="3" w:author="uyoyo ududua" w:date="2025-05-09T21:53:35Z" w:initials="">
    <w:p w14:paraId="54584639">
      <w:pPr>
        <w:pStyle w:val="13"/>
        <w:rPr>
          <w:rFonts w:hint="default"/>
          <w:lang w:val="en-US"/>
        </w:rPr>
      </w:pPr>
      <w:r>
        <w:rPr>
          <w:rFonts w:hint="default"/>
          <w:lang w:val="en-US"/>
        </w:rPr>
        <w:t>Should be moved to conclusion</w:t>
      </w:r>
    </w:p>
  </w:comment>
  <w:comment w:id="4" w:author="uyoyo ududua" w:date="2025-05-09T21:55:53Z" w:initials="">
    <w:p w14:paraId="449D0A5F">
      <w:pPr>
        <w:pStyle w:val="13"/>
        <w:rPr>
          <w:rFonts w:hint="default"/>
          <w:lang w:val="en-US"/>
        </w:rPr>
      </w:pPr>
      <w:r>
        <w:rPr>
          <w:rFonts w:hint="default"/>
          <w:lang w:val="en-US"/>
        </w:rPr>
        <w:t>Replace with “Animal”</w:t>
      </w:r>
    </w:p>
  </w:comment>
  <w:comment w:id="5" w:author="uyoyo ududua" w:date="2025-05-09T22:01:31Z" w:initials="">
    <w:p w14:paraId="2F54734C">
      <w:pPr>
        <w:pStyle w:val="13"/>
        <w:rPr>
          <w:rFonts w:hint="default"/>
          <w:lang w:val="en-US"/>
        </w:rPr>
      </w:pPr>
      <w:r>
        <w:rPr>
          <w:rFonts w:hint="default"/>
          <w:lang w:val="en-US"/>
        </w:rPr>
        <w:t>Need recent ref</w:t>
      </w:r>
    </w:p>
  </w:comment>
  <w:comment w:id="6" w:author="uyoyo ududua" w:date="2025-05-09T22:05:16Z" w:initials="">
    <w:p w14:paraId="6E3EAC22">
      <w:pPr>
        <w:pStyle w:val="13"/>
        <w:rPr>
          <w:rFonts w:hint="default"/>
          <w:lang w:val="en-US"/>
        </w:rPr>
      </w:pPr>
      <w:r>
        <w:rPr>
          <w:rFonts w:hint="default"/>
          <w:lang w:val="en-US"/>
        </w:rPr>
        <w:t>Need recent ref</w:t>
      </w:r>
    </w:p>
  </w:comment>
  <w:comment w:id="7" w:author="uyoyo ududua" w:date="2025-05-09T22:05:35Z" w:initials="">
    <w:p w14:paraId="5C79B1D7">
      <w:pPr>
        <w:pStyle w:val="13"/>
        <w:rPr>
          <w:rFonts w:hint="default"/>
          <w:lang w:val="en-US"/>
        </w:rPr>
      </w:pPr>
      <w:r>
        <w:rPr>
          <w:rFonts w:hint="default"/>
          <w:lang w:val="en-US"/>
        </w:rPr>
        <w:t>Need recent ref</w:t>
      </w:r>
    </w:p>
    <w:p w14:paraId="1B0B588A">
      <w:pPr>
        <w:pStyle w:val="13"/>
      </w:pPr>
    </w:p>
  </w:comment>
  <w:comment w:id="8" w:author="uyoyo ududua" w:date="2025-05-09T22:06:25Z" w:initials="">
    <w:p w14:paraId="6C5174E3">
      <w:pPr>
        <w:pStyle w:val="13"/>
      </w:pPr>
      <w:r>
        <w:rPr>
          <w:rFonts w:hint="default"/>
          <w:lang w:val="en-US"/>
        </w:rPr>
        <w:t>Need recent ref</w:t>
      </w:r>
    </w:p>
  </w:comment>
  <w:comment w:id="9" w:author="uyoyo ududua" w:date="2025-05-09T22:06:37Z" w:initials="">
    <w:p w14:paraId="3B7A3D07">
      <w:pPr>
        <w:pStyle w:val="13"/>
      </w:pPr>
      <w:r>
        <w:rPr>
          <w:rFonts w:hint="default"/>
          <w:lang w:val="en-US"/>
        </w:rPr>
        <w:t>Need recent ref</w:t>
      </w:r>
    </w:p>
  </w:comment>
  <w:comment w:id="10" w:author="uyoyo ududua" w:date="2025-05-09T22:13:02Z" w:initials="">
    <w:p w14:paraId="1E97E6C1">
      <w:pPr>
        <w:pStyle w:val="13"/>
        <w:rPr>
          <w:rFonts w:hint="default"/>
          <w:lang w:val="en-US"/>
        </w:rPr>
      </w:pPr>
      <w:r>
        <w:rPr>
          <w:rFonts w:hint="default"/>
          <w:lang w:val="en-US"/>
        </w:rPr>
        <w:t>Need recent ref</w:t>
      </w:r>
    </w:p>
  </w:comment>
  <w:comment w:id="11" w:author="uyoyo ududua" w:date="2025-05-09T22:13:48Z" w:initials="">
    <w:p w14:paraId="2BE616FF">
      <w:pPr>
        <w:pStyle w:val="13"/>
        <w:rPr>
          <w:rFonts w:hint="default"/>
          <w:lang w:val="en-US"/>
        </w:rPr>
      </w:pPr>
      <w:r>
        <w:rPr>
          <w:rFonts w:hint="default"/>
          <w:lang w:val="en-US"/>
        </w:rPr>
        <w:t>Need recent ref</w:t>
      </w:r>
    </w:p>
  </w:comment>
  <w:comment w:id="12" w:author="uyoyo ududua" w:date="2025-05-09T22:14:07Z" w:initials="">
    <w:p w14:paraId="29492A94">
      <w:pPr>
        <w:pStyle w:val="13"/>
        <w:rPr>
          <w:rFonts w:hint="default"/>
          <w:lang w:val="en-US"/>
        </w:rPr>
      </w:pPr>
      <w:r>
        <w:rPr>
          <w:rFonts w:hint="default"/>
          <w:lang w:val="en-US"/>
        </w:rPr>
        <w:t>Need recent ref</w:t>
      </w:r>
    </w:p>
  </w:comment>
  <w:comment w:id="13" w:author="uyoyo ududua" w:date="2025-05-09T22:18:09Z" w:initials="">
    <w:p w14:paraId="4BB623FC">
      <w:pPr>
        <w:pStyle w:val="13"/>
        <w:rPr>
          <w:rFonts w:hint="default"/>
          <w:lang w:val="en-US"/>
        </w:rPr>
      </w:pPr>
      <w:r>
        <w:rPr>
          <w:rFonts w:hint="default"/>
          <w:lang w:val="en-US"/>
        </w:rPr>
        <w:t>Standard deviation should be to one decimal place eg 6.0</w:t>
      </w:r>
    </w:p>
  </w:comment>
  <w:comment w:id="14" w:author="uyoyo ududua" w:date="2025-05-09T22:21:48Z" w:initials="">
    <w:p w14:paraId="1961A496">
      <w:pPr>
        <w:pStyle w:val="13"/>
        <w:rPr>
          <w:rFonts w:hint="default"/>
          <w:lang w:val="en-US"/>
        </w:rPr>
      </w:pPr>
      <w:r>
        <w:rPr>
          <w:rFonts w:hint="default"/>
          <w:lang w:val="en-US"/>
        </w:rPr>
        <w:t>Translate to English</w:t>
      </w:r>
    </w:p>
  </w:comment>
  <w:comment w:id="15" w:author="uyoyo ududua" w:date="2025-05-09T22:22:12Z" w:initials="">
    <w:p w14:paraId="487C6BFE">
      <w:pPr>
        <w:pStyle w:val="13"/>
        <w:rPr>
          <w:rFonts w:hint="default"/>
          <w:lang w:val="en-US"/>
        </w:rPr>
      </w:pPr>
      <w:r>
        <w:rPr>
          <w:rFonts w:hint="default"/>
          <w:lang w:val="en-US"/>
        </w:rPr>
        <w:t>Point not comma</w:t>
      </w:r>
    </w:p>
  </w:comment>
  <w:comment w:id="16" w:author="uyoyo ududua" w:date="2025-05-09T22:23:10Z" w:initials="">
    <w:p w14:paraId="7646900D">
      <w:pPr>
        <w:pStyle w:val="13"/>
        <w:rPr>
          <w:rFonts w:hint="default"/>
          <w:lang w:val="en-US"/>
        </w:rPr>
      </w:pPr>
      <w:r>
        <w:rPr>
          <w:rFonts w:hint="default"/>
          <w:lang w:val="en-US"/>
        </w:rPr>
        <w:t>Translate to English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DC710F" w15:done="0"/>
  <w15:commentEx w15:paraId="641770BB" w15:done="0"/>
  <w15:commentEx w15:paraId="4BD69FCE" w15:done="0"/>
  <w15:commentEx w15:paraId="54584639" w15:done="0"/>
  <w15:commentEx w15:paraId="449D0A5F" w15:done="0"/>
  <w15:commentEx w15:paraId="2F54734C" w15:done="0"/>
  <w15:commentEx w15:paraId="6E3EAC22" w15:done="0"/>
  <w15:commentEx w15:paraId="1B0B588A" w15:done="0"/>
  <w15:commentEx w15:paraId="6C5174E3" w15:done="0"/>
  <w15:commentEx w15:paraId="3B7A3D07" w15:done="0"/>
  <w15:commentEx w15:paraId="1E97E6C1" w15:done="0"/>
  <w15:commentEx w15:paraId="2BE616FF" w15:done="0"/>
  <w15:commentEx w15:paraId="29492A94" w15:done="0"/>
  <w15:commentEx w15:paraId="4BB623FC" w15:done="0"/>
  <w15:commentEx w15:paraId="1961A496" w15:done="0"/>
  <w15:commentEx w15:paraId="487C6BFE" w15:done="0"/>
  <w15:commentEx w15:paraId="76469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F8A4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D82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254C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09F1">
    <w:pPr>
      <w:pStyle w:val="16"/>
    </w:pPr>
    <w:r>
      <w:pict>
        <v:shape id="PowerPlusWaterMarkObject448975158" o:spid="_x0000_s1027" o:spt="136" type="#_x0000_t136" style="position:absolute;left:0pt;height:100.95pt;width:538.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8AF02">
    <w:pPr>
      <w:pStyle w:val="16"/>
    </w:pPr>
    <w:r>
      <w:pict>
        <v:shape id="PowerPlusWaterMarkObject448975157" o:spid="_x0000_s1026" o:spt="136" type="#_x0000_t136" style="position:absolute;left:0pt;height:100.95pt;width:538.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14853">
    <w:pPr>
      <w:pStyle w:val="16"/>
    </w:pPr>
    <w:r>
      <w:pict>
        <v:shape id="PowerPlusWaterMarkObject448975156" o:spid="_x0000_s1025" o:spt="136" type="#_x0000_t136" style="position:absolute;left:0pt;height:100.95pt;width:538.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E4924"/>
    <w:multiLevelType w:val="multilevel"/>
    <w:tmpl w:val="2CAE4924"/>
    <w:lvl w:ilvl="0" w:tentative="0">
      <w:start w:val="1"/>
      <w:numFmt w:val="decimal"/>
      <w:lvlText w:val="%1."/>
      <w:lvlJc w:val="left"/>
      <w:pPr>
        <w:ind w:left="720" w:hanging="360"/>
      </w:pPr>
      <w:rPr>
        <w:rFonts w:hint="default"/>
        <w:b/>
        <w:sz w:val="22"/>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b/>
        <w:bCs/>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32923CF6"/>
    <w:multiLevelType w:val="multilevel"/>
    <w:tmpl w:val="32923C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60131458"/>
    <w:multiLevelType w:val="multilevel"/>
    <w:tmpl w:val="601314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628F4FA7"/>
    <w:multiLevelType w:val="multilevel"/>
    <w:tmpl w:val="628F4FA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E6E0A1F"/>
    <w:multiLevelType w:val="multilevel"/>
    <w:tmpl w:val="7E6E0A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yoyo ududua">
    <w15:presenceInfo w15:providerId="WPS Office" w15:userId="423813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hyphenationZone w:val="425"/>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8A"/>
    <w:rsid w:val="00021150"/>
    <w:rsid w:val="00022C95"/>
    <w:rsid w:val="00031532"/>
    <w:rsid w:val="0003326A"/>
    <w:rsid w:val="00043A53"/>
    <w:rsid w:val="000605AB"/>
    <w:rsid w:val="0008583D"/>
    <w:rsid w:val="00086480"/>
    <w:rsid w:val="000A4DD5"/>
    <w:rsid w:val="000A5A5B"/>
    <w:rsid w:val="000C50CD"/>
    <w:rsid w:val="001104FC"/>
    <w:rsid w:val="00112CB4"/>
    <w:rsid w:val="00173CFA"/>
    <w:rsid w:val="00181CCB"/>
    <w:rsid w:val="00196D23"/>
    <w:rsid w:val="001D2151"/>
    <w:rsid w:val="001D53CE"/>
    <w:rsid w:val="001D6058"/>
    <w:rsid w:val="001D652B"/>
    <w:rsid w:val="001F5300"/>
    <w:rsid w:val="00211FD2"/>
    <w:rsid w:val="002151FA"/>
    <w:rsid w:val="002A246C"/>
    <w:rsid w:val="002A7E02"/>
    <w:rsid w:val="002C1E3D"/>
    <w:rsid w:val="002F3C17"/>
    <w:rsid w:val="00305F3D"/>
    <w:rsid w:val="003164D6"/>
    <w:rsid w:val="003708CE"/>
    <w:rsid w:val="00385935"/>
    <w:rsid w:val="003A582A"/>
    <w:rsid w:val="003B225D"/>
    <w:rsid w:val="003C697B"/>
    <w:rsid w:val="003D7E73"/>
    <w:rsid w:val="003F5642"/>
    <w:rsid w:val="004026F6"/>
    <w:rsid w:val="00410862"/>
    <w:rsid w:val="00440A54"/>
    <w:rsid w:val="004531C8"/>
    <w:rsid w:val="0048555B"/>
    <w:rsid w:val="004A252E"/>
    <w:rsid w:val="004D2A05"/>
    <w:rsid w:val="004D34B6"/>
    <w:rsid w:val="004E44B4"/>
    <w:rsid w:val="004F04A8"/>
    <w:rsid w:val="004F6421"/>
    <w:rsid w:val="0050240E"/>
    <w:rsid w:val="005145DA"/>
    <w:rsid w:val="00530BD9"/>
    <w:rsid w:val="005742E4"/>
    <w:rsid w:val="00576DCE"/>
    <w:rsid w:val="005774A5"/>
    <w:rsid w:val="005A0175"/>
    <w:rsid w:val="005B27DB"/>
    <w:rsid w:val="005D4811"/>
    <w:rsid w:val="005E379F"/>
    <w:rsid w:val="0062361B"/>
    <w:rsid w:val="00675665"/>
    <w:rsid w:val="00686576"/>
    <w:rsid w:val="006915A6"/>
    <w:rsid w:val="006C2B58"/>
    <w:rsid w:val="006F6A59"/>
    <w:rsid w:val="007038CD"/>
    <w:rsid w:val="00742A62"/>
    <w:rsid w:val="007500B3"/>
    <w:rsid w:val="00774E28"/>
    <w:rsid w:val="00792B0C"/>
    <w:rsid w:val="007C0A0E"/>
    <w:rsid w:val="007D45A5"/>
    <w:rsid w:val="007D5CB7"/>
    <w:rsid w:val="007F1B75"/>
    <w:rsid w:val="007F37F6"/>
    <w:rsid w:val="007F3937"/>
    <w:rsid w:val="0083084A"/>
    <w:rsid w:val="00830BE4"/>
    <w:rsid w:val="00873508"/>
    <w:rsid w:val="0087625E"/>
    <w:rsid w:val="00876BAA"/>
    <w:rsid w:val="0088386B"/>
    <w:rsid w:val="008A5BBE"/>
    <w:rsid w:val="008B1183"/>
    <w:rsid w:val="008B1938"/>
    <w:rsid w:val="008C6B8E"/>
    <w:rsid w:val="008E4C31"/>
    <w:rsid w:val="009010C9"/>
    <w:rsid w:val="00924FBD"/>
    <w:rsid w:val="0093254E"/>
    <w:rsid w:val="00933B02"/>
    <w:rsid w:val="009437FB"/>
    <w:rsid w:val="00983DAD"/>
    <w:rsid w:val="00990AE6"/>
    <w:rsid w:val="00991122"/>
    <w:rsid w:val="009917EA"/>
    <w:rsid w:val="009A67D0"/>
    <w:rsid w:val="009C3192"/>
    <w:rsid w:val="009E4574"/>
    <w:rsid w:val="009F09FC"/>
    <w:rsid w:val="009F7E1A"/>
    <w:rsid w:val="00A007A2"/>
    <w:rsid w:val="00A209C5"/>
    <w:rsid w:val="00A21128"/>
    <w:rsid w:val="00A36AEC"/>
    <w:rsid w:val="00A40593"/>
    <w:rsid w:val="00AA44B7"/>
    <w:rsid w:val="00AA4647"/>
    <w:rsid w:val="00AD16F6"/>
    <w:rsid w:val="00AF6DA9"/>
    <w:rsid w:val="00B00D69"/>
    <w:rsid w:val="00B454AA"/>
    <w:rsid w:val="00B5065E"/>
    <w:rsid w:val="00B75F8D"/>
    <w:rsid w:val="00BA2349"/>
    <w:rsid w:val="00BA79BF"/>
    <w:rsid w:val="00BC7560"/>
    <w:rsid w:val="00BD5152"/>
    <w:rsid w:val="00BD7620"/>
    <w:rsid w:val="00BE6981"/>
    <w:rsid w:val="00BF69B3"/>
    <w:rsid w:val="00C2339A"/>
    <w:rsid w:val="00C33BA1"/>
    <w:rsid w:val="00C35ED5"/>
    <w:rsid w:val="00C4172A"/>
    <w:rsid w:val="00C50B0B"/>
    <w:rsid w:val="00C65A86"/>
    <w:rsid w:val="00C712A2"/>
    <w:rsid w:val="00C768DA"/>
    <w:rsid w:val="00CA1241"/>
    <w:rsid w:val="00CA6690"/>
    <w:rsid w:val="00CE5C2B"/>
    <w:rsid w:val="00CF16BA"/>
    <w:rsid w:val="00CF7BE9"/>
    <w:rsid w:val="00D26F28"/>
    <w:rsid w:val="00D474F3"/>
    <w:rsid w:val="00D8738A"/>
    <w:rsid w:val="00DA3661"/>
    <w:rsid w:val="00E0066C"/>
    <w:rsid w:val="00EB0908"/>
    <w:rsid w:val="00F702E6"/>
    <w:rsid w:val="00F97782"/>
    <w:rsid w:val="00FA465F"/>
    <w:rsid w:val="00FB7073"/>
    <w:rsid w:val="50AE7A22"/>
    <w:rsid w:val="5F1C11AE"/>
    <w:rsid w:val="6975161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fr-FR" w:eastAsia="en-US" w:bidi="ar-SA"/>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5"/>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character" w:styleId="14">
    <w:name w:val="Emphasis"/>
    <w:basedOn w:val="11"/>
    <w:qFormat/>
    <w:uiPriority w:val="20"/>
    <w:rPr>
      <w:i/>
      <w:iCs/>
    </w:rPr>
  </w:style>
  <w:style w:type="paragraph" w:styleId="15">
    <w:name w:val="footer"/>
    <w:basedOn w:val="1"/>
    <w:link w:val="46"/>
    <w:unhideWhenUsed/>
    <w:qFormat/>
    <w:uiPriority w:val="99"/>
    <w:pPr>
      <w:tabs>
        <w:tab w:val="center" w:pos="4680"/>
        <w:tab w:val="right" w:pos="9360"/>
      </w:tabs>
      <w:spacing w:after="0" w:line="240" w:lineRule="auto"/>
    </w:pPr>
  </w:style>
  <w:style w:type="paragraph" w:styleId="16">
    <w:name w:val="header"/>
    <w:basedOn w:val="1"/>
    <w:link w:val="45"/>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0563C1" w:themeColor="hyperlink"/>
      <w:u w:val="single"/>
      <w14:textFill>
        <w14:solidFill>
          <w14:schemeClr w14:val="hlink"/>
        </w14:solidFill>
      </w14:textFill>
    </w:rPr>
  </w:style>
  <w:style w:type="character" w:styleId="18">
    <w:name w:val="Strong"/>
    <w:basedOn w:val="11"/>
    <w:qFormat/>
    <w:uiPriority w:val="22"/>
    <w:rPr>
      <w:b/>
      <w:bCs/>
    </w:rPr>
  </w:style>
  <w:style w:type="paragraph" w:styleId="19">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3">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Heading 3 Char"/>
    <w:basedOn w:val="11"/>
    <w:link w:val="4"/>
    <w:qFormat/>
    <w:uiPriority w:val="9"/>
    <w:rPr>
      <w:rFonts w:eastAsiaTheme="majorEastAsia" w:cstheme="majorBidi"/>
      <w:color w:val="2F5597" w:themeColor="accent1" w:themeShade="BF"/>
      <w:sz w:val="28"/>
      <w:szCs w:val="28"/>
    </w:rPr>
  </w:style>
  <w:style w:type="character" w:customStyle="1" w:styleId="25">
    <w:name w:val="Heading 4 Char"/>
    <w:basedOn w:val="11"/>
    <w:link w:val="5"/>
    <w:qFormat/>
    <w:uiPriority w:val="9"/>
    <w:rPr>
      <w:rFonts w:eastAsiaTheme="majorEastAsia" w:cstheme="majorBidi"/>
      <w:i/>
      <w:iCs/>
      <w:color w:val="2F5597" w:themeColor="accent1" w:themeShade="BF"/>
    </w:rPr>
  </w:style>
  <w:style w:type="character" w:customStyle="1" w:styleId="26">
    <w:name w:val="Heading 5 Char"/>
    <w:basedOn w:val="11"/>
    <w:link w:val="6"/>
    <w:semiHidden/>
    <w:qFormat/>
    <w:uiPriority w:val="9"/>
    <w:rPr>
      <w:rFonts w:eastAsiaTheme="majorEastAsia" w:cstheme="majorBidi"/>
      <w:color w:val="2F5597" w:themeColor="accent1" w:themeShade="BF"/>
    </w:rPr>
  </w:style>
  <w:style w:type="character" w:customStyle="1" w:styleId="2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ntense Quote Char"/>
    <w:basedOn w:val="11"/>
    <w:link w:val="37"/>
    <w:qFormat/>
    <w:uiPriority w:val="30"/>
    <w:rPr>
      <w:i/>
      <w:iCs/>
      <w:color w:val="2F5597" w:themeColor="accent1" w:themeShade="BF"/>
    </w:rPr>
  </w:style>
  <w:style w:type="character" w:customStyle="1" w:styleId="39">
    <w:name w:val="Intense Reference"/>
    <w:basedOn w:val="11"/>
    <w:qFormat/>
    <w:uiPriority w:val="32"/>
    <w:rPr>
      <w:b/>
      <w:bCs/>
      <w:smallCaps/>
      <w:color w:val="2F5597" w:themeColor="accent1" w:themeShade="BF"/>
      <w:spacing w:val="5"/>
    </w:rPr>
  </w:style>
  <w:style w:type="character" w:customStyle="1" w:styleId="40">
    <w:name w:val="overflow-hidden"/>
    <w:basedOn w:val="11"/>
    <w:qFormat/>
    <w:uiPriority w:val="0"/>
  </w:style>
  <w:style w:type="character" w:customStyle="1" w:styleId="41">
    <w:name w:val="Unresolved Mention"/>
    <w:basedOn w:val="11"/>
    <w:semiHidden/>
    <w:unhideWhenUsed/>
    <w:qFormat/>
    <w:uiPriority w:val="99"/>
    <w:rPr>
      <w:color w:val="605E5C"/>
      <w:shd w:val="clear" w:color="auto" w:fill="E1DFDD"/>
    </w:rPr>
  </w:style>
  <w:style w:type="table" w:customStyle="1" w:styleId="42">
    <w:name w:val="Grid Table Light"/>
    <w:basedOn w:val="12"/>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43">
    <w:name w:val="Body"/>
    <w:basedOn w:val="1"/>
    <w:qFormat/>
    <w:uiPriority w:val="0"/>
    <w:pPr>
      <w:spacing w:after="240" w:line="240" w:lineRule="auto"/>
      <w:jc w:val="both"/>
    </w:pPr>
    <w:rPr>
      <w:rFonts w:ascii="Helvetica" w:hAnsi="Helvetica" w:eastAsia="Times New Roman" w:cs="Times New Roman"/>
      <w:kern w:val="0"/>
      <w:sz w:val="20"/>
      <w:szCs w:val="20"/>
      <w:lang w:val="en-US"/>
      <w14:ligatures w14:val="none"/>
    </w:rPr>
  </w:style>
  <w:style w:type="table" w:customStyle="1" w:styleId="44">
    <w:name w:val="Plain Table 2"/>
    <w:basedOn w:val="12"/>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45">
    <w:name w:val="Header Char"/>
    <w:basedOn w:val="11"/>
    <w:link w:val="16"/>
    <w:qFormat/>
    <w:uiPriority w:val="99"/>
  </w:style>
  <w:style w:type="character" w:customStyle="1" w:styleId="46">
    <w:name w:val="Footer Char"/>
    <w:basedOn w:val="11"/>
    <w:link w:val="15"/>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8016D-7433-4464-8F0E-5F083929D44C}">
  <ds:schemaRefs/>
</ds:datastoreItem>
</file>

<file path=docProps/app.xml><?xml version="1.0" encoding="utf-8"?>
<Properties xmlns="http://schemas.openxmlformats.org/officeDocument/2006/extended-properties" xmlns:vt="http://schemas.openxmlformats.org/officeDocument/2006/docPropsVTypes">
  <Template>Normal</Template>
  <Pages>16</Pages>
  <Words>5613</Words>
  <Characters>31995</Characters>
  <Lines>266</Lines>
  <Paragraphs>75</Paragraphs>
  <TotalTime>17</TotalTime>
  <ScaleCrop>false</ScaleCrop>
  <LinksUpToDate>false</LinksUpToDate>
  <CharactersWithSpaces>37533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2025-05-04T15:41:00Z</dcterms:created>
  <dc:creator>Abdel-Madjid ALLADE</dc:creator>
  <cp:lastModifiedBy>uyoyo ududua</cp:lastModifiedBy>
  <dcterms:modified xsi:type="dcterms:W3CDTF">2025-05-09T21:32:05Z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A5EBEE0D5170402EB25CEEA164B615A9_13</vt:lpwstr>
  </property>
</Properties>
</file>