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389B" w14:textId="77777777" w:rsidR="00F67AA2" w:rsidRPr="00F67AA2" w:rsidRDefault="00F67AA2" w:rsidP="00F67AA2">
      <w:pPr>
        <w:autoSpaceDE w:val="0"/>
        <w:autoSpaceDN w:val="0"/>
        <w:adjustRightInd w:val="0"/>
        <w:spacing w:before="0" w:after="0" w:line="276" w:lineRule="auto"/>
        <w:jc w:val="center"/>
        <w:rPr>
          <w:rFonts w:ascii="Arial" w:hAnsi="Arial" w:cs="Arial"/>
          <w:b/>
          <w:bCs/>
          <w:i/>
          <w:iCs/>
          <w:sz w:val="28"/>
          <w:szCs w:val="28"/>
          <w:u w:val="single"/>
          <w:lang w:bidi="hi-IN"/>
        </w:rPr>
      </w:pPr>
      <w:bookmarkStart w:id="0" w:name="_Hlk196656806"/>
      <w:r w:rsidRPr="00F67AA2">
        <w:rPr>
          <w:rFonts w:ascii="Arial" w:hAnsi="Arial" w:cs="Arial"/>
          <w:b/>
          <w:bCs/>
          <w:i/>
          <w:iCs/>
          <w:sz w:val="28"/>
          <w:szCs w:val="28"/>
          <w:u w:val="single"/>
          <w:lang w:bidi="hi-IN"/>
        </w:rPr>
        <w:t>Original Research Article</w:t>
      </w:r>
    </w:p>
    <w:p w14:paraId="5374820C" w14:textId="1618229D" w:rsidR="00BD64FF" w:rsidRPr="002856D3" w:rsidRDefault="00F210B7" w:rsidP="00BD64FF">
      <w:pPr>
        <w:autoSpaceDE w:val="0"/>
        <w:autoSpaceDN w:val="0"/>
        <w:adjustRightInd w:val="0"/>
        <w:spacing w:before="0" w:after="0" w:line="276" w:lineRule="auto"/>
        <w:jc w:val="center"/>
        <w:rPr>
          <w:rFonts w:ascii="Arial" w:hAnsi="Arial" w:cs="Arial"/>
          <w:bCs/>
          <w:sz w:val="28"/>
          <w:szCs w:val="28"/>
          <w:lang w:bidi="hi-IN"/>
        </w:rPr>
      </w:pPr>
      <w:r w:rsidRPr="002856D3">
        <w:rPr>
          <w:rFonts w:ascii="Arial" w:hAnsi="Arial" w:cs="Arial"/>
          <w:bCs/>
          <w:sz w:val="28"/>
          <w:szCs w:val="28"/>
          <w:lang w:bidi="hi-IN"/>
        </w:rPr>
        <w:t>A STUDY ON THE EFFECT OF SEASON, SEX AND BIRTH TYPE ON BIRTH WEIGHT OF SIROHI GOAT KIDS UNDER SEMI-ARID CONDITIONS</w:t>
      </w:r>
    </w:p>
    <w:bookmarkEnd w:id="0"/>
    <w:p w14:paraId="37ADEE10" w14:textId="77777777" w:rsidR="00BD64FF" w:rsidRPr="006F39CD" w:rsidRDefault="00BD64FF" w:rsidP="00BD64FF">
      <w:pPr>
        <w:autoSpaceDE w:val="0"/>
        <w:autoSpaceDN w:val="0"/>
        <w:adjustRightInd w:val="0"/>
        <w:spacing w:before="0" w:after="0"/>
        <w:jc w:val="center"/>
        <w:rPr>
          <w:rFonts w:ascii="Times New Roman" w:hAnsi="Times New Roman" w:cs="Times New Roman"/>
          <w:bCs/>
          <w:sz w:val="32"/>
          <w:szCs w:val="32"/>
          <w:lang w:bidi="hi-IN"/>
        </w:rPr>
      </w:pPr>
    </w:p>
    <w:p w14:paraId="2D2FF21A" w14:textId="77777777" w:rsidR="00054696" w:rsidRDefault="00054696"/>
    <w:p w14:paraId="0EF7E720" w14:textId="253E2C8B" w:rsidR="00BD64FF" w:rsidRPr="009B0F79" w:rsidRDefault="009B0F79" w:rsidP="002D2495">
      <w:pPr>
        <w:autoSpaceDE w:val="0"/>
        <w:autoSpaceDN w:val="0"/>
        <w:adjustRightInd w:val="0"/>
        <w:spacing w:before="0" w:after="0" w:line="360" w:lineRule="auto"/>
        <w:jc w:val="both"/>
        <w:rPr>
          <w:rFonts w:ascii="Arial" w:hAnsi="Arial" w:cs="Arial"/>
          <w:b/>
          <w:bCs/>
        </w:rPr>
      </w:pPr>
      <w:r w:rsidRPr="009B0F79">
        <w:rPr>
          <w:rFonts w:ascii="Arial" w:hAnsi="Arial" w:cs="Arial"/>
          <w:b/>
          <w:bCs/>
        </w:rPr>
        <w:t>ABSTRACT</w:t>
      </w:r>
    </w:p>
    <w:p w14:paraId="576A73EA" w14:textId="77777777" w:rsidR="00BD64FF" w:rsidRPr="002856D3" w:rsidRDefault="00BD64FF" w:rsidP="002D2495">
      <w:pPr>
        <w:autoSpaceDE w:val="0"/>
        <w:autoSpaceDN w:val="0"/>
        <w:adjustRightInd w:val="0"/>
        <w:spacing w:before="0" w:after="0" w:line="360" w:lineRule="auto"/>
        <w:jc w:val="both"/>
        <w:rPr>
          <w:rFonts w:ascii="Arial" w:hAnsi="Arial" w:cs="Arial"/>
          <w:sz w:val="20"/>
          <w:szCs w:val="20"/>
        </w:rPr>
      </w:pPr>
      <w:r w:rsidRPr="002D2495">
        <w:rPr>
          <w:rFonts w:ascii="Times New Roman" w:hAnsi="Times New Roman" w:cs="Times New Roman"/>
          <w:b/>
          <w:bCs/>
          <w:sz w:val="24"/>
          <w:szCs w:val="24"/>
        </w:rPr>
        <w:t xml:space="preserve"> </w:t>
      </w:r>
      <w:r w:rsidRPr="002D2495">
        <w:rPr>
          <w:rFonts w:ascii="Times New Roman" w:hAnsi="Times New Roman" w:cs="Times New Roman"/>
          <w:b/>
          <w:bCs/>
          <w:sz w:val="24"/>
          <w:szCs w:val="24"/>
        </w:rPr>
        <w:tab/>
      </w:r>
      <w:r w:rsidRPr="002856D3">
        <w:rPr>
          <w:rFonts w:ascii="Arial" w:hAnsi="Arial" w:cs="Arial"/>
          <w:sz w:val="20"/>
          <w:szCs w:val="20"/>
        </w:rPr>
        <w:t xml:space="preserve">A study was conducted to investigate the factors affecting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in </w:t>
      </w:r>
      <w:r w:rsidRPr="002856D3">
        <w:rPr>
          <w:rFonts w:ascii="Arial" w:hAnsi="Arial" w:cs="Arial"/>
          <w:color w:val="000000" w:themeColor="text1"/>
          <w:sz w:val="20"/>
          <w:szCs w:val="20"/>
        </w:rPr>
        <w:t>semi-arid condition</w:t>
      </w:r>
      <w:r w:rsidRPr="002856D3">
        <w:rPr>
          <w:rFonts w:ascii="Arial" w:hAnsi="Arial" w:cs="Arial"/>
          <w:sz w:val="20"/>
          <w:szCs w:val="20"/>
        </w:rPr>
        <w:t xml:space="preserve">. A total of forty kids (20 males and 20 females) were included in the study to evaluate the effects of sex, type of birth, and season of birth-on-birth weight. The </w:t>
      </w:r>
      <w:commentRangeStart w:id="1"/>
      <w:r w:rsidRPr="002856D3">
        <w:rPr>
          <w:rFonts w:ascii="Arial" w:hAnsi="Arial" w:cs="Arial"/>
          <w:sz w:val="20"/>
          <w:szCs w:val="20"/>
        </w:rPr>
        <w:t>kidding</w:t>
      </w:r>
      <w:commentRangeEnd w:id="1"/>
      <w:r w:rsidR="00BA28D0">
        <w:rPr>
          <w:rStyle w:val="CommentReference"/>
        </w:rPr>
        <w:commentReference w:id="1"/>
      </w:r>
      <w:r w:rsidRPr="002856D3">
        <w:rPr>
          <w:rFonts w:ascii="Arial" w:hAnsi="Arial" w:cs="Arial"/>
          <w:sz w:val="20"/>
          <w:szCs w:val="20"/>
        </w:rPr>
        <w:t xml:space="preserve"> season was classified into two categories: autumn and winter. The overall mean birth weight of kids was 2.57 ± 0.036 kg. Male kids exhibited significantly higher birth weights (2.67 ± 0.051 kg) compared to female kids (2.46 ± 0.041 kg), which may be attributed to the influence of male sex hormones that promote faster prenatal growth. Single-born kids (2.66 ± 0.051 kg) were significantly heavier than twin-born kids (2.30 ± 0.052 kg), which is likely due to the fact that, in multiple births, the maternal nutrients are shared among the fetuses, limiting individual growth. Kids born during the winter season (2.60 ± 0.052 kg) had higher birth weights compared to those born in autumn (2.53 ± 0.051 kg). This could be due to better availability of high-quality green fodder during the breeding and pregnancy </w:t>
      </w:r>
      <w:commentRangeStart w:id="2"/>
      <w:r w:rsidRPr="002856D3">
        <w:rPr>
          <w:rFonts w:ascii="Arial" w:hAnsi="Arial" w:cs="Arial"/>
          <w:sz w:val="20"/>
          <w:szCs w:val="20"/>
        </w:rPr>
        <w:t>periods</w:t>
      </w:r>
      <w:commentRangeEnd w:id="2"/>
      <w:r w:rsidR="00BA28D0">
        <w:rPr>
          <w:rStyle w:val="CommentReference"/>
        </w:rPr>
        <w:commentReference w:id="2"/>
      </w:r>
      <w:r w:rsidRPr="002856D3">
        <w:rPr>
          <w:rFonts w:ascii="Arial" w:hAnsi="Arial" w:cs="Arial"/>
          <w:sz w:val="20"/>
          <w:szCs w:val="20"/>
        </w:rPr>
        <w:t>.</w:t>
      </w:r>
    </w:p>
    <w:p w14:paraId="29EDC82D" w14:textId="77777777" w:rsidR="00BD64FF" w:rsidRPr="00D45452" w:rsidRDefault="00BD64FF" w:rsidP="00BD64FF">
      <w:pPr>
        <w:autoSpaceDE w:val="0"/>
        <w:autoSpaceDN w:val="0"/>
        <w:adjustRightInd w:val="0"/>
        <w:spacing w:before="0" w:after="0" w:line="480" w:lineRule="auto"/>
        <w:jc w:val="both"/>
        <w:rPr>
          <w:rFonts w:ascii="Times New Roman" w:hAnsi="Times New Roman" w:cs="Times New Roman"/>
          <w:sz w:val="24"/>
          <w:szCs w:val="24"/>
        </w:rPr>
      </w:pPr>
    </w:p>
    <w:p w14:paraId="22253CF8" w14:textId="1FDA6155" w:rsidR="00BD64FF" w:rsidRPr="002D2495" w:rsidRDefault="002856D3" w:rsidP="002D2495">
      <w:pPr>
        <w:autoSpaceDE w:val="0"/>
        <w:autoSpaceDN w:val="0"/>
        <w:adjustRightInd w:val="0"/>
        <w:spacing w:before="0" w:after="0" w:line="360" w:lineRule="auto"/>
        <w:jc w:val="both"/>
        <w:rPr>
          <w:rFonts w:ascii="Times New Roman" w:hAnsi="Times New Roman" w:cs="Times New Roman"/>
          <w:sz w:val="24"/>
          <w:szCs w:val="24"/>
          <w:lang w:bidi="hi-IN"/>
        </w:rPr>
      </w:pPr>
      <w:r w:rsidRPr="002856D3">
        <w:rPr>
          <w:rFonts w:ascii="Arial" w:hAnsi="Arial" w:cs="Arial"/>
          <w:b/>
          <w:sz w:val="20"/>
          <w:szCs w:val="20"/>
        </w:rPr>
        <w:t>KEYWORDS:</w:t>
      </w:r>
      <w:r w:rsidR="00BD64FF" w:rsidRPr="002D2495">
        <w:rPr>
          <w:rFonts w:ascii="Times New Roman" w:hAnsi="Times New Roman" w:cs="Times New Roman"/>
          <w:sz w:val="24"/>
          <w:szCs w:val="24"/>
        </w:rPr>
        <w:t xml:space="preserve"> </w:t>
      </w:r>
      <w:r w:rsidR="00BD64FF" w:rsidRPr="002856D3">
        <w:rPr>
          <w:rFonts w:ascii="Arial" w:hAnsi="Arial" w:cs="Arial"/>
          <w:sz w:val="20"/>
          <w:szCs w:val="20"/>
        </w:rPr>
        <w:t>Birth weight, Goat kids, Season, Sex</w:t>
      </w:r>
      <w:r w:rsidR="00BD64FF" w:rsidRPr="002856D3">
        <w:rPr>
          <w:rFonts w:ascii="Arial" w:hAnsi="Arial" w:cs="Arial"/>
          <w:sz w:val="20"/>
          <w:szCs w:val="20"/>
          <w:cs/>
          <w:lang w:bidi="hi-IN"/>
        </w:rPr>
        <w:t xml:space="preserve">, </w:t>
      </w:r>
      <w:r w:rsidR="00BD64FF" w:rsidRPr="002856D3">
        <w:rPr>
          <w:rFonts w:ascii="Arial" w:hAnsi="Arial" w:cs="Arial"/>
          <w:sz w:val="20"/>
          <w:szCs w:val="20"/>
          <w:lang w:bidi="hi-IN"/>
        </w:rPr>
        <w:t>Season, climatic conditions.</w:t>
      </w:r>
    </w:p>
    <w:p w14:paraId="5F946459" w14:textId="77777777" w:rsidR="00BD64FF" w:rsidRDefault="00BD64FF" w:rsidP="00BD64FF">
      <w:pPr>
        <w:autoSpaceDE w:val="0"/>
        <w:autoSpaceDN w:val="0"/>
        <w:adjustRightInd w:val="0"/>
        <w:spacing w:before="0" w:after="0" w:line="480" w:lineRule="auto"/>
        <w:jc w:val="both"/>
        <w:rPr>
          <w:rFonts w:ascii="Times New Roman" w:hAnsi="Times New Roman"/>
          <w:b/>
          <w:bCs/>
          <w:sz w:val="24"/>
          <w:szCs w:val="24"/>
          <w:lang w:bidi="hi-IN"/>
        </w:rPr>
      </w:pPr>
    </w:p>
    <w:p w14:paraId="7E8CD917" w14:textId="57DFAD24" w:rsidR="00BD64FF"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INTRODUCTION</w:t>
      </w:r>
    </w:p>
    <w:p w14:paraId="7DDBF395" w14:textId="67B6C8A6" w:rsidR="00BD64FF" w:rsidRPr="002856D3" w:rsidRDefault="00BD64FF" w:rsidP="002856D3">
      <w:pPr>
        <w:pStyle w:val="Default"/>
        <w:spacing w:line="360" w:lineRule="auto"/>
        <w:jc w:val="both"/>
        <w:rPr>
          <w:rFonts w:ascii="Arial" w:hAnsi="Arial" w:cs="Arial"/>
          <w:sz w:val="20"/>
          <w:szCs w:val="20"/>
        </w:rPr>
      </w:pPr>
      <w:r w:rsidRPr="002856D3">
        <w:rPr>
          <w:rFonts w:ascii="Arial" w:hAnsi="Arial" w:cs="Arial"/>
          <w:sz w:val="20"/>
          <w:szCs w:val="20"/>
        </w:rPr>
        <w:t xml:space="preserve">Goats, often referred to as the "movable wealth" of nomads, small and marginal farmers, and landless </w:t>
      </w:r>
      <w:proofErr w:type="spellStart"/>
      <w:r w:rsidRPr="002856D3">
        <w:rPr>
          <w:rFonts w:ascii="Arial" w:hAnsi="Arial" w:cs="Arial"/>
          <w:sz w:val="20"/>
          <w:szCs w:val="20"/>
        </w:rPr>
        <w:t>labourers</w:t>
      </w:r>
      <w:proofErr w:type="spellEnd"/>
      <w:r w:rsidRPr="002856D3">
        <w:rPr>
          <w:rFonts w:ascii="Arial" w:hAnsi="Arial" w:cs="Arial"/>
          <w:sz w:val="20"/>
          <w:szCs w:val="20"/>
        </w:rPr>
        <w:t xml:space="preserve">, possess immense potential to be promoted as the ‘Animal of the Future’ for ensuring rural </w:t>
      </w:r>
      <w:commentRangeStart w:id="3"/>
      <w:r w:rsidRPr="002856D3">
        <w:rPr>
          <w:rFonts w:ascii="Arial" w:hAnsi="Arial" w:cs="Arial"/>
          <w:sz w:val="20"/>
          <w:szCs w:val="20"/>
        </w:rPr>
        <w:t>prosperity</w:t>
      </w:r>
      <w:commentRangeEnd w:id="3"/>
      <w:r w:rsidR="00BA28D0">
        <w:rPr>
          <w:rStyle w:val="CommentReference"/>
          <w:rFonts w:asciiTheme="minorHAnsi" w:hAnsiTheme="minorHAnsi" w:cstheme="minorBidi"/>
          <w:color w:val="auto"/>
          <w:lang w:bidi="ar-SA"/>
        </w:rPr>
        <w:commentReference w:id="3"/>
      </w:r>
      <w:r w:rsidRPr="002856D3">
        <w:rPr>
          <w:rFonts w:ascii="Arial" w:hAnsi="Arial" w:cs="Arial"/>
          <w:sz w:val="20"/>
          <w:szCs w:val="20"/>
        </w:rPr>
        <w:t xml:space="preserve">. In the authors’ view, given the ongoing degradation of natural resources and the adverse effects of changing </w:t>
      </w:r>
      <w:proofErr w:type="spellStart"/>
      <w:r w:rsidRPr="002856D3">
        <w:rPr>
          <w:rFonts w:ascii="Arial" w:hAnsi="Arial" w:cs="Arial"/>
          <w:sz w:val="20"/>
          <w:szCs w:val="20"/>
        </w:rPr>
        <w:t>agro</w:t>
      </w:r>
      <w:proofErr w:type="spellEnd"/>
      <w:r w:rsidRPr="002856D3">
        <w:rPr>
          <w:rFonts w:ascii="Arial" w:hAnsi="Arial" w:cs="Arial"/>
          <w:sz w:val="20"/>
          <w:szCs w:val="20"/>
        </w:rPr>
        <w:t xml:space="preserve">-geo-climatic conditions, the viability of crop-based livelihoods is gradually diminishing, thereby highlighting the significance of small ruminants, particularly goats. India is home to 23 well-defined breeds of goats and boasts the second-largest goat population in the world, totaling approximately 135.17 million (Anonymous, </w:t>
      </w:r>
      <w:commentRangeStart w:id="4"/>
      <w:r w:rsidRPr="002856D3">
        <w:rPr>
          <w:rFonts w:ascii="Arial" w:hAnsi="Arial" w:cs="Arial"/>
          <w:sz w:val="20"/>
          <w:szCs w:val="20"/>
        </w:rPr>
        <w:t>2012</w:t>
      </w:r>
      <w:commentRangeEnd w:id="4"/>
      <w:r w:rsidR="00BA28D0">
        <w:rPr>
          <w:rStyle w:val="CommentReference"/>
          <w:rFonts w:asciiTheme="minorHAnsi" w:hAnsiTheme="minorHAnsi" w:cstheme="minorBidi"/>
          <w:color w:val="auto"/>
          <w:lang w:bidi="ar-SA"/>
        </w:rPr>
        <w:commentReference w:id="4"/>
      </w:r>
      <w:r w:rsidRPr="002856D3">
        <w:rPr>
          <w:rFonts w:ascii="Arial" w:hAnsi="Arial" w:cs="Arial"/>
          <w:sz w:val="20"/>
          <w:szCs w:val="20"/>
        </w:rPr>
        <w:t xml:space="preserve">). </w:t>
      </w:r>
      <w:commentRangeStart w:id="5"/>
      <w:r w:rsidRPr="002856D3">
        <w:rPr>
          <w:rFonts w:ascii="Arial" w:hAnsi="Arial" w:cs="Arial"/>
          <w:sz w:val="20"/>
          <w:szCs w:val="20"/>
        </w:rPr>
        <w:t xml:space="preserve">However, it is concerning that the population has witnessed a decline of 3.82% as compared to the previous livestock census. </w:t>
      </w:r>
      <w:commentRangeEnd w:id="5"/>
      <w:r w:rsidR="00BA28D0">
        <w:rPr>
          <w:rStyle w:val="CommentReference"/>
          <w:rFonts w:asciiTheme="minorHAnsi" w:hAnsiTheme="minorHAnsi" w:cstheme="minorBidi"/>
          <w:color w:val="auto"/>
          <w:lang w:bidi="ar-SA"/>
        </w:rPr>
        <w:commentReference w:id="5"/>
      </w:r>
      <w:r w:rsidRPr="002856D3">
        <w:rPr>
          <w:rFonts w:ascii="Arial" w:hAnsi="Arial" w:cs="Arial"/>
          <w:sz w:val="20"/>
          <w:szCs w:val="20"/>
        </w:rPr>
        <w:t xml:space="preserve">From the researchers’ perspective, this decline necessitates strategic intervention and sustainable goat farming practices, especially when goat farming continues to be a crucial livelihood source for rural communities, contributing significantly to employment generation for rural youth. Goats are naturally adapted to harsh environments, capable of surviving in areas where conventional dairy farming is not feasible. Their ability to thrive on uncultivable lands makes them an ideal species for low-input systems. The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breed, a dual-purpose goat indigenous to the central and southern </w:t>
      </w:r>
      <w:r w:rsidRPr="002856D3">
        <w:rPr>
          <w:rFonts w:ascii="Arial" w:hAnsi="Arial" w:cs="Arial"/>
          <w:sz w:val="20"/>
          <w:szCs w:val="20"/>
        </w:rPr>
        <w:lastRenderedPageBreak/>
        <w:t xml:space="preserve">regions of Rajasthan, is particularly valued for its disease resistance and adaptability to hot, arid climates. These characteristics, according to the authors, make the breed highly suitable for climate-resilient livestock farming systems. </w:t>
      </w:r>
      <w:commentRangeStart w:id="6"/>
      <w:r w:rsidRPr="002856D3">
        <w:rPr>
          <w:rFonts w:ascii="Arial" w:hAnsi="Arial" w:cs="Arial"/>
          <w:sz w:val="20"/>
          <w:szCs w:val="20"/>
        </w:rPr>
        <w:t xml:space="preserve">Among the economic traits in livestock production, birth weight serves as a critical indicator of future growth and productivity. Several studies, including those by Roy et al. (1989), </w:t>
      </w:r>
      <w:commentRangeEnd w:id="6"/>
      <w:r w:rsidR="00BA28D0">
        <w:rPr>
          <w:rStyle w:val="CommentReference"/>
          <w:rFonts w:asciiTheme="minorHAnsi" w:hAnsiTheme="minorHAnsi" w:cstheme="minorBidi"/>
          <w:color w:val="auto"/>
          <w:lang w:bidi="ar-SA"/>
        </w:rPr>
        <w:commentReference w:id="6"/>
      </w:r>
      <w:r w:rsidRPr="002856D3">
        <w:rPr>
          <w:rFonts w:ascii="Arial" w:hAnsi="Arial" w:cs="Arial"/>
          <w:sz w:val="20"/>
          <w:szCs w:val="20"/>
        </w:rPr>
        <w:t>have demonstrated a positive correlation between birth weight and subsequent live weight gains. The authors believe that understanding the factors influencing birth weight is essential for improving goat productivity and profitability. Earlier literature has shown that non-genetic factors such as sex of the kid, type of birth (single or multiple), season of birth, and maternal age significantly affect birth weight (</w:t>
      </w:r>
      <w:proofErr w:type="spellStart"/>
      <w:r w:rsidRPr="002856D3">
        <w:rPr>
          <w:rFonts w:ascii="Arial" w:hAnsi="Arial" w:cs="Arial"/>
          <w:sz w:val="20"/>
          <w:szCs w:val="20"/>
        </w:rPr>
        <w:t>Supakorn</w:t>
      </w:r>
      <w:proofErr w:type="spellEnd"/>
      <w:r w:rsidRPr="002856D3">
        <w:rPr>
          <w:rFonts w:ascii="Arial" w:hAnsi="Arial" w:cs="Arial"/>
          <w:sz w:val="20"/>
          <w:szCs w:val="20"/>
        </w:rPr>
        <w:t xml:space="preserve"> and </w:t>
      </w:r>
      <w:proofErr w:type="spellStart"/>
      <w:r w:rsidRPr="002856D3">
        <w:rPr>
          <w:rFonts w:ascii="Arial" w:hAnsi="Arial" w:cs="Arial"/>
          <w:sz w:val="20"/>
          <w:szCs w:val="20"/>
        </w:rPr>
        <w:t>Pralomkarn</w:t>
      </w:r>
      <w:proofErr w:type="spellEnd"/>
      <w:r w:rsidRPr="002856D3">
        <w:rPr>
          <w:rFonts w:ascii="Arial" w:hAnsi="Arial" w:cs="Arial"/>
          <w:sz w:val="20"/>
          <w:szCs w:val="20"/>
        </w:rPr>
        <w:t xml:space="preserve">, 2009; </w:t>
      </w:r>
      <w:proofErr w:type="spellStart"/>
      <w:r w:rsidRPr="002856D3">
        <w:rPr>
          <w:rFonts w:ascii="Arial" w:hAnsi="Arial" w:cs="Arial"/>
          <w:sz w:val="20"/>
          <w:szCs w:val="20"/>
        </w:rPr>
        <w:t>Bharathidhasan</w:t>
      </w:r>
      <w:proofErr w:type="spellEnd"/>
      <w:r w:rsidRPr="002856D3">
        <w:rPr>
          <w:rFonts w:ascii="Arial" w:hAnsi="Arial" w:cs="Arial"/>
          <w:sz w:val="20"/>
          <w:szCs w:val="20"/>
        </w:rPr>
        <w:t xml:space="preserve"> et al., 2009). Keeping these findings in mind, the present study aims to assess the effect of sex, season of birth, and type of birth on the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raised under an intensive management system. For this purpose, a flock of 40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kids (20 male and 20 female) was maintained under organized farm conditions at SKN College of Agriculture, </w:t>
      </w:r>
      <w:proofErr w:type="spellStart"/>
      <w:r w:rsidRPr="002856D3">
        <w:rPr>
          <w:rFonts w:ascii="Arial" w:hAnsi="Arial" w:cs="Arial"/>
          <w:sz w:val="20"/>
          <w:szCs w:val="20"/>
        </w:rPr>
        <w:t>Jobner</w:t>
      </w:r>
      <w:proofErr w:type="spellEnd"/>
      <w:r w:rsidRPr="002856D3">
        <w:rPr>
          <w:rFonts w:ascii="Arial" w:hAnsi="Arial" w:cs="Arial"/>
          <w:sz w:val="20"/>
          <w:szCs w:val="20"/>
        </w:rPr>
        <w:t xml:space="preserve"> (Jaipur). The seasons were categorized into autumn and winter, based on the local climatic patterns. From the authors’ standpoint, this categorization helps understand seasonal influence more clearly under controlled conditions. Thus, the present investigation was undertaken to evaluate the seasonal birth distribution and its relationship with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contributing valuable insights into breed management under intensive production systems.</w:t>
      </w:r>
    </w:p>
    <w:p w14:paraId="63C6E20E" w14:textId="77777777" w:rsidR="009B0F79" w:rsidRDefault="009B0F79" w:rsidP="00BD64FF">
      <w:pPr>
        <w:autoSpaceDE w:val="0"/>
        <w:autoSpaceDN w:val="0"/>
        <w:adjustRightInd w:val="0"/>
        <w:spacing w:before="0" w:after="0"/>
        <w:jc w:val="both"/>
        <w:rPr>
          <w:rFonts w:ascii="Times New Roman" w:hAnsi="Times New Roman" w:cs="Times New Roman"/>
          <w:lang w:bidi="hi-IN"/>
        </w:rPr>
      </w:pPr>
    </w:p>
    <w:p w14:paraId="73EA367B" w14:textId="77777777" w:rsidR="009B0F79" w:rsidRPr="00330DC8" w:rsidRDefault="009B0F79" w:rsidP="00BD64FF">
      <w:pPr>
        <w:autoSpaceDE w:val="0"/>
        <w:autoSpaceDN w:val="0"/>
        <w:adjustRightInd w:val="0"/>
        <w:spacing w:before="0" w:after="0"/>
        <w:jc w:val="both"/>
        <w:rPr>
          <w:rFonts w:ascii="Times New Roman" w:hAnsi="Times New Roman" w:cs="Times New Roman"/>
          <w:lang w:bidi="hi-IN"/>
        </w:rPr>
      </w:pPr>
    </w:p>
    <w:p w14:paraId="7A1C8FB7" w14:textId="29ECD2D9" w:rsidR="00BD64FF" w:rsidRPr="002856D3" w:rsidRDefault="002856D3" w:rsidP="002D2495">
      <w:pPr>
        <w:pStyle w:val="Default"/>
        <w:spacing w:line="360" w:lineRule="auto"/>
        <w:jc w:val="both"/>
        <w:rPr>
          <w:rFonts w:ascii="Arial" w:hAnsi="Arial" w:cs="Arial"/>
          <w:b/>
          <w:bCs/>
          <w:sz w:val="22"/>
          <w:szCs w:val="22"/>
        </w:rPr>
      </w:pPr>
      <w:r w:rsidRPr="002856D3">
        <w:rPr>
          <w:rFonts w:ascii="Arial" w:hAnsi="Arial" w:cs="Arial"/>
          <w:b/>
          <w:bCs/>
          <w:sz w:val="22"/>
          <w:szCs w:val="22"/>
        </w:rPr>
        <w:t>MATERIAL AND METHODS</w:t>
      </w:r>
    </w:p>
    <w:p w14:paraId="34C25199" w14:textId="77777777" w:rsidR="00BD64FF" w:rsidRPr="002856D3" w:rsidRDefault="00BD64FF" w:rsidP="002D2495">
      <w:pPr>
        <w:autoSpaceDE w:val="0"/>
        <w:autoSpaceDN w:val="0"/>
        <w:adjustRightInd w:val="0"/>
        <w:spacing w:before="0" w:after="0" w:line="360" w:lineRule="auto"/>
        <w:jc w:val="both"/>
        <w:rPr>
          <w:rFonts w:ascii="Arial" w:hAnsi="Arial" w:cs="Arial"/>
          <w:color w:val="231F20"/>
          <w:sz w:val="20"/>
          <w:szCs w:val="20"/>
          <w:lang w:bidi="hi-IN"/>
        </w:rPr>
      </w:pPr>
      <w:r w:rsidRPr="002D2495">
        <w:rPr>
          <w:sz w:val="24"/>
          <w:szCs w:val="24"/>
        </w:rPr>
        <w:t xml:space="preserve"> </w:t>
      </w:r>
      <w:r w:rsidRPr="002D2495">
        <w:rPr>
          <w:sz w:val="24"/>
          <w:szCs w:val="24"/>
        </w:rPr>
        <w:tab/>
      </w:r>
      <w:r w:rsidRPr="002856D3">
        <w:rPr>
          <w:rFonts w:ascii="Arial" w:hAnsi="Arial" w:cs="Arial"/>
          <w:color w:val="231F20"/>
          <w:sz w:val="20"/>
          <w:szCs w:val="20"/>
          <w:lang w:bidi="hi-IN"/>
        </w:rPr>
        <w:t xml:space="preserve">The present investigation was conducted to evaluate the influence of various factors on birth weight in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kids in semi-arid region. For this purpose, birth records of 40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kids (comprising 20 males and 20 females) were carefully examined. Among these, 30 kids were born as singles, while 10 kids were born as twins, offering a good distribution to assess the effect of type of birth.</w:t>
      </w:r>
    </w:p>
    <w:p w14:paraId="1DC126A3" w14:textId="10AC1E84" w:rsidR="00BD64FF" w:rsidRPr="002856D3" w:rsidRDefault="00BD64FF" w:rsidP="002D2495">
      <w:pPr>
        <w:autoSpaceDE w:val="0"/>
        <w:autoSpaceDN w:val="0"/>
        <w:adjustRightInd w:val="0"/>
        <w:spacing w:before="0" w:after="0" w:line="360" w:lineRule="auto"/>
        <w:jc w:val="both"/>
        <w:rPr>
          <w:rFonts w:ascii="Arial" w:hAnsi="Arial" w:cs="Arial"/>
          <w:color w:val="231F20"/>
          <w:sz w:val="20"/>
          <w:szCs w:val="20"/>
          <w:lang w:bidi="hi-IN"/>
        </w:rPr>
      </w:pPr>
      <w:r w:rsidRPr="002856D3">
        <w:rPr>
          <w:rFonts w:ascii="Arial" w:hAnsi="Arial" w:cs="Arial"/>
          <w:color w:val="231F20"/>
          <w:sz w:val="20"/>
          <w:szCs w:val="20"/>
          <w:lang w:bidi="hi-IN"/>
        </w:rPr>
        <w:t xml:space="preserve">The experiment was undertaken at the RKVY Project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Farm situated at S.K.N. College of Agriculture, </w:t>
      </w:r>
      <w:proofErr w:type="spellStart"/>
      <w:r w:rsidRPr="002856D3">
        <w:rPr>
          <w:rFonts w:ascii="Arial" w:hAnsi="Arial" w:cs="Arial"/>
          <w:color w:val="231F20"/>
          <w:sz w:val="20"/>
          <w:szCs w:val="20"/>
          <w:lang w:bidi="hi-IN"/>
        </w:rPr>
        <w:t>Jobner</w:t>
      </w:r>
      <w:proofErr w:type="spellEnd"/>
      <w:r w:rsidRPr="002856D3">
        <w:rPr>
          <w:rFonts w:ascii="Arial" w:hAnsi="Arial" w:cs="Arial"/>
          <w:color w:val="231F20"/>
          <w:sz w:val="20"/>
          <w:szCs w:val="20"/>
          <w:lang w:bidi="hi-IN"/>
        </w:rPr>
        <w:t xml:space="preserve">, in Jaipur district of Rajasthan, India. Geographically, </w:t>
      </w:r>
      <w:proofErr w:type="spellStart"/>
      <w:r w:rsidRPr="002856D3">
        <w:rPr>
          <w:rFonts w:ascii="Arial" w:hAnsi="Arial" w:cs="Arial"/>
          <w:color w:val="231F20"/>
          <w:sz w:val="20"/>
          <w:szCs w:val="20"/>
          <w:lang w:bidi="hi-IN"/>
        </w:rPr>
        <w:t>Jobner</w:t>
      </w:r>
      <w:proofErr w:type="spellEnd"/>
      <w:r w:rsidRPr="002856D3">
        <w:rPr>
          <w:rFonts w:ascii="Arial" w:hAnsi="Arial" w:cs="Arial"/>
          <w:color w:val="231F20"/>
          <w:sz w:val="20"/>
          <w:szCs w:val="20"/>
          <w:lang w:bidi="hi-IN"/>
        </w:rPr>
        <w:t xml:space="preserve"> is located 45.0 km west of Jaipur, at a latitude of 26°05' N, longitude 75°28' E, and an altitude of 427 meters above sea level.</w:t>
      </w:r>
      <w:r w:rsidR="0043252B" w:rsidRPr="002856D3">
        <w:rPr>
          <w:rFonts w:ascii="Arial" w:hAnsi="Arial" w:cs="Arial"/>
          <w:sz w:val="20"/>
          <w:szCs w:val="20"/>
        </w:rPr>
        <w:t xml:space="preserve"> </w:t>
      </w:r>
      <w:r w:rsidR="0043252B" w:rsidRPr="002856D3">
        <w:rPr>
          <w:rFonts w:ascii="Arial" w:hAnsi="Arial" w:cs="Arial"/>
          <w:color w:val="231F20"/>
          <w:sz w:val="20"/>
          <w:szCs w:val="20"/>
          <w:lang w:bidi="hi-IN"/>
        </w:rPr>
        <w:t xml:space="preserve">In </w:t>
      </w:r>
      <w:proofErr w:type="spellStart"/>
      <w:r w:rsidR="0043252B" w:rsidRPr="002856D3">
        <w:rPr>
          <w:rFonts w:ascii="Arial" w:hAnsi="Arial" w:cs="Arial"/>
          <w:color w:val="231F20"/>
          <w:sz w:val="20"/>
          <w:szCs w:val="20"/>
          <w:lang w:bidi="hi-IN"/>
        </w:rPr>
        <w:t>Jobner's</w:t>
      </w:r>
      <w:proofErr w:type="spellEnd"/>
      <w:r w:rsidR="0043252B" w:rsidRPr="002856D3">
        <w:rPr>
          <w:rFonts w:ascii="Arial" w:hAnsi="Arial" w:cs="Arial"/>
          <w:color w:val="231F20"/>
          <w:sz w:val="20"/>
          <w:szCs w:val="20"/>
          <w:lang w:bidi="hi-IN"/>
        </w:rPr>
        <w:t xml:space="preserve"> semi-arid climate (400-500 mm rainfall), goat rearing is ideal due to goats' ability to thrive in dry conditions with minimal water. However, challenges include limited forage and water scarcity, requiring efficient management for sustainable farming.</w:t>
      </w:r>
      <w:r w:rsidRPr="002856D3">
        <w:rPr>
          <w:rFonts w:ascii="Arial" w:hAnsi="Arial" w:cs="Arial"/>
          <w:color w:val="231F20"/>
          <w:sz w:val="20"/>
          <w:szCs w:val="20"/>
          <w:lang w:bidi="hi-IN"/>
        </w:rPr>
        <w:t xml:space="preserve"> These geographical details are crucial as they relate to environmental factors that may influence animal performance. During the study period in 2015, two distinct kidding seasons were identified: autumn (October) and winter (December). The birth data were stratified based on season of </w:t>
      </w:r>
      <w:commentRangeStart w:id="7"/>
      <w:r w:rsidRPr="002856D3">
        <w:rPr>
          <w:rFonts w:ascii="Arial" w:hAnsi="Arial" w:cs="Arial"/>
          <w:color w:val="231F20"/>
          <w:sz w:val="20"/>
          <w:szCs w:val="20"/>
          <w:lang w:bidi="hi-IN"/>
        </w:rPr>
        <w:t>kidding</w:t>
      </w:r>
      <w:commentRangeEnd w:id="7"/>
      <w:r w:rsidR="00BA28D0">
        <w:rPr>
          <w:rStyle w:val="CommentReference"/>
        </w:rPr>
        <w:commentReference w:id="7"/>
      </w:r>
      <w:r w:rsidRPr="002856D3">
        <w:rPr>
          <w:rFonts w:ascii="Arial" w:hAnsi="Arial" w:cs="Arial"/>
          <w:color w:val="231F20"/>
          <w:sz w:val="20"/>
          <w:szCs w:val="20"/>
          <w:lang w:bidi="hi-IN"/>
        </w:rPr>
        <w:t xml:space="preserve">, sex of the kid, and type of birth (single or twin) to analyze their respective impacts on birth weight. All animals were maintained under an intensive system of standard management, ensuring uniformity in environmental and nutritional conditions. The kids had access to clean drinking water round the clock, and a standardized feeding regimen was followed throughout the study. Proper housing, routine health monitoring, and timely veterinary care were ensured by trained farm personnel. Deworming was performed using approved anthelmintic preparations, and weather protection measures were uniformly </w:t>
      </w:r>
      <w:r w:rsidRPr="002856D3">
        <w:rPr>
          <w:rFonts w:ascii="Arial" w:hAnsi="Arial" w:cs="Arial"/>
          <w:color w:val="231F20"/>
          <w:sz w:val="20"/>
          <w:szCs w:val="20"/>
          <w:lang w:bidi="hi-IN"/>
        </w:rPr>
        <w:lastRenderedPageBreak/>
        <w:t xml:space="preserve">applied to eliminate any seasonal stressors. </w:t>
      </w:r>
      <w:commentRangeStart w:id="8"/>
      <w:r w:rsidRPr="002856D3">
        <w:rPr>
          <w:rFonts w:ascii="Arial" w:hAnsi="Arial" w:cs="Arial"/>
          <w:color w:val="231F20"/>
          <w:sz w:val="20"/>
          <w:szCs w:val="20"/>
          <w:lang w:bidi="hi-IN"/>
        </w:rPr>
        <w:t xml:space="preserve">To draw meaningful conclusions, data were analyzed statistically using the methods proposed by Snedecor and Cochran (1994). </w:t>
      </w:r>
      <w:commentRangeEnd w:id="8"/>
      <w:r w:rsidR="00BA28D0">
        <w:rPr>
          <w:rStyle w:val="CommentReference"/>
        </w:rPr>
        <w:commentReference w:id="8"/>
      </w:r>
      <w:r w:rsidRPr="002856D3">
        <w:rPr>
          <w:rFonts w:ascii="Arial" w:hAnsi="Arial" w:cs="Arial"/>
          <w:color w:val="231F20"/>
          <w:sz w:val="20"/>
          <w:szCs w:val="20"/>
          <w:lang w:bidi="hi-IN"/>
        </w:rPr>
        <w:t xml:space="preserve">The treatment means were compared for statistical significance using Duncan’s Multiple Range Test and F-test as described by Duncan (1955). These statistical tools provided a reliable framework for interpreting the impact of studied variables on the birth weight of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kids.</w:t>
      </w:r>
    </w:p>
    <w:p w14:paraId="5604BDF3" w14:textId="77777777" w:rsidR="00BD64FF" w:rsidRDefault="00BD64FF"/>
    <w:p w14:paraId="637ACA5F" w14:textId="08CBB1CA" w:rsidR="00BD64FF" w:rsidRPr="002856D3" w:rsidRDefault="002856D3" w:rsidP="002D2495">
      <w:pPr>
        <w:autoSpaceDE w:val="0"/>
        <w:autoSpaceDN w:val="0"/>
        <w:adjustRightInd w:val="0"/>
        <w:spacing w:before="0" w:after="0" w:line="360" w:lineRule="auto"/>
        <w:jc w:val="both"/>
        <w:rPr>
          <w:rFonts w:ascii="Arial" w:hAnsi="Arial" w:cs="Arial"/>
          <w:b/>
          <w:bCs/>
        </w:rPr>
      </w:pPr>
      <w:commentRangeStart w:id="9"/>
      <w:r w:rsidRPr="002856D3">
        <w:rPr>
          <w:rFonts w:ascii="Arial" w:hAnsi="Arial" w:cs="Arial"/>
          <w:b/>
          <w:bCs/>
        </w:rPr>
        <w:t>RESULTS AND DISCUSSION</w:t>
      </w:r>
    </w:p>
    <w:p w14:paraId="78B28469" w14:textId="77777777" w:rsidR="00BD64FF" w:rsidRPr="002856D3" w:rsidRDefault="00BD64FF" w:rsidP="002D2495">
      <w:pPr>
        <w:autoSpaceDE w:val="0"/>
        <w:autoSpaceDN w:val="0"/>
        <w:adjustRightInd w:val="0"/>
        <w:spacing w:before="0" w:after="0" w:line="360" w:lineRule="auto"/>
        <w:jc w:val="both"/>
        <w:rPr>
          <w:rFonts w:ascii="Arial" w:hAnsi="Arial" w:cs="Arial"/>
          <w:b/>
          <w:bCs/>
        </w:rPr>
      </w:pPr>
    </w:p>
    <w:p w14:paraId="738EB18B" w14:textId="34236FDC" w:rsidR="00BD64FF"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EFFECT OF SEX OF KID ON BIRTH WEIGHT</w:t>
      </w:r>
      <w:commentRangeEnd w:id="9"/>
      <w:r w:rsidR="00BA28D0">
        <w:rPr>
          <w:rStyle w:val="CommentReference"/>
        </w:rPr>
        <w:commentReference w:id="9"/>
      </w:r>
    </w:p>
    <w:p w14:paraId="4FA0B634" w14:textId="08AB0160" w:rsidR="00BD64FF" w:rsidRPr="002856D3" w:rsidRDefault="00BD64FF" w:rsidP="002D2495">
      <w:pPr>
        <w:spacing w:line="360" w:lineRule="auto"/>
        <w:jc w:val="both"/>
        <w:rPr>
          <w:rFonts w:ascii="Arial" w:hAnsi="Arial" w:cs="Arial"/>
          <w:sz w:val="20"/>
          <w:szCs w:val="20"/>
        </w:rPr>
      </w:pPr>
      <w:commentRangeStart w:id="10"/>
      <w:r w:rsidRPr="002856D3">
        <w:rPr>
          <w:rFonts w:ascii="Arial" w:hAnsi="Arial" w:cs="Arial"/>
          <w:sz w:val="20"/>
          <w:szCs w:val="20"/>
        </w:rPr>
        <w:t xml:space="preserve">The data were categorized based on the sex of the kids to assess the effect of sex on birth weight. Out of a total of 40 births, 20 were male and 20 were female, resulting in a 50-50 percent ratio for each sex. </w:t>
      </w:r>
      <w:commentRangeEnd w:id="10"/>
      <w:r w:rsidR="001D553C">
        <w:rPr>
          <w:rStyle w:val="CommentReference"/>
        </w:rPr>
        <w:commentReference w:id="10"/>
      </w:r>
      <w:r w:rsidRPr="002856D3">
        <w:rPr>
          <w:rFonts w:ascii="Arial" w:hAnsi="Arial" w:cs="Arial"/>
          <w:sz w:val="20"/>
          <w:szCs w:val="20"/>
        </w:rPr>
        <w:t xml:space="preserve">Table 1 presents the overall mean birth weight of the kids as 2.57±0.036 kg. The mean birth weight for male kids was 2.67±0.051 kg, while female kids had an average of 2.46±0.415 kg. Male kids were found to have an 8.54% higher birth weight than female kids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Statistical analysis indicated that sex had a significant (P&lt;0.01) effect on birth weight. These results are consistent with the findings of Banerjee and Jana (2010), who also reported a significant effect of sex on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w:t>
      </w:r>
      <w:commentRangeStart w:id="11"/>
      <w:r w:rsidRPr="002856D3">
        <w:rPr>
          <w:rFonts w:ascii="Arial" w:hAnsi="Arial" w:cs="Arial"/>
          <w:sz w:val="20"/>
          <w:szCs w:val="20"/>
        </w:rPr>
        <w:t xml:space="preserve">Our findings align with previous studies by Chawla et al. (1984), Sanchez et al. (1994), Tomar et al. (1997), Raza et al. (1998),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Singh et al. (2013), and Harikrishna et al. (2013).</w:t>
      </w:r>
      <w:commentRangeEnd w:id="11"/>
      <w:r w:rsidR="001D553C">
        <w:rPr>
          <w:rStyle w:val="CommentReference"/>
        </w:rPr>
        <w:commentReference w:id="11"/>
      </w:r>
      <w:r w:rsidRPr="002856D3">
        <w:rPr>
          <w:rFonts w:ascii="Arial" w:hAnsi="Arial" w:cs="Arial"/>
          <w:sz w:val="20"/>
          <w:szCs w:val="20"/>
        </w:rPr>
        <w:t xml:space="preserve"> This difference in birth weight between male and female kids can be attributed to the anabolic effect of male hormones (Hafez, 1962; Chandra et al., 2009), which play a crucial role in stimulating growth factors during prenatal development. In contrast, Baiden (2007) found no significant difference in birth weights between single births (1.43±0.04 kg) and twins (1.34±0.03 kg), although singles were significantly heavier (P&lt;0.05) than triplets (1.24±0.05 kg). Baiden suggested that factors such as location, breed, and season could contribute to the variations observed in birth weight in Ghana.</w:t>
      </w:r>
    </w:p>
    <w:p w14:paraId="1E1EC8A6" w14:textId="77777777" w:rsidR="00BD64FF" w:rsidRPr="002D2495" w:rsidRDefault="00BD64FF" w:rsidP="002D2495">
      <w:pPr>
        <w:autoSpaceDE w:val="0"/>
        <w:autoSpaceDN w:val="0"/>
        <w:adjustRightInd w:val="0"/>
        <w:spacing w:before="0" w:after="0" w:line="360" w:lineRule="auto"/>
        <w:rPr>
          <w:rFonts w:ascii="Times New Roman" w:hAnsi="Times New Roman"/>
          <w:b/>
          <w:bCs/>
          <w:sz w:val="24"/>
          <w:szCs w:val="24"/>
          <w:lang w:bidi="hi-IN"/>
        </w:rPr>
      </w:pPr>
    </w:p>
    <w:p w14:paraId="367C7505" w14:textId="67EC6BEB" w:rsidR="00BD64FF" w:rsidRPr="002856D3" w:rsidRDefault="002856D3" w:rsidP="002856D3">
      <w:pPr>
        <w:autoSpaceDE w:val="0"/>
        <w:autoSpaceDN w:val="0"/>
        <w:adjustRightInd w:val="0"/>
        <w:spacing w:before="0" w:after="0" w:line="360" w:lineRule="auto"/>
        <w:rPr>
          <w:rFonts w:ascii="Arial" w:hAnsi="Arial" w:cs="Arial"/>
          <w:b/>
          <w:bCs/>
        </w:rPr>
      </w:pPr>
      <w:r w:rsidRPr="002856D3">
        <w:rPr>
          <w:rFonts w:ascii="Arial" w:hAnsi="Arial" w:cs="Arial"/>
          <w:b/>
          <w:bCs/>
          <w:lang w:bidi="hi-IN"/>
        </w:rPr>
        <w:t>EFFECT OF SEASON OF BIRTH WEIGHT</w:t>
      </w:r>
    </w:p>
    <w:p w14:paraId="232B01A6" w14:textId="15FDDBCA" w:rsidR="002D2495" w:rsidRPr="002856D3" w:rsidRDefault="00BD64FF" w:rsidP="002856D3">
      <w:pPr>
        <w:spacing w:before="0" w:line="360" w:lineRule="auto"/>
        <w:jc w:val="both"/>
        <w:rPr>
          <w:rFonts w:ascii="Arial" w:hAnsi="Arial" w:cs="Arial"/>
          <w:sz w:val="20"/>
          <w:szCs w:val="20"/>
        </w:rPr>
      </w:pPr>
      <w:r w:rsidRPr="002D2495">
        <w:rPr>
          <w:rFonts w:ascii="Times New Roman" w:hAnsi="Times New Roman" w:cs="Times New Roman"/>
          <w:sz w:val="24"/>
          <w:szCs w:val="24"/>
        </w:rPr>
        <w:t xml:space="preserve"> </w:t>
      </w:r>
      <w:r w:rsidRPr="002856D3">
        <w:rPr>
          <w:rFonts w:ascii="Arial" w:hAnsi="Arial" w:cs="Arial"/>
          <w:sz w:val="20"/>
          <w:szCs w:val="20"/>
        </w:rPr>
        <w:t xml:space="preserve">Regarding the influence of season, birth weight was recorded for a total of 40 kids—20 born in autumn (October) and 20 in winter (December). Table 1 indicates that the average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during autumn was 2.53±0.051 kg, while in winter, it was 2.60±0.052 kg. The data reveals that the average birth weight of the kids was slightly higher in the winter season than in the autumn season</w:t>
      </w:r>
      <w:commentRangeStart w:id="12"/>
      <w:r w:rsidRPr="002856D3">
        <w:rPr>
          <w:rFonts w:ascii="Arial" w:hAnsi="Arial" w:cs="Arial"/>
          <w:sz w:val="20"/>
          <w:szCs w:val="20"/>
        </w:rPr>
        <w:t xml:space="preserve">. This might be attributed to the abundant availability of high-quality green fodder during the does' gestation period. </w:t>
      </w:r>
      <w:commentRangeEnd w:id="12"/>
      <w:r w:rsidR="001D553C">
        <w:rPr>
          <w:rStyle w:val="CommentReference"/>
        </w:rPr>
        <w:commentReference w:id="12"/>
      </w:r>
      <w:r w:rsidRPr="002856D3">
        <w:rPr>
          <w:rFonts w:ascii="Arial" w:hAnsi="Arial" w:cs="Arial"/>
          <w:sz w:val="20"/>
          <w:szCs w:val="20"/>
        </w:rPr>
        <w:t xml:space="preserve">Despite the observed difference, </w:t>
      </w:r>
      <w:proofErr w:type="gramStart"/>
      <w:r w:rsidRPr="002856D3">
        <w:rPr>
          <w:rFonts w:ascii="Arial" w:hAnsi="Arial" w:cs="Arial"/>
          <w:sz w:val="20"/>
          <w:szCs w:val="20"/>
        </w:rPr>
        <w:t>season</w:t>
      </w:r>
      <w:proofErr w:type="gramEnd"/>
      <w:r w:rsidRPr="002856D3">
        <w:rPr>
          <w:rFonts w:ascii="Arial" w:hAnsi="Arial" w:cs="Arial"/>
          <w:sz w:val="20"/>
          <w:szCs w:val="20"/>
        </w:rPr>
        <w:t xml:space="preserve"> did not have a statistically significant effect on birth weight in this study. This aligns with the findings of Raza et al</w:t>
      </w:r>
      <w:commentRangeStart w:id="13"/>
      <w:r w:rsidRPr="002856D3">
        <w:rPr>
          <w:rFonts w:ascii="Arial" w:hAnsi="Arial" w:cs="Arial"/>
          <w:sz w:val="20"/>
          <w:szCs w:val="20"/>
        </w:rPr>
        <w:t xml:space="preserve">. (1998), </w:t>
      </w:r>
      <w:commentRangeEnd w:id="13"/>
      <w:r w:rsidR="001D553C">
        <w:rPr>
          <w:rStyle w:val="CommentReference"/>
        </w:rPr>
        <w:commentReference w:id="13"/>
      </w:r>
      <w:r w:rsidRPr="002856D3">
        <w:rPr>
          <w:rFonts w:ascii="Arial" w:hAnsi="Arial" w:cs="Arial"/>
          <w:sz w:val="20"/>
          <w:szCs w:val="20"/>
        </w:rPr>
        <w:t xml:space="preserve">Baiden (2007), </w:t>
      </w:r>
      <w:proofErr w:type="spellStart"/>
      <w:r w:rsidRPr="002856D3">
        <w:rPr>
          <w:rFonts w:ascii="Arial" w:hAnsi="Arial" w:cs="Arial"/>
          <w:sz w:val="20"/>
          <w:szCs w:val="20"/>
        </w:rPr>
        <w:t>Thiruvenkadan</w:t>
      </w:r>
      <w:proofErr w:type="spellEnd"/>
      <w:r w:rsidRPr="002856D3">
        <w:rPr>
          <w:rFonts w:ascii="Arial" w:hAnsi="Arial" w:cs="Arial"/>
          <w:sz w:val="20"/>
          <w:szCs w:val="20"/>
        </w:rPr>
        <w:t xml:space="preserve"> et al. (2008),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Chandra et al. (2009), and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However, other studies, including those by Salah et al. (</w:t>
      </w:r>
      <w:commentRangeStart w:id="14"/>
      <w:r w:rsidRPr="002856D3">
        <w:rPr>
          <w:rFonts w:ascii="Arial" w:hAnsi="Arial" w:cs="Arial"/>
          <w:sz w:val="20"/>
          <w:szCs w:val="20"/>
        </w:rPr>
        <w:t xml:space="preserve">1989), </w:t>
      </w:r>
      <w:commentRangeEnd w:id="14"/>
      <w:r w:rsidR="001D553C">
        <w:rPr>
          <w:rStyle w:val="CommentReference"/>
        </w:rPr>
        <w:commentReference w:id="14"/>
      </w:r>
      <w:r w:rsidRPr="002856D3">
        <w:rPr>
          <w:rFonts w:ascii="Arial" w:hAnsi="Arial" w:cs="Arial"/>
          <w:sz w:val="20"/>
          <w:szCs w:val="20"/>
        </w:rPr>
        <w:t xml:space="preserve">Paul et al. (1990),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Banerjee and Jana (2010), and Meel et al. </w:t>
      </w:r>
      <w:r w:rsidRPr="002856D3">
        <w:rPr>
          <w:rFonts w:ascii="Arial" w:hAnsi="Arial" w:cs="Arial"/>
          <w:sz w:val="20"/>
          <w:szCs w:val="20"/>
        </w:rPr>
        <w:lastRenderedPageBreak/>
        <w:t>(2010), reported a significant effect of season on birth weight. These discrepancies may be attributed to factors such as a larger number of observations, the period of the study, the breed of goats, and varying environmental conditions.</w:t>
      </w:r>
    </w:p>
    <w:p w14:paraId="0391963A" w14:textId="1B337A61" w:rsidR="002D2495"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EFFECT OF BIRTH TYPE ON BIRTH WEIGHT</w:t>
      </w:r>
    </w:p>
    <w:p w14:paraId="2765BE3A" w14:textId="77777777"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Table 1 presents the influence of birth type on the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The average birth weight for single-born kids (n = 30) was found to be 2.66±0.031 kg, while for twin-born kids (n = 10), it was 2.30±0.052 kg. The statistical analysis revealed that this difference was highly significant (P&lt;0.01), indicating that the type of birth plays a crucial role in determining the birth weight of kids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w:t>
      </w:r>
    </w:p>
    <w:p w14:paraId="5CA6B928" w14:textId="257ADF87" w:rsidR="0043252B"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These findings are consistent with those of Banerjee and Jana (2010), who also observed a significant effect of birth type on the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where single-born kids were heavier compared to twins. The biological explanation behind this phenomenon is primarily attributed to greater nutrient availability for the fetus during gestation when only one kid is being carried. In the case of twin pregnancies, the shared intrauterine environment may restrict individual fetal growth due to competition for nutrients and space, leading to lower average birth weights. Supporting evidence from several studies aligns with these observations. For instance, </w:t>
      </w:r>
      <w:commentRangeStart w:id="15"/>
      <w:r w:rsidRPr="002856D3">
        <w:rPr>
          <w:rFonts w:ascii="Arial" w:hAnsi="Arial" w:cs="Arial"/>
          <w:sz w:val="20"/>
          <w:szCs w:val="20"/>
        </w:rPr>
        <w:t>Tomar et al. (1997</w:t>
      </w:r>
      <w:commentRangeEnd w:id="15"/>
      <w:r w:rsidR="001D553C">
        <w:rPr>
          <w:rStyle w:val="CommentReference"/>
        </w:rPr>
        <w:commentReference w:id="15"/>
      </w:r>
      <w:r w:rsidRPr="002856D3">
        <w:rPr>
          <w:rFonts w:ascii="Arial" w:hAnsi="Arial" w:cs="Arial"/>
          <w:sz w:val="20"/>
          <w:szCs w:val="20"/>
        </w:rPr>
        <w:t xml:space="preserve">) and Neeru and Kumar (2002) both noted that single-born kids generally exhibit higher birth weights due to more favorable intrauterine conditions. Similarly, </w:t>
      </w:r>
      <w:proofErr w:type="spellStart"/>
      <w:r w:rsidRPr="002856D3">
        <w:rPr>
          <w:rFonts w:ascii="Arial" w:hAnsi="Arial" w:cs="Arial"/>
          <w:sz w:val="20"/>
          <w:szCs w:val="20"/>
        </w:rPr>
        <w:t>Thiruvenkadan</w:t>
      </w:r>
      <w:proofErr w:type="spellEnd"/>
      <w:r w:rsidRPr="002856D3">
        <w:rPr>
          <w:rFonts w:ascii="Arial" w:hAnsi="Arial" w:cs="Arial"/>
          <w:sz w:val="20"/>
          <w:szCs w:val="20"/>
        </w:rPr>
        <w:t xml:space="preserve"> et al. (2009) and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emphasized that multiple births are typically associated with lower birth weights, which they attributed to the physiological limitations in the uterine environment that hinder the optimal development of each fetus. Moreover, studies by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Chandra et al. (2009),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Hristova et al. (2013), and Hegan et al. (2014) all corroborate the trend that kids born as singles outperform their twin or triplet counterparts in terms of initial body weight. The underlying reason, as proposed by these researchers, lies not only in nutritional availability but also in uterine space constraints, which significantly impact fetal growth, particularly in the later stages of gestation. When only a single fetus is developing, it experiences minimal intrauterine crowding, allowing for optimal growth. In contrast, the presence of multiple fetuses increases intrauterine competition, which can lead to compromised growth trajectories and reduced birth weights. However, contrasting findings were reported by Baiden (2007) in a study</w:t>
      </w:r>
      <w:r w:rsidRPr="002D2495">
        <w:rPr>
          <w:rFonts w:ascii="Times New Roman" w:hAnsi="Times New Roman" w:cs="Times New Roman"/>
          <w:sz w:val="24"/>
          <w:szCs w:val="24"/>
        </w:rPr>
        <w:t xml:space="preserve"> conducted in Ghana. In his study, no statistically significant difference </w:t>
      </w:r>
      <w:r w:rsidRPr="002856D3">
        <w:rPr>
          <w:rFonts w:ascii="Arial" w:hAnsi="Arial" w:cs="Arial"/>
          <w:sz w:val="20"/>
          <w:szCs w:val="20"/>
        </w:rPr>
        <w:t>(P&gt;0.05) was found in birth weights between single (1.43±0.04 kg) and twin-born (1.34±0.03 kg) kids. Interestingly, single-born kids were still significantly heavier than triplets (1.24±0.05 kg), indicating that while the</w:t>
      </w:r>
    </w:p>
    <w:p w14:paraId="0E1F4FE3" w14:textId="77777777" w:rsidR="0043252B" w:rsidRDefault="0043252B" w:rsidP="002D2495">
      <w:pPr>
        <w:autoSpaceDE w:val="0"/>
        <w:autoSpaceDN w:val="0"/>
        <w:adjustRightInd w:val="0"/>
        <w:spacing w:before="0" w:after="0" w:line="360" w:lineRule="auto"/>
        <w:jc w:val="both"/>
        <w:rPr>
          <w:rFonts w:ascii="Times New Roman" w:hAnsi="Times New Roman" w:cs="Times New Roman"/>
          <w:sz w:val="24"/>
          <w:szCs w:val="24"/>
        </w:rPr>
      </w:pPr>
    </w:p>
    <w:p w14:paraId="2F5A2B99" w14:textId="1341C171" w:rsidR="0043252B" w:rsidRPr="002D2495" w:rsidRDefault="002D2495" w:rsidP="002D2495">
      <w:pPr>
        <w:autoSpaceDE w:val="0"/>
        <w:autoSpaceDN w:val="0"/>
        <w:adjustRightInd w:val="0"/>
        <w:spacing w:before="0" w:after="0" w:line="360" w:lineRule="auto"/>
        <w:jc w:val="both"/>
        <w:rPr>
          <w:rFonts w:ascii="Times New Roman" w:hAnsi="Times New Roman" w:cs="Times New Roman"/>
          <w:sz w:val="24"/>
          <w:szCs w:val="24"/>
        </w:rPr>
      </w:pPr>
      <w:r w:rsidRPr="002D2495">
        <w:rPr>
          <w:rFonts w:ascii="Times New Roman" w:hAnsi="Times New Roman" w:cs="Times New Roman"/>
          <w:sz w:val="24"/>
          <w:szCs w:val="24"/>
        </w:rPr>
        <w:t xml:space="preserve"> </w:t>
      </w:r>
    </w:p>
    <w:tbl>
      <w:tblPr>
        <w:tblStyle w:val="TableGrid"/>
        <w:tblpPr w:leftFromText="180" w:rightFromText="180" w:vertAnchor="page" w:horzAnchor="margin" w:tblpXSpec="center" w:tblpY="2329"/>
        <w:tblW w:w="10005" w:type="dxa"/>
        <w:tblLook w:val="04A0" w:firstRow="1" w:lastRow="0" w:firstColumn="1" w:lastColumn="0" w:noHBand="0" w:noVBand="1"/>
      </w:tblPr>
      <w:tblGrid>
        <w:gridCol w:w="1956"/>
        <w:gridCol w:w="2267"/>
        <w:gridCol w:w="3785"/>
        <w:gridCol w:w="1997"/>
      </w:tblGrid>
      <w:tr w:rsidR="0043252B" w:rsidRPr="00BD64FF" w14:paraId="6B1159AB" w14:textId="77777777" w:rsidTr="0043252B">
        <w:trPr>
          <w:trHeight w:val="291"/>
        </w:trPr>
        <w:tc>
          <w:tcPr>
            <w:tcW w:w="10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48FF" w14:textId="4BF72E65" w:rsidR="0043252B" w:rsidRPr="0043252B" w:rsidRDefault="0043252B" w:rsidP="0043252B">
            <w:pPr>
              <w:autoSpaceDE w:val="0"/>
              <w:autoSpaceDN w:val="0"/>
              <w:adjustRightInd w:val="0"/>
              <w:spacing w:before="0" w:line="276" w:lineRule="auto"/>
              <w:jc w:val="both"/>
              <w:rPr>
                <w:rFonts w:ascii="Times New Roman" w:hAnsi="Times New Roman" w:cs="Times New Roman"/>
                <w:b/>
                <w:bCs/>
                <w:color w:val="000000"/>
                <w:sz w:val="24"/>
                <w:szCs w:val="24"/>
                <w:lang w:bidi="hi-IN"/>
              </w:rPr>
            </w:pPr>
            <w:commentRangeStart w:id="16"/>
            <w:r w:rsidRPr="002D2495">
              <w:rPr>
                <w:rFonts w:ascii="Times New Roman" w:hAnsi="Times New Roman" w:cs="Times New Roman"/>
                <w:b/>
                <w:bCs/>
                <w:color w:val="000000"/>
                <w:sz w:val="24"/>
                <w:szCs w:val="24"/>
                <w:lang w:bidi="hi-IN"/>
              </w:rPr>
              <w:lastRenderedPageBreak/>
              <w:t xml:space="preserve">Table 1. Birth weight in </w:t>
            </w:r>
            <w:proofErr w:type="spellStart"/>
            <w:r w:rsidRPr="002D2495">
              <w:rPr>
                <w:rFonts w:ascii="Times New Roman" w:hAnsi="Times New Roman" w:cs="Times New Roman"/>
                <w:b/>
                <w:bCs/>
                <w:color w:val="000000"/>
                <w:sz w:val="24"/>
                <w:szCs w:val="24"/>
                <w:lang w:bidi="hi-IN"/>
              </w:rPr>
              <w:t>Sirohi</w:t>
            </w:r>
            <w:proofErr w:type="spellEnd"/>
            <w:r w:rsidRPr="002D2495">
              <w:rPr>
                <w:rFonts w:ascii="Times New Roman" w:hAnsi="Times New Roman" w:cs="Times New Roman"/>
                <w:b/>
                <w:bCs/>
                <w:color w:val="000000"/>
                <w:sz w:val="24"/>
                <w:szCs w:val="24"/>
                <w:lang w:bidi="hi-IN"/>
              </w:rPr>
              <w:t xml:space="preserve"> </w:t>
            </w:r>
            <w:proofErr w:type="gramStart"/>
            <w:r w:rsidRPr="002D2495">
              <w:rPr>
                <w:rFonts w:ascii="Times New Roman" w:hAnsi="Times New Roman" w:cs="Times New Roman"/>
                <w:b/>
                <w:bCs/>
                <w:color w:val="000000"/>
                <w:sz w:val="24"/>
                <w:szCs w:val="24"/>
                <w:lang w:bidi="hi-IN"/>
              </w:rPr>
              <w:t>goat kids</w:t>
            </w:r>
            <w:proofErr w:type="gramEnd"/>
            <w:r w:rsidRPr="002D2495">
              <w:rPr>
                <w:rFonts w:ascii="Times New Roman" w:hAnsi="Times New Roman" w:cs="Times New Roman"/>
                <w:b/>
                <w:bCs/>
                <w:color w:val="000000"/>
                <w:sz w:val="24"/>
                <w:szCs w:val="24"/>
                <w:lang w:bidi="hi-IN"/>
              </w:rPr>
              <w:t xml:space="preserve"> for various parameters</w:t>
            </w:r>
            <w:commentRangeEnd w:id="16"/>
            <w:r w:rsidR="001D553C">
              <w:rPr>
                <w:rStyle w:val="CommentReference"/>
              </w:rPr>
              <w:commentReference w:id="16"/>
            </w:r>
          </w:p>
        </w:tc>
      </w:tr>
      <w:tr w:rsidR="0043252B" w:rsidRPr="00BD64FF" w14:paraId="5FBAA376" w14:textId="77777777" w:rsidTr="0043252B">
        <w:trPr>
          <w:trHeight w:val="29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74767" w14:textId="77777777" w:rsidR="0043252B" w:rsidRPr="00BD64FF" w:rsidRDefault="0043252B" w:rsidP="0043252B">
            <w:pPr>
              <w:ind w:left="0"/>
              <w:jc w:val="both"/>
              <w:rPr>
                <w:rFonts w:ascii="Times New Roman" w:hAnsi="Times New Roman" w:cs="Times New Roman"/>
                <w:b/>
                <w:bCs/>
                <w:sz w:val="24"/>
                <w:szCs w:val="24"/>
              </w:rPr>
            </w:pPr>
            <w:r w:rsidRPr="00BD64FF">
              <w:rPr>
                <w:rFonts w:ascii="Times New Roman" w:hAnsi="Times New Roman" w:cs="Times New Roman"/>
                <w:b/>
                <w:bCs/>
                <w:sz w:val="24"/>
                <w:szCs w:val="24"/>
              </w:rPr>
              <w:t>Parameters</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0473" w14:textId="77777777" w:rsidR="0043252B" w:rsidRPr="00BD64FF" w:rsidRDefault="0043252B" w:rsidP="0043252B">
            <w:pPr>
              <w:ind w:left="0"/>
              <w:jc w:val="both"/>
              <w:rPr>
                <w:rFonts w:ascii="Times New Roman" w:hAnsi="Times New Roman" w:cs="Times New Roman"/>
                <w:b/>
                <w:bCs/>
                <w:sz w:val="24"/>
                <w:szCs w:val="24"/>
              </w:rPr>
            </w:pPr>
            <w:r w:rsidRPr="00BD64FF">
              <w:rPr>
                <w:rFonts w:ascii="Times New Roman" w:hAnsi="Times New Roman" w:cs="Times New Roman"/>
                <w:b/>
                <w:bCs/>
                <w:sz w:val="24"/>
                <w:szCs w:val="24"/>
              </w:rPr>
              <w:t xml:space="preserve"> N</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674EF" w14:textId="77777777" w:rsidR="0043252B" w:rsidRPr="00BD64FF" w:rsidRDefault="0043252B" w:rsidP="0043252B">
            <w:pPr>
              <w:ind w:left="0"/>
              <w:rPr>
                <w:rFonts w:ascii="Times New Roman" w:hAnsi="Times New Roman" w:cs="Times New Roman"/>
                <w:b/>
                <w:bCs/>
                <w:sz w:val="24"/>
                <w:szCs w:val="24"/>
              </w:rPr>
            </w:pPr>
            <w:r w:rsidRPr="00BD64FF">
              <w:rPr>
                <w:rFonts w:ascii="Times New Roman" w:hAnsi="Times New Roman" w:cs="Times New Roman"/>
                <w:b/>
                <w:bCs/>
                <w:sz w:val="24"/>
                <w:szCs w:val="24"/>
              </w:rPr>
              <w:t xml:space="preserve">Birth weight (Kg) </w:t>
            </w:r>
          </w:p>
          <w:p w14:paraId="3A30E7C4" w14:textId="77777777" w:rsidR="0043252B" w:rsidRPr="00BD64FF" w:rsidRDefault="0043252B" w:rsidP="0043252B">
            <w:pPr>
              <w:ind w:left="0"/>
              <w:rPr>
                <w:rFonts w:ascii="Times New Roman" w:hAnsi="Times New Roman" w:cs="Times New Roman"/>
                <w:b/>
                <w:bCs/>
                <w:color w:val="000000"/>
                <w:sz w:val="24"/>
                <w:szCs w:val="24"/>
              </w:rPr>
            </w:pPr>
            <w:r w:rsidRPr="00BD64FF">
              <w:rPr>
                <w:rFonts w:ascii="Times New Roman" w:hAnsi="Times New Roman" w:cs="Times New Roman"/>
                <w:b/>
                <w:bCs/>
                <w:color w:val="000000"/>
                <w:sz w:val="24"/>
                <w:szCs w:val="24"/>
              </w:rPr>
              <w:t xml:space="preserve">  </w:t>
            </w:r>
            <w:proofErr w:type="spellStart"/>
            <w:r w:rsidRPr="00BD64FF">
              <w:rPr>
                <w:rFonts w:ascii="Times New Roman" w:hAnsi="Times New Roman" w:cs="Times New Roman"/>
                <w:b/>
                <w:bCs/>
                <w:color w:val="000000"/>
                <w:sz w:val="24"/>
                <w:szCs w:val="24"/>
              </w:rPr>
              <w:t>Mean±SE</w:t>
            </w:r>
            <w:proofErr w:type="spellEnd"/>
            <w:r w:rsidRPr="00BD64FF">
              <w:rPr>
                <w:rFonts w:ascii="Times New Roman" w:hAnsi="Times New Roman" w:cs="Times New Roman"/>
                <w:b/>
                <w:bCs/>
                <w:color w:val="000000"/>
                <w:sz w:val="24"/>
                <w:szCs w:val="24"/>
              </w:rPr>
              <w:t xml:space="preserve"> </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81642" w14:textId="77777777" w:rsidR="0043252B" w:rsidRPr="00BD64FF" w:rsidRDefault="0043252B" w:rsidP="0043252B">
            <w:pPr>
              <w:ind w:left="0"/>
              <w:rPr>
                <w:rFonts w:ascii="Times New Roman" w:hAnsi="Times New Roman" w:cs="Times New Roman"/>
                <w:b/>
                <w:bCs/>
                <w:sz w:val="24"/>
                <w:szCs w:val="24"/>
              </w:rPr>
            </w:pPr>
            <w:r w:rsidRPr="00BD64FF">
              <w:rPr>
                <w:rFonts w:ascii="Times New Roman" w:hAnsi="Times New Roman" w:cs="Times New Roman"/>
                <w:b/>
                <w:bCs/>
                <w:sz w:val="24"/>
                <w:szCs w:val="24"/>
              </w:rPr>
              <w:t>Significances</w:t>
            </w:r>
          </w:p>
        </w:tc>
      </w:tr>
      <w:tr w:rsidR="0043252B" w:rsidRPr="00BD64FF" w14:paraId="12070BEB" w14:textId="77777777" w:rsidTr="0043252B">
        <w:trPr>
          <w:trHeight w:val="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DCA2"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Overall</w:t>
            </w:r>
          </w:p>
          <w:p w14:paraId="12A5EDF9" w14:textId="77777777" w:rsidR="0043252B" w:rsidRPr="00BD64FF" w:rsidRDefault="0043252B" w:rsidP="0043252B">
            <w:pPr>
              <w:jc w:val="both"/>
              <w:rPr>
                <w:rFonts w:ascii="Times New Roman" w:hAnsi="Times New Roman" w:cs="Times New Roman"/>
                <w:sz w:val="24"/>
                <w:szCs w:val="24"/>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72900"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 xml:space="preserve">  40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C99AC"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2.57 </w:t>
            </w:r>
            <w:r w:rsidRPr="00BD64FF">
              <w:rPr>
                <w:rFonts w:ascii="Times New Roman" w:hAnsi="Times New Roman" w:cs="Times New Roman"/>
                <w:bCs/>
                <w:color w:val="000000"/>
                <w:sz w:val="24"/>
                <w:szCs w:val="24"/>
              </w:rPr>
              <w:t>±</w:t>
            </w:r>
            <w:r w:rsidRPr="00BD64FF">
              <w:rPr>
                <w:rFonts w:ascii="Times New Roman" w:hAnsi="Times New Roman" w:cs="Times New Roman"/>
                <w:sz w:val="24"/>
                <w:szCs w:val="24"/>
              </w:rPr>
              <w:t xml:space="preserve"> 0.036</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4FEC" w14:textId="77777777" w:rsidR="0043252B" w:rsidRPr="00BD64FF" w:rsidRDefault="0043252B" w:rsidP="0043252B">
            <w:pPr>
              <w:rPr>
                <w:rFonts w:ascii="Times New Roman" w:hAnsi="Times New Roman" w:cs="Times New Roman"/>
                <w:sz w:val="24"/>
                <w:szCs w:val="24"/>
              </w:rPr>
            </w:pPr>
          </w:p>
        </w:tc>
      </w:tr>
      <w:tr w:rsidR="0043252B" w:rsidRPr="00BD64FF" w14:paraId="341FB939" w14:textId="77777777" w:rsidTr="0043252B">
        <w:trPr>
          <w:trHeight w:val="3"/>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10186"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Sex</w:t>
            </w:r>
          </w:p>
          <w:p w14:paraId="2B8452A3"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Male</w:t>
            </w:r>
          </w:p>
          <w:p w14:paraId="0E6312B5"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Female</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154EB" w14:textId="77777777" w:rsidR="0043252B" w:rsidRPr="00BD64FF" w:rsidRDefault="0043252B" w:rsidP="0043252B">
            <w:pPr>
              <w:rPr>
                <w:rFonts w:ascii="Times New Roman" w:hAnsi="Times New Roman" w:cs="Times New Roman"/>
                <w:sz w:val="24"/>
                <w:szCs w:val="24"/>
              </w:rPr>
            </w:pPr>
          </w:p>
          <w:p w14:paraId="3EB36076"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p w14:paraId="02886557"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45F3F" w14:textId="77777777" w:rsidR="0043252B" w:rsidRPr="00BD64FF" w:rsidRDefault="0043252B" w:rsidP="0043252B">
            <w:pPr>
              <w:rPr>
                <w:rFonts w:ascii="Times New Roman" w:hAnsi="Times New Roman" w:cs="Times New Roman"/>
                <w:sz w:val="24"/>
                <w:szCs w:val="24"/>
              </w:rPr>
            </w:pPr>
          </w:p>
          <w:p w14:paraId="4DE6C6E9" w14:textId="77777777" w:rsidR="0043252B" w:rsidRPr="00BD64FF"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sz w:val="24"/>
                <w:szCs w:val="24"/>
              </w:rPr>
              <w:t>2.67</w:t>
            </w:r>
            <w:r w:rsidRPr="00BD64FF">
              <w:rPr>
                <w:rFonts w:ascii="Times New Roman" w:hAnsi="Times New Roman" w:cs="Times New Roman"/>
                <w:bCs/>
                <w:color w:val="000000"/>
                <w:sz w:val="24"/>
                <w:szCs w:val="24"/>
              </w:rPr>
              <w:t>±0.051</w:t>
            </w:r>
          </w:p>
          <w:p w14:paraId="2969AD04"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2.46</w:t>
            </w:r>
            <w:r w:rsidRPr="00BD64FF">
              <w:rPr>
                <w:rFonts w:ascii="Times New Roman" w:hAnsi="Times New Roman" w:cs="Times New Roman"/>
                <w:bCs/>
                <w:color w:val="000000"/>
                <w:sz w:val="24"/>
                <w:szCs w:val="24"/>
              </w:rPr>
              <w:t>±0.041</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3A29" w14:textId="77777777" w:rsidR="0043252B" w:rsidRPr="00BD64FF" w:rsidRDefault="0043252B" w:rsidP="0043252B">
            <w:pPr>
              <w:ind w:left="0"/>
              <w:rPr>
                <w:rFonts w:ascii="Times New Roman" w:hAnsi="Times New Roman" w:cs="Times New Roman"/>
                <w:sz w:val="24"/>
                <w:szCs w:val="24"/>
              </w:rPr>
            </w:pPr>
          </w:p>
          <w:p w14:paraId="07070A38"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w:t>
            </w:r>
          </w:p>
        </w:tc>
      </w:tr>
      <w:tr w:rsidR="0043252B" w:rsidRPr="00BD64FF" w14:paraId="4F0AF744" w14:textId="77777777" w:rsidTr="0043252B">
        <w:trPr>
          <w:trHeight w:val="7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17FFF"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Season</w:t>
            </w:r>
          </w:p>
          <w:p w14:paraId="7A682DA1"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Autumn</w:t>
            </w:r>
          </w:p>
          <w:p w14:paraId="09AB6B15"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Winter</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7C632" w14:textId="77777777" w:rsidR="0043252B" w:rsidRPr="00BD64FF" w:rsidRDefault="0043252B" w:rsidP="0043252B">
            <w:pPr>
              <w:rPr>
                <w:rFonts w:ascii="Times New Roman" w:hAnsi="Times New Roman" w:cs="Times New Roman"/>
                <w:sz w:val="24"/>
                <w:szCs w:val="24"/>
              </w:rPr>
            </w:pPr>
          </w:p>
          <w:p w14:paraId="46BB1D2B"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p w14:paraId="135ACC85"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4D240" w14:textId="77777777" w:rsidR="0043252B" w:rsidRPr="00BD64FF" w:rsidRDefault="0043252B" w:rsidP="0043252B">
            <w:pPr>
              <w:ind w:left="0"/>
              <w:rPr>
                <w:rFonts w:ascii="Times New Roman" w:hAnsi="Times New Roman" w:cs="Times New Roman"/>
                <w:sz w:val="24"/>
                <w:szCs w:val="24"/>
              </w:rPr>
            </w:pPr>
          </w:p>
          <w:p w14:paraId="3FE2A31D" w14:textId="77777777" w:rsidR="0043252B" w:rsidRPr="00BD64FF"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sz w:val="24"/>
                <w:szCs w:val="24"/>
              </w:rPr>
              <w:t>2.53</w:t>
            </w:r>
            <w:r w:rsidRPr="00BD64FF">
              <w:rPr>
                <w:rFonts w:ascii="Times New Roman" w:hAnsi="Times New Roman" w:cs="Times New Roman"/>
                <w:bCs/>
                <w:color w:val="000000"/>
                <w:sz w:val="24"/>
                <w:szCs w:val="24"/>
              </w:rPr>
              <w:t>±0.051</w:t>
            </w:r>
          </w:p>
          <w:p w14:paraId="74985C69"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bCs/>
                <w:color w:val="000000"/>
                <w:sz w:val="24"/>
                <w:szCs w:val="24"/>
              </w:rPr>
              <w:t>2.60±0.052</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0FEC" w14:textId="77777777" w:rsidR="0043252B" w:rsidRPr="00BD64FF" w:rsidRDefault="0043252B" w:rsidP="0043252B">
            <w:pPr>
              <w:ind w:left="0"/>
              <w:rPr>
                <w:rFonts w:ascii="Times New Roman" w:hAnsi="Times New Roman" w:cs="Times New Roman"/>
                <w:sz w:val="24"/>
                <w:szCs w:val="24"/>
              </w:rPr>
            </w:pPr>
          </w:p>
          <w:p w14:paraId="60559A3D"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NS</w:t>
            </w:r>
          </w:p>
        </w:tc>
      </w:tr>
      <w:tr w:rsidR="0043252B" w:rsidRPr="00BD64FF" w14:paraId="16B8C42E" w14:textId="77777777" w:rsidTr="0043252B">
        <w:trPr>
          <w:trHeight w:val="1216"/>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CD520"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Type of birth</w:t>
            </w:r>
          </w:p>
          <w:p w14:paraId="51491C44"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Single</w:t>
            </w:r>
          </w:p>
          <w:p w14:paraId="7CCE4F6A" w14:textId="77777777" w:rsidR="0043252B" w:rsidRPr="00BD64FF" w:rsidRDefault="0043252B" w:rsidP="0043252B">
            <w:pPr>
              <w:ind w:left="0"/>
              <w:jc w:val="both"/>
              <w:rPr>
                <w:rFonts w:ascii="Times New Roman" w:hAnsi="Times New Roman" w:cs="Times New Roman"/>
                <w:sz w:val="24"/>
                <w:szCs w:val="24"/>
              </w:rPr>
            </w:pPr>
            <w:r w:rsidRPr="00BD64FF">
              <w:rPr>
                <w:rFonts w:ascii="Times New Roman" w:hAnsi="Times New Roman" w:cs="Times New Roman"/>
                <w:sz w:val="24"/>
                <w:szCs w:val="24"/>
              </w:rPr>
              <w:t>Twins</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993C" w14:textId="77777777" w:rsidR="0043252B" w:rsidRPr="00BD64FF" w:rsidRDefault="0043252B" w:rsidP="0043252B">
            <w:pPr>
              <w:rPr>
                <w:rFonts w:ascii="Times New Roman" w:hAnsi="Times New Roman" w:cs="Times New Roman"/>
                <w:sz w:val="24"/>
                <w:szCs w:val="24"/>
              </w:rPr>
            </w:pPr>
          </w:p>
          <w:p w14:paraId="7E0852DB"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30</w:t>
            </w:r>
          </w:p>
          <w:p w14:paraId="205FA761" w14:textId="77777777" w:rsidR="0043252B" w:rsidRPr="00BD64FF" w:rsidRDefault="0043252B" w:rsidP="0043252B">
            <w:pPr>
              <w:ind w:left="0"/>
              <w:rPr>
                <w:rFonts w:ascii="Times New Roman" w:hAnsi="Times New Roman" w:cs="Times New Roman"/>
                <w:sz w:val="24"/>
                <w:szCs w:val="24"/>
              </w:rPr>
            </w:pPr>
            <w:r w:rsidRPr="00BD64FF">
              <w:rPr>
                <w:rFonts w:ascii="Times New Roman" w:hAnsi="Times New Roman" w:cs="Times New Roman"/>
                <w:sz w:val="24"/>
                <w:szCs w:val="24"/>
              </w:rPr>
              <w:t>10</w:t>
            </w:r>
          </w:p>
          <w:p w14:paraId="10A4E59F" w14:textId="77777777" w:rsidR="0043252B" w:rsidRPr="00BD64FF" w:rsidRDefault="0043252B" w:rsidP="0043252B">
            <w:pPr>
              <w:rPr>
                <w:rFonts w:ascii="Times New Roman" w:hAnsi="Times New Roman" w:cs="Times New Roman"/>
                <w:sz w:val="24"/>
                <w:szCs w:val="24"/>
              </w:rPr>
            </w:pPr>
            <w:r w:rsidRPr="00BD64FF">
              <w:rPr>
                <w:rFonts w:ascii="Times New Roman" w:hAnsi="Times New Roman" w:cs="Times New Roman"/>
                <w:sz w:val="24"/>
                <w:szCs w:val="24"/>
              </w:rPr>
              <w:t xml:space="preserve">        </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ACC7" w14:textId="77777777" w:rsidR="0043252B" w:rsidRPr="00BD64FF" w:rsidRDefault="0043252B" w:rsidP="0043252B">
            <w:pPr>
              <w:rPr>
                <w:rFonts w:ascii="Times New Roman" w:hAnsi="Times New Roman" w:cs="Times New Roman"/>
                <w:sz w:val="24"/>
                <w:szCs w:val="24"/>
              </w:rPr>
            </w:pPr>
          </w:p>
          <w:p w14:paraId="0B36019F" w14:textId="77777777" w:rsidR="0043252B" w:rsidRPr="00BD64FF"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sz w:val="24"/>
                <w:szCs w:val="24"/>
              </w:rPr>
              <w:t>2.66</w:t>
            </w:r>
            <w:r w:rsidRPr="00BD64FF">
              <w:rPr>
                <w:rFonts w:ascii="Times New Roman" w:hAnsi="Times New Roman" w:cs="Times New Roman"/>
                <w:bCs/>
                <w:color w:val="000000"/>
                <w:sz w:val="24"/>
                <w:szCs w:val="24"/>
              </w:rPr>
              <w:t>±0.031</w:t>
            </w:r>
          </w:p>
          <w:p w14:paraId="31E8F480" w14:textId="77777777" w:rsidR="0043252B" w:rsidRDefault="0043252B" w:rsidP="0043252B">
            <w:pPr>
              <w:ind w:left="0"/>
              <w:rPr>
                <w:rFonts w:ascii="Times New Roman" w:hAnsi="Times New Roman" w:cs="Times New Roman"/>
                <w:bCs/>
                <w:color w:val="000000"/>
                <w:sz w:val="24"/>
                <w:szCs w:val="24"/>
              </w:rPr>
            </w:pPr>
            <w:r w:rsidRPr="00BD64FF">
              <w:rPr>
                <w:rFonts w:ascii="Times New Roman" w:hAnsi="Times New Roman" w:cs="Times New Roman"/>
                <w:bCs/>
                <w:color w:val="000000"/>
                <w:sz w:val="24"/>
                <w:szCs w:val="24"/>
              </w:rPr>
              <w:t>2.30±0.052</w:t>
            </w:r>
          </w:p>
          <w:p w14:paraId="50F88DC4" w14:textId="77777777" w:rsidR="0043252B" w:rsidRPr="00BD64FF" w:rsidRDefault="0043252B" w:rsidP="0043252B">
            <w:pPr>
              <w:ind w:left="0"/>
              <w:rPr>
                <w:rFonts w:ascii="Times New Roman" w:hAnsi="Times New Roman" w:cs="Times New Roman"/>
                <w:bCs/>
                <w:color w:val="000000"/>
                <w:sz w:val="24"/>
                <w:szCs w:val="24"/>
              </w:rPr>
            </w:pP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8C0A" w14:textId="77777777" w:rsidR="0043252B" w:rsidRPr="00BD64FF" w:rsidRDefault="0043252B" w:rsidP="0043252B">
            <w:pPr>
              <w:rPr>
                <w:rFonts w:ascii="Times New Roman" w:hAnsi="Times New Roman" w:cs="Times New Roman"/>
                <w:color w:val="000000"/>
                <w:sz w:val="24"/>
                <w:szCs w:val="24"/>
              </w:rPr>
            </w:pPr>
          </w:p>
          <w:p w14:paraId="080054CC" w14:textId="77777777" w:rsidR="0043252B" w:rsidRPr="00BD64FF" w:rsidRDefault="0043252B" w:rsidP="0043252B">
            <w:pPr>
              <w:ind w:left="0"/>
              <w:rPr>
                <w:rFonts w:ascii="Times New Roman" w:hAnsi="Times New Roman" w:cs="Times New Roman"/>
                <w:color w:val="000000"/>
                <w:sz w:val="24"/>
                <w:szCs w:val="24"/>
              </w:rPr>
            </w:pPr>
            <w:r w:rsidRPr="00BD64FF">
              <w:rPr>
                <w:rFonts w:ascii="Times New Roman" w:hAnsi="Times New Roman" w:cs="Times New Roman"/>
                <w:color w:val="000000"/>
                <w:sz w:val="24"/>
                <w:szCs w:val="24"/>
              </w:rPr>
              <w:t xml:space="preserve">    **</w:t>
            </w:r>
          </w:p>
          <w:p w14:paraId="0FC1BE93" w14:textId="77777777" w:rsidR="0043252B" w:rsidRPr="00BD64FF" w:rsidRDefault="0043252B" w:rsidP="0043252B">
            <w:pPr>
              <w:rPr>
                <w:rFonts w:ascii="Times New Roman" w:hAnsi="Times New Roman" w:cs="Times New Roman"/>
                <w:sz w:val="24"/>
                <w:szCs w:val="24"/>
              </w:rPr>
            </w:pPr>
          </w:p>
        </w:tc>
      </w:tr>
      <w:tr w:rsidR="0043252B" w:rsidRPr="00BD64FF" w14:paraId="4F4F8141" w14:textId="77777777" w:rsidTr="0043252B">
        <w:trPr>
          <w:trHeight w:val="1216"/>
        </w:trPr>
        <w:tc>
          <w:tcPr>
            <w:tcW w:w="10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CB81A" w14:textId="6B7278A4" w:rsidR="0043252B" w:rsidRPr="0043252B" w:rsidRDefault="0043252B" w:rsidP="0043252B">
            <w:pPr>
              <w:autoSpaceDE w:val="0"/>
              <w:autoSpaceDN w:val="0"/>
              <w:adjustRightInd w:val="0"/>
              <w:spacing w:before="0" w:line="276" w:lineRule="auto"/>
              <w:jc w:val="both"/>
              <w:rPr>
                <w:rFonts w:ascii="Times New Roman" w:hAnsi="Times New Roman" w:cs="Times New Roman"/>
              </w:rPr>
            </w:pPr>
            <w:r w:rsidRPr="00A33244">
              <w:rPr>
                <w:rFonts w:ascii="Times New Roman" w:hAnsi="Times New Roman" w:cs="Times New Roman"/>
                <w:color w:val="000000"/>
                <w:lang w:bidi="hi-IN"/>
              </w:rPr>
              <w:t>** Significant (P&lt;0.01), NS= Non-Significant, N= Number of samples</w:t>
            </w:r>
          </w:p>
        </w:tc>
      </w:tr>
    </w:tbl>
    <w:p w14:paraId="4C476FFD" w14:textId="77777777" w:rsidR="002856D3" w:rsidRDefault="002D2495" w:rsidP="002D2495">
      <w:pPr>
        <w:autoSpaceDE w:val="0"/>
        <w:autoSpaceDN w:val="0"/>
        <w:adjustRightInd w:val="0"/>
        <w:spacing w:before="0" w:after="0" w:line="360" w:lineRule="auto"/>
        <w:jc w:val="both"/>
        <w:rPr>
          <w:rFonts w:ascii="Times New Roman" w:hAnsi="Times New Roman" w:cs="Times New Roman"/>
          <w:sz w:val="24"/>
          <w:szCs w:val="24"/>
        </w:rPr>
      </w:pPr>
      <w:r w:rsidRPr="002856D3">
        <w:rPr>
          <w:rFonts w:ascii="Arial" w:hAnsi="Arial" w:cs="Arial"/>
          <w:sz w:val="20"/>
          <w:szCs w:val="20"/>
        </w:rPr>
        <w:t>effect of type of birth on weight was evident when comparing singles to triplets, it was less so between singles and twins. Baiden attributed these discrepancies to location-specific factors, such</w:t>
      </w:r>
      <w:r w:rsidRPr="002D2495">
        <w:rPr>
          <w:rFonts w:ascii="Times New Roman" w:hAnsi="Times New Roman" w:cs="Times New Roman"/>
          <w:sz w:val="24"/>
          <w:szCs w:val="24"/>
        </w:rPr>
        <w:t xml:space="preserve"> </w:t>
      </w:r>
      <w:r w:rsidRPr="002856D3">
        <w:rPr>
          <w:rFonts w:ascii="Arial" w:hAnsi="Arial" w:cs="Arial"/>
          <w:sz w:val="20"/>
          <w:szCs w:val="20"/>
        </w:rPr>
        <w:t>as climatic</w:t>
      </w:r>
      <w:r w:rsidRPr="002D2495">
        <w:rPr>
          <w:rFonts w:ascii="Times New Roman" w:hAnsi="Times New Roman" w:cs="Times New Roman"/>
          <w:sz w:val="24"/>
          <w:szCs w:val="24"/>
        </w:rPr>
        <w:t xml:space="preserve"> </w:t>
      </w:r>
    </w:p>
    <w:p w14:paraId="761FE63B" w14:textId="77777777" w:rsidR="002856D3" w:rsidRDefault="002856D3" w:rsidP="002D2495">
      <w:pPr>
        <w:autoSpaceDE w:val="0"/>
        <w:autoSpaceDN w:val="0"/>
        <w:adjustRightInd w:val="0"/>
        <w:spacing w:before="0" w:after="0" w:line="360" w:lineRule="auto"/>
        <w:jc w:val="both"/>
        <w:rPr>
          <w:rFonts w:ascii="Times New Roman" w:hAnsi="Times New Roman" w:cs="Times New Roman"/>
          <w:sz w:val="24"/>
          <w:szCs w:val="24"/>
        </w:rPr>
      </w:pPr>
    </w:p>
    <w:p w14:paraId="08CD692A" w14:textId="0E6033B0"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conditions, seasonal variations, management practices, and breed differences, which might have mitigated the expected disparities in birth weight. Thus, while the current study reinforces the consistent trend of higher birth weight in single births, as supported by numerous previous investigations, it is important to recognize that environmental conditions </w:t>
      </w:r>
      <w:r w:rsidR="002856D3" w:rsidRPr="002856D3">
        <w:rPr>
          <w:rFonts w:ascii="Arial" w:hAnsi="Arial" w:cs="Arial"/>
          <w:sz w:val="20"/>
          <w:szCs w:val="20"/>
        </w:rPr>
        <w:t xml:space="preserve">and </w:t>
      </w:r>
      <w:r w:rsidR="002856D3">
        <w:rPr>
          <w:rFonts w:ascii="Arial" w:hAnsi="Arial" w:cs="Arial"/>
          <w:sz w:val="20"/>
          <w:szCs w:val="20"/>
        </w:rPr>
        <w:t>management</w:t>
      </w:r>
      <w:r w:rsidRPr="002856D3">
        <w:rPr>
          <w:rFonts w:ascii="Arial" w:hAnsi="Arial" w:cs="Arial"/>
          <w:sz w:val="20"/>
          <w:szCs w:val="20"/>
        </w:rPr>
        <w:t xml:space="preserve"> strategies may modulate these effects across different geographical locations. </w:t>
      </w:r>
      <w:r w:rsidR="002856D3" w:rsidRPr="002856D3">
        <w:rPr>
          <w:rFonts w:ascii="Arial" w:hAnsi="Arial" w:cs="Arial"/>
          <w:sz w:val="20"/>
          <w:szCs w:val="20"/>
        </w:rPr>
        <w:t xml:space="preserve">The </w:t>
      </w:r>
      <w:r w:rsidR="002856D3">
        <w:rPr>
          <w:rFonts w:ascii="Arial" w:hAnsi="Arial" w:cs="Arial"/>
          <w:sz w:val="20"/>
          <w:szCs w:val="20"/>
        </w:rPr>
        <w:t>present</w:t>
      </w:r>
      <w:r w:rsidRPr="002856D3">
        <w:rPr>
          <w:rFonts w:ascii="Arial" w:hAnsi="Arial" w:cs="Arial"/>
          <w:sz w:val="20"/>
          <w:szCs w:val="20"/>
        </w:rPr>
        <w:t xml:space="preserve"> findings provide further evidence to the body of literature emphasizing the biological and management importance of litter size on neonatal parameters, such as birth weight, which are critical for survival, growth, and overall productivity of goat kids.</w:t>
      </w:r>
    </w:p>
    <w:p w14:paraId="14F239A8" w14:textId="77777777" w:rsidR="00BD64FF" w:rsidRDefault="00BD64FF" w:rsidP="00BD64FF">
      <w:pPr>
        <w:jc w:val="both"/>
      </w:pPr>
    </w:p>
    <w:p w14:paraId="3D5753D9" w14:textId="1A563E09" w:rsidR="002D2495" w:rsidRPr="002856D3" w:rsidRDefault="006E0ACB" w:rsidP="002D2495">
      <w:pPr>
        <w:autoSpaceDE w:val="0"/>
        <w:autoSpaceDN w:val="0"/>
        <w:adjustRightInd w:val="0"/>
        <w:spacing w:before="0" w:after="0" w:line="360" w:lineRule="auto"/>
        <w:jc w:val="both"/>
        <w:rPr>
          <w:rFonts w:ascii="Arial" w:hAnsi="Arial" w:cs="Arial"/>
          <w:b/>
          <w:bCs/>
          <w:lang w:bidi="hi-IN"/>
        </w:rPr>
      </w:pPr>
      <w:r>
        <w:rPr>
          <w:rFonts w:ascii="Arial" w:hAnsi="Arial" w:cs="Arial"/>
          <w:b/>
          <w:bCs/>
          <w:lang w:bidi="hi-IN"/>
        </w:rPr>
        <w:t xml:space="preserve">Conclusion </w:t>
      </w:r>
    </w:p>
    <w:p w14:paraId="391272E9" w14:textId="75AE85D7"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male kids exhibited an average birth weight that was 8.53% higher than their female counterparts during the year of the study, indicating a gender-based variation in neonatal growth. The overall mean birth weights recorded were 2.53 ± 0.051 kg during the autumn season (October) and 2.60 ± 0.052 kg in the winter season (December). Although the birth weight was numerically higher in winter compared to autumn, the seasonal variation did not show any statistically significant effect on birth weight. A significant influence was observed in relation to the type of birth. Single-born kids had a notably higher average birth weight (2.66 ± 0.051 kg) compared to twin-born kids (2.30 ± 0.052 kg), and this difference was statistically significant (P&lt;0.01). This outcome is expected, as in multiple births, the nutrient supply from the dam is shared among the offspring, leading to reduced availability per fetus. Additionally, the limited intrauterine space in cases of multiple pregnancies may also restrict the growth potential of each individual fetus during the prenatal phase.</w:t>
      </w:r>
    </w:p>
    <w:p w14:paraId="2A46EADC" w14:textId="77777777" w:rsidR="002D2495" w:rsidRPr="002D2495" w:rsidRDefault="002D2495" w:rsidP="002D2495">
      <w:pPr>
        <w:autoSpaceDE w:val="0"/>
        <w:autoSpaceDN w:val="0"/>
        <w:adjustRightInd w:val="0"/>
        <w:spacing w:before="0" w:after="0" w:line="360" w:lineRule="auto"/>
        <w:jc w:val="both"/>
        <w:rPr>
          <w:rFonts w:ascii="Times New Roman" w:hAnsi="Times New Roman" w:cs="Times New Roman"/>
          <w:b/>
          <w:bCs/>
          <w:sz w:val="24"/>
          <w:szCs w:val="24"/>
        </w:rPr>
      </w:pPr>
    </w:p>
    <w:p w14:paraId="2D7E6F9B" w14:textId="71D97680" w:rsidR="002D2495" w:rsidRPr="002856D3" w:rsidRDefault="002856D3" w:rsidP="002D2495">
      <w:pPr>
        <w:spacing w:line="480" w:lineRule="auto"/>
        <w:rPr>
          <w:rFonts w:ascii="Times New Roman" w:hAnsi="Times New Roman" w:cs="Times New Roman"/>
          <w:color w:val="000000" w:themeColor="text1"/>
        </w:rPr>
      </w:pPr>
      <w:r w:rsidRPr="002856D3">
        <w:rPr>
          <w:rFonts w:ascii="Times New Roman" w:hAnsi="Times New Roman" w:cs="Times New Roman"/>
          <w:b/>
          <w:bCs/>
          <w:color w:val="000000" w:themeColor="text1"/>
        </w:rPr>
        <w:t>REFERENCES</w:t>
      </w:r>
    </w:p>
    <w:p w14:paraId="668C6845"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Baiden, Y. S. (2007). Birth weight, birth type and pre-weaning survivability of West African Dwarf goat raised in the Dangme West District of the Greater Accra region of Ghana. </w:t>
      </w:r>
      <w:r w:rsidRPr="002856D3">
        <w:rPr>
          <w:rFonts w:ascii="Arial" w:hAnsi="Arial" w:cs="Arial"/>
          <w:i/>
          <w:iCs/>
          <w:color w:val="000000" w:themeColor="text1"/>
          <w:sz w:val="20"/>
          <w:szCs w:val="20"/>
        </w:rPr>
        <w:t>Tropical Animal Health and Production, 39</w:t>
      </w:r>
      <w:r w:rsidRPr="002856D3">
        <w:rPr>
          <w:rFonts w:ascii="Arial" w:hAnsi="Arial" w:cs="Arial"/>
          <w:color w:val="000000" w:themeColor="text1"/>
          <w:sz w:val="20"/>
          <w:szCs w:val="20"/>
        </w:rPr>
        <w:t>(2), 141–147.</w:t>
      </w:r>
    </w:p>
    <w:p w14:paraId="33890C8A"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Banerjee, S., &amp; Jana, D. (2010). Factors affecting birth weight of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goat kids reared in hot and humid climate of West Bengal. </w:t>
      </w:r>
      <w:r w:rsidRPr="002856D3">
        <w:rPr>
          <w:rFonts w:ascii="Arial" w:hAnsi="Arial" w:cs="Arial"/>
          <w:i/>
          <w:iCs/>
          <w:color w:val="000000" w:themeColor="text1"/>
          <w:sz w:val="20"/>
          <w:szCs w:val="20"/>
        </w:rPr>
        <w:t>World Applied Sciences Journal, 9</w:t>
      </w:r>
      <w:r w:rsidRPr="002856D3">
        <w:rPr>
          <w:rFonts w:ascii="Arial" w:hAnsi="Arial" w:cs="Arial"/>
          <w:color w:val="000000" w:themeColor="text1"/>
          <w:sz w:val="20"/>
          <w:szCs w:val="20"/>
        </w:rPr>
        <w:t>(12), 1379–1382.</w:t>
      </w:r>
    </w:p>
    <w:p w14:paraId="2BB2CC12"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Bharathidhasan</w:t>
      </w:r>
      <w:proofErr w:type="spellEnd"/>
      <w:r w:rsidRPr="002856D3">
        <w:rPr>
          <w:rFonts w:ascii="Arial" w:hAnsi="Arial" w:cs="Arial"/>
          <w:color w:val="000000" w:themeColor="text1"/>
          <w:sz w:val="20"/>
          <w:szCs w:val="20"/>
        </w:rPr>
        <w:t xml:space="preserve">, A., Narayanan, R., Gopu, P., Subramanian, A., Prabakaran, R., &amp; Rajendran, R. (2009). Effect of non-genetic factors on birth weight, weaning weight and pre-weaning gain of Barbari goat. </w:t>
      </w:r>
      <w:r w:rsidRPr="002856D3">
        <w:rPr>
          <w:rFonts w:ascii="Arial" w:hAnsi="Arial" w:cs="Arial"/>
          <w:i/>
          <w:iCs/>
          <w:color w:val="000000" w:themeColor="text1"/>
          <w:sz w:val="20"/>
          <w:szCs w:val="20"/>
        </w:rPr>
        <w:t>Tamil Nadu Journal of Veterinary and Animal Sciences, 5</w:t>
      </w:r>
      <w:r w:rsidRPr="002856D3">
        <w:rPr>
          <w:rFonts w:ascii="Arial" w:hAnsi="Arial" w:cs="Arial"/>
          <w:color w:val="000000" w:themeColor="text1"/>
          <w:sz w:val="20"/>
          <w:szCs w:val="20"/>
        </w:rPr>
        <w:t>(3), 99–103.</w:t>
      </w:r>
    </w:p>
    <w:p w14:paraId="054BA263"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Bhusan</w:t>
      </w:r>
      <w:proofErr w:type="spellEnd"/>
      <w:r w:rsidRPr="002856D3">
        <w:rPr>
          <w:rFonts w:ascii="Arial" w:hAnsi="Arial" w:cs="Arial"/>
          <w:color w:val="000000" w:themeColor="text1"/>
          <w:sz w:val="20"/>
          <w:szCs w:val="20"/>
        </w:rPr>
        <w:t xml:space="preserve">, S. (2012). Effect of non-genetic factors on body weights of </w:t>
      </w:r>
      <w:proofErr w:type="spellStart"/>
      <w:r w:rsidRPr="002856D3">
        <w:rPr>
          <w:rFonts w:ascii="Arial" w:hAnsi="Arial" w:cs="Arial"/>
          <w:color w:val="000000" w:themeColor="text1"/>
          <w:sz w:val="20"/>
          <w:szCs w:val="20"/>
        </w:rPr>
        <w:t>Jakhrana</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Small Ruminants, 18</w:t>
      </w:r>
      <w:r w:rsidRPr="002856D3">
        <w:rPr>
          <w:rFonts w:ascii="Arial" w:hAnsi="Arial" w:cs="Arial"/>
          <w:color w:val="000000" w:themeColor="text1"/>
          <w:sz w:val="20"/>
          <w:szCs w:val="20"/>
        </w:rPr>
        <w:t>(2), 253–255.</w:t>
      </w:r>
    </w:p>
    <w:p w14:paraId="41A16D42"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Chandra, R., Karmakar, H. D., De, D., Kumar, S., &amp; Rahman, H. (2009). Factors influencing birth weight of Sikkim local kids. </w:t>
      </w:r>
      <w:r w:rsidRPr="002856D3">
        <w:rPr>
          <w:rFonts w:ascii="Arial" w:hAnsi="Arial" w:cs="Arial"/>
          <w:i/>
          <w:iCs/>
          <w:color w:val="000000" w:themeColor="text1"/>
          <w:sz w:val="20"/>
          <w:szCs w:val="20"/>
        </w:rPr>
        <w:t>Indian Journal of Small Ruminants, 15</w:t>
      </w:r>
      <w:r w:rsidRPr="002856D3">
        <w:rPr>
          <w:rFonts w:ascii="Arial" w:hAnsi="Arial" w:cs="Arial"/>
          <w:color w:val="000000" w:themeColor="text1"/>
          <w:sz w:val="20"/>
          <w:szCs w:val="20"/>
        </w:rPr>
        <w:t>(1), 113–114.</w:t>
      </w:r>
    </w:p>
    <w:p w14:paraId="68E946C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Chawla, D. S., Nagpal, S., &amp; Bhatnagar, D. S. (1984). Variation in body-weight gain of </w:t>
      </w:r>
      <w:proofErr w:type="spellStart"/>
      <w:r w:rsidRPr="002856D3">
        <w:rPr>
          <w:rFonts w:ascii="Arial" w:hAnsi="Arial" w:cs="Arial"/>
          <w:color w:val="000000" w:themeColor="text1"/>
          <w:sz w:val="20"/>
          <w:szCs w:val="20"/>
        </w:rPr>
        <w:t>Beetal</w:t>
      </w:r>
      <w:proofErr w:type="spellEnd"/>
      <w:r w:rsidRPr="002856D3">
        <w:rPr>
          <w:rFonts w:ascii="Arial" w:hAnsi="Arial" w:cs="Arial"/>
          <w:color w:val="000000" w:themeColor="text1"/>
          <w:sz w:val="20"/>
          <w:szCs w:val="20"/>
        </w:rPr>
        <w:t xml:space="preserve">, Alpine and Saanen goats. </w:t>
      </w:r>
      <w:r w:rsidRPr="002856D3">
        <w:rPr>
          <w:rFonts w:ascii="Arial" w:hAnsi="Arial" w:cs="Arial"/>
          <w:i/>
          <w:iCs/>
          <w:color w:val="000000" w:themeColor="text1"/>
          <w:sz w:val="20"/>
          <w:szCs w:val="20"/>
        </w:rPr>
        <w:t>Indian Journal of Animal Sciences, 54</w:t>
      </w:r>
      <w:r w:rsidRPr="002856D3">
        <w:rPr>
          <w:rFonts w:ascii="Arial" w:hAnsi="Arial" w:cs="Arial"/>
          <w:color w:val="000000" w:themeColor="text1"/>
          <w:sz w:val="20"/>
          <w:szCs w:val="20"/>
        </w:rPr>
        <w:t>(7), 711–714.</w:t>
      </w:r>
    </w:p>
    <w:p w14:paraId="584D3D46" w14:textId="77777777" w:rsidR="002D2495" w:rsidRPr="002856D3" w:rsidRDefault="002D2495" w:rsidP="002D2495">
      <w:pPr>
        <w:numPr>
          <w:ilvl w:val="0"/>
          <w:numId w:val="1"/>
        </w:numPr>
        <w:jc w:val="both"/>
        <w:rPr>
          <w:rFonts w:ascii="Arial" w:hAnsi="Arial" w:cs="Arial"/>
          <w:color w:val="000000" w:themeColor="text1"/>
          <w:sz w:val="20"/>
          <w:szCs w:val="20"/>
        </w:rPr>
      </w:pPr>
      <w:commentRangeStart w:id="17"/>
      <w:r w:rsidRPr="002856D3">
        <w:rPr>
          <w:rFonts w:ascii="Arial" w:hAnsi="Arial" w:cs="Arial"/>
          <w:color w:val="000000" w:themeColor="text1"/>
          <w:sz w:val="20"/>
          <w:szCs w:val="20"/>
        </w:rPr>
        <w:t xml:space="preserve">Duncan, D. B. (1955). Multiple range and multiple F tests. </w:t>
      </w:r>
      <w:r w:rsidRPr="002856D3">
        <w:rPr>
          <w:rFonts w:ascii="Arial" w:hAnsi="Arial" w:cs="Arial"/>
          <w:i/>
          <w:iCs/>
          <w:color w:val="000000" w:themeColor="text1"/>
          <w:sz w:val="20"/>
          <w:szCs w:val="20"/>
        </w:rPr>
        <w:t>Biometrics, 11</w:t>
      </w:r>
      <w:r w:rsidRPr="002856D3">
        <w:rPr>
          <w:rFonts w:ascii="Arial" w:hAnsi="Arial" w:cs="Arial"/>
          <w:color w:val="000000" w:themeColor="text1"/>
          <w:sz w:val="20"/>
          <w:szCs w:val="20"/>
        </w:rPr>
        <w:t>, 1–42.</w:t>
      </w:r>
      <w:commentRangeEnd w:id="17"/>
      <w:r w:rsidR="001D553C">
        <w:rPr>
          <w:rStyle w:val="CommentReference"/>
        </w:rPr>
        <w:commentReference w:id="17"/>
      </w:r>
    </w:p>
    <w:p w14:paraId="26347F5F"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Elabid</w:t>
      </w:r>
      <w:proofErr w:type="spellEnd"/>
      <w:r w:rsidRPr="002856D3">
        <w:rPr>
          <w:rFonts w:ascii="Arial" w:hAnsi="Arial" w:cs="Arial"/>
          <w:color w:val="000000" w:themeColor="text1"/>
          <w:sz w:val="20"/>
          <w:szCs w:val="20"/>
        </w:rPr>
        <w:t xml:space="preserve">, E. H. (2008). Various factors affecting birth weight of Sudanese Nubian goat kids. </w:t>
      </w:r>
      <w:r w:rsidRPr="002856D3">
        <w:rPr>
          <w:rFonts w:ascii="Arial" w:hAnsi="Arial" w:cs="Arial"/>
          <w:i/>
          <w:iCs/>
          <w:color w:val="000000" w:themeColor="text1"/>
          <w:sz w:val="20"/>
          <w:szCs w:val="20"/>
        </w:rPr>
        <w:t>Research Journal of Agriculture and Biological Sciences, 4</w:t>
      </w:r>
      <w:r w:rsidRPr="002856D3">
        <w:rPr>
          <w:rFonts w:ascii="Arial" w:hAnsi="Arial" w:cs="Arial"/>
          <w:color w:val="000000" w:themeColor="text1"/>
          <w:sz w:val="20"/>
          <w:szCs w:val="20"/>
        </w:rPr>
        <w:t>(6), 700–703.</w:t>
      </w:r>
    </w:p>
    <w:p w14:paraId="47072A4A" w14:textId="77777777" w:rsidR="002D2495" w:rsidRPr="002856D3" w:rsidRDefault="002D2495" w:rsidP="002D2495">
      <w:pPr>
        <w:numPr>
          <w:ilvl w:val="0"/>
          <w:numId w:val="1"/>
        </w:numPr>
        <w:jc w:val="both"/>
        <w:rPr>
          <w:rFonts w:ascii="Arial" w:hAnsi="Arial" w:cs="Arial"/>
          <w:color w:val="000000" w:themeColor="text1"/>
          <w:sz w:val="20"/>
          <w:szCs w:val="20"/>
        </w:rPr>
      </w:pPr>
      <w:commentRangeStart w:id="18"/>
      <w:r w:rsidRPr="002856D3">
        <w:rPr>
          <w:rFonts w:ascii="Arial" w:hAnsi="Arial" w:cs="Arial"/>
          <w:color w:val="000000" w:themeColor="text1"/>
          <w:sz w:val="20"/>
          <w:szCs w:val="20"/>
        </w:rPr>
        <w:t xml:space="preserve">Hafez, E. J. H. (1962). </w:t>
      </w:r>
      <w:r w:rsidRPr="002856D3">
        <w:rPr>
          <w:rFonts w:ascii="Arial" w:hAnsi="Arial" w:cs="Arial"/>
          <w:i/>
          <w:iCs/>
          <w:color w:val="000000" w:themeColor="text1"/>
          <w:sz w:val="20"/>
          <w:szCs w:val="20"/>
        </w:rPr>
        <w:t>Reproduction in farm animals</w:t>
      </w:r>
      <w:r w:rsidRPr="002856D3">
        <w:rPr>
          <w:rFonts w:ascii="Arial" w:hAnsi="Arial" w:cs="Arial"/>
          <w:color w:val="000000" w:themeColor="text1"/>
          <w:sz w:val="20"/>
          <w:szCs w:val="20"/>
        </w:rPr>
        <w:t xml:space="preserve"> (5th ed., pp. 410–412). Lea and </w:t>
      </w:r>
      <w:proofErr w:type="spellStart"/>
      <w:r w:rsidRPr="002856D3">
        <w:rPr>
          <w:rFonts w:ascii="Arial" w:hAnsi="Arial" w:cs="Arial"/>
          <w:color w:val="000000" w:themeColor="text1"/>
          <w:sz w:val="20"/>
          <w:szCs w:val="20"/>
        </w:rPr>
        <w:t>Febiger</w:t>
      </w:r>
      <w:proofErr w:type="spellEnd"/>
      <w:r w:rsidRPr="002856D3">
        <w:rPr>
          <w:rFonts w:ascii="Arial" w:hAnsi="Arial" w:cs="Arial"/>
          <w:color w:val="000000" w:themeColor="text1"/>
          <w:sz w:val="20"/>
          <w:szCs w:val="20"/>
        </w:rPr>
        <w:t>.</w:t>
      </w:r>
      <w:commentRangeEnd w:id="18"/>
      <w:r w:rsidR="001D553C">
        <w:rPr>
          <w:rStyle w:val="CommentReference"/>
        </w:rPr>
        <w:commentReference w:id="18"/>
      </w:r>
    </w:p>
    <w:p w14:paraId="78EE3D5C"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lastRenderedPageBreak/>
        <w:t xml:space="preserve">Harikrishna, Ch., Raghunandan, T., &amp; Gnana Prakash, M. (2013). Effect of season on kidding and birth weight in </w:t>
      </w:r>
      <w:proofErr w:type="spellStart"/>
      <w:r w:rsidRPr="002856D3">
        <w:rPr>
          <w:rFonts w:ascii="Arial" w:hAnsi="Arial" w:cs="Arial"/>
          <w:color w:val="000000" w:themeColor="text1"/>
          <w:sz w:val="20"/>
          <w:szCs w:val="20"/>
        </w:rPr>
        <w:t>Osmanabadi</w:t>
      </w:r>
      <w:proofErr w:type="spellEnd"/>
      <w:r w:rsidRPr="002856D3">
        <w:rPr>
          <w:rFonts w:ascii="Arial" w:hAnsi="Arial" w:cs="Arial"/>
          <w:color w:val="000000" w:themeColor="text1"/>
          <w:sz w:val="20"/>
          <w:szCs w:val="20"/>
        </w:rPr>
        <w:t xml:space="preserve"> goats reared in an organized farm. </w:t>
      </w:r>
      <w:r w:rsidRPr="002856D3">
        <w:rPr>
          <w:rFonts w:ascii="Arial" w:hAnsi="Arial" w:cs="Arial"/>
          <w:i/>
          <w:iCs/>
          <w:color w:val="000000" w:themeColor="text1"/>
          <w:sz w:val="20"/>
          <w:szCs w:val="20"/>
        </w:rPr>
        <w:t>International Journal of Livestock Research, 3</w:t>
      </w:r>
      <w:r w:rsidRPr="002856D3">
        <w:rPr>
          <w:rFonts w:ascii="Arial" w:hAnsi="Arial" w:cs="Arial"/>
          <w:color w:val="000000" w:themeColor="text1"/>
          <w:sz w:val="20"/>
          <w:szCs w:val="20"/>
        </w:rPr>
        <w:t>(2), 84–88.</w:t>
      </w:r>
    </w:p>
    <w:p w14:paraId="66B4E28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Hegan, B. A., </w:t>
      </w:r>
      <w:proofErr w:type="spellStart"/>
      <w:r w:rsidRPr="002856D3">
        <w:rPr>
          <w:rFonts w:ascii="Arial" w:hAnsi="Arial" w:cs="Arial"/>
          <w:color w:val="000000" w:themeColor="text1"/>
          <w:sz w:val="20"/>
          <w:szCs w:val="20"/>
        </w:rPr>
        <w:t>Nyameasem</w:t>
      </w:r>
      <w:proofErr w:type="spellEnd"/>
      <w:r w:rsidRPr="002856D3">
        <w:rPr>
          <w:rFonts w:ascii="Arial" w:hAnsi="Arial" w:cs="Arial"/>
          <w:color w:val="000000" w:themeColor="text1"/>
          <w:sz w:val="20"/>
          <w:szCs w:val="20"/>
        </w:rPr>
        <w:t xml:space="preserve">, J. K., </w:t>
      </w:r>
      <w:proofErr w:type="spellStart"/>
      <w:r w:rsidRPr="002856D3">
        <w:rPr>
          <w:rFonts w:ascii="Arial" w:hAnsi="Arial" w:cs="Arial"/>
          <w:color w:val="000000" w:themeColor="text1"/>
          <w:sz w:val="20"/>
          <w:szCs w:val="20"/>
        </w:rPr>
        <w:t>Asafu</w:t>
      </w:r>
      <w:proofErr w:type="spellEnd"/>
      <w:r w:rsidRPr="002856D3">
        <w:rPr>
          <w:rFonts w:ascii="Arial" w:hAnsi="Arial" w:cs="Arial"/>
          <w:color w:val="000000" w:themeColor="text1"/>
          <w:sz w:val="20"/>
          <w:szCs w:val="20"/>
        </w:rPr>
        <w:t xml:space="preserve">-Adjaye, A., &amp; Duncan, J. L. (2014). Effects of non-genetic factors on the birth weight, litter size and pre-weaning survivability of West African Dwarf goats in the Accra Plains. </w:t>
      </w:r>
      <w:r w:rsidRPr="002856D3">
        <w:rPr>
          <w:rFonts w:ascii="Arial" w:hAnsi="Arial" w:cs="Arial"/>
          <w:i/>
          <w:iCs/>
          <w:color w:val="000000" w:themeColor="text1"/>
          <w:sz w:val="20"/>
          <w:szCs w:val="20"/>
        </w:rPr>
        <w:t>Livestock Research for Rural Development, 26</w:t>
      </w:r>
      <w:r w:rsidRPr="002856D3">
        <w:rPr>
          <w:rFonts w:ascii="Arial" w:hAnsi="Arial" w:cs="Arial"/>
          <w:color w:val="000000" w:themeColor="text1"/>
          <w:sz w:val="20"/>
          <w:szCs w:val="20"/>
        </w:rPr>
        <w:t xml:space="preserve">(1), </w:t>
      </w:r>
      <w:commentRangeStart w:id="19"/>
      <w:r w:rsidRPr="002856D3">
        <w:rPr>
          <w:rFonts w:ascii="Arial" w:hAnsi="Arial" w:cs="Arial"/>
          <w:color w:val="000000" w:themeColor="text1"/>
          <w:sz w:val="20"/>
          <w:szCs w:val="20"/>
        </w:rPr>
        <w:t>Article No. 138.</w:t>
      </w:r>
      <w:commentRangeEnd w:id="19"/>
      <w:r w:rsidR="001D553C">
        <w:rPr>
          <w:rStyle w:val="CommentReference"/>
        </w:rPr>
        <w:commentReference w:id="19"/>
      </w:r>
    </w:p>
    <w:p w14:paraId="4462B19A"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Hristova, T., </w:t>
      </w:r>
      <w:proofErr w:type="spellStart"/>
      <w:r w:rsidRPr="002856D3">
        <w:rPr>
          <w:rFonts w:ascii="Arial" w:hAnsi="Arial" w:cs="Arial"/>
          <w:color w:val="000000" w:themeColor="text1"/>
          <w:sz w:val="20"/>
          <w:szCs w:val="20"/>
        </w:rPr>
        <w:t>Stoycheva</w:t>
      </w:r>
      <w:proofErr w:type="spellEnd"/>
      <w:r w:rsidRPr="002856D3">
        <w:rPr>
          <w:rFonts w:ascii="Arial" w:hAnsi="Arial" w:cs="Arial"/>
          <w:color w:val="000000" w:themeColor="text1"/>
          <w:sz w:val="20"/>
          <w:szCs w:val="20"/>
        </w:rPr>
        <w:t xml:space="preserve">, S., </w:t>
      </w:r>
      <w:proofErr w:type="spellStart"/>
      <w:r w:rsidRPr="002856D3">
        <w:rPr>
          <w:rFonts w:ascii="Arial" w:hAnsi="Arial" w:cs="Arial"/>
          <w:color w:val="000000" w:themeColor="text1"/>
          <w:sz w:val="20"/>
          <w:szCs w:val="20"/>
        </w:rPr>
        <w:t>Zunev</w:t>
      </w:r>
      <w:proofErr w:type="spellEnd"/>
      <w:r w:rsidRPr="002856D3">
        <w:rPr>
          <w:rFonts w:ascii="Arial" w:hAnsi="Arial" w:cs="Arial"/>
          <w:color w:val="000000" w:themeColor="text1"/>
          <w:sz w:val="20"/>
          <w:szCs w:val="20"/>
        </w:rPr>
        <w:t xml:space="preserve">, P., </w:t>
      </w:r>
      <w:proofErr w:type="spellStart"/>
      <w:r w:rsidRPr="002856D3">
        <w:rPr>
          <w:rFonts w:ascii="Arial" w:hAnsi="Arial" w:cs="Arial"/>
          <w:color w:val="000000" w:themeColor="text1"/>
          <w:sz w:val="20"/>
          <w:szCs w:val="20"/>
        </w:rPr>
        <w:t>Maslev</w:t>
      </w:r>
      <w:proofErr w:type="spellEnd"/>
      <w:r w:rsidRPr="002856D3">
        <w:rPr>
          <w:rFonts w:ascii="Arial" w:hAnsi="Arial" w:cs="Arial"/>
          <w:color w:val="000000" w:themeColor="text1"/>
          <w:sz w:val="20"/>
          <w:szCs w:val="20"/>
        </w:rPr>
        <w:t xml:space="preserve">, T., &amp; </w:t>
      </w:r>
      <w:proofErr w:type="spellStart"/>
      <w:r w:rsidRPr="002856D3">
        <w:rPr>
          <w:rFonts w:ascii="Arial" w:hAnsi="Arial" w:cs="Arial"/>
          <w:color w:val="000000" w:themeColor="text1"/>
          <w:sz w:val="20"/>
          <w:szCs w:val="20"/>
        </w:rPr>
        <w:t>Kovasevik</w:t>
      </w:r>
      <w:proofErr w:type="spellEnd"/>
      <w:r w:rsidRPr="002856D3">
        <w:rPr>
          <w:rFonts w:ascii="Arial" w:hAnsi="Arial" w:cs="Arial"/>
          <w:color w:val="000000" w:themeColor="text1"/>
          <w:sz w:val="20"/>
          <w:szCs w:val="20"/>
        </w:rPr>
        <w:t xml:space="preserve">, T. (2013). Non-genetic factors affecting birth weight of goat kids. </w:t>
      </w:r>
      <w:r w:rsidRPr="002856D3">
        <w:rPr>
          <w:rFonts w:ascii="Arial" w:hAnsi="Arial" w:cs="Arial"/>
          <w:i/>
          <w:iCs/>
          <w:color w:val="000000" w:themeColor="text1"/>
          <w:sz w:val="20"/>
          <w:szCs w:val="20"/>
        </w:rPr>
        <w:t>Book of Proceedings, 12</w:t>
      </w:r>
      <w:r w:rsidRPr="002856D3">
        <w:rPr>
          <w:rFonts w:ascii="Arial" w:hAnsi="Arial" w:cs="Arial"/>
          <w:color w:val="000000" w:themeColor="text1"/>
          <w:sz w:val="20"/>
          <w:szCs w:val="20"/>
        </w:rPr>
        <w:t>(2), 1066–1069.</w:t>
      </w:r>
    </w:p>
    <w:p w14:paraId="19443E02"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Meel, U. K., Nagda, R. K., Sharma, S. K., &amp; Rajawat, B. S. (2010). Growth performance of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goats under field conditions. </w:t>
      </w:r>
      <w:r w:rsidRPr="002856D3">
        <w:rPr>
          <w:rFonts w:ascii="Arial" w:hAnsi="Arial" w:cs="Arial"/>
          <w:i/>
          <w:iCs/>
          <w:color w:val="000000" w:themeColor="text1"/>
          <w:sz w:val="20"/>
          <w:szCs w:val="20"/>
        </w:rPr>
        <w:t>Indian Journal of Small Ruminants, 16</w:t>
      </w:r>
      <w:r w:rsidRPr="002856D3">
        <w:rPr>
          <w:rFonts w:ascii="Arial" w:hAnsi="Arial" w:cs="Arial"/>
          <w:color w:val="000000" w:themeColor="text1"/>
          <w:sz w:val="20"/>
          <w:szCs w:val="20"/>
        </w:rPr>
        <w:t>(2), 246–248.</w:t>
      </w:r>
    </w:p>
    <w:p w14:paraId="6A0B9D21"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Neeru, D. S., &amp; Kumar, P. (2002). Factors affecting birth weight of kids in Indian goats. </w:t>
      </w:r>
      <w:r w:rsidRPr="002856D3">
        <w:rPr>
          <w:rFonts w:ascii="Arial" w:hAnsi="Arial" w:cs="Arial"/>
          <w:i/>
          <w:iCs/>
          <w:color w:val="000000" w:themeColor="text1"/>
          <w:sz w:val="20"/>
          <w:szCs w:val="20"/>
        </w:rPr>
        <w:t xml:space="preserve">International Journal of Animal Sciences, </w:t>
      </w:r>
      <w:commentRangeStart w:id="20"/>
      <w:r w:rsidRPr="002856D3">
        <w:rPr>
          <w:rFonts w:ascii="Arial" w:hAnsi="Arial" w:cs="Arial"/>
          <w:i/>
          <w:iCs/>
          <w:color w:val="000000" w:themeColor="text1"/>
          <w:sz w:val="20"/>
          <w:szCs w:val="20"/>
        </w:rPr>
        <w:t>17</w:t>
      </w:r>
      <w:r w:rsidRPr="002856D3">
        <w:rPr>
          <w:rFonts w:ascii="Arial" w:hAnsi="Arial" w:cs="Arial"/>
          <w:color w:val="000000" w:themeColor="text1"/>
          <w:sz w:val="20"/>
          <w:szCs w:val="20"/>
        </w:rPr>
        <w:t xml:space="preserve">, </w:t>
      </w:r>
      <w:commentRangeEnd w:id="20"/>
      <w:r w:rsidR="001D553C">
        <w:rPr>
          <w:rStyle w:val="CommentReference"/>
        </w:rPr>
        <w:commentReference w:id="20"/>
      </w:r>
      <w:r w:rsidRPr="002856D3">
        <w:rPr>
          <w:rFonts w:ascii="Arial" w:hAnsi="Arial" w:cs="Arial"/>
          <w:color w:val="000000" w:themeColor="text1"/>
          <w:sz w:val="20"/>
          <w:szCs w:val="20"/>
        </w:rPr>
        <w:t>57–60.</w:t>
      </w:r>
    </w:p>
    <w:p w14:paraId="5A97E2FD"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Paul, S., Sahu, B. B., Singh, D., &amp; Rawat, P. S. (1990). Effect of season of birth, weaning age and concentrate supplementation on growth and chevon production. </w:t>
      </w:r>
      <w:r w:rsidRPr="002856D3">
        <w:rPr>
          <w:rFonts w:ascii="Arial" w:hAnsi="Arial" w:cs="Arial"/>
          <w:i/>
          <w:iCs/>
          <w:color w:val="000000" w:themeColor="text1"/>
          <w:sz w:val="20"/>
          <w:szCs w:val="20"/>
        </w:rPr>
        <w:t>Indian Journal of Animal Production and Management, 6</w:t>
      </w:r>
      <w:r w:rsidRPr="002856D3">
        <w:rPr>
          <w:rFonts w:ascii="Arial" w:hAnsi="Arial" w:cs="Arial"/>
          <w:color w:val="000000" w:themeColor="text1"/>
          <w:sz w:val="20"/>
          <w:szCs w:val="20"/>
        </w:rPr>
        <w:t>(4), 182–186.</w:t>
      </w:r>
    </w:p>
    <w:p w14:paraId="0FEBE240"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Rajendran, R. (2009). Effect of non-genetic factors on birth weight, weaning weight and preweaning gain of Barbari goat. </w:t>
      </w:r>
      <w:r w:rsidRPr="002856D3">
        <w:rPr>
          <w:rFonts w:ascii="Arial" w:hAnsi="Arial" w:cs="Arial"/>
          <w:i/>
          <w:iCs/>
          <w:color w:val="000000" w:themeColor="text1"/>
          <w:sz w:val="20"/>
          <w:szCs w:val="20"/>
        </w:rPr>
        <w:t>Tamil Nadu Journal of Veterinary and Animal Sciences, 5</w:t>
      </w:r>
      <w:r w:rsidRPr="002856D3">
        <w:rPr>
          <w:rFonts w:ascii="Arial" w:hAnsi="Arial" w:cs="Arial"/>
          <w:color w:val="000000" w:themeColor="text1"/>
          <w:sz w:val="20"/>
          <w:szCs w:val="20"/>
        </w:rPr>
        <w:t>(3), 99–103.</w:t>
      </w:r>
    </w:p>
    <w:p w14:paraId="675358A9"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Raza, S. H., Tahir, M., Zia, S., Iqbal, A., &amp; Shaqif, A. (1998). Impact of environmental factors on birth weight in Teddy goat. </w:t>
      </w:r>
      <w:r w:rsidRPr="002856D3">
        <w:rPr>
          <w:rFonts w:ascii="Arial" w:hAnsi="Arial" w:cs="Arial"/>
          <w:i/>
          <w:iCs/>
          <w:color w:val="000000" w:themeColor="text1"/>
          <w:sz w:val="20"/>
          <w:szCs w:val="20"/>
        </w:rPr>
        <w:t>Asian Journal of Applied Sciences, 11</w:t>
      </w:r>
      <w:r w:rsidRPr="002856D3">
        <w:rPr>
          <w:rFonts w:ascii="Arial" w:hAnsi="Arial" w:cs="Arial"/>
          <w:color w:val="000000" w:themeColor="text1"/>
          <w:sz w:val="20"/>
          <w:szCs w:val="20"/>
        </w:rPr>
        <w:t>(2), 152–154.</w:t>
      </w:r>
    </w:p>
    <w:p w14:paraId="037D3A11"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Roy, R., Prakash, B., &amp; Khan, B. U. (1989). Genetic and non-genetic sources of variation for growth in </w:t>
      </w:r>
      <w:proofErr w:type="spellStart"/>
      <w:r w:rsidRPr="002856D3">
        <w:rPr>
          <w:rFonts w:ascii="Arial" w:hAnsi="Arial" w:cs="Arial"/>
          <w:color w:val="000000" w:themeColor="text1"/>
          <w:sz w:val="20"/>
          <w:szCs w:val="20"/>
        </w:rPr>
        <w:t>Jamnapari</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 xml:space="preserve">Indian Journal of Animal Sciences, </w:t>
      </w:r>
      <w:commentRangeStart w:id="21"/>
      <w:r w:rsidRPr="002856D3">
        <w:rPr>
          <w:rFonts w:ascii="Arial" w:hAnsi="Arial" w:cs="Arial"/>
          <w:i/>
          <w:iCs/>
          <w:color w:val="000000" w:themeColor="text1"/>
          <w:sz w:val="20"/>
          <w:szCs w:val="20"/>
        </w:rPr>
        <w:t>59</w:t>
      </w:r>
      <w:r w:rsidRPr="002856D3">
        <w:rPr>
          <w:rFonts w:ascii="Arial" w:hAnsi="Arial" w:cs="Arial"/>
          <w:color w:val="000000" w:themeColor="text1"/>
          <w:sz w:val="20"/>
          <w:szCs w:val="20"/>
        </w:rPr>
        <w:t xml:space="preserve">, </w:t>
      </w:r>
      <w:commentRangeEnd w:id="21"/>
      <w:r w:rsidR="001D553C">
        <w:rPr>
          <w:rStyle w:val="CommentReference"/>
        </w:rPr>
        <w:commentReference w:id="21"/>
      </w:r>
      <w:r w:rsidRPr="002856D3">
        <w:rPr>
          <w:rFonts w:ascii="Arial" w:hAnsi="Arial" w:cs="Arial"/>
          <w:color w:val="000000" w:themeColor="text1"/>
          <w:sz w:val="20"/>
          <w:szCs w:val="20"/>
        </w:rPr>
        <w:t>874–877.</w:t>
      </w:r>
    </w:p>
    <w:p w14:paraId="76295C8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Salah, M. S., Bakkar, M. N., &amp; </w:t>
      </w:r>
      <w:proofErr w:type="spellStart"/>
      <w:r w:rsidRPr="002856D3">
        <w:rPr>
          <w:rFonts w:ascii="Arial" w:hAnsi="Arial" w:cs="Arial"/>
          <w:color w:val="000000" w:themeColor="text1"/>
          <w:sz w:val="20"/>
          <w:szCs w:val="20"/>
        </w:rPr>
        <w:t>Mogawer</w:t>
      </w:r>
      <w:proofErr w:type="spellEnd"/>
      <w:r w:rsidRPr="002856D3">
        <w:rPr>
          <w:rFonts w:ascii="Arial" w:hAnsi="Arial" w:cs="Arial"/>
          <w:color w:val="000000" w:themeColor="text1"/>
          <w:sz w:val="20"/>
          <w:szCs w:val="20"/>
        </w:rPr>
        <w:t xml:space="preserve">, H. H. (1989). Body weight of Aradi goat kids in Saudi Arabia at different ages and affecting factors. </w:t>
      </w:r>
      <w:r w:rsidRPr="002856D3">
        <w:rPr>
          <w:rFonts w:ascii="Arial" w:hAnsi="Arial" w:cs="Arial"/>
          <w:i/>
          <w:iCs/>
          <w:color w:val="000000" w:themeColor="text1"/>
          <w:sz w:val="20"/>
          <w:szCs w:val="20"/>
        </w:rPr>
        <w:t>Journal of King Saud University, 1</w:t>
      </w:r>
      <w:r w:rsidRPr="002856D3">
        <w:rPr>
          <w:rFonts w:ascii="Arial" w:hAnsi="Arial" w:cs="Arial"/>
          <w:color w:val="000000" w:themeColor="text1"/>
          <w:sz w:val="20"/>
          <w:szCs w:val="20"/>
        </w:rPr>
        <w:t>(1–2), 17–24.</w:t>
      </w:r>
    </w:p>
    <w:p w14:paraId="2BCF129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Sanchez, G. F. F., Montaldo, V. H., &amp; </w:t>
      </w:r>
      <w:proofErr w:type="spellStart"/>
      <w:r w:rsidRPr="002856D3">
        <w:rPr>
          <w:rFonts w:ascii="Arial" w:hAnsi="Arial" w:cs="Arial"/>
          <w:color w:val="000000" w:themeColor="text1"/>
          <w:sz w:val="20"/>
          <w:szCs w:val="20"/>
        </w:rPr>
        <w:t>Hdrez</w:t>
      </w:r>
      <w:proofErr w:type="spellEnd"/>
      <w:r w:rsidRPr="002856D3">
        <w:rPr>
          <w:rFonts w:ascii="Arial" w:hAnsi="Arial" w:cs="Arial"/>
          <w:color w:val="000000" w:themeColor="text1"/>
          <w:sz w:val="20"/>
          <w:szCs w:val="20"/>
        </w:rPr>
        <w:t xml:space="preserve">, L. A. (1994). Environmental and genetic effects on birth weight in graded-up goat kids. </w:t>
      </w:r>
      <w:r w:rsidRPr="002856D3">
        <w:rPr>
          <w:rFonts w:ascii="Arial" w:hAnsi="Arial" w:cs="Arial"/>
          <w:i/>
          <w:iCs/>
          <w:color w:val="000000" w:themeColor="text1"/>
          <w:sz w:val="20"/>
          <w:szCs w:val="20"/>
        </w:rPr>
        <w:t xml:space="preserve">Canadian Journal of Animal Science, </w:t>
      </w:r>
      <w:commentRangeStart w:id="22"/>
      <w:r w:rsidRPr="002856D3">
        <w:rPr>
          <w:rFonts w:ascii="Arial" w:hAnsi="Arial" w:cs="Arial"/>
          <w:i/>
          <w:iCs/>
          <w:color w:val="000000" w:themeColor="text1"/>
          <w:sz w:val="20"/>
          <w:szCs w:val="20"/>
        </w:rPr>
        <w:t>74</w:t>
      </w:r>
      <w:r w:rsidRPr="002856D3">
        <w:rPr>
          <w:rFonts w:ascii="Arial" w:hAnsi="Arial" w:cs="Arial"/>
          <w:color w:val="000000" w:themeColor="text1"/>
          <w:sz w:val="20"/>
          <w:szCs w:val="20"/>
        </w:rPr>
        <w:t xml:space="preserve">, </w:t>
      </w:r>
      <w:commentRangeEnd w:id="22"/>
      <w:r w:rsidR="001D553C">
        <w:rPr>
          <w:rStyle w:val="CommentReference"/>
        </w:rPr>
        <w:commentReference w:id="22"/>
      </w:r>
      <w:r w:rsidRPr="002856D3">
        <w:rPr>
          <w:rFonts w:ascii="Arial" w:hAnsi="Arial" w:cs="Arial"/>
          <w:color w:val="000000" w:themeColor="text1"/>
          <w:sz w:val="20"/>
          <w:szCs w:val="20"/>
        </w:rPr>
        <w:t>397–400.</w:t>
      </w:r>
    </w:p>
    <w:p w14:paraId="4208EE3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Singh, P., Singh, M. K., &amp; Singh, S. K. (2013). Effect of non-genetic factors on body weights of </w:t>
      </w:r>
      <w:proofErr w:type="spellStart"/>
      <w:r w:rsidRPr="002856D3">
        <w:rPr>
          <w:rFonts w:ascii="Arial" w:hAnsi="Arial" w:cs="Arial"/>
          <w:color w:val="000000" w:themeColor="text1"/>
          <w:sz w:val="20"/>
          <w:szCs w:val="20"/>
        </w:rPr>
        <w:t>Jamunapari</w:t>
      </w:r>
      <w:proofErr w:type="spellEnd"/>
      <w:r w:rsidRPr="002856D3">
        <w:rPr>
          <w:rFonts w:ascii="Arial" w:hAnsi="Arial" w:cs="Arial"/>
          <w:color w:val="000000" w:themeColor="text1"/>
          <w:sz w:val="20"/>
          <w:szCs w:val="20"/>
        </w:rPr>
        <w:t xml:space="preserve"> goats. </w:t>
      </w:r>
      <w:r w:rsidRPr="002856D3">
        <w:rPr>
          <w:rFonts w:ascii="Arial" w:hAnsi="Arial" w:cs="Arial"/>
          <w:i/>
          <w:iCs/>
          <w:color w:val="000000" w:themeColor="text1"/>
          <w:sz w:val="20"/>
          <w:szCs w:val="20"/>
        </w:rPr>
        <w:t>Indian Journal of Jammu, 19</w:t>
      </w:r>
      <w:r w:rsidRPr="002856D3">
        <w:rPr>
          <w:rFonts w:ascii="Arial" w:hAnsi="Arial" w:cs="Arial"/>
          <w:color w:val="000000" w:themeColor="text1"/>
          <w:sz w:val="20"/>
          <w:szCs w:val="20"/>
        </w:rPr>
        <w:t>(2), 146–150.</w:t>
      </w:r>
    </w:p>
    <w:p w14:paraId="6BA79922"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Supakorn</w:t>
      </w:r>
      <w:proofErr w:type="spellEnd"/>
      <w:r w:rsidRPr="002856D3">
        <w:rPr>
          <w:rFonts w:ascii="Arial" w:hAnsi="Arial" w:cs="Arial"/>
          <w:color w:val="000000" w:themeColor="text1"/>
          <w:sz w:val="20"/>
          <w:szCs w:val="20"/>
        </w:rPr>
        <w:t xml:space="preserve">, C., &amp; </w:t>
      </w:r>
      <w:proofErr w:type="spellStart"/>
      <w:r w:rsidRPr="002856D3">
        <w:rPr>
          <w:rFonts w:ascii="Arial" w:hAnsi="Arial" w:cs="Arial"/>
          <w:color w:val="000000" w:themeColor="text1"/>
          <w:sz w:val="20"/>
          <w:szCs w:val="20"/>
        </w:rPr>
        <w:t>Pralomkarn</w:t>
      </w:r>
      <w:proofErr w:type="spellEnd"/>
      <w:r w:rsidRPr="002856D3">
        <w:rPr>
          <w:rFonts w:ascii="Arial" w:hAnsi="Arial" w:cs="Arial"/>
          <w:color w:val="000000" w:themeColor="text1"/>
          <w:sz w:val="20"/>
          <w:szCs w:val="20"/>
        </w:rPr>
        <w:t xml:space="preserve">, W. (2009). Estimation of genetic parameters on pre-weaning growth traits in goats for meat raised at a commercial farm in Southern Thailand. </w:t>
      </w:r>
      <w:r w:rsidRPr="002856D3">
        <w:rPr>
          <w:rFonts w:ascii="Arial" w:hAnsi="Arial" w:cs="Arial"/>
          <w:i/>
          <w:iCs/>
          <w:color w:val="000000" w:themeColor="text1"/>
          <w:sz w:val="20"/>
          <w:szCs w:val="20"/>
        </w:rPr>
        <w:t>Thai Journal of Agricultural Science, 42</w:t>
      </w:r>
      <w:r w:rsidRPr="002856D3">
        <w:rPr>
          <w:rFonts w:ascii="Arial" w:hAnsi="Arial" w:cs="Arial"/>
          <w:color w:val="000000" w:themeColor="text1"/>
          <w:sz w:val="20"/>
          <w:szCs w:val="20"/>
        </w:rPr>
        <w:t>(1), 21–25.</w:t>
      </w:r>
    </w:p>
    <w:p w14:paraId="17AA8F6F"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Thiruvenkadan</w:t>
      </w:r>
      <w:proofErr w:type="spellEnd"/>
      <w:r w:rsidRPr="002856D3">
        <w:rPr>
          <w:rFonts w:ascii="Arial" w:hAnsi="Arial" w:cs="Arial"/>
          <w:color w:val="000000" w:themeColor="text1"/>
          <w:sz w:val="20"/>
          <w:szCs w:val="20"/>
        </w:rPr>
        <w:t xml:space="preserve">, A. K., Chinnamani, K., Muralidharan, J., &amp; </w:t>
      </w:r>
      <w:proofErr w:type="spellStart"/>
      <w:r w:rsidRPr="002856D3">
        <w:rPr>
          <w:rFonts w:ascii="Arial" w:hAnsi="Arial" w:cs="Arial"/>
          <w:color w:val="000000" w:themeColor="text1"/>
          <w:sz w:val="20"/>
          <w:szCs w:val="20"/>
        </w:rPr>
        <w:t>Karunanithi</w:t>
      </w:r>
      <w:proofErr w:type="spellEnd"/>
      <w:r w:rsidRPr="002856D3">
        <w:rPr>
          <w:rFonts w:ascii="Arial" w:hAnsi="Arial" w:cs="Arial"/>
          <w:color w:val="000000" w:themeColor="text1"/>
          <w:sz w:val="20"/>
          <w:szCs w:val="20"/>
        </w:rPr>
        <w:t xml:space="preserve">, K. (2009). Factors affecting birth weight of </w:t>
      </w:r>
      <w:proofErr w:type="spellStart"/>
      <w:r w:rsidRPr="002856D3">
        <w:rPr>
          <w:rFonts w:ascii="Arial" w:hAnsi="Arial" w:cs="Arial"/>
          <w:color w:val="000000" w:themeColor="text1"/>
          <w:sz w:val="20"/>
          <w:szCs w:val="20"/>
        </w:rPr>
        <w:t>Tellicherry</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Small Ruminants, 14</w:t>
      </w:r>
      <w:r w:rsidRPr="002856D3">
        <w:rPr>
          <w:rFonts w:ascii="Arial" w:hAnsi="Arial" w:cs="Arial"/>
          <w:color w:val="000000" w:themeColor="text1"/>
          <w:sz w:val="20"/>
          <w:szCs w:val="20"/>
        </w:rPr>
        <w:t>(2), 255–258.</w:t>
      </w:r>
    </w:p>
    <w:p w14:paraId="054D665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Tomar, A. K. S., Kumar, A., &amp; Singh, N. P. (1997). Pattern of birth weight inheritance in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and Kutchi goat breed in semi-arid condition of western India. </w:t>
      </w:r>
      <w:r w:rsidRPr="002856D3">
        <w:rPr>
          <w:rFonts w:ascii="Arial" w:hAnsi="Arial" w:cs="Arial"/>
          <w:i/>
          <w:iCs/>
          <w:color w:val="000000" w:themeColor="text1"/>
          <w:sz w:val="20"/>
          <w:szCs w:val="20"/>
        </w:rPr>
        <w:t>Indian Journal of Small Ruminants, 3</w:t>
      </w:r>
      <w:r w:rsidRPr="002856D3">
        <w:rPr>
          <w:rFonts w:ascii="Arial" w:hAnsi="Arial" w:cs="Arial"/>
          <w:color w:val="000000" w:themeColor="text1"/>
          <w:sz w:val="20"/>
          <w:szCs w:val="20"/>
        </w:rPr>
        <w:t>(1), 1–4.</w:t>
      </w:r>
    </w:p>
    <w:p w14:paraId="6A933C55" w14:textId="77777777" w:rsidR="002D2495" w:rsidRDefault="002D2495" w:rsidP="002D2495">
      <w:pPr>
        <w:jc w:val="both"/>
      </w:pPr>
    </w:p>
    <w:sectPr w:rsidR="002D24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vasu Mathura" w:date="2025-04-28T15:48:00Z" w:initials="DM">
    <w:p w14:paraId="349D03D4" w14:textId="77777777" w:rsidR="00BA28D0" w:rsidRDefault="00BA28D0" w:rsidP="00BA28D0">
      <w:pPr>
        <w:pStyle w:val="CommentText"/>
      </w:pPr>
      <w:r>
        <w:rPr>
          <w:rStyle w:val="CommentReference"/>
        </w:rPr>
        <w:annotationRef/>
      </w:r>
      <w:r>
        <w:rPr>
          <w:lang w:val="en-IN"/>
        </w:rPr>
        <w:t>Kids not kidding</w:t>
      </w:r>
    </w:p>
  </w:comment>
  <w:comment w:id="2" w:author="Duvasu Mathura" w:date="2025-04-28T15:49:00Z" w:initials="DM">
    <w:p w14:paraId="0B0141EF" w14:textId="77777777" w:rsidR="00BA28D0" w:rsidRDefault="00BA28D0" w:rsidP="00BA28D0">
      <w:pPr>
        <w:pStyle w:val="CommentText"/>
      </w:pPr>
      <w:r>
        <w:rPr>
          <w:rStyle w:val="CommentReference"/>
        </w:rPr>
        <w:annotationRef/>
      </w:r>
      <w:r>
        <w:rPr>
          <w:lang w:val="en-IN"/>
        </w:rPr>
        <w:t>There is need to add some methodology part and conclusion part in abstract for better undemanding of overall paper</w:t>
      </w:r>
    </w:p>
  </w:comment>
  <w:comment w:id="3" w:author="Duvasu Mathura" w:date="2025-04-28T15:51:00Z" w:initials="DM">
    <w:p w14:paraId="786B9672" w14:textId="77777777" w:rsidR="00BA28D0" w:rsidRDefault="00BA28D0" w:rsidP="00BA28D0">
      <w:pPr>
        <w:pStyle w:val="CommentText"/>
      </w:pPr>
      <w:r>
        <w:rPr>
          <w:rStyle w:val="CommentReference"/>
        </w:rPr>
        <w:annotationRef/>
      </w:r>
      <w:r>
        <w:rPr>
          <w:lang w:val="en-IN"/>
        </w:rPr>
        <w:t>What is source of this sentence?</w:t>
      </w:r>
    </w:p>
  </w:comment>
  <w:comment w:id="4" w:author="Duvasu Mathura" w:date="2025-04-28T15:52:00Z" w:initials="DM">
    <w:p w14:paraId="2E19EBBD" w14:textId="77777777" w:rsidR="00BA28D0" w:rsidRDefault="00BA28D0" w:rsidP="00BA28D0">
      <w:pPr>
        <w:pStyle w:val="CommentText"/>
      </w:pPr>
      <w:r>
        <w:rPr>
          <w:rStyle w:val="CommentReference"/>
        </w:rPr>
        <w:annotationRef/>
      </w:r>
      <w:r>
        <w:rPr>
          <w:lang w:val="en-IN"/>
        </w:rPr>
        <w:t>Add the data based on latest livestock census (2019)</w:t>
      </w:r>
    </w:p>
  </w:comment>
  <w:comment w:id="5" w:author="Duvasu Mathura" w:date="2025-04-28T15:52:00Z" w:initials="DM">
    <w:p w14:paraId="5204D4DB" w14:textId="77777777" w:rsidR="00BA28D0" w:rsidRDefault="00BA28D0" w:rsidP="00BA28D0">
      <w:pPr>
        <w:pStyle w:val="CommentText"/>
      </w:pPr>
      <w:r>
        <w:rPr>
          <w:rStyle w:val="CommentReference"/>
        </w:rPr>
        <w:annotationRef/>
      </w:r>
      <w:r>
        <w:rPr>
          <w:lang w:val="en-IN"/>
        </w:rPr>
        <w:t>Authors can compare the data with 2019 livestock census with 2012 L.C.</w:t>
      </w:r>
    </w:p>
  </w:comment>
  <w:comment w:id="6" w:author="Duvasu Mathura" w:date="2025-04-28T15:53:00Z" w:initials="DM">
    <w:p w14:paraId="7E163777" w14:textId="77777777" w:rsidR="00BA28D0" w:rsidRDefault="00BA28D0" w:rsidP="00BA28D0">
      <w:pPr>
        <w:pStyle w:val="CommentText"/>
      </w:pPr>
      <w:r>
        <w:rPr>
          <w:rStyle w:val="CommentReference"/>
        </w:rPr>
        <w:annotationRef/>
      </w:r>
      <w:r>
        <w:rPr>
          <w:lang w:val="en-IN"/>
        </w:rPr>
        <w:t xml:space="preserve">Too old reference its suggested to add only latest references </w:t>
      </w:r>
    </w:p>
  </w:comment>
  <w:comment w:id="7" w:author="Duvasu Mathura" w:date="2025-04-28T15:55:00Z" w:initials="DM">
    <w:p w14:paraId="1AC11736" w14:textId="77777777" w:rsidR="00BA28D0" w:rsidRDefault="00BA28D0" w:rsidP="00BA28D0">
      <w:pPr>
        <w:pStyle w:val="CommentText"/>
      </w:pPr>
      <w:r>
        <w:rPr>
          <w:rStyle w:val="CommentReference"/>
        </w:rPr>
        <w:annotationRef/>
      </w:r>
      <w:r>
        <w:rPr>
          <w:lang w:val="en-IN"/>
        </w:rPr>
        <w:t>Kids</w:t>
      </w:r>
    </w:p>
  </w:comment>
  <w:comment w:id="8" w:author="Duvasu Mathura" w:date="2025-04-28T15:56:00Z" w:initials="DM">
    <w:p w14:paraId="3A968119" w14:textId="77777777" w:rsidR="00BA28D0" w:rsidRDefault="00BA28D0" w:rsidP="00BA28D0">
      <w:pPr>
        <w:pStyle w:val="CommentText"/>
      </w:pPr>
      <w:r>
        <w:rPr>
          <w:rStyle w:val="CommentReference"/>
        </w:rPr>
        <w:annotationRef/>
      </w:r>
      <w:r>
        <w:rPr>
          <w:lang w:val="en-IN"/>
        </w:rPr>
        <w:t>Need to mentioned about the methods proposed by Snedecor and Coachran</w:t>
      </w:r>
    </w:p>
  </w:comment>
  <w:comment w:id="9" w:author="Duvasu Mathura" w:date="2025-04-28T15:57:00Z" w:initials="DM">
    <w:p w14:paraId="34A7FD92" w14:textId="77777777" w:rsidR="00BA28D0" w:rsidRDefault="00BA28D0" w:rsidP="00BA28D0">
      <w:pPr>
        <w:pStyle w:val="CommentText"/>
      </w:pPr>
      <w:r>
        <w:rPr>
          <w:rStyle w:val="CommentReference"/>
        </w:rPr>
        <w:annotationRef/>
      </w:r>
      <w:r>
        <w:rPr>
          <w:lang w:val="en-IN"/>
        </w:rPr>
        <w:t>Write some sentences between these two heading to linkup these two heading</w:t>
      </w:r>
    </w:p>
  </w:comment>
  <w:comment w:id="10" w:author="Duvasu Mathura" w:date="2025-04-28T15:59:00Z" w:initials="DM">
    <w:p w14:paraId="155A3EEB" w14:textId="77777777" w:rsidR="001D553C" w:rsidRDefault="001D553C" w:rsidP="001D553C">
      <w:pPr>
        <w:pStyle w:val="CommentText"/>
      </w:pPr>
      <w:r>
        <w:rPr>
          <w:rStyle w:val="CommentReference"/>
        </w:rPr>
        <w:annotationRef/>
      </w:r>
      <w:r>
        <w:rPr>
          <w:lang w:val="en-IN"/>
        </w:rPr>
        <w:t>Authors have directed jump on results so before writing result need to explain about the research</w:t>
      </w:r>
    </w:p>
  </w:comment>
  <w:comment w:id="11" w:author="Duvasu Mathura" w:date="2025-04-28T16:00:00Z" w:initials="DM">
    <w:p w14:paraId="5FDE3E42" w14:textId="77777777" w:rsidR="001D553C" w:rsidRDefault="001D553C" w:rsidP="001D553C">
      <w:pPr>
        <w:pStyle w:val="CommentText"/>
      </w:pPr>
      <w:r>
        <w:rPr>
          <w:rStyle w:val="CommentReference"/>
        </w:rPr>
        <w:annotationRef/>
      </w:r>
      <w:r>
        <w:rPr>
          <w:lang w:val="en-IN"/>
        </w:rPr>
        <w:t xml:space="preserve">Does all of these authors finding exact similar to authors finding? Authors need to write some specific reason why male weight is higher then female kids with references </w:t>
      </w:r>
    </w:p>
  </w:comment>
  <w:comment w:id="12" w:author="Duvasu Mathura" w:date="2025-04-28T16:01:00Z" w:initials="DM">
    <w:p w14:paraId="50D75F1B" w14:textId="77777777" w:rsidR="001D553C" w:rsidRDefault="001D553C" w:rsidP="001D553C">
      <w:pPr>
        <w:pStyle w:val="CommentText"/>
      </w:pPr>
      <w:r>
        <w:rPr>
          <w:rStyle w:val="CommentReference"/>
        </w:rPr>
        <w:annotationRef/>
      </w:r>
      <w:r>
        <w:rPr>
          <w:lang w:val="en-IN"/>
        </w:rPr>
        <w:t>Source need to be adeed</w:t>
      </w:r>
    </w:p>
  </w:comment>
  <w:comment w:id="13" w:author="Duvasu Mathura" w:date="2025-04-28T16:01:00Z" w:initials="DM">
    <w:p w14:paraId="520670B6" w14:textId="77777777" w:rsidR="001D553C" w:rsidRDefault="001D553C" w:rsidP="001D553C">
      <w:pPr>
        <w:pStyle w:val="CommentText"/>
      </w:pPr>
      <w:r>
        <w:rPr>
          <w:rStyle w:val="CommentReference"/>
        </w:rPr>
        <w:annotationRef/>
      </w:r>
      <w:r>
        <w:rPr>
          <w:lang w:val="en-IN"/>
        </w:rPr>
        <w:t>Too old authors can remove it</w:t>
      </w:r>
    </w:p>
  </w:comment>
  <w:comment w:id="14" w:author="Duvasu Mathura" w:date="2025-04-28T16:02:00Z" w:initials="DM">
    <w:p w14:paraId="3A417E2B" w14:textId="77777777" w:rsidR="001D553C" w:rsidRDefault="001D553C" w:rsidP="001D553C">
      <w:pPr>
        <w:pStyle w:val="CommentText"/>
      </w:pPr>
      <w:r>
        <w:rPr>
          <w:rStyle w:val="CommentReference"/>
        </w:rPr>
        <w:annotationRef/>
      </w:r>
      <w:r>
        <w:rPr>
          <w:lang w:val="en-IN"/>
        </w:rPr>
        <w:t>Too old references either remove it or replace it with latest one</w:t>
      </w:r>
    </w:p>
  </w:comment>
  <w:comment w:id="15" w:author="Duvasu Mathura" w:date="2025-04-28T16:02:00Z" w:initials="DM">
    <w:p w14:paraId="06743633" w14:textId="77777777" w:rsidR="001D553C" w:rsidRDefault="001D553C" w:rsidP="001D553C">
      <w:pPr>
        <w:pStyle w:val="CommentText"/>
      </w:pPr>
      <w:r>
        <w:rPr>
          <w:rStyle w:val="CommentReference"/>
        </w:rPr>
        <w:annotationRef/>
      </w:r>
      <w:r>
        <w:rPr>
          <w:lang w:val="en-IN"/>
        </w:rPr>
        <w:t>Too old reference</w:t>
      </w:r>
    </w:p>
  </w:comment>
  <w:comment w:id="16" w:author="Duvasu Mathura" w:date="2025-04-28T16:04:00Z" w:initials="DM">
    <w:p w14:paraId="1FC45E39" w14:textId="77777777" w:rsidR="001D553C" w:rsidRDefault="001D553C" w:rsidP="001D553C">
      <w:pPr>
        <w:pStyle w:val="CommentText"/>
      </w:pPr>
      <w:r>
        <w:rPr>
          <w:rStyle w:val="CommentReference"/>
        </w:rPr>
        <w:annotationRef/>
      </w:r>
      <w:r>
        <w:rPr>
          <w:lang w:val="en-IN"/>
        </w:rPr>
        <w:t>Heading of the table should above the table not inside the table</w:t>
      </w:r>
    </w:p>
  </w:comment>
  <w:comment w:id="17" w:author="Duvasu Mathura" w:date="2025-04-28T16:04:00Z" w:initials="DM">
    <w:p w14:paraId="591AB41C" w14:textId="77777777" w:rsidR="001D553C" w:rsidRDefault="001D553C" w:rsidP="001D553C">
      <w:pPr>
        <w:pStyle w:val="CommentText"/>
      </w:pPr>
      <w:r>
        <w:rPr>
          <w:rStyle w:val="CommentReference"/>
        </w:rPr>
        <w:annotationRef/>
      </w:r>
      <w:r>
        <w:rPr>
          <w:lang w:val="en-IN"/>
        </w:rPr>
        <w:t>Volume number?</w:t>
      </w:r>
    </w:p>
  </w:comment>
  <w:comment w:id="18" w:author="Duvasu Mathura" w:date="2025-04-28T16:05:00Z" w:initials="DM">
    <w:p w14:paraId="63CE64B0" w14:textId="77777777" w:rsidR="001D553C" w:rsidRDefault="001D553C" w:rsidP="001D553C">
      <w:pPr>
        <w:pStyle w:val="CommentText"/>
      </w:pPr>
      <w:r>
        <w:rPr>
          <w:rStyle w:val="CommentReference"/>
        </w:rPr>
        <w:annotationRef/>
      </w:r>
      <w:r>
        <w:rPr>
          <w:lang w:val="en-IN"/>
        </w:rPr>
        <w:t xml:space="preserve">Incomplete </w:t>
      </w:r>
    </w:p>
  </w:comment>
  <w:comment w:id="19" w:author="Duvasu Mathura" w:date="2025-04-28T16:05:00Z" w:initials="DM">
    <w:p w14:paraId="6A4D66EA" w14:textId="77777777" w:rsidR="001D553C" w:rsidRDefault="001D553C" w:rsidP="001D553C">
      <w:pPr>
        <w:pStyle w:val="CommentText"/>
      </w:pPr>
      <w:r>
        <w:rPr>
          <w:rStyle w:val="CommentReference"/>
        </w:rPr>
        <w:annotationRef/>
      </w:r>
      <w:r>
        <w:rPr>
          <w:lang w:val="en-IN"/>
        </w:rPr>
        <w:t>?</w:t>
      </w:r>
    </w:p>
  </w:comment>
  <w:comment w:id="20" w:author="Duvasu Mathura" w:date="2025-04-28T16:05:00Z" w:initials="DM">
    <w:p w14:paraId="28F08FAC" w14:textId="77777777" w:rsidR="001D553C" w:rsidRDefault="001D553C" w:rsidP="001D553C">
      <w:pPr>
        <w:pStyle w:val="CommentText"/>
      </w:pPr>
      <w:r>
        <w:rPr>
          <w:rStyle w:val="CommentReference"/>
        </w:rPr>
        <w:annotationRef/>
      </w:r>
      <w:r>
        <w:rPr>
          <w:lang w:val="en-IN"/>
        </w:rPr>
        <w:t>Issue number missing?</w:t>
      </w:r>
    </w:p>
  </w:comment>
  <w:comment w:id="21" w:author="Duvasu Mathura" w:date="2025-04-28T16:05:00Z" w:initials="DM">
    <w:p w14:paraId="35D1D0D3" w14:textId="77777777" w:rsidR="001D553C" w:rsidRDefault="001D553C" w:rsidP="001D553C">
      <w:pPr>
        <w:pStyle w:val="CommentText"/>
      </w:pPr>
      <w:r>
        <w:rPr>
          <w:rStyle w:val="CommentReference"/>
        </w:rPr>
        <w:annotationRef/>
      </w:r>
      <w:r>
        <w:rPr>
          <w:lang w:val="en-IN"/>
        </w:rPr>
        <w:t>Issue number?</w:t>
      </w:r>
    </w:p>
  </w:comment>
  <w:comment w:id="22" w:author="Duvasu Mathura" w:date="2025-04-28T16:06:00Z" w:initials="DM">
    <w:p w14:paraId="58E9C3BA" w14:textId="77777777" w:rsidR="001D553C" w:rsidRDefault="001D553C" w:rsidP="001D553C">
      <w:pPr>
        <w:pStyle w:val="CommentText"/>
      </w:pPr>
      <w:r>
        <w:rPr>
          <w:rStyle w:val="CommentReference"/>
        </w:rPr>
        <w:annotationRef/>
      </w:r>
      <w:r>
        <w:rPr>
          <w:lang w:val="en-IN"/>
        </w:rPr>
        <w:t>Issue 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9D03D4" w15:done="0"/>
  <w15:commentEx w15:paraId="0B0141EF" w15:done="0"/>
  <w15:commentEx w15:paraId="786B9672" w15:done="0"/>
  <w15:commentEx w15:paraId="2E19EBBD" w15:done="0"/>
  <w15:commentEx w15:paraId="5204D4DB" w15:done="0"/>
  <w15:commentEx w15:paraId="7E163777" w15:done="0"/>
  <w15:commentEx w15:paraId="1AC11736" w15:done="0"/>
  <w15:commentEx w15:paraId="3A968119" w15:done="0"/>
  <w15:commentEx w15:paraId="34A7FD92" w15:done="0"/>
  <w15:commentEx w15:paraId="155A3EEB" w15:done="0"/>
  <w15:commentEx w15:paraId="5FDE3E42" w15:done="0"/>
  <w15:commentEx w15:paraId="50D75F1B" w15:done="0"/>
  <w15:commentEx w15:paraId="520670B6" w15:done="0"/>
  <w15:commentEx w15:paraId="3A417E2B" w15:done="0"/>
  <w15:commentEx w15:paraId="06743633" w15:done="0"/>
  <w15:commentEx w15:paraId="1FC45E39" w15:done="0"/>
  <w15:commentEx w15:paraId="591AB41C" w15:done="0"/>
  <w15:commentEx w15:paraId="63CE64B0" w15:done="0"/>
  <w15:commentEx w15:paraId="6A4D66EA" w15:done="0"/>
  <w15:commentEx w15:paraId="28F08FAC" w15:done="0"/>
  <w15:commentEx w15:paraId="35D1D0D3" w15:done="0"/>
  <w15:commentEx w15:paraId="58E9C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4DBB3" w16cex:dateUtc="2025-04-28T10:18:00Z"/>
  <w16cex:commentExtensible w16cex:durableId="12E27709" w16cex:dateUtc="2025-04-28T10:19:00Z"/>
  <w16cex:commentExtensible w16cex:durableId="5498C1CB" w16cex:dateUtc="2025-04-28T10:21:00Z"/>
  <w16cex:commentExtensible w16cex:durableId="74E43306" w16cex:dateUtc="2025-04-28T10:22:00Z"/>
  <w16cex:commentExtensible w16cex:durableId="1920FEAA" w16cex:dateUtc="2025-04-28T10:22:00Z"/>
  <w16cex:commentExtensible w16cex:durableId="1C7D8707" w16cex:dateUtc="2025-04-28T10:23:00Z"/>
  <w16cex:commentExtensible w16cex:durableId="344A4FB0" w16cex:dateUtc="2025-04-28T10:25:00Z"/>
  <w16cex:commentExtensible w16cex:durableId="5FA991D8" w16cex:dateUtc="2025-04-28T10:26:00Z"/>
  <w16cex:commentExtensible w16cex:durableId="0CD7056D" w16cex:dateUtc="2025-04-28T10:27:00Z"/>
  <w16cex:commentExtensible w16cex:durableId="7962DFDF" w16cex:dateUtc="2025-04-28T10:29:00Z"/>
  <w16cex:commentExtensible w16cex:durableId="2FF69322" w16cex:dateUtc="2025-04-28T10:30:00Z"/>
  <w16cex:commentExtensible w16cex:durableId="1758AD03" w16cex:dateUtc="2025-04-28T10:31:00Z"/>
  <w16cex:commentExtensible w16cex:durableId="7F0A346E" w16cex:dateUtc="2025-04-28T10:31:00Z"/>
  <w16cex:commentExtensible w16cex:durableId="0A67F2BB" w16cex:dateUtc="2025-04-28T10:32:00Z"/>
  <w16cex:commentExtensible w16cex:durableId="63FDF218" w16cex:dateUtc="2025-04-28T10:32:00Z"/>
  <w16cex:commentExtensible w16cex:durableId="34F02DCF" w16cex:dateUtc="2025-04-28T10:34:00Z"/>
  <w16cex:commentExtensible w16cex:durableId="7969B95B" w16cex:dateUtc="2025-04-28T10:34:00Z"/>
  <w16cex:commentExtensible w16cex:durableId="588F9599" w16cex:dateUtc="2025-04-28T10:35:00Z"/>
  <w16cex:commentExtensible w16cex:durableId="0F29DB99" w16cex:dateUtc="2025-04-28T10:35:00Z"/>
  <w16cex:commentExtensible w16cex:durableId="4AEEF49F" w16cex:dateUtc="2025-04-28T10:35:00Z"/>
  <w16cex:commentExtensible w16cex:durableId="243C07C2" w16cex:dateUtc="2025-04-28T10:35:00Z"/>
  <w16cex:commentExtensible w16cex:durableId="72DF3941" w16cex:dateUtc="2025-04-28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9D03D4" w16cid:durableId="5784DBB3"/>
  <w16cid:commentId w16cid:paraId="0B0141EF" w16cid:durableId="12E27709"/>
  <w16cid:commentId w16cid:paraId="786B9672" w16cid:durableId="5498C1CB"/>
  <w16cid:commentId w16cid:paraId="2E19EBBD" w16cid:durableId="74E43306"/>
  <w16cid:commentId w16cid:paraId="5204D4DB" w16cid:durableId="1920FEAA"/>
  <w16cid:commentId w16cid:paraId="7E163777" w16cid:durableId="1C7D8707"/>
  <w16cid:commentId w16cid:paraId="1AC11736" w16cid:durableId="344A4FB0"/>
  <w16cid:commentId w16cid:paraId="3A968119" w16cid:durableId="5FA991D8"/>
  <w16cid:commentId w16cid:paraId="34A7FD92" w16cid:durableId="0CD7056D"/>
  <w16cid:commentId w16cid:paraId="155A3EEB" w16cid:durableId="7962DFDF"/>
  <w16cid:commentId w16cid:paraId="5FDE3E42" w16cid:durableId="2FF69322"/>
  <w16cid:commentId w16cid:paraId="50D75F1B" w16cid:durableId="1758AD03"/>
  <w16cid:commentId w16cid:paraId="520670B6" w16cid:durableId="7F0A346E"/>
  <w16cid:commentId w16cid:paraId="3A417E2B" w16cid:durableId="0A67F2BB"/>
  <w16cid:commentId w16cid:paraId="06743633" w16cid:durableId="63FDF218"/>
  <w16cid:commentId w16cid:paraId="1FC45E39" w16cid:durableId="34F02DCF"/>
  <w16cid:commentId w16cid:paraId="591AB41C" w16cid:durableId="7969B95B"/>
  <w16cid:commentId w16cid:paraId="63CE64B0" w16cid:durableId="588F9599"/>
  <w16cid:commentId w16cid:paraId="6A4D66EA" w16cid:durableId="0F29DB99"/>
  <w16cid:commentId w16cid:paraId="28F08FAC" w16cid:durableId="4AEEF49F"/>
  <w16cid:commentId w16cid:paraId="35D1D0D3" w16cid:durableId="243C07C2"/>
  <w16cid:commentId w16cid:paraId="58E9C3BA" w16cid:durableId="72DF39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A053" w14:textId="77777777" w:rsidR="00BA4AD4" w:rsidRDefault="00BA4AD4" w:rsidP="00041C99">
      <w:pPr>
        <w:spacing w:before="0" w:after="0"/>
      </w:pPr>
      <w:r>
        <w:separator/>
      </w:r>
    </w:p>
  </w:endnote>
  <w:endnote w:type="continuationSeparator" w:id="0">
    <w:p w14:paraId="3292DA89" w14:textId="77777777" w:rsidR="00BA4AD4" w:rsidRDefault="00BA4AD4" w:rsidP="00041C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2EE0" w14:textId="77777777" w:rsidR="00041C99" w:rsidRDefault="0004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FD22" w14:textId="77777777" w:rsidR="00041C99" w:rsidRDefault="00041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75B3" w14:textId="77777777" w:rsidR="00041C99" w:rsidRDefault="0004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2D03" w14:textId="77777777" w:rsidR="00BA4AD4" w:rsidRDefault="00BA4AD4" w:rsidP="00041C99">
      <w:pPr>
        <w:spacing w:before="0" w:after="0"/>
      </w:pPr>
      <w:r>
        <w:separator/>
      </w:r>
    </w:p>
  </w:footnote>
  <w:footnote w:type="continuationSeparator" w:id="0">
    <w:p w14:paraId="375DF2D3" w14:textId="77777777" w:rsidR="00BA4AD4" w:rsidRDefault="00BA4AD4" w:rsidP="00041C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9F7B" w14:textId="405A1AFD" w:rsidR="00041C99" w:rsidRDefault="00000000">
    <w:pPr>
      <w:pStyle w:val="Header"/>
    </w:pPr>
    <w:r>
      <w:rPr>
        <w:noProof/>
      </w:rPr>
      <w:pict w14:anchorId="6D5DB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8803" w14:textId="5D6F0136" w:rsidR="00041C99" w:rsidRDefault="00000000">
    <w:pPr>
      <w:pStyle w:val="Header"/>
    </w:pPr>
    <w:r>
      <w:rPr>
        <w:noProof/>
      </w:rPr>
      <w:pict w14:anchorId="49F8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7202" w14:textId="520D2172" w:rsidR="00041C99" w:rsidRDefault="00000000">
    <w:pPr>
      <w:pStyle w:val="Header"/>
    </w:pPr>
    <w:r>
      <w:rPr>
        <w:noProof/>
      </w:rPr>
      <w:pict w14:anchorId="01952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CA"/>
    <w:multiLevelType w:val="multilevel"/>
    <w:tmpl w:val="EB0E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8806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vasu Mathura">
    <w15:presenceInfo w15:providerId="Windows Live" w15:userId="796822cdb2d3e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FF"/>
    <w:rsid w:val="00015DB2"/>
    <w:rsid w:val="00041C99"/>
    <w:rsid w:val="00054696"/>
    <w:rsid w:val="001D553C"/>
    <w:rsid w:val="002856D3"/>
    <w:rsid w:val="002D2495"/>
    <w:rsid w:val="002E10D9"/>
    <w:rsid w:val="00365A34"/>
    <w:rsid w:val="0043252B"/>
    <w:rsid w:val="0054354A"/>
    <w:rsid w:val="006E0ACB"/>
    <w:rsid w:val="007D7332"/>
    <w:rsid w:val="009B0F79"/>
    <w:rsid w:val="00AF69EA"/>
    <w:rsid w:val="00B45F84"/>
    <w:rsid w:val="00BA28D0"/>
    <w:rsid w:val="00BA4AD4"/>
    <w:rsid w:val="00BD64FF"/>
    <w:rsid w:val="00C10656"/>
    <w:rsid w:val="00CB5E5B"/>
    <w:rsid w:val="00D50FAC"/>
    <w:rsid w:val="00EF0142"/>
    <w:rsid w:val="00F210B7"/>
    <w:rsid w:val="00F67AA2"/>
    <w:rsid w:val="00FE2F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DC623"/>
  <w15:chartTrackingRefBased/>
  <w15:docId w15:val="{9730FD9C-5E33-44C0-8C52-7DDF272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FF"/>
    <w:pPr>
      <w:spacing w:before="240" w:line="240" w:lineRule="auto"/>
    </w:pPr>
    <w:rPr>
      <w:kern w:val="0"/>
      <w:sz w:val="22"/>
      <w:szCs w:val="22"/>
      <w14:ligatures w14:val="none"/>
    </w:rPr>
  </w:style>
  <w:style w:type="paragraph" w:styleId="Heading1">
    <w:name w:val="heading 1"/>
    <w:basedOn w:val="Normal"/>
    <w:next w:val="Normal"/>
    <w:link w:val="Heading1Char"/>
    <w:uiPriority w:val="9"/>
    <w:qFormat/>
    <w:rsid w:val="00BD6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FF"/>
    <w:rPr>
      <w:rFonts w:eastAsiaTheme="majorEastAsia" w:cstheme="majorBidi"/>
      <w:color w:val="272727" w:themeColor="text1" w:themeTint="D8"/>
    </w:rPr>
  </w:style>
  <w:style w:type="paragraph" w:styleId="Title">
    <w:name w:val="Title"/>
    <w:basedOn w:val="Normal"/>
    <w:next w:val="Normal"/>
    <w:link w:val="TitleChar"/>
    <w:uiPriority w:val="10"/>
    <w:qFormat/>
    <w:rsid w:val="00BD6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FF"/>
    <w:pPr>
      <w:spacing w:before="160"/>
      <w:jc w:val="center"/>
    </w:pPr>
    <w:rPr>
      <w:i/>
      <w:iCs/>
      <w:color w:val="404040" w:themeColor="text1" w:themeTint="BF"/>
    </w:rPr>
  </w:style>
  <w:style w:type="character" w:customStyle="1" w:styleId="QuoteChar">
    <w:name w:val="Quote Char"/>
    <w:basedOn w:val="DefaultParagraphFont"/>
    <w:link w:val="Quote"/>
    <w:uiPriority w:val="29"/>
    <w:rsid w:val="00BD64FF"/>
    <w:rPr>
      <w:i/>
      <w:iCs/>
      <w:color w:val="404040" w:themeColor="text1" w:themeTint="BF"/>
    </w:rPr>
  </w:style>
  <w:style w:type="paragraph" w:styleId="ListParagraph">
    <w:name w:val="List Paragraph"/>
    <w:basedOn w:val="Normal"/>
    <w:uiPriority w:val="34"/>
    <w:qFormat/>
    <w:rsid w:val="00BD64FF"/>
    <w:pPr>
      <w:ind w:left="720"/>
      <w:contextualSpacing/>
    </w:pPr>
  </w:style>
  <w:style w:type="character" w:styleId="IntenseEmphasis">
    <w:name w:val="Intense Emphasis"/>
    <w:basedOn w:val="DefaultParagraphFont"/>
    <w:uiPriority w:val="21"/>
    <w:qFormat/>
    <w:rsid w:val="00BD64FF"/>
    <w:rPr>
      <w:i/>
      <w:iCs/>
      <w:color w:val="2F5496" w:themeColor="accent1" w:themeShade="BF"/>
    </w:rPr>
  </w:style>
  <w:style w:type="paragraph" w:styleId="IntenseQuote">
    <w:name w:val="Intense Quote"/>
    <w:basedOn w:val="Normal"/>
    <w:next w:val="Normal"/>
    <w:link w:val="IntenseQuoteChar"/>
    <w:uiPriority w:val="30"/>
    <w:qFormat/>
    <w:rsid w:val="00BD6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4FF"/>
    <w:rPr>
      <w:i/>
      <w:iCs/>
      <w:color w:val="2F5496" w:themeColor="accent1" w:themeShade="BF"/>
    </w:rPr>
  </w:style>
  <w:style w:type="character" w:styleId="IntenseReference">
    <w:name w:val="Intense Reference"/>
    <w:basedOn w:val="DefaultParagraphFont"/>
    <w:uiPriority w:val="32"/>
    <w:qFormat/>
    <w:rsid w:val="00BD64FF"/>
    <w:rPr>
      <w:b/>
      <w:bCs/>
      <w:smallCaps/>
      <w:color w:val="2F5496" w:themeColor="accent1" w:themeShade="BF"/>
      <w:spacing w:val="5"/>
    </w:rPr>
  </w:style>
  <w:style w:type="paragraph" w:customStyle="1" w:styleId="Default">
    <w:name w:val="Default"/>
    <w:rsid w:val="00BD64FF"/>
    <w:pPr>
      <w:autoSpaceDE w:val="0"/>
      <w:autoSpaceDN w:val="0"/>
      <w:adjustRightInd w:val="0"/>
      <w:spacing w:after="0" w:line="240" w:lineRule="auto"/>
    </w:pPr>
    <w:rPr>
      <w:rFonts w:ascii="Times New Roman" w:hAnsi="Times New Roman" w:cs="Times New Roman"/>
      <w:color w:val="000000"/>
      <w:kern w:val="0"/>
      <w:lang w:bidi="hi-IN"/>
      <w14:ligatures w14:val="none"/>
    </w:rPr>
  </w:style>
  <w:style w:type="table" w:styleId="TableGrid">
    <w:name w:val="Table Grid"/>
    <w:basedOn w:val="TableNormal"/>
    <w:uiPriority w:val="59"/>
    <w:rsid w:val="00BD64FF"/>
    <w:pPr>
      <w:spacing w:after="0" w:line="240" w:lineRule="auto"/>
      <w:ind w:left="720"/>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D64FF"/>
    <w:pPr>
      <w:spacing w:after="0" w:line="240" w:lineRule="auto"/>
    </w:pPr>
    <w:rPr>
      <w:kern w:val="0"/>
      <w:sz w:val="22"/>
      <w:szCs w:val="22"/>
      <w14:ligatures w14:val="none"/>
    </w:rPr>
  </w:style>
  <w:style w:type="character" w:styleId="Hyperlink">
    <w:name w:val="Hyperlink"/>
    <w:basedOn w:val="DefaultParagraphFont"/>
    <w:uiPriority w:val="99"/>
    <w:unhideWhenUsed/>
    <w:rsid w:val="002E10D9"/>
    <w:rPr>
      <w:color w:val="0563C1" w:themeColor="hyperlink"/>
      <w:u w:val="single"/>
    </w:rPr>
  </w:style>
  <w:style w:type="character" w:styleId="UnresolvedMention">
    <w:name w:val="Unresolved Mention"/>
    <w:basedOn w:val="DefaultParagraphFont"/>
    <w:uiPriority w:val="99"/>
    <w:semiHidden/>
    <w:unhideWhenUsed/>
    <w:rsid w:val="002E10D9"/>
    <w:rPr>
      <w:color w:val="605E5C"/>
      <w:shd w:val="clear" w:color="auto" w:fill="E1DFDD"/>
    </w:rPr>
  </w:style>
  <w:style w:type="paragraph" w:styleId="Header">
    <w:name w:val="header"/>
    <w:basedOn w:val="Normal"/>
    <w:link w:val="HeaderChar"/>
    <w:uiPriority w:val="99"/>
    <w:unhideWhenUsed/>
    <w:rsid w:val="00041C99"/>
    <w:pPr>
      <w:tabs>
        <w:tab w:val="center" w:pos="4680"/>
        <w:tab w:val="right" w:pos="9360"/>
      </w:tabs>
      <w:spacing w:before="0" w:after="0"/>
    </w:pPr>
  </w:style>
  <w:style w:type="character" w:customStyle="1" w:styleId="HeaderChar">
    <w:name w:val="Header Char"/>
    <w:basedOn w:val="DefaultParagraphFont"/>
    <w:link w:val="Header"/>
    <w:uiPriority w:val="99"/>
    <w:rsid w:val="00041C99"/>
    <w:rPr>
      <w:kern w:val="0"/>
      <w:sz w:val="22"/>
      <w:szCs w:val="22"/>
      <w14:ligatures w14:val="none"/>
    </w:rPr>
  </w:style>
  <w:style w:type="paragraph" w:styleId="Footer">
    <w:name w:val="footer"/>
    <w:basedOn w:val="Normal"/>
    <w:link w:val="FooterChar"/>
    <w:uiPriority w:val="99"/>
    <w:unhideWhenUsed/>
    <w:rsid w:val="00041C99"/>
    <w:pPr>
      <w:tabs>
        <w:tab w:val="center" w:pos="4680"/>
        <w:tab w:val="right" w:pos="9360"/>
      </w:tabs>
      <w:spacing w:before="0" w:after="0"/>
    </w:pPr>
  </w:style>
  <w:style w:type="character" w:customStyle="1" w:styleId="FooterChar">
    <w:name w:val="Footer Char"/>
    <w:basedOn w:val="DefaultParagraphFont"/>
    <w:link w:val="Footer"/>
    <w:uiPriority w:val="99"/>
    <w:rsid w:val="00041C99"/>
    <w:rPr>
      <w:kern w:val="0"/>
      <w:sz w:val="22"/>
      <w:szCs w:val="22"/>
      <w14:ligatures w14:val="none"/>
    </w:rPr>
  </w:style>
  <w:style w:type="character" w:styleId="CommentReference">
    <w:name w:val="annotation reference"/>
    <w:basedOn w:val="DefaultParagraphFont"/>
    <w:uiPriority w:val="99"/>
    <w:semiHidden/>
    <w:unhideWhenUsed/>
    <w:rsid w:val="00BA28D0"/>
    <w:rPr>
      <w:sz w:val="16"/>
      <w:szCs w:val="16"/>
    </w:rPr>
  </w:style>
  <w:style w:type="paragraph" w:styleId="CommentText">
    <w:name w:val="annotation text"/>
    <w:basedOn w:val="Normal"/>
    <w:link w:val="CommentTextChar"/>
    <w:uiPriority w:val="99"/>
    <w:unhideWhenUsed/>
    <w:rsid w:val="00BA28D0"/>
    <w:rPr>
      <w:sz w:val="20"/>
      <w:szCs w:val="20"/>
    </w:rPr>
  </w:style>
  <w:style w:type="character" w:customStyle="1" w:styleId="CommentTextChar">
    <w:name w:val="Comment Text Char"/>
    <w:basedOn w:val="DefaultParagraphFont"/>
    <w:link w:val="CommentText"/>
    <w:uiPriority w:val="99"/>
    <w:rsid w:val="00BA28D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28D0"/>
    <w:rPr>
      <w:b/>
      <w:bCs/>
    </w:rPr>
  </w:style>
  <w:style w:type="character" w:customStyle="1" w:styleId="CommentSubjectChar">
    <w:name w:val="Comment Subject Char"/>
    <w:basedOn w:val="CommentTextChar"/>
    <w:link w:val="CommentSubject"/>
    <w:uiPriority w:val="99"/>
    <w:semiHidden/>
    <w:rsid w:val="00BA28D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jat</dc:creator>
  <cp:keywords/>
  <dc:description/>
  <cp:lastModifiedBy>Duvasu Mathura</cp:lastModifiedBy>
  <cp:revision>8</cp:revision>
  <dcterms:created xsi:type="dcterms:W3CDTF">2025-04-27T03:48:00Z</dcterms:created>
  <dcterms:modified xsi:type="dcterms:W3CDTF">2025-04-28T10:36:00Z</dcterms:modified>
</cp:coreProperties>
</file>