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9.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rPr>
          <w:rFonts w:ascii="Arial" w:cs="Arial" w:hAnsi="Arial"/>
          <w:bCs/>
          <w:iCs/>
          <w:kern w:val="28"/>
          <w:sz w:val="36"/>
        </w:rPr>
      </w:pPr>
    </w:p>
    <w:p>
      <w:pPr>
        <w:pStyle w:val="style4097"/>
        <w:rPr>
          <w:rFonts w:ascii="Arial" w:cs="Arial" w:hAnsi="Arial"/>
          <w:bCs/>
          <w:i/>
          <w:iCs/>
          <w:kern w:val="28"/>
          <w:sz w:val="18"/>
          <w:szCs w:val="18"/>
          <w:u w:val="single"/>
        </w:rPr>
      </w:pPr>
      <w:r>
        <w:rPr>
          <w:rFonts w:ascii="Arial" w:cs="Arial" w:hAnsi="Arial"/>
          <w:bCs/>
          <w:i/>
          <w:iCs/>
          <w:kern w:val="28"/>
          <w:sz w:val="18"/>
          <w:szCs w:val="18"/>
          <w:u w:val="single"/>
        </w:rPr>
        <w:t>Original Research Article</w:t>
      </w:r>
    </w:p>
    <w:p>
      <w:pPr>
        <w:pStyle w:val="style4097"/>
        <w:spacing w:lineRule="auto" w:line="240"/>
        <w:rPr>
          <w:rFonts w:ascii="Arial" w:cs="Arial" w:hAnsi="Arial"/>
          <w:bCs/>
          <w:iCs/>
          <w:kern w:val="28"/>
          <w:sz w:val="36"/>
        </w:rPr>
      </w:pPr>
      <w:r>
        <w:rPr>
          <w:rFonts w:ascii="Arial" w:cs="Arial" w:hAnsi="Arial"/>
          <w:bCs/>
          <w:iCs/>
          <w:kern w:val="28"/>
          <w:sz w:val="36"/>
        </w:rPr>
        <w:t>Assessment of Technology Adoption in Chickpea Cultivation under Cluster Front Line Demonstrations by Farmers of Bikaner, Rajasthan</w:t>
      </w:r>
    </w:p>
    <w:p>
      <w:pPr>
        <w:pStyle w:val="style4097"/>
        <w:spacing w:lineRule="auto" w:line="240"/>
        <w:rPr>
          <w:rFonts w:ascii="Arial" w:cs="Arial" w:hAnsi="Arial"/>
          <w:bCs/>
          <w:iCs/>
          <w:kern w:val="28"/>
          <w:sz w:val="36"/>
        </w:rPr>
      </w:pPr>
    </w:p>
    <w:p>
      <w:pPr>
        <w:pStyle w:val="style4098"/>
        <w:spacing w:after="0" w:lineRule="auto" w:line="240"/>
        <w:jc w:val="both"/>
        <w:rPr>
          <w:rFonts w:ascii="Arial" w:cs="Arial" w:hAnsi="Arial"/>
        </w:rPr>
      </w:pPr>
    </w:p>
    <w:p>
      <w:pPr>
        <w:pStyle w:val="style4108"/>
        <w:spacing w:after="0" w:lineRule="auto" w:line="240"/>
        <w:jc w:val="both"/>
        <w:rPr>
          <w:rFonts w:ascii="Arial" w:cs="Arial" w:hAnsi="Arial"/>
        </w:rPr>
        <w:sectPr>
          <w:headerReference w:type="even" r:id="rId2"/>
          <w:headerReference w:type="default" r:id="rId3"/>
          <w:footerReference w:type="even" r:id="rId4"/>
          <w:footerReference w:type="default" r:id="rId5"/>
          <w:headerReference w:type="first" r:id="rId6"/>
          <w:pgSz w:w="12240" w:h="15840" w:orient="portrait" w:code="1"/>
          <w:pgMar w:top="1440" w:right="2016" w:bottom="2016" w:left="2016" w:header="720" w:footer="1296" w:gutter="0"/>
          <w:cols w:space="720"/>
          <w:docGrid w:linePitch="272"/>
        </w:sectPr>
      </w:pPr>
      <w:r>
        <w:rPr>
          <w:rFonts w:ascii="Arial" w:cs="Arial" w:hAnsi="Arial"/>
          <w:noProof/>
          <w:lang w:val="en-IN" w:eastAsia="en-IN"/>
        </w:rPr>
      </w:r>
      <w:r>
        <w:rPr>
          <w:rFonts w:ascii="Arial" w:cs="Arial" w:hAnsi="Arial"/>
          <w:noProof/>
          <w:lang w:val="en-IN" w:eastAsia="en-IN"/>
        </w:rPr>
      </w:r>
      <w:r>
        <w:rPr>
          <w:rFonts w:ascii="Arial" w:cs="Arial" w:hAnsi="Arial"/>
          <w:noProof/>
          <w:lang w:val="en-IN" w:eastAsia="en-IN"/>
        </w:rPr>
      </w:r>
      <w:r>
        <w:rPr>
          <w:rFonts w:ascii="Arial" w:cs="Arial" w:hAnsi="Arial"/>
          <w:noProof/>
          <w:lang w:val="en-IN" w:eastAsia="en-IN"/>
        </w:rPr>
        <mc:AlternateContent>
          <mc:Choice Requires="wps">
            <w:drawing>
              <wp:inline distL="0" distT="0" distB="0" distR="0">
                <wp:extent cx="5303520" cy="635"/>
                <wp:effectExtent l="13334" t="13334" r="17145" b="15240"/>
                <wp:docPr id="1026"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03520" cy="635"/>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inline>
            </w:drawing>
          </mc:Choice>
          <mc:Fallback>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cs="Arial" w:hAnsi="Arial"/>
          <w:noProof/>
          <w:lang w:val="en-IN" w:eastAsia="en-IN"/>
        </w:rPr>
      </w:r>
      <w:r>
        <w:rPr>
          <w:rFonts w:ascii="Arial" w:cs="Arial" w:hAnsi="Arial"/>
          <w:noProof/>
          <w:lang w:val="en-IN" w:eastAsia="en-IN"/>
        </w:rPr>
      </w:r>
      <w:r>
        <w:rPr>
          <w:rFonts w:ascii="Arial" w:cs="Arial" w:hAnsi="Arial"/>
        </w:rPr>
        <w:t>.</w:t>
      </w:r>
    </w:p>
    <w:p>
      <w:pPr>
        <w:pStyle w:val="style4100"/>
        <w:spacing w:after="0"/>
        <w:jc w:val="both"/>
        <w:rPr>
          <w:rFonts w:ascii="Arial" w:cs="Arial" w:hAnsi="Arial"/>
        </w:rPr>
      </w:pPr>
      <w:r>
        <w:rPr>
          <w:rFonts w:ascii="Arial" w:cs="Arial" w:hAnsi="Arial"/>
        </w:rPr>
        <w:t>ABSTRACT</w:t>
      </w:r>
      <w:r>
        <w:rPr>
          <w:rFonts w:ascii="Arial" w:cs="Arial" w:hAnsi="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trPr/>
        <w:tc>
          <w:tcPr>
            <w:tcW w:w="8198" w:type="dxa"/>
            <w:tcBorders/>
            <w:shd w:val="clear" w:color="auto" w:fill="f2f2f2"/>
          </w:tcPr>
          <w:p>
            <w:pPr>
              <w:pStyle w:val="style0"/>
              <w:jc w:val="both"/>
              <w:rPr/>
            </w:pPr>
            <w:r>
              <w:t xml:space="preserve">The adoption of improved agricultural technologies is crucial for enhancing productivity and ensuring food security. This </w:t>
            </w:r>
            <w:r>
              <w:rPr>
                <w:lang w:val="en-US"/>
              </w:rPr>
              <w:t xml:space="preserve">study </w:t>
            </w:r>
            <w:r>
              <w:rPr>
                <w:color w:val="ff0000"/>
                <w:lang w:val="en-US"/>
              </w:rPr>
              <w:t>aimed</w:t>
            </w:r>
            <w:r>
              <w:t xml:space="preserve"> </w:t>
            </w:r>
            <w:r>
              <w:rPr>
                <w:color w:val="ff0000"/>
                <w:lang w:val="en-US"/>
              </w:rPr>
              <w:t>to</w:t>
            </w:r>
            <w:r>
              <w:rPr>
                <w:lang w:val="en-US"/>
              </w:rPr>
              <w:t xml:space="preserve"> </w:t>
            </w:r>
            <w:r>
              <w:t xml:space="preserve">evaluated the adoption of chickpea cultivation technologies under the Cluster Front Line Demonstrations (CFLD) program organized by KVK Bikaner-I in Rajasthan. Focusing on the comparison between beneficiary farmers (who participated in CFLD) and non-beneficiary farmers (who did not), </w:t>
            </w:r>
            <w:r>
              <w:rPr>
                <w:lang w:val="en-US"/>
              </w:rPr>
              <w:t xml:space="preserve">the </w:t>
            </w:r>
            <w:r>
              <w:rPr>
                <w:color w:val="ff0000"/>
                <w:lang w:val="en-US"/>
              </w:rPr>
              <w:t>study</w:t>
            </w:r>
            <w:r>
              <w:t xml:space="preserve"> </w:t>
            </w:r>
            <w:r>
              <w:rPr>
                <w:highlight w:val="yellow"/>
              </w:rPr>
              <w:t>research</w:t>
            </w:r>
            <w:r>
              <w:t xml:space="preserve"> aimed to assess the impact of CFLD interventions on the adoption of chickpea cultivation practices. A total of 200 farmers were selected, consisting of 100 beneficiary and 100 non-beneficiary farmers. Structured interviews were conducted to assess the extent of adoption across various technological aspects, including seed treatment, irrigation management, improved varieties, and plant protection measures. The findings revealed that beneficiary farmers had higher adoption levels, with 90.00% adopting technologies at medium to high levels, compared to 59.00% of non-beneficiary farmers. The study indicated that exposure to training, mass media, and continuous interaction with extension agencies significantly influenced the adoption rates. Significant differences were found between beneficiary and non-beneficiary farmers in the adoption of specific technologies such as seed treatment and plant protection measures. The study concluded that CFLDs effectively promoted the adoption of chickpea technologies, but future efforts should focus on improving non-beneficiary farmers’ access to extension services and addressing adoption gaps in areas such as nutrient management and storage practices.</w:t>
            </w:r>
          </w:p>
        </w:tc>
      </w:tr>
    </w:tbl>
    <w:p>
      <w:pPr>
        <w:pStyle w:val="style4099"/>
        <w:spacing w:after="0"/>
        <w:rPr>
          <w:rFonts w:ascii="Arial" w:cs="Arial" w:hAnsi="Arial"/>
          <w:i/>
        </w:rPr>
      </w:pPr>
    </w:p>
    <w:p>
      <w:pPr>
        <w:pStyle w:val="style4099"/>
        <w:spacing w:after="0"/>
        <w:rPr>
          <w:rFonts w:ascii="Arial" w:cs="Arial" w:hAnsi="Arial"/>
          <w:i/>
          <w:sz w:val="18"/>
        </w:rPr>
      </w:pPr>
      <w:r>
        <w:rPr>
          <w:rFonts w:ascii="Arial" w:cs="Arial" w:hAnsi="Arial"/>
          <w:i/>
        </w:rPr>
        <w:t xml:space="preserve">Keywords: </w:t>
      </w:r>
      <w:r>
        <w:rPr>
          <w:rFonts w:ascii="Arial" w:cs="Arial" w:hAnsi="Arial"/>
          <w:i/>
        </w:rPr>
        <w:t>Chickpea cultivation, CFLD, Technology adoption, Beneficiary farmers, Non-beneficiary farmers, Extension services, Adoption levels, Rajasthan.</w:t>
      </w:r>
    </w:p>
    <w:p>
      <w:pPr>
        <w:pStyle w:val="style4099"/>
        <w:spacing w:after="0"/>
        <w:rPr>
          <w:rFonts w:ascii="Arial" w:cs="Arial" w:hAnsi="Arial"/>
          <w:i/>
        </w:rPr>
      </w:pPr>
    </w:p>
    <w:p>
      <w:pPr>
        <w:pStyle w:val="style4100"/>
        <w:spacing w:after="0"/>
        <w:jc w:val="both"/>
        <w:rPr>
          <w:rFonts w:ascii="Arial" w:cs="Arial" w:hAnsi="Arial"/>
        </w:rPr>
      </w:pPr>
      <w:r>
        <w:rPr>
          <w:rFonts w:ascii="Arial" w:cs="Arial" w:hAnsi="Arial"/>
        </w:rPr>
        <w:t xml:space="preserve">1. </w:t>
      </w:r>
      <w:r>
        <w:rPr>
          <w:rFonts w:ascii="Arial" w:cs="Arial" w:hAnsi="Arial"/>
        </w:rPr>
        <w:t>INTRODUCTION</w:t>
      </w:r>
      <w:r>
        <w:rPr>
          <w:rFonts w:ascii="Arial" w:cs="Arial" w:hAnsi="Arial"/>
        </w:rPr>
        <w:t xml:space="preserve"> </w:t>
      </w:r>
    </w:p>
    <w:p>
      <w:pPr>
        <w:pStyle w:val="style0"/>
        <w:spacing w:before="100" w:beforeAutospacing="true" w:after="100" w:afterAutospacing="true"/>
        <w:jc w:val="both"/>
        <w:rPr>
          <w:rFonts w:ascii="Arial" w:cs="Arial" w:hAnsi="Arial"/>
          <w:lang w:val="en-IN" w:eastAsia="en-IN"/>
        </w:rPr>
      </w:pPr>
      <w:r>
        <w:rPr>
          <w:rFonts w:ascii="Arial" w:cs="Arial" w:hAnsi="Arial"/>
        </w:rPr>
        <w:tab/>
      </w:r>
      <w:r>
        <w:rPr>
          <w:rFonts w:ascii="Arial" w:cs="Arial" w:hAnsi="Arial"/>
          <w:lang w:val="en-IN" w:eastAsia="en-IN"/>
        </w:rPr>
        <w:t>The Government of India, recognizing the crucial role of pulses in national food security and nutrition, initiated the Cluster Front Line Demonstrations (CFLDs) on Pulses in 2015 under the National Food Security Mission (</w:t>
      </w:r>
      <w:r>
        <w:rPr>
          <w:rFonts w:ascii="Arial" w:cs="Arial" w:hAnsi="Arial"/>
          <w:lang w:val="en-IN" w:eastAsia="en-IN"/>
        </w:rPr>
        <w:t>ICAR-ATARI, 2018</w:t>
      </w:r>
      <w:r>
        <w:rPr>
          <w:rFonts w:ascii="Arial" w:cs="Arial" w:hAnsi="Arial"/>
          <w:lang w:val="en-IN" w:eastAsia="en-IN"/>
        </w:rPr>
        <w:t xml:space="preserve">). This project, implemented through Krishi Vigyan </w:t>
      </w:r>
      <w:r>
        <w:rPr>
          <w:rFonts w:ascii="Arial" w:cs="Arial" w:hAnsi="Arial"/>
          <w:lang w:val="en-IN" w:eastAsia="en-IN"/>
        </w:rPr>
        <w:t>Kendras</w:t>
      </w:r>
      <w:r>
        <w:rPr>
          <w:rFonts w:ascii="Arial" w:cs="Arial" w:hAnsi="Arial"/>
          <w:lang w:val="en-IN" w:eastAsia="en-IN"/>
        </w:rPr>
        <w:t xml:space="preserve"> (KVKs), aimed at enhancing the productivity and adoption of improved pulse cultivation practices across the country. KVKs, functioning as grassroots-level agricultural knowledge </w:t>
      </w:r>
      <w:r>
        <w:rPr>
          <w:rFonts w:ascii="Arial" w:cs="Arial" w:hAnsi="Arial"/>
          <w:lang w:val="en-IN" w:eastAsia="en-IN"/>
        </w:rPr>
        <w:t>centers</w:t>
      </w:r>
      <w:r>
        <w:rPr>
          <w:rFonts w:ascii="Arial" w:cs="Arial" w:hAnsi="Arial"/>
          <w:lang w:val="en-IN" w:eastAsia="en-IN"/>
        </w:rPr>
        <w:t>, conduct Front Line Demonstrations (FLDs) to bridge the gap between research institutions and farmers, promoting the adoption of location-specific, proven technologies. KVK Bikaner-I has been conducting CFLDs on chickpea since 2015-16, focusing on improving farmers' knowledge, adoption rates, and ultimately boosting chickpea production in the region. Given the strategic importance of chickpea in ensuring protein security and the continuous efforts made through CFLDs, assessing the extent of technology adoption among farmers becomes imperative to evaluate the success of these interventions.</w:t>
      </w:r>
      <w:r>
        <w:rPr>
          <w:rFonts w:ascii="Arial" w:cs="Arial" w:hAnsi="Arial"/>
          <w:lang w:val="en-IN" w:eastAsia="en-IN"/>
        </w:rPr>
        <w:t xml:space="preserve"> </w:t>
      </w:r>
      <w:r>
        <w:rPr>
          <w:rFonts w:ascii="Arial" w:cs="Arial" w:hAnsi="Arial"/>
          <w:lang w:val="en-IN" w:eastAsia="en-IN"/>
        </w:rPr>
        <w:t xml:space="preserve">Despite advancements in chickpea cultivation technologies, the gap between </w:t>
      </w:r>
      <w:r>
        <w:rPr>
          <w:rFonts w:ascii="Arial" w:cs="Arial" w:hAnsi="Arial"/>
          <w:lang w:val="en-IN" w:eastAsia="en-IN"/>
        </w:rPr>
        <w:t xml:space="preserve">potential and realized yields remains a challenge, largely influenced by the degree of technology adoption at the farm level. While KVK Bikaner-I has played a significant role in disseminating improved practices, it is necessary to systematically measure the extent to which beneficiary farmers (who participated in CFLDs) and non-beneficiary farmers (who did not participate) have adopted these technologies. Understanding the adoption patterns will provide insights into the effectiveness of CFLDs and help in fine-tuning future strategies for pulse promotion. </w:t>
      </w:r>
    </w:p>
    <w:p>
      <w:pPr>
        <w:pStyle w:val="style4099"/>
        <w:rPr>
          <w:rFonts w:ascii="Arial" w:cs="Arial" w:hAnsi="Arial"/>
          <w:lang w:val="en-IN" w:eastAsia="en-IN"/>
        </w:rPr>
      </w:pPr>
      <w:r>
        <w:rPr>
          <w:rFonts w:ascii="Arial" w:cs="Arial" w:hAnsi="Arial"/>
        </w:rPr>
        <w:tab/>
      </w:r>
      <w:r>
        <w:rPr>
          <w:rFonts w:ascii="Arial" w:cs="Arial" w:hAnsi="Arial"/>
          <w:lang w:val="en-IN" w:eastAsia="en-IN"/>
        </w:rPr>
        <w:t xml:space="preserve">Several studies have documented the adoption levels of agricultural technologies across different crops and contexts, generally revealing a predominance of medium adoption levels among farmers. Patel et al. (2010) found that 93.33 per cent of farmers had a medium level of adoption regarding groundnut production technologies, with none achieving a high adoption level. Similarly, Hadiya et al. (2014) observed that 65.83 per cent of respondents exhibited medium adoption of recommended groundnut cultivation practices. In the case of mustard production, </w:t>
      </w:r>
      <w:r>
        <w:rPr>
          <w:rFonts w:ascii="Arial" w:cs="Arial" w:hAnsi="Arial"/>
          <w:lang w:val="en-IN" w:eastAsia="en-IN"/>
        </w:rPr>
        <w:t>Bagenia</w:t>
      </w:r>
      <w:r>
        <w:rPr>
          <w:rFonts w:ascii="Arial" w:cs="Arial" w:hAnsi="Arial"/>
          <w:lang w:val="en-IN" w:eastAsia="en-IN"/>
        </w:rPr>
        <w:t xml:space="preserve"> and </w:t>
      </w:r>
      <w:r>
        <w:rPr>
          <w:rFonts w:ascii="Arial" w:cs="Arial" w:hAnsi="Arial"/>
          <w:lang w:val="en-IN" w:eastAsia="en-IN"/>
        </w:rPr>
        <w:t>Lakhera</w:t>
      </w:r>
      <w:r>
        <w:rPr>
          <w:rFonts w:ascii="Arial" w:cs="Arial" w:hAnsi="Arial"/>
          <w:lang w:val="en-IN" w:eastAsia="en-IN"/>
        </w:rPr>
        <w:t xml:space="preserve"> (2017) reported that 59.26 per cent of respondents fell into the medium adoption category, indicating a consistent pattern across crops. In soybean cultivation, </w:t>
      </w:r>
      <w:r>
        <w:rPr>
          <w:rFonts w:ascii="Arial" w:cs="Arial" w:hAnsi="Arial"/>
          <w:lang w:val="en-IN" w:eastAsia="en-IN"/>
        </w:rPr>
        <w:t>Gudadhe</w:t>
      </w:r>
      <w:r>
        <w:rPr>
          <w:rFonts w:ascii="Arial" w:cs="Arial" w:hAnsi="Arial"/>
          <w:lang w:val="en-IN" w:eastAsia="en-IN"/>
        </w:rPr>
        <w:t xml:space="preserve"> et al. (2017) also found that 62.00 per cent of respondents had a medium level of adoption of integrated pest management practices.</w:t>
      </w:r>
      <w:r>
        <w:rPr>
          <w:rFonts w:ascii="Arial" w:cs="Arial" w:hAnsi="Arial"/>
          <w:lang w:val="en-IN" w:eastAsia="en-IN"/>
        </w:rPr>
        <w:t xml:space="preserve"> </w:t>
      </w:r>
      <w:r>
        <w:rPr>
          <w:rFonts w:ascii="Arial" w:cs="Arial" w:hAnsi="Arial"/>
          <w:lang w:val="en-IN" w:eastAsia="en-IN"/>
        </w:rPr>
        <w:t>Furthermore, comparisons between beneficiary and non-beneficiary farmers highlight significant adoption gaps. Raghava and Rao (2013) noted that 90 per cent of groundnut beneficiaries had high to medium levels of adoption compared to lower adoption levels among non-beneficiaries. Similarly, Meena and Sharma (2019) observed that a higher proportion of beneficiary farmers exhibited greater adoption of recommended mustard technologies compared to their non-beneficiary counterparts. These findings collectively suggest that targeted interventions and extension efforts, such as demonstrations and frontline extension programs, positively influence the adoption rates of improved agricultural practices.</w:t>
      </w:r>
    </w:p>
    <w:p>
      <w:pPr>
        <w:pStyle w:val="style0"/>
        <w:spacing w:before="100" w:beforeAutospacing="true" w:after="100" w:afterAutospacing="true"/>
        <w:jc w:val="both"/>
        <w:rPr>
          <w:rFonts w:ascii="Arial" w:cs="Arial" w:hAnsi="Arial"/>
          <w:lang w:val="en-IN" w:eastAsia="en-IN"/>
        </w:rPr>
      </w:pPr>
      <w:r>
        <w:rPr>
          <w:rFonts w:ascii="Arial" w:cs="Arial" w:hAnsi="Arial"/>
        </w:rPr>
        <w:tab/>
      </w:r>
      <w:r>
        <w:rPr>
          <w:rFonts w:ascii="Arial" w:cs="Arial" w:hAnsi="Arial"/>
          <w:lang w:val="en-IN" w:eastAsia="en-IN"/>
        </w:rPr>
        <w:t xml:space="preserve">In this context, the present study entitled "Impact of Cluster Front Line Demonstrations on Adoption of Chickpea Cultivation Technologies Organized by KVK Bikaner-I, Rajasthan" has been undertaken with the specific objective: </w:t>
      </w:r>
      <w:r>
        <w:rPr>
          <w:rFonts w:ascii="Arial" w:cs="Arial" w:hAnsi="Arial"/>
          <w:bCs/>
          <w:lang w:val="en-IN" w:eastAsia="en-IN"/>
        </w:rPr>
        <w:t>To assess the extent of adoption of the beneficiary and non-beneficiary farmers regarding chickpea cultivation technologies demonstrated under CFLD</w:t>
      </w:r>
      <w:r>
        <w:rPr>
          <w:rFonts w:ascii="Arial" w:cs="Arial" w:hAnsi="Arial"/>
          <w:lang w:val="en-IN" w:eastAsia="en-IN"/>
        </w:rPr>
        <w:t>.</w:t>
      </w:r>
    </w:p>
    <w:p>
      <w:pPr>
        <w:pStyle w:val="style4099"/>
        <w:rPr>
          <w:rFonts w:ascii="Arial" w:cs="Arial" w:hAnsi="Arial"/>
          <w:b/>
          <w:sz w:val="22"/>
          <w:szCs w:val="22"/>
        </w:rPr>
      </w:pPr>
      <w:r>
        <w:rPr>
          <w:rFonts w:ascii="Arial" w:cs="Arial" w:hAnsi="Arial"/>
          <w:b/>
          <w:sz w:val="22"/>
          <w:szCs w:val="22"/>
        </w:rPr>
        <w:t xml:space="preserve">2. MATERIAL AND METHODS </w:t>
      </w:r>
    </w:p>
    <w:p>
      <w:pPr>
        <w:pStyle w:val="style0"/>
        <w:jc w:val="both"/>
        <w:rPr/>
      </w:pPr>
      <w:r>
        <w:rPr>
          <w:rFonts w:ascii="Arial" w:cs="Arial" w:hAnsi="Arial"/>
          <w:lang w:val="en-IN" w:eastAsia="en-IN"/>
        </w:rPr>
        <w:tab/>
      </w:r>
      <w:r>
        <w:t xml:space="preserve">The present study was conducted in Bikaner district of Rajasthan, purposefully selected owing to its significant contribution to chickpea cultivation and production within the state. Characterized by its arid climate and sandy soils, the district provided an ideal setting to evaluate the impact of agricultural interventions such as the Cluster Front Line Demonstration (CFLD) program. The research focused on KVK Bikaner-I, which had implemented a greater number of CFLD programs from 2016 to 2020 when compared to KVK Bikaner-II. Among the district’s eight tehsils, Bikaner and </w:t>
      </w:r>
      <w:r>
        <w:t>Kolayat</w:t>
      </w:r>
      <w:r>
        <w:t xml:space="preserve"> were purposively selected due to their higher concentration of CFLD beneficiaries. A total of 200 farmers were selected through proportionate random sampling, comprising 100 beneficiary farmers who had participated in CFLD activities and received training from KVK, and 100 non-beneficiary farmers who had been engaged in chickpea cultivation for a minimum of five years without any involvement in CFLD initiatives. Structured interviews were employed to gather data, aiming to assess and compare the farming practices and outcomes of both groups. The overarching goal was to derive insights into the effectiveness of extension services in improving chickpea production in the arid region.</w:t>
      </w:r>
    </w:p>
    <w:p>
      <w:pPr>
        <w:pStyle w:val="style0"/>
        <w:jc w:val="both"/>
        <w:rPr/>
      </w:pPr>
    </w:p>
    <w:p>
      <w:pPr>
        <w:pStyle w:val="style0"/>
        <w:jc w:val="both"/>
        <w:rPr>
          <w:rFonts w:ascii="Arial" w:cs="Arial" w:hAnsi="Arial"/>
          <w:b/>
          <w:sz w:val="22"/>
          <w:szCs w:val="22"/>
        </w:rPr>
      </w:pPr>
      <w:r>
        <w:rPr>
          <w:rFonts w:ascii="Arial" w:cs="Arial" w:hAnsi="Arial"/>
          <w:b/>
          <w:sz w:val="22"/>
          <w:szCs w:val="22"/>
        </w:rPr>
        <w:t>3. RESULTS AND DISCUSSION</w:t>
      </w:r>
    </w:p>
    <w:p>
      <w:pPr>
        <w:pStyle w:val="style4110"/>
        <w:spacing w:after="0"/>
        <w:jc w:val="both"/>
        <w:rPr>
          <w:rFonts w:ascii="Arial" w:cs="Arial" w:hAnsi="Arial"/>
        </w:rPr>
      </w:pPr>
    </w:p>
    <w:p>
      <w:pPr>
        <w:pStyle w:val="style0"/>
        <w:ind w:firstLine="720"/>
        <w:jc w:val="both"/>
        <w:rPr>
          <w:rFonts w:ascii="Arial" w:cs="Arial" w:hAnsi="Arial"/>
          <w:color w:val="000000"/>
          <w:lang w:bidi="hi-IN"/>
        </w:rPr>
      </w:pPr>
      <w:r>
        <w:rPr>
          <w:rFonts w:ascii="Arial" w:cs="Arial" w:hAnsi="Arial"/>
          <w:color w:val="000000"/>
          <w:lang w:bidi="hi-IN"/>
        </w:rPr>
        <w:t xml:space="preserve">Adoption is an individual phenomenon or behavioral or mental process. It is a decision to make full use of an innovation or technology (Rogers, 2003). In the present era of technology, our agricultural scientists are invented many new agricultural technologies and practices but all the innovations are not being adopted by all the </w:t>
      </w:r>
      <w:r>
        <w:rPr>
          <w:rFonts w:ascii="Arial" w:cs="Arial" w:hAnsi="Arial"/>
          <w:color w:val="ff0000"/>
          <w:lang w:val="en-US" w:bidi="hi-IN"/>
        </w:rPr>
        <w:t>farmers</w:t>
      </w:r>
      <w:r>
        <w:rPr>
          <w:rFonts w:ascii="Arial" w:cs="Arial" w:hAnsi="Arial"/>
          <w:color w:val="000000"/>
          <w:lang w:val="en-US" w:bidi="hi-IN"/>
        </w:rPr>
        <w:t xml:space="preserve"> </w:t>
      </w:r>
      <w:r>
        <w:rPr>
          <w:rFonts w:ascii="Arial" w:cs="Arial" w:hAnsi="Arial"/>
          <w:color w:val="000000"/>
          <w:sz w:val="18"/>
          <w:szCs w:val="18"/>
          <w:highlight w:val="yellow"/>
          <w:lang w:bidi="hi-IN"/>
        </w:rPr>
        <w:t>members of social system</w:t>
      </w:r>
      <w:r>
        <w:rPr>
          <w:rFonts w:ascii="Arial" w:cs="Arial" w:hAnsi="Arial"/>
          <w:color w:val="000000"/>
          <w:lang w:bidi="hi-IN"/>
        </w:rPr>
        <w:t xml:space="preserve">. </w:t>
      </w:r>
      <w:r>
        <w:rPr>
          <w:rFonts w:ascii="Arial" w:cs="Arial" w:hAnsi="Arial"/>
          <w:color w:val="ff0000"/>
          <w:lang w:val="en-US" w:bidi="hi-IN"/>
        </w:rPr>
        <w:t>Rogers, 2003 said that</w:t>
      </w:r>
      <w:r>
        <w:rPr>
          <w:rFonts w:ascii="Arial" w:cs="Arial" w:hAnsi="Arial"/>
          <w:color w:val="000000"/>
          <w:lang w:val="en-US" w:bidi="hi-IN"/>
        </w:rPr>
        <w:t xml:space="preserve"> a</w:t>
      </w:r>
      <w:r>
        <w:rPr>
          <w:rFonts w:ascii="Arial" w:cs="Arial" w:hAnsi="Arial"/>
          <w:color w:val="000000"/>
          <w:lang w:bidi="hi-IN"/>
        </w:rPr>
        <w:t xml:space="preserve">doption of an innovation depends on many factors viz., awareness and knowledge of adopters, innovativeness and perceived attributes of Innovation. It is normally expected that if an individual has more knowledge about various aspects of technologies. He/she is likely to adopt the innovations with higher speed. The results regarding the extent of adoption of chickpea cultivation technologies demonstrated under CFLD had been presented in Table 1. The farmers were categorized on the basis of mean (16.61) and standard deviation (03.56). </w:t>
      </w:r>
    </w:p>
    <w:p>
      <w:pPr>
        <w:pStyle w:val="style0"/>
        <w:ind w:firstLine="720"/>
        <w:jc w:val="both"/>
        <w:rPr>
          <w:rFonts w:ascii="Arial" w:cs="Arial" w:hAnsi="Arial"/>
          <w:color w:val="000000"/>
          <w:lang w:bidi="hi-IN"/>
        </w:rPr>
      </w:pPr>
      <w:r>
        <w:rPr>
          <w:rFonts w:ascii="Arial" w:cs="Arial" w:hAnsi="Arial"/>
          <w:color w:val="000000"/>
          <w:lang w:bidi="hi-IN"/>
        </w:rPr>
        <w:t xml:space="preserve">Data presented in the Table 1 clearly depicts that in the beneficiary farmers, majority of them (67.00%) had medium level of adoption followed by </w:t>
      </w:r>
      <w:r>
        <w:rPr>
          <w:rFonts w:ascii="Arial" w:cs="Arial" w:hAnsi="Arial"/>
          <w:color w:val="000000"/>
          <w:lang w:val="en-US" w:bidi="hi-IN"/>
        </w:rPr>
        <w:t xml:space="preserve">high </w:t>
      </w:r>
      <w:r>
        <w:rPr>
          <w:rFonts w:ascii="Arial" w:cs="Arial" w:eastAsia="Times New Roman" w:hAnsi="Arial" w:hint="default"/>
          <w:b w:val="false"/>
          <w:bCs w:val="false"/>
          <w:i w:val="false"/>
          <w:iCs w:val="false"/>
          <w:color w:val="ff0000"/>
          <w:sz w:val="20"/>
          <w:szCs w:val="20"/>
          <w:highlight w:val="none"/>
          <w:vertAlign w:val="baseline"/>
          <w:em w:val="none"/>
          <w:lang w:val="en-US" w:bidi="hi-IN" w:eastAsia="en-US"/>
        </w:rPr>
        <w:t>level</w:t>
      </w:r>
      <w:r>
        <w:rPr>
          <w:rFonts w:ascii="Arial" w:cs="Arial" w:hAnsi="Arial"/>
          <w:color w:val="000000"/>
          <w:lang w:bidi="hi-IN"/>
        </w:rPr>
        <w:t xml:space="preserve"> (23.00%) and </w:t>
      </w:r>
      <w:r>
        <w:rPr>
          <w:rFonts w:ascii="Arial" w:cs="Arial" w:hAnsi="Arial"/>
          <w:color w:val="000000"/>
          <w:lang w:val="en-US" w:bidi="hi-IN"/>
        </w:rPr>
        <w:t xml:space="preserve">low </w:t>
      </w:r>
      <w:r>
        <w:rPr>
          <w:rFonts w:ascii="Arial" w:cs="Arial" w:hAnsi="Arial"/>
          <w:color w:val="000000"/>
          <w:lang w:bidi="hi-IN"/>
        </w:rPr>
        <w:t xml:space="preserve"> </w:t>
      </w:r>
      <w:r>
        <w:rPr>
          <w:rFonts w:ascii="Arial" w:cs="Arial" w:hAnsi="Arial"/>
          <w:color w:val="ff0000"/>
          <w:lang w:val="en-US" w:bidi="hi-IN"/>
        </w:rPr>
        <w:t>level</w:t>
      </w:r>
      <w:r>
        <w:rPr>
          <w:rFonts w:ascii="Arial" w:cs="Arial" w:hAnsi="Arial"/>
          <w:color w:val="000000"/>
          <w:lang w:val="en-US" w:bidi="hi-IN"/>
        </w:rPr>
        <w:t xml:space="preserve"> </w:t>
      </w:r>
      <w:r>
        <w:rPr>
          <w:rFonts w:ascii="Arial" w:cs="Arial" w:hAnsi="Arial"/>
          <w:color w:val="000000"/>
          <w:lang w:bidi="hi-IN"/>
        </w:rPr>
        <w:t xml:space="preserve">(10.00%). Further, </w:t>
      </w:r>
      <w:r>
        <w:rPr>
          <w:rFonts w:ascii="Arial" w:cs="Arial" w:hAnsi="Arial"/>
          <w:color w:val="000000"/>
          <w:highlight w:val="yellow"/>
          <w:lang w:bidi="hi-IN"/>
        </w:rPr>
        <w:t>in case of</w:t>
      </w:r>
      <w:r>
        <w:rPr>
          <w:rFonts w:ascii="Arial" w:cs="Arial" w:hAnsi="Arial"/>
          <w:color w:val="000000"/>
          <w:lang w:bidi="hi-IN"/>
        </w:rPr>
        <w:t xml:space="preserve"> </w:t>
      </w:r>
      <w:r>
        <w:rPr>
          <w:rFonts w:ascii="Arial" w:cs="Arial" w:hAnsi="Arial"/>
          <w:color w:val="ff0000"/>
          <w:lang w:val="en-US" w:bidi="hi-IN"/>
        </w:rPr>
        <w:t>more than half of</w:t>
      </w:r>
      <w:r>
        <w:rPr>
          <w:rFonts w:ascii="Arial" w:cs="Arial" w:hAnsi="Arial"/>
          <w:color w:val="000000"/>
          <w:lang w:val="en-US" w:bidi="hi-IN"/>
        </w:rPr>
        <w:t xml:space="preserve"> </w:t>
      </w:r>
      <w:r>
        <w:rPr>
          <w:rFonts w:ascii="Arial" w:cs="Arial" w:hAnsi="Arial"/>
          <w:color w:val="000000"/>
          <w:lang w:bidi="hi-IN"/>
        </w:rPr>
        <w:t>non-beneficiary farmers</w:t>
      </w:r>
      <w:r>
        <w:rPr>
          <w:rFonts w:ascii="Arial" w:cs="Arial" w:hAnsi="Arial"/>
          <w:color w:val="000000"/>
          <w:highlight w:val="yellow"/>
          <w:lang w:bidi="hi-IN"/>
        </w:rPr>
        <w:t>, more than fifty per cent</w:t>
      </w:r>
      <w:r>
        <w:rPr>
          <w:rFonts w:ascii="Arial" w:cs="Arial" w:hAnsi="Arial"/>
          <w:color w:val="000000"/>
          <w:lang w:bidi="hi-IN"/>
        </w:rPr>
        <w:t xml:space="preserve"> (52.00%) were medium adopters followed by low adopters (41.00%)</w:t>
      </w:r>
      <w:r>
        <w:rPr>
          <w:rFonts w:ascii="Arial" w:cs="Arial" w:hAnsi="Arial"/>
          <w:color w:val="000000"/>
          <w:highlight w:val="yellow"/>
          <w:lang w:bidi="hi-IN"/>
        </w:rPr>
        <w:t>.</w:t>
      </w:r>
      <w:r>
        <w:rPr>
          <w:rFonts w:ascii="Arial" w:cs="Arial" w:hAnsi="Arial"/>
          <w:color w:val="ff0000"/>
          <w:highlight w:val="none"/>
          <w:lang w:val="en-US" w:bidi="hi-IN"/>
        </w:rPr>
        <w:t xml:space="preserve"> w</w:t>
      </w:r>
      <w:r>
        <w:rPr>
          <w:rFonts w:ascii="Arial" w:cs="Arial" w:hAnsi="Arial"/>
          <w:color w:val="000000"/>
          <w:lang w:bidi="hi-IN"/>
        </w:rPr>
        <w:t xml:space="preserve">hile only 07.00 per cent of non-beneficiary farmers were </w:t>
      </w:r>
      <w:r>
        <w:rPr>
          <w:rFonts w:ascii="Arial" w:cs="Arial" w:hAnsi="Arial"/>
          <w:color w:val="000000"/>
          <w:highlight w:val="yellow"/>
          <w:lang w:bidi="hi-IN"/>
        </w:rPr>
        <w:t>under</w:t>
      </w:r>
      <w:r>
        <w:rPr>
          <w:rFonts w:ascii="Arial" w:cs="Arial" w:hAnsi="Arial"/>
          <w:color w:val="000000"/>
          <w:lang w:bidi="hi-IN"/>
        </w:rPr>
        <w:t xml:space="preserve"> </w:t>
      </w:r>
      <w:r>
        <w:rPr>
          <w:rFonts w:ascii="Arial" w:cs="Arial" w:hAnsi="Arial"/>
          <w:color w:val="000000"/>
          <w:highlight w:val="none"/>
          <w:lang w:bidi="hi-IN"/>
        </w:rPr>
        <w:t>high</w:t>
      </w:r>
      <w:r>
        <w:rPr>
          <w:rFonts w:ascii="Arial" w:cs="Arial" w:hAnsi="Arial"/>
          <w:color w:val="000000"/>
          <w:lang w:bidi="hi-IN"/>
        </w:rPr>
        <w:t xml:space="preserve"> adopters’ </w:t>
      </w:r>
      <w:r>
        <w:rPr>
          <w:rFonts w:ascii="Arial" w:cs="Arial" w:hAnsi="Arial"/>
          <w:color w:val="000000"/>
          <w:highlight w:val="yellow"/>
          <w:lang w:bidi="hi-IN"/>
        </w:rPr>
        <w:t>category</w:t>
      </w:r>
      <w:r>
        <w:rPr>
          <w:rFonts w:ascii="Arial" w:cs="Arial" w:hAnsi="Arial"/>
          <w:color w:val="000000"/>
          <w:lang w:bidi="hi-IN"/>
        </w:rPr>
        <w:t xml:space="preserve">. </w:t>
      </w:r>
      <w:r>
        <w:rPr>
          <w:rFonts w:ascii="Arial" w:cs="Arial" w:hAnsi="Arial"/>
          <w:color w:val="ff0000"/>
          <w:lang w:val="en-US" w:bidi="hi-IN"/>
        </w:rPr>
        <w:t>From table 1 it's clearly show that presentage of</w:t>
      </w:r>
      <w:r>
        <w:rPr>
          <w:rFonts w:ascii="Arial" w:cs="Arial" w:hAnsi="Arial"/>
          <w:color w:val="000000"/>
          <w:lang w:val="en-US" w:bidi="hi-IN"/>
        </w:rPr>
        <w:t xml:space="preserve"> </w:t>
      </w:r>
      <w:r>
        <w:rPr>
          <w:rFonts w:ascii="Arial" w:cs="Arial" w:hAnsi="Arial"/>
          <w:color w:val="000000"/>
          <w:highlight w:val="yellow"/>
          <w:lang w:bidi="hi-IN"/>
        </w:rPr>
        <w:t>If we look the data of</w:t>
      </w:r>
      <w:r>
        <w:rPr>
          <w:rFonts w:ascii="Arial" w:cs="Arial" w:hAnsi="Arial"/>
          <w:color w:val="000000"/>
          <w:lang w:bidi="hi-IN"/>
        </w:rPr>
        <w:t xml:space="preserve"> beneficiary and non-beneficiary farmers </w:t>
      </w:r>
      <w:r>
        <w:rPr>
          <w:rFonts w:ascii="Arial" w:cs="Arial" w:hAnsi="Arial"/>
          <w:color w:val="000000"/>
          <w:highlight w:val="yellow"/>
          <w:lang w:bidi="hi-IN"/>
        </w:rPr>
        <w:t>presented in the Table 1 depicts that</w:t>
      </w:r>
      <w:r>
        <w:rPr>
          <w:rFonts w:ascii="Arial" w:cs="Arial" w:hAnsi="Arial"/>
          <w:color w:val="000000"/>
          <w:lang w:bidi="hi-IN"/>
        </w:rPr>
        <w:t xml:space="preserve"> </w:t>
      </w:r>
      <w:r>
        <w:rPr>
          <w:rFonts w:ascii="Arial" w:cs="Arial" w:hAnsi="Arial"/>
          <w:color w:val="ff0000"/>
          <w:lang w:bidi="hi-IN"/>
        </w:rPr>
        <w:t xml:space="preserve">about </w:t>
      </w:r>
      <w:r>
        <w:rPr>
          <w:rFonts w:ascii="Arial" w:cs="Arial" w:hAnsi="Arial"/>
          <w:color w:val="ff0000"/>
          <w:lang w:val="en-US" w:bidi="hi-IN"/>
        </w:rPr>
        <w:t>more than half respondents</w:t>
      </w:r>
      <w:r>
        <w:rPr>
          <w:rFonts w:ascii="Arial" w:cs="Arial" w:hAnsi="Arial"/>
          <w:color w:val="000000"/>
          <w:lang w:val="en-US" w:bidi="hi-IN"/>
        </w:rPr>
        <w:t xml:space="preserve"> </w:t>
      </w:r>
      <w:r>
        <w:rPr>
          <w:rFonts w:ascii="Arial" w:cs="Arial" w:hAnsi="Arial"/>
          <w:color w:val="000000"/>
          <w:highlight w:val="yellow"/>
          <w:lang w:bidi="hi-IN"/>
        </w:rPr>
        <w:t>sixty per cent (59.50%) of the respondents</w:t>
      </w:r>
      <w:r>
        <w:rPr>
          <w:rFonts w:ascii="Arial" w:cs="Arial" w:hAnsi="Arial"/>
          <w:color w:val="000000"/>
          <w:lang w:bidi="hi-IN"/>
        </w:rPr>
        <w:t xml:space="preserve"> </w:t>
      </w:r>
      <w:r>
        <w:rPr>
          <w:rFonts w:ascii="Arial" w:cs="Arial" w:hAnsi="Arial"/>
          <w:color w:val="000000"/>
          <w:lang w:val="en-US" w:bidi="hi-IN"/>
        </w:rPr>
        <w:t xml:space="preserve">(59.00%) </w:t>
      </w:r>
      <w:r>
        <w:rPr>
          <w:rFonts w:ascii="Arial" w:cs="Arial" w:hAnsi="Arial"/>
          <w:color w:val="000000"/>
          <w:lang w:bidi="hi-IN"/>
        </w:rPr>
        <w:t xml:space="preserve">were medium adopters of CFLD followed by low (25.50%) and high (15.00%) adopters. It is evident </w:t>
      </w:r>
      <w:r>
        <w:rPr>
          <w:rFonts w:ascii="Arial" w:cs="Arial" w:hAnsi="Arial"/>
          <w:color w:val="000000"/>
          <w:highlight w:val="yellow"/>
          <w:lang w:bidi="hi-IN"/>
        </w:rPr>
        <w:t>from the table.1</w:t>
      </w:r>
      <w:r>
        <w:rPr>
          <w:rFonts w:ascii="Arial" w:cs="Arial" w:hAnsi="Arial"/>
          <w:color w:val="000000"/>
          <w:lang w:bidi="hi-IN"/>
        </w:rPr>
        <w:t xml:space="preserve"> that </w:t>
      </w:r>
      <w:r>
        <w:rPr>
          <w:rFonts w:ascii="Arial" w:cs="Arial" w:hAnsi="Arial"/>
          <w:color w:val="000000"/>
          <w:lang w:val="en-US" w:bidi="hi-IN"/>
        </w:rPr>
        <w:t>90.00</w:t>
      </w:r>
      <w:r>
        <w:rPr>
          <w:rFonts w:ascii="Arial" w:cs="Arial" w:hAnsi="Arial"/>
          <w:color w:val="ff0000"/>
          <w:lang w:val="en-US" w:bidi="hi-IN"/>
        </w:rPr>
        <w:t>%</w:t>
      </w:r>
      <w:r>
        <w:rPr>
          <w:rFonts w:ascii="Arial" w:cs="Arial" w:hAnsi="Arial"/>
          <w:color w:val="000000"/>
          <w:lang w:bidi="hi-IN"/>
        </w:rPr>
        <w:t xml:space="preserve"> </w:t>
      </w:r>
      <w:r>
        <w:rPr>
          <w:rFonts w:ascii="Arial" w:cs="Arial" w:hAnsi="Arial"/>
          <w:color w:val="000000"/>
          <w:highlight w:val="yellow"/>
          <w:lang w:bidi="hi-IN"/>
        </w:rPr>
        <w:t>per cent</w:t>
      </w:r>
      <w:r>
        <w:rPr>
          <w:rFonts w:ascii="Arial" w:cs="Arial" w:hAnsi="Arial"/>
          <w:color w:val="000000"/>
          <w:lang w:bidi="hi-IN"/>
        </w:rPr>
        <w:t xml:space="preserve"> of beneficiary farmers and only </w:t>
      </w:r>
      <w:r>
        <w:rPr>
          <w:rFonts w:ascii="Arial" w:cs="Arial" w:hAnsi="Arial"/>
          <w:color w:val="000000"/>
          <w:lang w:val="en-US" w:bidi="hi-IN"/>
        </w:rPr>
        <w:t>59.00</w:t>
      </w:r>
      <w:r>
        <w:rPr>
          <w:rFonts w:ascii="Arial" w:cs="Arial" w:hAnsi="Arial"/>
          <w:color w:val="ff0000"/>
          <w:lang w:val="en-US" w:bidi="hi-IN"/>
        </w:rPr>
        <w:t>%</w:t>
      </w:r>
      <w:r>
        <w:rPr>
          <w:rFonts w:ascii="Arial" w:cs="Arial" w:hAnsi="Arial"/>
          <w:color w:val="000000"/>
          <w:lang w:bidi="hi-IN"/>
        </w:rPr>
        <w:t xml:space="preserve"> </w:t>
      </w:r>
      <w:r>
        <w:rPr>
          <w:rFonts w:ascii="Arial" w:cs="Arial" w:hAnsi="Arial"/>
          <w:color w:val="ff0000"/>
          <w:lang w:val="en-US" w:bidi="hi-IN"/>
        </w:rPr>
        <w:t>of</w:t>
      </w:r>
      <w:r>
        <w:rPr>
          <w:rFonts w:ascii="Arial" w:cs="Arial" w:hAnsi="Arial"/>
          <w:color w:val="000000"/>
          <w:lang w:val="en-US" w:bidi="hi-IN"/>
        </w:rPr>
        <w:t xml:space="preserve"> </w:t>
      </w:r>
      <w:r>
        <w:rPr>
          <w:rFonts w:ascii="Arial" w:cs="Arial" w:hAnsi="Arial"/>
          <w:color w:val="000000"/>
          <w:highlight w:val="yellow"/>
          <w:lang w:bidi="hi-IN"/>
        </w:rPr>
        <w:t>per cent</w:t>
      </w:r>
      <w:r>
        <w:rPr>
          <w:rFonts w:ascii="Arial" w:cs="Arial" w:hAnsi="Arial"/>
          <w:color w:val="000000"/>
          <w:lang w:bidi="hi-IN"/>
        </w:rPr>
        <w:t xml:space="preserve"> non-beneficiary farmers had medium to high level of adoption whereas, </w:t>
      </w:r>
      <w:r>
        <w:rPr>
          <w:rFonts w:ascii="Arial" w:cs="Arial" w:hAnsi="Arial"/>
          <w:color w:val="000000"/>
          <w:lang w:val="en-US" w:bidi="hi-IN"/>
        </w:rPr>
        <w:t>41.00</w:t>
      </w:r>
      <w:r>
        <w:rPr>
          <w:rFonts w:ascii="Arial" w:cs="Arial" w:hAnsi="Arial"/>
          <w:color w:val="ff0000"/>
          <w:lang w:val="en-US" w:bidi="hi-IN"/>
        </w:rPr>
        <w:t>% of</w:t>
      </w:r>
      <w:r>
        <w:rPr>
          <w:rFonts w:ascii="Arial" w:cs="Arial" w:hAnsi="Arial"/>
          <w:color w:val="000000"/>
          <w:lang w:bidi="hi-IN"/>
        </w:rPr>
        <w:t xml:space="preserve"> </w:t>
      </w:r>
      <w:r>
        <w:rPr>
          <w:rFonts w:ascii="Arial" w:cs="Arial" w:hAnsi="Arial"/>
          <w:color w:val="000000"/>
          <w:highlight w:val="yellow"/>
          <w:lang w:bidi="hi-IN"/>
        </w:rPr>
        <w:t>per cent</w:t>
      </w:r>
      <w:r>
        <w:rPr>
          <w:rFonts w:ascii="Arial" w:cs="Arial" w:hAnsi="Arial"/>
          <w:color w:val="000000"/>
          <w:lang w:bidi="hi-IN"/>
        </w:rPr>
        <w:t xml:space="preserve"> non-beneficiary and only </w:t>
      </w:r>
      <w:r>
        <w:rPr>
          <w:rFonts w:ascii="Arial" w:cs="Arial" w:hAnsi="Arial"/>
          <w:color w:val="000000"/>
          <w:lang w:val="en-US" w:bidi="hi-IN"/>
        </w:rPr>
        <w:t>10.00</w:t>
      </w:r>
      <w:r>
        <w:rPr>
          <w:rFonts w:ascii="Arial" w:cs="Arial" w:hAnsi="Arial"/>
          <w:color w:val="ff0000"/>
          <w:lang w:val="en-US" w:bidi="hi-IN"/>
        </w:rPr>
        <w:t>% of</w:t>
      </w:r>
      <w:r>
        <w:rPr>
          <w:rFonts w:ascii="Arial" w:cs="Arial" w:hAnsi="Arial"/>
          <w:color w:val="000000"/>
          <w:lang w:bidi="hi-IN"/>
        </w:rPr>
        <w:t xml:space="preserve"> </w:t>
      </w:r>
      <w:r>
        <w:rPr>
          <w:rFonts w:ascii="Arial" w:cs="Arial" w:hAnsi="Arial"/>
          <w:color w:val="000000"/>
          <w:highlight w:val="yellow"/>
          <w:lang w:bidi="hi-IN"/>
        </w:rPr>
        <w:t xml:space="preserve">per cent </w:t>
      </w:r>
      <w:r>
        <w:rPr>
          <w:rFonts w:ascii="Arial" w:cs="Arial" w:hAnsi="Arial"/>
          <w:color w:val="000000"/>
          <w:lang w:bidi="hi-IN"/>
        </w:rPr>
        <w:t xml:space="preserve">beneficiary farmers had low level of adoption. It might be due to participation in training </w:t>
      </w:r>
      <w:r>
        <w:rPr>
          <w:rFonts w:ascii="Arial" w:cs="Arial" w:hAnsi="Arial"/>
          <w:color w:val="000000"/>
          <w:lang w:bidi="hi-IN"/>
        </w:rPr>
        <w:t>programme</w:t>
      </w:r>
      <w:r>
        <w:rPr>
          <w:rFonts w:ascii="Arial" w:cs="Arial" w:hAnsi="Arial"/>
          <w:color w:val="000000"/>
          <w:lang w:bidi="hi-IN"/>
        </w:rPr>
        <w:t xml:space="preserve"> of CFLD, more exposure to mass media and more contacts with extension agency and experts lead to high knowledge and adoption. The findings are in conformity with the findings of </w:t>
      </w:r>
      <w:r>
        <w:rPr>
          <w:rFonts w:ascii="Arial" w:cs="Arial" w:hAnsi="Arial"/>
        </w:rPr>
        <w:t xml:space="preserve">Rajbhar </w:t>
      </w:r>
      <w:r>
        <w:rPr>
          <w:rFonts w:ascii="Arial" w:cs="Arial" w:hAnsi="Arial"/>
          <w:i/>
          <w:iCs/>
        </w:rPr>
        <w:t>et al.</w:t>
      </w:r>
      <w:r>
        <w:rPr>
          <w:rFonts w:ascii="Arial" w:cs="Arial" w:hAnsi="Arial"/>
        </w:rPr>
        <w:t xml:space="preserve"> (2020)</w:t>
      </w:r>
      <w:r>
        <w:rPr>
          <w:rFonts w:ascii="Arial" w:cs="Arial" w:hAnsi="Arial"/>
          <w:color w:val="000000"/>
          <w:lang w:bidi="hi-IN"/>
        </w:rPr>
        <w:t xml:space="preserve"> </w:t>
      </w:r>
      <w:r>
        <w:rPr>
          <w:rFonts w:ascii="Arial" w:cs="Arial" w:hAnsi="Arial"/>
        </w:rPr>
        <w:t>reported that the majority (72.69%) of respondents had a medium adoption rate, followed by 16.20 percent who had a low adoption level and 11.11 percent, who had high technology adoption level of chickpea cultivars</w:t>
      </w:r>
      <w:r>
        <w:rPr>
          <w:rFonts w:ascii="Arial" w:cs="Arial" w:hAnsi="Arial"/>
          <w:color w:val="000000"/>
          <w:lang w:bidi="hi-IN"/>
        </w:rPr>
        <w:t xml:space="preserve">. The findings are also supported by </w:t>
      </w:r>
      <w:r>
        <w:rPr>
          <w:rFonts w:ascii="Arial" w:cs="Arial" w:hAnsi="Arial"/>
          <w:color w:val="000000"/>
          <w:lang w:bidi="hi-IN"/>
        </w:rPr>
        <w:t xml:space="preserve">Vandana </w:t>
      </w:r>
      <w:r>
        <w:rPr>
          <w:rFonts w:ascii="Arial" w:cs="Arial" w:hAnsi="Arial"/>
          <w:i/>
          <w:color w:val="000000"/>
          <w:lang w:bidi="hi-IN"/>
        </w:rPr>
        <w:t>et al.</w:t>
      </w:r>
      <w:r>
        <w:rPr>
          <w:rFonts w:ascii="Arial" w:cs="Arial" w:hAnsi="Arial"/>
          <w:color w:val="000000"/>
          <w:lang w:bidi="hi-IN"/>
        </w:rPr>
        <w:t xml:space="preserve"> (2025) and </w:t>
      </w:r>
      <w:r>
        <w:rPr>
          <w:rFonts w:ascii="Arial" w:cs="Arial" w:hAnsi="Arial"/>
          <w:color w:val="000000"/>
          <w:lang w:bidi="hi-IN"/>
        </w:rPr>
        <w:t>Bagenia</w:t>
      </w:r>
      <w:r>
        <w:rPr>
          <w:rFonts w:ascii="Arial" w:cs="Arial" w:hAnsi="Arial"/>
          <w:color w:val="000000"/>
          <w:lang w:bidi="hi-IN"/>
        </w:rPr>
        <w:t xml:space="preserve"> and </w:t>
      </w:r>
      <w:r>
        <w:rPr>
          <w:rFonts w:ascii="Arial" w:cs="Arial" w:hAnsi="Arial"/>
          <w:color w:val="000000"/>
          <w:lang w:bidi="hi-IN"/>
        </w:rPr>
        <w:t>Lakhera</w:t>
      </w:r>
      <w:r>
        <w:rPr>
          <w:rFonts w:ascii="Arial" w:cs="Arial" w:hAnsi="Arial"/>
          <w:color w:val="000000"/>
          <w:lang w:bidi="hi-IN"/>
        </w:rPr>
        <w:t xml:space="preserve"> (2017) who concluded that majority of mustard growers found under medium adoption category.</w:t>
      </w:r>
    </w:p>
    <w:p>
      <w:pPr>
        <w:pStyle w:val="style0"/>
        <w:ind w:firstLine="720"/>
        <w:jc w:val="both"/>
        <w:rPr>
          <w:rFonts w:ascii="Arial" w:cs="Arial" w:hAnsi="Arial"/>
          <w:color w:val="000000"/>
          <w:lang w:bidi="hi-IN"/>
        </w:rPr>
      </w:pPr>
    </w:p>
    <w:p>
      <w:pPr>
        <w:pStyle w:val="style0"/>
        <w:jc w:val="both"/>
        <w:rPr>
          <w:rFonts w:ascii="Arial" w:cs="Arial" w:hAnsi="Arial"/>
          <w:b/>
          <w:bCs/>
        </w:rPr>
      </w:pPr>
      <w:r>
        <w:rPr>
          <w:rFonts w:ascii="Arial" w:cs="Arial" w:hAnsi="Arial"/>
          <w:b/>
          <w:bCs/>
        </w:rPr>
        <w:t>Table 1: Distribution of farmers (Beneficiaries and Non-Beneficiaries) according to Extent of Adoption about CFLD</w:t>
      </w:r>
    </w:p>
    <w:p>
      <w:pPr>
        <w:pStyle w:val="style0"/>
        <w:jc w:val="both"/>
        <w:rPr>
          <w:rFonts w:ascii="Arial" w:cs="Arial" w:hAnsi="Arial"/>
          <w:b/>
          <w:bCs/>
        </w:rPr>
      </w:pPr>
      <w:r>
        <w:rPr>
          <w:rFonts w:ascii="Arial" w:cs="Arial" w:eastAsia="Times New Roman" w:hAnsi="Arial" w:hint="default"/>
          <w:b w:val="false"/>
          <w:bCs w:val="false"/>
          <w:i w:val="false"/>
          <w:iCs w:val="false"/>
          <w:color w:val="ff0000"/>
          <w:sz w:val="20"/>
          <w:szCs w:val="20"/>
          <w:highlight w:val="none"/>
          <w:vertAlign w:val="baseline"/>
          <w:em w:val="none"/>
          <w:lang w:val="en-US" w:bidi="hi-IN" w:eastAsia="en-US"/>
        </w:rPr>
        <w:t>n=</w:t>
      </w:r>
      <w:r>
        <w:rPr>
          <w:rFonts w:ascii="Arial" w:cs="Arial" w:eastAsia="Times New Roman" w:hAnsi="Arial" w:hint="default"/>
          <w:b w:val="false"/>
          <w:bCs w:val="false"/>
          <w:i w:val="false"/>
          <w:iCs w:val="false"/>
          <w:color w:val="ff0000"/>
          <w:sz w:val="20"/>
          <w:szCs w:val="20"/>
          <w:highlight w:val="none"/>
          <w:vertAlign w:val="baseline"/>
          <w:em w:val="none"/>
          <w:lang w:val="en-US" w:bidi="hi-IN" w:eastAsia="en-US"/>
        </w:rPr>
        <w:t xml:space="preserve"> </w:t>
      </w:r>
      <w:r>
        <w:rPr>
          <w:rFonts w:ascii="Arial" w:cs="Arial" w:eastAsia="Times New Roman" w:hAnsi="Arial" w:hint="default"/>
          <w:b w:val="false"/>
          <w:bCs w:val="false"/>
          <w:i w:val="false"/>
          <w:iCs w:val="false"/>
          <w:color w:val="ff0000"/>
          <w:sz w:val="20"/>
          <w:szCs w:val="20"/>
          <w:highlight w:val="none"/>
          <w:vertAlign w:val="baseline"/>
          <w:em w:val="none"/>
          <w:lang w:val="en-US" w:bidi="hi-IN" w:eastAsia="en-US"/>
        </w:rPr>
        <w:t>200</w:t>
      </w:r>
    </w:p>
    <w:tbl>
      <w:tblPr>
        <w:tblW w:w="8055" w:type="dxa"/>
        <w:tblInd w:w="81" w:type="dxa"/>
        <w:tblLook w:val="04A0" w:firstRow="1" w:lastRow="0" w:firstColumn="1" w:lastColumn="0" w:noHBand="0" w:noVBand="1"/>
      </w:tblPr>
      <w:tblGrid>
        <w:gridCol w:w="603"/>
        <w:gridCol w:w="1531"/>
        <w:gridCol w:w="1046"/>
        <w:gridCol w:w="1219"/>
        <w:gridCol w:w="924"/>
        <w:gridCol w:w="1044"/>
        <w:gridCol w:w="738"/>
        <w:gridCol w:w="950"/>
      </w:tblGrid>
      <w:tr>
        <w:trPr>
          <w:trHeight w:val="300" w:hRule="atLeast"/>
        </w:trPr>
        <w:tc>
          <w:tcPr>
            <w:tcW w:w="603" w:type="dxa"/>
            <w:vMerge w:val="restart"/>
            <w:tcBorders>
              <w:top w:val="single" w:sz="4" w:space="0" w:color="auto"/>
              <w:left w:val="single" w:sz="4" w:space="0" w:color="auto"/>
              <w:right w:val="single" w:sz="4" w:space="0" w:color="auto"/>
            </w:tcBorders>
            <w:shd w:val="clear" w:color="auto" w:fill="auto"/>
            <w:noWrap/>
            <w:vAlign w:val="center"/>
            <w:hideMark/>
          </w:tcPr>
          <w:p>
            <w:pPr>
              <w:pStyle w:val="style0"/>
              <w:jc w:val="center"/>
              <w:rPr>
                <w:rFonts w:ascii="Arial" w:cs="Arial" w:hAnsi="Arial"/>
                <w:b/>
                <w:bCs/>
                <w:color w:val="000000"/>
                <w:lang w:bidi="hi-IN"/>
              </w:rPr>
            </w:pPr>
            <w:r>
              <w:rPr>
                <w:rFonts w:ascii="Arial" w:cs="Arial" w:hAnsi="Arial"/>
                <w:b/>
                <w:bCs/>
                <w:color w:val="000000"/>
                <w:lang w:bidi="hi-IN"/>
              </w:rPr>
              <w:t>S. No.</w:t>
            </w:r>
          </w:p>
        </w:tc>
        <w:tc>
          <w:tcPr>
            <w:tcW w:w="1531" w:type="dxa"/>
            <w:vMerge w:val="restart"/>
            <w:tcBorders>
              <w:top w:val="single" w:sz="4" w:space="0" w:color="auto"/>
              <w:left w:val="nil"/>
              <w:right w:val="single" w:sz="4" w:space="0" w:color="auto"/>
            </w:tcBorders>
            <w:shd w:val="clear" w:color="auto" w:fill="auto"/>
            <w:noWrap/>
            <w:vAlign w:val="center"/>
            <w:hideMark/>
          </w:tcPr>
          <w:p>
            <w:pPr>
              <w:pStyle w:val="style0"/>
              <w:jc w:val="center"/>
              <w:rPr>
                <w:rFonts w:ascii="Arial" w:cs="Arial" w:hAnsi="Arial"/>
                <w:b/>
                <w:bCs/>
                <w:color w:val="000000"/>
                <w:lang w:bidi="hi-IN"/>
              </w:rPr>
            </w:pPr>
            <w:r>
              <w:rPr>
                <w:rFonts w:ascii="Arial" w:cs="Arial" w:hAnsi="Arial"/>
                <w:b/>
                <w:bCs/>
                <w:color w:val="000000"/>
                <w:lang w:bidi="hi-IN"/>
              </w:rPr>
              <w:t>Categories</w:t>
            </w:r>
          </w:p>
        </w:tc>
        <w:tc>
          <w:tcPr>
            <w:tcW w:w="2265" w:type="dxa"/>
            <w:gridSpan w:val="2"/>
            <w:tcBorders>
              <w:top w:val="single" w:sz="4" w:space="0" w:color="auto"/>
              <w:left w:val="nil"/>
              <w:bottom w:val="single" w:sz="4" w:space="0" w:color="auto"/>
              <w:right w:val="single" w:sz="4" w:space="0" w:color="auto"/>
            </w:tcBorders>
            <w:shd w:val="clear" w:color="auto" w:fill="auto"/>
            <w:noWrap/>
            <w:vAlign w:val="center"/>
            <w:hideMark/>
          </w:tcPr>
          <w:p>
            <w:pPr>
              <w:pStyle w:val="style0"/>
              <w:jc w:val="center"/>
              <w:rPr>
                <w:rFonts w:ascii="Arial" w:cs="Arial" w:hAnsi="Arial"/>
                <w:b/>
                <w:bCs/>
                <w:color w:val="000000"/>
                <w:lang w:bidi="hi-IN"/>
              </w:rPr>
            </w:pPr>
            <w:r>
              <w:rPr>
                <w:rFonts w:ascii="Arial" w:cs="Arial" w:hAnsi="Arial"/>
                <w:b/>
                <w:bCs/>
                <w:color w:val="000000"/>
                <w:lang w:bidi="hi-IN"/>
              </w:rPr>
              <w:t>Beneficiaries</w:t>
            </w:r>
          </w:p>
          <w:p>
            <w:pPr>
              <w:pStyle w:val="style0"/>
              <w:jc w:val="center"/>
              <w:rPr>
                <w:rFonts w:ascii="Arial" w:cs="Arial" w:hAnsi="Arial"/>
                <w:b/>
                <w:bCs/>
                <w:color w:val="000000"/>
                <w:lang w:bidi="hi-IN"/>
              </w:rPr>
            </w:pPr>
            <w:r>
              <w:rPr>
                <w:rFonts w:ascii="Arial" w:cs="Arial" w:hAnsi="Arial"/>
                <w:b/>
                <w:bCs/>
                <w:color w:val="000000"/>
                <w:lang w:bidi="hi-IN"/>
              </w:rPr>
              <w:t>(n=100)</w:t>
            </w:r>
          </w:p>
        </w:tc>
        <w:tc>
          <w:tcPr>
            <w:tcW w:w="1968" w:type="dxa"/>
            <w:gridSpan w:val="2"/>
            <w:tcBorders>
              <w:top w:val="single" w:sz="4" w:space="0" w:color="auto"/>
              <w:left w:val="nil"/>
              <w:bottom w:val="single" w:sz="4" w:space="0" w:color="auto"/>
              <w:right w:val="single" w:sz="4" w:space="0" w:color="auto"/>
            </w:tcBorders>
            <w:shd w:val="clear" w:color="auto" w:fill="auto"/>
            <w:noWrap/>
            <w:vAlign w:val="center"/>
            <w:hideMark/>
          </w:tcPr>
          <w:p>
            <w:pPr>
              <w:pStyle w:val="style0"/>
              <w:jc w:val="center"/>
              <w:rPr>
                <w:rFonts w:ascii="Arial" w:cs="Arial" w:hAnsi="Arial"/>
                <w:b/>
                <w:bCs/>
                <w:color w:val="000000"/>
                <w:lang w:bidi="hi-IN"/>
              </w:rPr>
            </w:pPr>
            <w:r>
              <w:rPr>
                <w:rFonts w:ascii="Arial" w:cs="Arial" w:hAnsi="Arial"/>
                <w:b/>
                <w:bCs/>
                <w:color w:val="000000"/>
                <w:lang w:bidi="hi-IN"/>
              </w:rPr>
              <w:t>Non-Beneficiaries</w:t>
            </w:r>
          </w:p>
          <w:p>
            <w:pPr>
              <w:pStyle w:val="style0"/>
              <w:jc w:val="center"/>
              <w:rPr>
                <w:rFonts w:ascii="Arial" w:cs="Arial" w:hAnsi="Arial"/>
                <w:b/>
                <w:bCs/>
                <w:color w:val="000000"/>
                <w:lang w:bidi="hi-IN"/>
              </w:rPr>
            </w:pPr>
            <w:r>
              <w:rPr>
                <w:rFonts w:ascii="Arial" w:cs="Arial" w:hAnsi="Arial"/>
                <w:b/>
                <w:bCs/>
                <w:color w:val="000000"/>
                <w:lang w:bidi="hi-IN"/>
              </w:rPr>
              <w:t>(n=100)</w:t>
            </w:r>
          </w:p>
        </w:tc>
        <w:tc>
          <w:tcPr>
            <w:tcW w:w="1688" w:type="dxa"/>
            <w:gridSpan w:val="2"/>
            <w:tcBorders>
              <w:top w:val="single" w:sz="4" w:space="0" w:color="auto"/>
              <w:left w:val="nil"/>
              <w:bottom w:val="single" w:sz="4" w:space="0" w:color="auto"/>
              <w:right w:val="single" w:sz="4" w:space="0" w:color="auto"/>
            </w:tcBorders>
            <w:shd w:val="clear" w:color="auto" w:fill="auto"/>
            <w:noWrap/>
            <w:vAlign w:val="center"/>
            <w:hideMark/>
          </w:tcPr>
          <w:p>
            <w:pPr>
              <w:pStyle w:val="style0"/>
              <w:jc w:val="center"/>
              <w:rPr>
                <w:rFonts w:ascii="Arial" w:cs="Arial" w:hAnsi="Arial"/>
                <w:b/>
                <w:bCs/>
                <w:color w:val="000000"/>
                <w:lang w:bidi="hi-IN"/>
              </w:rPr>
            </w:pPr>
            <w:r>
              <w:rPr>
                <w:rFonts w:ascii="Arial" w:cs="Arial" w:hAnsi="Arial"/>
                <w:b/>
                <w:bCs/>
                <w:color w:val="000000"/>
                <w:lang w:bidi="hi-IN"/>
              </w:rPr>
              <w:t>Overall</w:t>
            </w:r>
          </w:p>
          <w:p>
            <w:pPr>
              <w:pStyle w:val="style0"/>
              <w:jc w:val="center"/>
              <w:rPr>
                <w:rFonts w:ascii="Arial" w:cs="Arial" w:hAnsi="Arial"/>
                <w:b/>
                <w:bCs/>
                <w:color w:val="000000"/>
                <w:lang w:bidi="hi-IN"/>
              </w:rPr>
            </w:pPr>
            <w:r>
              <w:rPr>
                <w:rFonts w:ascii="Arial" w:cs="Arial" w:hAnsi="Arial"/>
                <w:b/>
                <w:bCs/>
                <w:color w:val="000000"/>
                <w:lang w:bidi="hi-IN"/>
              </w:rPr>
              <w:t>(n=200)</w:t>
            </w:r>
          </w:p>
        </w:tc>
      </w:tr>
      <w:tr>
        <w:tblPrEx/>
        <w:trPr>
          <w:trHeight w:val="300" w:hRule="atLeast"/>
        </w:trPr>
        <w:tc>
          <w:tcPr>
            <w:tcW w:w="603" w:type="dxa"/>
            <w:vMerge w:val="continue"/>
            <w:tcBorders>
              <w:left w:val="single" w:sz="4" w:space="0" w:color="auto"/>
              <w:bottom w:val="single" w:sz="4" w:space="0" w:color="auto"/>
              <w:right w:val="single" w:sz="4" w:space="0" w:color="auto"/>
            </w:tcBorders>
            <w:shd w:val="clear" w:color="auto" w:fill="auto"/>
            <w:noWrap/>
            <w:vAlign w:val="center"/>
          </w:tcPr>
          <w:p>
            <w:pPr>
              <w:pStyle w:val="style0"/>
              <w:jc w:val="center"/>
              <w:rPr>
                <w:rFonts w:ascii="Arial" w:cs="Arial" w:hAnsi="Arial"/>
                <w:b/>
                <w:bCs/>
                <w:color w:val="000000"/>
                <w:lang w:bidi="hi-IN"/>
              </w:rPr>
            </w:pPr>
          </w:p>
        </w:tc>
        <w:tc>
          <w:tcPr>
            <w:tcW w:w="1531" w:type="dxa"/>
            <w:vMerge w:val="continue"/>
            <w:tcBorders>
              <w:left w:val="nil"/>
              <w:bottom w:val="single" w:sz="4" w:space="0" w:color="auto"/>
              <w:right w:val="single" w:sz="4" w:space="0" w:color="auto"/>
            </w:tcBorders>
            <w:shd w:val="clear" w:color="auto" w:fill="auto"/>
            <w:noWrap/>
            <w:vAlign w:val="center"/>
          </w:tcPr>
          <w:p>
            <w:pPr>
              <w:pStyle w:val="style0"/>
              <w:rPr>
                <w:rFonts w:ascii="Arial" w:cs="Arial" w:hAnsi="Arial"/>
                <w:b/>
                <w:bCs/>
                <w:color w:val="000000"/>
                <w:lang w:bidi="hi-IN"/>
              </w:rPr>
            </w:pPr>
          </w:p>
        </w:tc>
        <w:tc>
          <w:tcPr>
            <w:tcW w:w="1046"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Arial" w:cs="Arial" w:hAnsi="Arial"/>
                <w:b/>
                <w:bCs/>
                <w:color w:val="000000"/>
                <w:lang w:bidi="hi-IN"/>
              </w:rPr>
            </w:pPr>
            <w:r>
              <w:rPr>
                <w:rFonts w:ascii="Arial" w:cs="Arial" w:hAnsi="Arial"/>
                <w:b/>
                <w:bCs/>
                <w:color w:val="000000"/>
                <w:lang w:bidi="hi-IN"/>
              </w:rPr>
              <w:t>F</w:t>
            </w:r>
          </w:p>
        </w:tc>
        <w:tc>
          <w:tcPr>
            <w:tcW w:w="1219"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Arial" w:cs="Arial" w:hAnsi="Arial"/>
                <w:b/>
                <w:bCs/>
                <w:color w:val="000000"/>
                <w:lang w:bidi="hi-IN"/>
              </w:rPr>
            </w:pPr>
            <w:r>
              <w:rPr>
                <w:rFonts w:ascii="Arial" w:cs="Arial" w:hAnsi="Arial"/>
                <w:b/>
                <w:bCs/>
                <w:color w:val="000000"/>
                <w:lang w:bidi="hi-IN"/>
              </w:rPr>
              <w:t>%</w:t>
            </w:r>
          </w:p>
        </w:tc>
        <w:tc>
          <w:tcPr>
            <w:tcW w:w="924"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Arial" w:cs="Arial" w:hAnsi="Arial"/>
                <w:b/>
                <w:bCs/>
                <w:color w:val="000000"/>
                <w:lang w:bidi="hi-IN"/>
              </w:rPr>
            </w:pPr>
            <w:r>
              <w:rPr>
                <w:rFonts w:ascii="Arial" w:cs="Arial" w:hAnsi="Arial"/>
                <w:b/>
                <w:bCs/>
                <w:color w:val="000000"/>
                <w:lang w:bidi="hi-IN"/>
              </w:rPr>
              <w:t>F</w:t>
            </w:r>
          </w:p>
        </w:tc>
        <w:tc>
          <w:tcPr>
            <w:tcW w:w="1044"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Arial" w:cs="Arial" w:hAnsi="Arial"/>
                <w:b/>
                <w:bCs/>
                <w:color w:val="000000"/>
                <w:lang w:bidi="hi-IN"/>
              </w:rPr>
            </w:pPr>
            <w:r>
              <w:rPr>
                <w:rFonts w:ascii="Arial" w:cs="Arial" w:hAnsi="Arial"/>
                <w:b/>
                <w:bCs/>
                <w:color w:val="000000"/>
                <w:lang w:bidi="hi-IN"/>
              </w:rPr>
              <w:t>%</w:t>
            </w:r>
          </w:p>
        </w:tc>
        <w:tc>
          <w:tcPr>
            <w:tcW w:w="738"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Arial" w:cs="Arial" w:hAnsi="Arial"/>
                <w:b/>
                <w:bCs/>
                <w:color w:val="000000"/>
                <w:lang w:bidi="hi-IN"/>
              </w:rPr>
            </w:pPr>
            <w:r>
              <w:rPr>
                <w:rFonts w:ascii="Arial" w:cs="Arial" w:hAnsi="Arial"/>
                <w:b/>
                <w:bCs/>
                <w:color w:val="000000"/>
                <w:lang w:bidi="hi-IN"/>
              </w:rPr>
              <w:t>F</w:t>
            </w:r>
          </w:p>
        </w:tc>
        <w:tc>
          <w:tcPr>
            <w:tcW w:w="950" w:type="dxa"/>
            <w:tcBorders>
              <w:top w:val="nil"/>
              <w:left w:val="nil"/>
              <w:bottom w:val="single" w:sz="4" w:space="0" w:color="auto"/>
              <w:right w:val="single" w:sz="4" w:space="0" w:color="auto"/>
            </w:tcBorders>
            <w:shd w:val="clear" w:color="auto" w:fill="auto"/>
            <w:noWrap/>
            <w:vAlign w:val="center"/>
            <w:hideMark/>
          </w:tcPr>
          <w:p>
            <w:pPr>
              <w:pStyle w:val="style0"/>
              <w:jc w:val="center"/>
              <w:rPr>
                <w:rFonts w:ascii="Arial" w:cs="Arial" w:hAnsi="Arial"/>
                <w:b/>
                <w:bCs/>
                <w:color w:val="000000"/>
                <w:lang w:bidi="hi-IN"/>
              </w:rPr>
            </w:pPr>
            <w:r>
              <w:rPr>
                <w:rFonts w:ascii="Arial" w:cs="Arial" w:hAnsi="Arial"/>
                <w:b/>
                <w:bCs/>
                <w:color w:val="000000"/>
                <w:lang w:bidi="hi-IN"/>
              </w:rPr>
              <w:t>%</w:t>
            </w:r>
          </w:p>
        </w:tc>
      </w:tr>
      <w:tr>
        <w:tblPrEx/>
        <w:trPr>
          <w:trHeight w:val="300" w:hRule="atLeast"/>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pPr>
              <w:pStyle w:val="style0"/>
              <w:jc w:val="center"/>
              <w:rPr>
                <w:rFonts w:ascii="Arial" w:cs="Arial" w:hAnsi="Arial"/>
                <w:color w:val="000000"/>
                <w:lang w:bidi="hi-IN"/>
              </w:rPr>
            </w:pPr>
            <w:r>
              <w:rPr>
                <w:rFonts w:ascii="Arial" w:cs="Arial" w:hAnsi="Arial"/>
                <w:color w:val="000000"/>
                <w:lang w:bidi="hi-IN"/>
              </w:rPr>
              <w:t>1</w:t>
            </w:r>
          </w:p>
        </w:tc>
        <w:tc>
          <w:tcPr>
            <w:tcW w:w="1531" w:type="dxa"/>
            <w:tcBorders>
              <w:top w:val="nil"/>
              <w:left w:val="nil"/>
              <w:bottom w:val="single" w:sz="4" w:space="0" w:color="auto"/>
              <w:right w:val="single" w:sz="4" w:space="0" w:color="auto"/>
            </w:tcBorders>
            <w:shd w:val="clear" w:color="auto" w:fill="auto"/>
            <w:noWrap/>
            <w:vAlign w:val="center"/>
          </w:tcPr>
          <w:p>
            <w:pPr>
              <w:pStyle w:val="style0"/>
              <w:rPr>
                <w:rFonts w:ascii="Arial" w:cs="Arial" w:hAnsi="Arial"/>
                <w:color w:val="000000"/>
              </w:rPr>
            </w:pPr>
            <w:r>
              <w:rPr>
                <w:rFonts w:ascii="Arial" w:cs="Arial" w:hAnsi="Arial"/>
                <w:color w:val="000000"/>
              </w:rPr>
              <w:t>Low ( &lt;13.05 score)</w:t>
            </w:r>
          </w:p>
        </w:tc>
        <w:tc>
          <w:tcPr>
            <w:tcW w:w="1046"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10</w:t>
            </w:r>
          </w:p>
        </w:tc>
        <w:tc>
          <w:tcPr>
            <w:tcW w:w="1219"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10.00</w:t>
            </w:r>
          </w:p>
        </w:tc>
        <w:tc>
          <w:tcPr>
            <w:tcW w:w="924"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41</w:t>
            </w:r>
          </w:p>
        </w:tc>
        <w:tc>
          <w:tcPr>
            <w:tcW w:w="1044"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41.00</w:t>
            </w:r>
          </w:p>
        </w:tc>
        <w:tc>
          <w:tcPr>
            <w:tcW w:w="738"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51</w:t>
            </w:r>
          </w:p>
        </w:tc>
        <w:tc>
          <w:tcPr>
            <w:tcW w:w="950"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25.50</w:t>
            </w:r>
          </w:p>
        </w:tc>
      </w:tr>
      <w:tr>
        <w:tblPrEx/>
        <w:trPr>
          <w:trHeight w:val="300" w:hRule="atLeast"/>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pPr>
              <w:pStyle w:val="style0"/>
              <w:jc w:val="center"/>
              <w:rPr>
                <w:rFonts w:ascii="Arial" w:cs="Arial" w:hAnsi="Arial"/>
                <w:color w:val="000000"/>
                <w:lang w:bidi="hi-IN"/>
              </w:rPr>
            </w:pPr>
            <w:r>
              <w:rPr>
                <w:rFonts w:ascii="Arial" w:cs="Arial" w:hAnsi="Arial"/>
                <w:color w:val="000000"/>
                <w:lang w:bidi="hi-IN"/>
              </w:rPr>
              <w:t>2</w:t>
            </w:r>
          </w:p>
        </w:tc>
        <w:tc>
          <w:tcPr>
            <w:tcW w:w="1531" w:type="dxa"/>
            <w:tcBorders>
              <w:top w:val="nil"/>
              <w:left w:val="nil"/>
              <w:bottom w:val="single" w:sz="4" w:space="0" w:color="auto"/>
              <w:right w:val="single" w:sz="4" w:space="0" w:color="auto"/>
            </w:tcBorders>
            <w:shd w:val="clear" w:color="auto" w:fill="auto"/>
            <w:noWrap/>
            <w:vAlign w:val="center"/>
          </w:tcPr>
          <w:p>
            <w:pPr>
              <w:pStyle w:val="style0"/>
              <w:rPr>
                <w:rFonts w:ascii="Arial" w:cs="Arial" w:hAnsi="Arial"/>
                <w:color w:val="000000"/>
              </w:rPr>
            </w:pPr>
            <w:r>
              <w:rPr>
                <w:rFonts w:ascii="Arial" w:cs="Arial" w:hAnsi="Arial"/>
                <w:color w:val="000000"/>
              </w:rPr>
              <w:t>Medium (13.05 -20.17 score)</w:t>
            </w:r>
          </w:p>
        </w:tc>
        <w:tc>
          <w:tcPr>
            <w:tcW w:w="1046"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67</w:t>
            </w:r>
          </w:p>
        </w:tc>
        <w:tc>
          <w:tcPr>
            <w:tcW w:w="1219"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67.00</w:t>
            </w:r>
          </w:p>
        </w:tc>
        <w:tc>
          <w:tcPr>
            <w:tcW w:w="924"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52</w:t>
            </w:r>
          </w:p>
        </w:tc>
        <w:tc>
          <w:tcPr>
            <w:tcW w:w="1044"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63.00</w:t>
            </w:r>
          </w:p>
        </w:tc>
        <w:tc>
          <w:tcPr>
            <w:tcW w:w="738"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119</w:t>
            </w:r>
          </w:p>
        </w:tc>
        <w:tc>
          <w:tcPr>
            <w:tcW w:w="950"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59.50</w:t>
            </w:r>
          </w:p>
        </w:tc>
      </w:tr>
      <w:tr>
        <w:tblPrEx/>
        <w:trPr>
          <w:trHeight w:val="300" w:hRule="atLeast"/>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pPr>
              <w:pStyle w:val="style0"/>
              <w:jc w:val="center"/>
              <w:rPr>
                <w:rFonts w:ascii="Arial" w:cs="Arial" w:hAnsi="Arial"/>
                <w:color w:val="000000"/>
                <w:lang w:bidi="hi-IN"/>
              </w:rPr>
            </w:pPr>
            <w:r>
              <w:rPr>
                <w:rFonts w:ascii="Arial" w:cs="Arial" w:hAnsi="Arial"/>
                <w:color w:val="000000"/>
                <w:lang w:bidi="hi-IN"/>
              </w:rPr>
              <w:t>3</w:t>
            </w:r>
          </w:p>
        </w:tc>
        <w:tc>
          <w:tcPr>
            <w:tcW w:w="1531" w:type="dxa"/>
            <w:tcBorders>
              <w:top w:val="nil"/>
              <w:left w:val="nil"/>
              <w:bottom w:val="single" w:sz="4" w:space="0" w:color="auto"/>
              <w:right w:val="single" w:sz="4" w:space="0" w:color="auto"/>
            </w:tcBorders>
            <w:shd w:val="clear" w:color="auto" w:fill="auto"/>
            <w:noWrap/>
            <w:vAlign w:val="center"/>
          </w:tcPr>
          <w:p>
            <w:pPr>
              <w:pStyle w:val="style0"/>
              <w:rPr>
                <w:rFonts w:ascii="Arial" w:cs="Arial" w:hAnsi="Arial"/>
                <w:color w:val="000000"/>
              </w:rPr>
            </w:pPr>
            <w:r>
              <w:rPr>
                <w:rFonts w:ascii="Arial" w:cs="Arial" w:hAnsi="Arial"/>
                <w:color w:val="000000"/>
              </w:rPr>
              <w:t>High (&gt;20.17 score)</w:t>
            </w:r>
          </w:p>
        </w:tc>
        <w:tc>
          <w:tcPr>
            <w:tcW w:w="1046"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23</w:t>
            </w:r>
          </w:p>
        </w:tc>
        <w:tc>
          <w:tcPr>
            <w:tcW w:w="1219"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23.00</w:t>
            </w:r>
          </w:p>
        </w:tc>
        <w:tc>
          <w:tcPr>
            <w:tcW w:w="924"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07</w:t>
            </w:r>
          </w:p>
        </w:tc>
        <w:tc>
          <w:tcPr>
            <w:tcW w:w="1044"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07.00</w:t>
            </w:r>
          </w:p>
        </w:tc>
        <w:tc>
          <w:tcPr>
            <w:tcW w:w="738"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30</w:t>
            </w:r>
          </w:p>
        </w:tc>
        <w:tc>
          <w:tcPr>
            <w:tcW w:w="950"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15.00</w:t>
            </w:r>
          </w:p>
        </w:tc>
      </w:tr>
      <w:tr>
        <w:tblPrEx/>
        <w:trPr>
          <w:trHeight w:val="300" w:hRule="atLeast"/>
        </w:trPr>
        <w:tc>
          <w:tcPr>
            <w:tcW w:w="2134" w:type="dxa"/>
            <w:gridSpan w:val="2"/>
            <w:tcBorders>
              <w:top w:val="nil"/>
              <w:left w:val="single" w:sz="4" w:space="0" w:color="auto"/>
              <w:bottom w:val="single" w:sz="4" w:space="0" w:color="auto"/>
              <w:right w:val="single" w:sz="4" w:space="0" w:color="auto"/>
            </w:tcBorders>
            <w:shd w:val="clear" w:color="auto" w:fill="auto"/>
            <w:noWrap/>
            <w:vAlign w:val="center"/>
            <w:hideMark/>
          </w:tcPr>
          <w:p>
            <w:pPr>
              <w:pStyle w:val="style0"/>
              <w:jc w:val="center"/>
              <w:rPr>
                <w:rFonts w:ascii="Arial" w:cs="Arial" w:hAnsi="Arial"/>
                <w:color w:val="000000"/>
                <w:lang w:bidi="hi-IN"/>
              </w:rPr>
            </w:pPr>
            <w:r>
              <w:rPr>
                <w:rFonts w:ascii="Arial" w:cs="Arial" w:hAnsi="Arial"/>
                <w:color w:val="000000"/>
                <w:lang w:bidi="hi-IN"/>
              </w:rPr>
              <w:t>TOTAL</w:t>
            </w:r>
          </w:p>
        </w:tc>
        <w:tc>
          <w:tcPr>
            <w:tcW w:w="1046"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color w:val="000000"/>
                <w:lang w:bidi="hi-IN"/>
              </w:rPr>
            </w:pPr>
            <w:r>
              <w:rPr>
                <w:rFonts w:ascii="Arial" w:cs="Arial" w:hAnsi="Arial"/>
                <w:color w:val="000000"/>
                <w:lang w:bidi="hi-IN"/>
              </w:rPr>
              <w:t>100</w:t>
            </w:r>
          </w:p>
        </w:tc>
        <w:tc>
          <w:tcPr>
            <w:tcW w:w="1219"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100.00</w:t>
            </w:r>
          </w:p>
        </w:tc>
        <w:tc>
          <w:tcPr>
            <w:tcW w:w="924"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100</w:t>
            </w:r>
          </w:p>
        </w:tc>
        <w:tc>
          <w:tcPr>
            <w:tcW w:w="1044"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100.00</w:t>
            </w:r>
          </w:p>
        </w:tc>
        <w:tc>
          <w:tcPr>
            <w:tcW w:w="738"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200</w:t>
            </w:r>
          </w:p>
        </w:tc>
        <w:tc>
          <w:tcPr>
            <w:tcW w:w="950" w:type="dxa"/>
            <w:tcBorders>
              <w:top w:val="nil"/>
              <w:left w:val="nil"/>
              <w:bottom w:val="single" w:sz="4" w:space="0" w:color="auto"/>
              <w:right w:val="single" w:sz="4" w:space="0" w:color="auto"/>
            </w:tcBorders>
            <w:shd w:val="clear" w:color="auto" w:fill="auto"/>
            <w:noWrap/>
            <w:vAlign w:val="center"/>
          </w:tcPr>
          <w:p>
            <w:pPr>
              <w:pStyle w:val="style0"/>
              <w:jc w:val="center"/>
              <w:rPr>
                <w:rFonts w:ascii="Arial" w:cs="Arial" w:hAnsi="Arial"/>
              </w:rPr>
            </w:pPr>
            <w:r>
              <w:rPr>
                <w:rFonts w:ascii="Arial" w:cs="Arial" w:hAnsi="Arial"/>
              </w:rPr>
              <w:t>100.00</w:t>
            </w:r>
          </w:p>
        </w:tc>
      </w:tr>
    </w:tbl>
    <w:p>
      <w:pPr>
        <w:pStyle w:val="style0"/>
        <w:jc w:val="both"/>
        <w:rPr>
          <w:rFonts w:ascii="Arial" w:cs="Arial" w:hAnsi="Arial"/>
          <w:color w:val="000000"/>
          <w:lang w:bidi="hi-IN"/>
        </w:rPr>
      </w:pPr>
      <w:r>
        <w:rPr>
          <w:rFonts w:ascii="Arial" w:cs="Arial" w:hAnsi="Arial"/>
          <w:color w:val="000000"/>
          <w:lang w:bidi="hi-IN"/>
        </w:rPr>
        <w:t>Mean:</w:t>
      </w:r>
      <w:r>
        <w:rPr>
          <w:rFonts w:ascii="Arial" w:cs="Arial" w:hAnsi="Arial"/>
          <w:color w:val="000000"/>
        </w:rPr>
        <w:t xml:space="preserve"> </w:t>
      </w:r>
      <w:r>
        <w:rPr>
          <w:rFonts w:ascii="Arial" w:cs="Arial" w:hAnsi="Arial"/>
          <w:color w:val="000000"/>
          <w:lang w:bidi="hi-IN"/>
        </w:rPr>
        <w:t>16.61 &amp; S.D.:</w:t>
      </w:r>
      <w:r>
        <w:rPr>
          <w:rFonts w:ascii="Arial" w:cs="Arial" w:hAnsi="Arial"/>
          <w:color w:val="000000"/>
        </w:rPr>
        <w:t xml:space="preserve"> 0</w:t>
      </w:r>
      <w:r>
        <w:rPr>
          <w:rFonts w:ascii="Arial" w:cs="Arial" w:hAnsi="Arial"/>
          <w:color w:val="000000"/>
          <w:lang w:bidi="hi-IN"/>
        </w:rPr>
        <w:t>3.56</w:t>
      </w:r>
    </w:p>
    <w:p>
      <w:pPr>
        <w:pStyle w:val="style0"/>
        <w:ind w:firstLine="720"/>
        <w:jc w:val="both"/>
        <w:rPr>
          <w:rFonts w:ascii="Arial" w:cs="Arial" w:hAnsi="Arial"/>
          <w:color w:val="000000"/>
          <w:lang w:bidi="hi-IN"/>
        </w:rPr>
      </w:pPr>
      <w:r>
        <w:rPr>
          <w:rFonts w:ascii="Arial" w:cs="Arial" w:hAnsi="Arial"/>
          <w:color w:val="000000"/>
          <w:lang w:bidi="hi-IN"/>
        </w:rPr>
        <w:t xml:space="preserve">Further, the extent of adoption of various aspects of adoption was also analyzed separately. The relative importance of extent of adoption for all the aspects of adoption was highlighted by giving ranking to them on the basis of their MPS and ranks have been presented in Table 2. </w:t>
      </w:r>
      <w:r>
        <w:rPr>
          <w:rFonts w:ascii="Arial" w:cs="Arial" w:hAnsi="Arial"/>
          <w:color w:val="000000"/>
          <w:highlight w:val="yellow"/>
          <w:lang w:bidi="hi-IN"/>
        </w:rPr>
        <w:t>The data in</w:t>
      </w:r>
      <w:r>
        <w:rPr>
          <w:rFonts w:ascii="Arial" w:cs="Arial" w:hAnsi="Arial"/>
          <w:color w:val="000000"/>
          <w:lang w:bidi="hi-IN"/>
        </w:rPr>
        <w:t xml:space="preserve"> </w:t>
      </w:r>
      <w:r>
        <w:rPr>
          <w:rFonts w:ascii="Arial" w:cs="Arial" w:hAnsi="Arial"/>
          <w:color w:val="000000"/>
          <w:lang w:val="en-US" w:bidi="hi-IN"/>
        </w:rPr>
        <w:t xml:space="preserve">From </w:t>
      </w:r>
      <w:r>
        <w:rPr>
          <w:rFonts w:ascii="Arial" w:cs="Arial" w:hAnsi="Arial"/>
          <w:color w:val="000000"/>
          <w:lang w:bidi="hi-IN"/>
        </w:rPr>
        <w:t xml:space="preserve">table 2 shows that </w:t>
      </w:r>
      <w:r>
        <w:rPr>
          <w:rFonts w:ascii="Arial" w:cs="Arial" w:hAnsi="Arial"/>
          <w:color w:val="000000"/>
          <w:highlight w:val="yellow"/>
          <w:lang w:bidi="hi-IN"/>
        </w:rPr>
        <w:t>in investigation area</w:t>
      </w:r>
      <w:r>
        <w:rPr>
          <w:rFonts w:ascii="Arial" w:cs="Arial" w:hAnsi="Arial"/>
          <w:color w:val="000000"/>
          <w:lang w:bidi="hi-IN"/>
        </w:rPr>
        <w:t xml:space="preserve"> beneficiary farmers were very conscious about various aspects of adoption such as harvesting, time of sowing, improved varieties, seed rate and spacing, irrigation management, seed treatment, selection of land, soil testing and field preparation, plant protection measures and storage with 100, 87.00, 85.00, 81.00, 78.00, 73.75, 68.50, 45.88 and 40.25 MPS, respectively. </w:t>
      </w:r>
      <w:r>
        <w:rPr>
          <w:rFonts w:ascii="Arial" w:cs="Arial" w:hAnsi="Arial"/>
          <w:color w:val="ff0000"/>
          <w:lang w:val="en-US" w:bidi="hi-IN"/>
        </w:rPr>
        <w:t>And t</w:t>
      </w:r>
      <w:r>
        <w:rPr>
          <w:rFonts w:ascii="Arial" w:cs="Arial" w:hAnsi="Arial"/>
          <w:color w:val="000000"/>
          <w:lang w:bidi="hi-IN"/>
        </w:rPr>
        <w:t xml:space="preserve">hey had low level of </w:t>
      </w:r>
      <w:r>
        <w:rPr>
          <w:rFonts w:ascii="Arial" w:cs="Arial" w:hAnsi="Arial"/>
          <w:color w:val="000000"/>
          <w:lang w:bidi="hi-IN"/>
        </w:rPr>
        <w:t>extent of adoption in case of nutrient management, weed management with 30.88 and 25.00 MPS, respectively.</w:t>
      </w:r>
    </w:p>
    <w:p>
      <w:pPr>
        <w:pStyle w:val="style0"/>
        <w:ind w:firstLine="720"/>
        <w:jc w:val="both"/>
        <w:rPr>
          <w:rFonts w:ascii="Arial" w:cs="Arial" w:hAnsi="Arial"/>
          <w:color w:val="000000"/>
          <w:lang w:bidi="hi-IN"/>
        </w:rPr>
      </w:pPr>
    </w:p>
    <w:p>
      <w:pPr>
        <w:pStyle w:val="style0"/>
        <w:jc w:val="both"/>
        <w:rPr>
          <w:rFonts w:ascii="Arial" w:cs="Arial" w:hAnsi="Arial"/>
          <w:b/>
          <w:bCs/>
        </w:rPr>
      </w:pPr>
      <w:r>
        <w:rPr>
          <w:rFonts w:ascii="Arial" w:cs="Arial" w:hAnsi="Arial"/>
          <w:b/>
          <w:bCs/>
        </w:rPr>
        <w:t>Table 2: Aspect-wise Extent of Adoption of farmers about CFLD</w:t>
      </w:r>
    </w:p>
    <w:p>
      <w:pPr>
        <w:pStyle w:val="style0"/>
        <w:jc w:val="both"/>
        <w:rPr>
          <w:rFonts w:ascii="Arial" w:cs="Arial" w:hAnsi="Arial"/>
          <w:b/>
          <w:bCs/>
          <w:color w:val="ff0000"/>
        </w:rPr>
      </w:pPr>
      <w:r>
        <w:rPr>
          <w:rFonts w:ascii="Arial" w:cs="Arial" w:hAnsi="Arial"/>
          <w:b/>
          <w:bCs/>
          <w:color w:val="ff0000"/>
          <w:lang w:val="en-US"/>
        </w:rPr>
        <w:t>n=200</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0"/>
        <w:gridCol w:w="990"/>
        <w:gridCol w:w="810"/>
        <w:gridCol w:w="990"/>
        <w:gridCol w:w="810"/>
        <w:gridCol w:w="990"/>
        <w:gridCol w:w="810"/>
      </w:tblGrid>
      <w:tr>
        <w:trPr/>
        <w:tc>
          <w:tcPr>
            <w:tcW w:w="720" w:type="dxa"/>
            <w:vMerge w:val="restart"/>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S.</w:t>
            </w:r>
          </w:p>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No.</w:t>
            </w:r>
          </w:p>
        </w:tc>
        <w:tc>
          <w:tcPr>
            <w:tcW w:w="1980" w:type="dxa"/>
            <w:vMerge w:val="restart"/>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Adoption Aspects</w:t>
            </w:r>
          </w:p>
        </w:tc>
        <w:tc>
          <w:tcPr>
            <w:tcW w:w="1800" w:type="dxa"/>
            <w:gridSpan w:val="2"/>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Beneficiaries (n=100)</w:t>
            </w:r>
          </w:p>
        </w:tc>
        <w:tc>
          <w:tcPr>
            <w:tcW w:w="1800" w:type="dxa"/>
            <w:gridSpan w:val="2"/>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Non-Beneficiaries (n=100)</w:t>
            </w:r>
          </w:p>
        </w:tc>
        <w:tc>
          <w:tcPr>
            <w:tcW w:w="1800" w:type="dxa"/>
            <w:gridSpan w:val="2"/>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Overall (n=200)</w:t>
            </w:r>
          </w:p>
        </w:tc>
      </w:tr>
      <w:tr>
        <w:tblPrEx/>
        <w:trPr/>
        <w:tc>
          <w:tcPr>
            <w:tcW w:w="720" w:type="dxa"/>
            <w:vMerge w:val="continue"/>
            <w:tcBorders/>
            <w:shd w:val="clear" w:color="auto" w:fill="auto"/>
          </w:tcPr>
          <w:p>
            <w:pPr>
              <w:pStyle w:val="style0"/>
              <w:widowControl w:val="false"/>
              <w:spacing w:after="160"/>
              <w:jc w:val="both"/>
              <w:rPr>
                <w:rFonts w:ascii="Arial" w:cs="Arial" w:hAnsi="Arial"/>
                <w:b/>
                <w:bCs/>
                <w:color w:val="000000"/>
                <w:lang w:val="en-IN" w:bidi="hi-IN" w:eastAsia="en-IN"/>
              </w:rPr>
            </w:pPr>
          </w:p>
        </w:tc>
        <w:tc>
          <w:tcPr>
            <w:tcW w:w="1980" w:type="dxa"/>
            <w:vMerge w:val="continue"/>
            <w:tcBorders/>
            <w:shd w:val="clear" w:color="auto" w:fill="auto"/>
          </w:tcPr>
          <w:p>
            <w:pPr>
              <w:pStyle w:val="style0"/>
              <w:widowControl w:val="false"/>
              <w:spacing w:after="160"/>
              <w:jc w:val="both"/>
              <w:rPr>
                <w:rFonts w:ascii="Arial" w:cs="Arial" w:hAnsi="Arial"/>
                <w:b/>
                <w:bCs/>
                <w:color w:val="000000"/>
                <w:lang w:val="en-IN" w:bidi="hi-IN" w:eastAsia="en-IN"/>
              </w:rPr>
            </w:pPr>
          </w:p>
        </w:tc>
        <w:tc>
          <w:tcPr>
            <w:tcW w:w="990" w:type="dxa"/>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MPS</w:t>
            </w:r>
          </w:p>
        </w:tc>
        <w:tc>
          <w:tcPr>
            <w:tcW w:w="810" w:type="dxa"/>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RANK</w:t>
            </w:r>
          </w:p>
        </w:tc>
        <w:tc>
          <w:tcPr>
            <w:tcW w:w="990" w:type="dxa"/>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MPS</w:t>
            </w:r>
          </w:p>
        </w:tc>
        <w:tc>
          <w:tcPr>
            <w:tcW w:w="810" w:type="dxa"/>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RANK</w:t>
            </w:r>
          </w:p>
        </w:tc>
        <w:tc>
          <w:tcPr>
            <w:tcW w:w="990" w:type="dxa"/>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MPS</w:t>
            </w:r>
          </w:p>
        </w:tc>
        <w:tc>
          <w:tcPr>
            <w:tcW w:w="810" w:type="dxa"/>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RANK</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1.</w:t>
            </w:r>
          </w:p>
        </w:tc>
        <w:tc>
          <w:tcPr>
            <w:tcW w:w="198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Selection of land, soil testing and field preparation</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65.67 </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VII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68.50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67.09</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2.</w:t>
            </w:r>
          </w:p>
        </w:tc>
        <w:tc>
          <w:tcPr>
            <w:tcW w:w="198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Improved varieties</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85.00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III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59.00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72.00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IV</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3.</w:t>
            </w:r>
          </w:p>
        </w:tc>
        <w:tc>
          <w:tcPr>
            <w:tcW w:w="198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Time of sowing</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87.00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86.00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86.50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II</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4.</w:t>
            </w:r>
          </w:p>
        </w:tc>
        <w:tc>
          <w:tcPr>
            <w:tcW w:w="198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Seed rate and spacing</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color w:val="000000"/>
                <w:kern w:val="24"/>
                <w:sz w:val="20"/>
                <w:szCs w:val="20"/>
              </w:rPr>
            </w:pPr>
            <w:r>
              <w:rPr>
                <w:rFonts w:ascii="Arial" w:cs="Arial" w:hAnsi="Arial"/>
                <w:color w:val="000000"/>
                <w:kern w:val="24"/>
                <w:sz w:val="20"/>
                <w:szCs w:val="20"/>
              </w:rPr>
              <w:t>81.00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IV</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77.00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III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79.00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III</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5.</w:t>
            </w:r>
          </w:p>
        </w:tc>
        <w:tc>
          <w:tcPr>
            <w:tcW w:w="198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Seed treatment</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73.75</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40.50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VIII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57.13</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VII</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6.</w:t>
            </w:r>
          </w:p>
        </w:tc>
        <w:tc>
          <w:tcPr>
            <w:tcW w:w="198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Nutrient management</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30.88</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X</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27.25</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X</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29.07</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X</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7.</w:t>
            </w:r>
          </w:p>
        </w:tc>
        <w:tc>
          <w:tcPr>
            <w:tcW w:w="198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Irrigation management</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78.00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55.33</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VII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66.67</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VI</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8.</w:t>
            </w:r>
          </w:p>
        </w:tc>
        <w:tc>
          <w:tcPr>
            <w:tcW w:w="198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Weed management</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kern w:val="24"/>
                <w:sz w:val="20"/>
                <w:szCs w:val="20"/>
              </w:rPr>
            </w:pPr>
            <w:r>
              <w:rPr>
                <w:rFonts w:ascii="Arial" w:cs="Arial" w:hAnsi="Arial"/>
                <w:kern w:val="24"/>
                <w:sz w:val="20"/>
                <w:szCs w:val="20"/>
              </w:rPr>
              <w:t>25.00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XI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kern w:val="24"/>
                <w:sz w:val="20"/>
                <w:szCs w:val="20"/>
              </w:rPr>
              <w:t>74.00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IV</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49.50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VIII</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9.</w:t>
            </w:r>
          </w:p>
        </w:tc>
        <w:tc>
          <w:tcPr>
            <w:tcW w:w="198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Plant protection measures</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45.88</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VIII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29.00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IX</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37.44</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IX</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10.</w:t>
            </w:r>
          </w:p>
        </w:tc>
        <w:tc>
          <w:tcPr>
            <w:tcW w:w="198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Harvesting</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100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sz w:val="20"/>
                <w:szCs w:val="20"/>
                <w:lang w:val="en-US"/>
              </w:rPr>
              <w:t>100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100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11.</w:t>
            </w:r>
          </w:p>
        </w:tc>
        <w:tc>
          <w:tcPr>
            <w:tcW w:w="198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Storage</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40.25</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IX</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14.00</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XI</w:t>
            </w:r>
          </w:p>
        </w:tc>
        <w:tc>
          <w:tcPr>
            <w:tcW w:w="990" w:type="dxa"/>
            <w:tcBorders/>
            <w:shd w:val="clear" w:color="auto" w:fill="auto"/>
            <w:vAlign w:val="center"/>
          </w:tcPr>
          <w:p>
            <w:pPr>
              <w:pStyle w:val="style94"/>
              <w:widowControl w:val="false"/>
              <w:spacing w:before="0" w:beforeAutospacing="false" w:after="0" w:afterAutospacing="false"/>
              <w:jc w:val="center"/>
              <w:rPr>
                <w:rFonts w:ascii="Arial" w:cs="Arial" w:hAnsi="Arial"/>
                <w:sz w:val="20"/>
                <w:szCs w:val="20"/>
              </w:rPr>
            </w:pPr>
            <w:r>
              <w:rPr>
                <w:rFonts w:ascii="Arial" w:cs="Arial" w:hAnsi="Arial"/>
                <w:color w:val="000000"/>
                <w:kern w:val="24"/>
                <w:sz w:val="20"/>
                <w:szCs w:val="20"/>
              </w:rPr>
              <w:t>27.13</w:t>
            </w:r>
          </w:p>
        </w:tc>
        <w:tc>
          <w:tcPr>
            <w:tcW w:w="810" w:type="dxa"/>
            <w:tcBorders/>
            <w:shd w:val="clear" w:color="auto" w:fill="auto"/>
            <w:vAlign w:val="center"/>
          </w:tcPr>
          <w:p>
            <w:pPr>
              <w:pStyle w:val="style0"/>
              <w:widowControl w:val="false"/>
              <w:spacing w:after="160"/>
              <w:jc w:val="center"/>
              <w:rPr>
                <w:rFonts w:ascii="Arial" w:cs="Arial" w:hAnsi="Arial"/>
                <w:color w:val="000000"/>
                <w:lang w:val="en-IN" w:bidi="hi-IN" w:eastAsia="en-IN"/>
              </w:rPr>
            </w:pPr>
            <w:r>
              <w:rPr>
                <w:rFonts w:ascii="Arial" w:cs="Arial" w:hAnsi="Arial"/>
                <w:color w:val="000000"/>
                <w:lang w:val="en-IN" w:bidi="hi-IN" w:eastAsia="en-IN"/>
              </w:rPr>
              <w:t>XI</w:t>
            </w:r>
          </w:p>
        </w:tc>
      </w:tr>
    </w:tbl>
    <w:p>
      <w:pPr>
        <w:pStyle w:val="style0"/>
        <w:jc w:val="both"/>
        <w:rPr>
          <w:rFonts w:ascii="Arial" w:cs="Arial" w:hAnsi="Arial"/>
          <w:color w:val="000000"/>
          <w:lang w:bidi="hi-IN"/>
        </w:rPr>
      </w:pPr>
      <w:r>
        <w:rPr>
          <w:rFonts w:ascii="Arial" w:cs="Arial" w:hAnsi="Arial"/>
          <w:color w:val="000000"/>
          <w:lang w:bidi="hi-IN"/>
        </w:rPr>
        <w:t>MPS = Mean Percent Score</w:t>
      </w:r>
    </w:p>
    <w:p>
      <w:pPr>
        <w:pStyle w:val="style0"/>
        <w:jc w:val="both"/>
        <w:rPr>
          <w:rFonts w:ascii="Arial" w:cs="Arial" w:hAnsi="Arial"/>
          <w:color w:val="000000"/>
          <w:lang w:bidi="hi-IN"/>
        </w:rPr>
      </w:pPr>
    </w:p>
    <w:p>
      <w:pPr>
        <w:pStyle w:val="style0"/>
        <w:ind w:firstLine="720"/>
        <w:jc w:val="both"/>
        <w:rPr>
          <w:rFonts w:ascii="Arial" w:cs="Arial" w:hAnsi="Arial"/>
          <w:color w:val="000000"/>
          <w:lang w:bidi="hi-IN"/>
        </w:rPr>
      </w:pPr>
      <w:r>
        <w:rPr>
          <w:rFonts w:ascii="Arial" w:cs="Arial" w:hAnsi="Arial"/>
          <w:color w:val="000000"/>
          <w:lang w:bidi="hi-IN"/>
        </w:rPr>
        <w:t>In case of non-beneficiary farmers, they had high extent of adoption in various aspects like harvesting, time of sowing, seed rate and spacing, weed management, selection of land, soil testing and field preparation, improved varieties, irrigation management, seed treatment and plant protection measures with 100, 86.00, 77.00, 74.00, 68.50, 59.00, 55.33, 40.50 and 29.00 MPS, respectively. They had low extent of adoption about nutrient management and storage with 27.25 and 14.00 MPS, respectively.</w:t>
      </w:r>
    </w:p>
    <w:p>
      <w:pPr>
        <w:pStyle w:val="style0"/>
        <w:ind w:firstLine="720"/>
        <w:jc w:val="both"/>
        <w:rPr>
          <w:rFonts w:ascii="Arial" w:cs="Arial" w:hAnsi="Arial"/>
          <w:color w:val="000000"/>
          <w:lang w:bidi="hi-IN"/>
        </w:rPr>
      </w:pPr>
      <w:r>
        <w:rPr>
          <w:rFonts w:ascii="Arial" w:cs="Arial" w:hAnsi="Arial"/>
          <w:color w:val="000000"/>
          <w:highlight w:val="yellow"/>
          <w:lang w:bidi="hi-IN"/>
        </w:rPr>
        <w:t>If we look at the data presented in the</w:t>
      </w:r>
      <w:r>
        <w:rPr>
          <w:rFonts w:ascii="Arial" w:cs="Arial" w:hAnsi="Arial"/>
          <w:color w:val="000000"/>
          <w:lang w:bidi="hi-IN"/>
        </w:rPr>
        <w:t xml:space="preserve"> Table 2 it </w:t>
      </w:r>
      <w:r>
        <w:rPr>
          <w:rFonts w:ascii="Arial" w:cs="Arial" w:hAnsi="Arial"/>
          <w:color w:val="000000"/>
          <w:lang w:val="en-US" w:bidi="hi-IN"/>
        </w:rPr>
        <w:t xml:space="preserve">is </w:t>
      </w:r>
      <w:r>
        <w:rPr>
          <w:rFonts w:ascii="Arial" w:cs="Arial" w:hAnsi="Arial"/>
          <w:color w:val="ff0000"/>
          <w:lang w:val="en-US" w:bidi="hi-IN"/>
        </w:rPr>
        <w:t>show that</w:t>
      </w:r>
      <w:r>
        <w:rPr>
          <w:rFonts w:ascii="Arial" w:cs="Arial" w:hAnsi="Arial"/>
          <w:color w:val="000000"/>
          <w:lang w:val="en-US" w:bidi="hi-IN"/>
        </w:rPr>
        <w:t xml:space="preserve"> </w:t>
      </w:r>
      <w:r>
        <w:rPr>
          <w:rFonts w:ascii="Arial" w:cs="Arial" w:hAnsi="Arial"/>
          <w:color w:val="000000"/>
          <w:highlight w:val="yellow"/>
          <w:lang w:bidi="hi-IN"/>
        </w:rPr>
        <w:t xml:space="preserve"> observed that</w:t>
      </w:r>
      <w:r>
        <w:rPr>
          <w:rFonts w:ascii="Arial" w:cs="Arial" w:hAnsi="Arial"/>
          <w:color w:val="000000"/>
          <w:lang w:bidi="hi-IN"/>
        </w:rPr>
        <w:t xml:space="preserve"> overall farmers irrespective of beneficiary and non-beneficiary farmers, had good extent of adoption regarding harvesting, time of sowing, seed rate and spacing, improved varieties, selection of land, soil testing and field preparation, irrigation management, seed treatment, weed management, plant protection measures and nutrient management with 100, 86.50, 79.00, 72.00, 67.09, 66.67, 57.13, 49.50, 37.44 and 29.07 MPS, respectively. They had low extent of adoption in the aspects of storage with 27.13 MPS. Nutrient management and storage had least MPS and remarked X and XI, respectively. It might be due to that farmers of study area believe in organic farming concept for which they are not using the chemicals in chickpea. Besides, the farmers neither have storage facility nor willing to store.  As soon as they threshed the crop send directly the grains in nearest mandi to get rupees to pay their dues. The findings are conformity </w:t>
      </w:r>
      <w:r>
        <w:rPr>
          <w:rFonts w:ascii="Arial" w:cs="Arial" w:hAnsi="Arial"/>
          <w:color w:val="000000"/>
          <w:lang w:bidi="hi-IN"/>
        </w:rPr>
        <w:t xml:space="preserve">with the findings of </w:t>
      </w:r>
      <w:r>
        <w:rPr>
          <w:rFonts w:ascii="Arial" w:cs="Arial" w:hAnsi="Arial"/>
          <w:color w:val="000000"/>
          <w:lang w:bidi="hi-IN"/>
        </w:rPr>
        <w:t>Mahadik</w:t>
      </w:r>
      <w:r>
        <w:rPr>
          <w:rFonts w:ascii="Arial" w:cs="Arial" w:hAnsi="Arial"/>
          <w:color w:val="000000"/>
          <w:lang w:bidi="hi-IN"/>
        </w:rPr>
        <w:t xml:space="preserve"> a</w:t>
      </w:r>
      <w:r>
        <w:rPr>
          <w:rFonts w:ascii="Arial" w:cs="Arial" w:hAnsi="Arial"/>
          <w:color w:val="000000"/>
          <w:lang w:bidi="hi-IN"/>
        </w:rPr>
        <w:t xml:space="preserve">nd </w:t>
      </w:r>
      <w:r>
        <w:rPr>
          <w:rFonts w:ascii="Arial" w:cs="Arial" w:hAnsi="Arial"/>
          <w:color w:val="000000"/>
          <w:lang w:bidi="hi-IN"/>
        </w:rPr>
        <w:t>Talathi</w:t>
      </w:r>
      <w:r>
        <w:rPr>
          <w:rFonts w:ascii="Arial" w:cs="Arial" w:hAnsi="Arial"/>
          <w:color w:val="000000"/>
          <w:lang w:bidi="hi-IN"/>
        </w:rPr>
        <w:t xml:space="preserve"> (2016), </w:t>
      </w:r>
      <w:r>
        <w:rPr>
          <w:rFonts w:ascii="Arial" w:cs="Arial" w:hAnsi="Arial"/>
          <w:color w:val="000000"/>
          <w:lang w:bidi="hi-IN"/>
        </w:rPr>
        <w:t>Tunvar</w:t>
      </w:r>
      <w:r>
        <w:rPr>
          <w:rFonts w:ascii="Arial" w:cs="Arial" w:hAnsi="Arial"/>
          <w:color w:val="000000"/>
          <w:lang w:bidi="hi-IN"/>
        </w:rPr>
        <w:t xml:space="preserve"> </w:t>
      </w:r>
      <w:r>
        <w:rPr>
          <w:rFonts w:ascii="Arial" w:cs="Arial" w:hAnsi="Arial"/>
          <w:i/>
          <w:iCs/>
          <w:color w:val="000000"/>
          <w:lang w:bidi="hi-IN"/>
        </w:rPr>
        <w:t>et al.</w:t>
      </w:r>
      <w:r>
        <w:rPr>
          <w:rFonts w:ascii="Arial" w:cs="Arial" w:hAnsi="Arial"/>
          <w:color w:val="000000"/>
          <w:lang w:bidi="hi-IN"/>
        </w:rPr>
        <w:t xml:space="preserve"> (2017) </w:t>
      </w:r>
      <w:r>
        <w:rPr>
          <w:rFonts w:ascii="Arial" w:cs="Arial" w:hAnsi="Arial"/>
          <w:color w:val="000000"/>
          <w:lang w:bidi="hi-IN"/>
        </w:rPr>
        <w:t xml:space="preserve">and Aravindh Kumar &amp; Karthikeyan (2022) </w:t>
      </w:r>
      <w:r>
        <w:rPr>
          <w:rFonts w:ascii="Arial" w:cs="Arial" w:hAnsi="Arial"/>
          <w:color w:val="000000"/>
          <w:lang w:bidi="hi-IN"/>
        </w:rPr>
        <w:t>who concluded that majority of the farmers has higher adoption rates in time of sowing, irrigation and seed treatment.</w:t>
      </w:r>
    </w:p>
    <w:p>
      <w:pPr>
        <w:pStyle w:val="style0"/>
        <w:jc w:val="both"/>
        <w:rPr>
          <w:rFonts w:ascii="Arial" w:cs="Arial" w:hAnsi="Arial"/>
          <w:color w:val="000000"/>
          <w:lang w:bidi="hi-IN"/>
        </w:rPr>
      </w:pPr>
    </w:p>
    <w:p>
      <w:pPr>
        <w:pStyle w:val="style0"/>
        <w:jc w:val="both"/>
        <w:rPr>
          <w:rFonts w:ascii="Arial" w:cs="Arial" w:hAnsi="Arial"/>
          <w:color w:val="000000"/>
          <w:lang w:bidi="hi-IN"/>
        </w:rPr>
      </w:pPr>
      <w:r>
        <w:rPr>
          <w:rFonts w:ascii="Arial" w:cs="Arial" w:hAnsi="Arial"/>
          <w:b/>
          <w:bCs/>
        </w:rPr>
        <w:t>Table 3: Aspect-wise comparison of Extent of Adoption of farmers about CFLD</w:t>
      </w:r>
    </w:p>
    <w:p>
      <w:pPr>
        <w:pStyle w:val="style0"/>
        <w:jc w:val="both"/>
        <w:rPr>
          <w:rFonts w:ascii="Arial" w:cs="Arial" w:hAnsi="Arial"/>
          <w:color w:val="ff0000"/>
          <w:lang w:bidi="hi-IN"/>
        </w:rPr>
      </w:pPr>
      <w:r>
        <w:rPr>
          <w:rFonts w:ascii="Arial" w:cs="Arial" w:hAnsi="Arial"/>
          <w:color w:val="ff0000"/>
          <w:lang w:val="en-US" w:bidi="hi-IN"/>
        </w:rPr>
        <w:t>n=200</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150"/>
        <w:gridCol w:w="900"/>
        <w:gridCol w:w="900"/>
        <w:gridCol w:w="900"/>
        <w:gridCol w:w="900"/>
        <w:gridCol w:w="1170"/>
      </w:tblGrid>
      <w:tr>
        <w:trPr/>
        <w:tc>
          <w:tcPr>
            <w:tcW w:w="720" w:type="dxa"/>
            <w:vMerge w:val="restart"/>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S.</w:t>
            </w:r>
          </w:p>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No.</w:t>
            </w:r>
          </w:p>
        </w:tc>
        <w:tc>
          <w:tcPr>
            <w:tcW w:w="3150" w:type="dxa"/>
            <w:vMerge w:val="restart"/>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Adoption Aspects</w:t>
            </w:r>
          </w:p>
        </w:tc>
        <w:tc>
          <w:tcPr>
            <w:tcW w:w="1800" w:type="dxa"/>
            <w:gridSpan w:val="2"/>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 xml:space="preserve">Beneficiaries </w:t>
            </w:r>
          </w:p>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(n=100)</w:t>
            </w:r>
          </w:p>
        </w:tc>
        <w:tc>
          <w:tcPr>
            <w:tcW w:w="1800" w:type="dxa"/>
            <w:gridSpan w:val="2"/>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Non-Beneficiaries (n=100)</w:t>
            </w:r>
          </w:p>
        </w:tc>
        <w:tc>
          <w:tcPr>
            <w:tcW w:w="1170" w:type="dxa"/>
            <w:vMerge w:val="restart"/>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‘Z’ value</w:t>
            </w:r>
          </w:p>
        </w:tc>
      </w:tr>
      <w:tr>
        <w:tblPrEx/>
        <w:trPr/>
        <w:tc>
          <w:tcPr>
            <w:tcW w:w="720" w:type="dxa"/>
            <w:vMerge w:val="continue"/>
            <w:tcBorders/>
            <w:shd w:val="clear" w:color="auto" w:fill="auto"/>
          </w:tcPr>
          <w:p>
            <w:pPr>
              <w:pStyle w:val="style0"/>
              <w:widowControl w:val="false"/>
              <w:spacing w:after="160"/>
              <w:jc w:val="both"/>
              <w:rPr>
                <w:rFonts w:ascii="Arial" w:cs="Arial" w:hAnsi="Arial"/>
                <w:color w:val="000000"/>
                <w:lang w:val="en-IN" w:bidi="hi-IN" w:eastAsia="en-IN"/>
              </w:rPr>
            </w:pPr>
          </w:p>
        </w:tc>
        <w:tc>
          <w:tcPr>
            <w:tcW w:w="3150" w:type="dxa"/>
            <w:vMerge w:val="continue"/>
            <w:tcBorders/>
            <w:shd w:val="clear" w:color="auto" w:fill="auto"/>
          </w:tcPr>
          <w:p>
            <w:pPr>
              <w:pStyle w:val="style0"/>
              <w:widowControl w:val="false"/>
              <w:spacing w:after="160"/>
              <w:jc w:val="both"/>
              <w:rPr>
                <w:rFonts w:ascii="Arial" w:cs="Arial" w:hAnsi="Arial"/>
                <w:color w:val="000000"/>
                <w:lang w:val="en-IN" w:bidi="hi-IN" w:eastAsia="en-IN"/>
              </w:rPr>
            </w:pPr>
          </w:p>
        </w:tc>
        <w:tc>
          <w:tcPr>
            <w:tcW w:w="900" w:type="dxa"/>
            <w:tcBorders/>
            <w:shd w:val="clear" w:color="auto" w:fill="auto"/>
            <w:vAlign w:val="center"/>
          </w:tcPr>
          <w:p>
            <w:pPr>
              <w:pStyle w:val="style0"/>
              <w:widowControl w:val="false"/>
              <w:spacing w:after="160"/>
              <w:jc w:val="both"/>
              <w:rPr>
                <w:rFonts w:ascii="Arial" w:cs="Arial" w:hAnsi="Arial"/>
                <w:b/>
                <w:bCs/>
                <w:color w:val="000000"/>
                <w:lang w:val="en-IN" w:bidi="hi-IN" w:eastAsia="en-IN"/>
              </w:rPr>
            </w:pPr>
            <w:r>
              <w:rPr>
                <w:rFonts w:ascii="Arial" w:cs="Arial" w:hAnsi="Arial"/>
                <w:b/>
                <w:bCs/>
                <w:color w:val="000000"/>
                <w:lang w:val="en-IN" w:bidi="hi-IN" w:eastAsia="en-IN"/>
              </w:rPr>
              <w:t>Mean</w:t>
            </w:r>
          </w:p>
        </w:tc>
        <w:tc>
          <w:tcPr>
            <w:tcW w:w="900" w:type="dxa"/>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SD</w:t>
            </w:r>
          </w:p>
        </w:tc>
        <w:tc>
          <w:tcPr>
            <w:tcW w:w="900" w:type="dxa"/>
            <w:tcBorders/>
            <w:shd w:val="clear" w:color="auto" w:fill="auto"/>
            <w:vAlign w:val="center"/>
          </w:tcPr>
          <w:p>
            <w:pPr>
              <w:pStyle w:val="style0"/>
              <w:widowControl w:val="false"/>
              <w:spacing w:after="160"/>
              <w:jc w:val="both"/>
              <w:rPr>
                <w:rFonts w:ascii="Arial" w:cs="Arial" w:hAnsi="Arial"/>
                <w:b/>
                <w:bCs/>
                <w:color w:val="000000"/>
                <w:lang w:val="en-IN" w:bidi="hi-IN" w:eastAsia="en-IN"/>
              </w:rPr>
            </w:pPr>
            <w:r>
              <w:rPr>
                <w:rFonts w:ascii="Arial" w:cs="Arial" w:hAnsi="Arial"/>
                <w:b/>
                <w:bCs/>
                <w:color w:val="000000"/>
                <w:lang w:val="en-IN" w:bidi="hi-IN" w:eastAsia="en-IN"/>
              </w:rPr>
              <w:t>Mean</w:t>
            </w:r>
          </w:p>
        </w:tc>
        <w:tc>
          <w:tcPr>
            <w:tcW w:w="900" w:type="dxa"/>
            <w:tcBorders/>
            <w:shd w:val="clear" w:color="auto" w:fill="auto"/>
            <w:vAlign w:val="center"/>
          </w:tcPr>
          <w:p>
            <w:pPr>
              <w:pStyle w:val="style0"/>
              <w:widowControl w:val="false"/>
              <w:spacing w:after="160"/>
              <w:jc w:val="center"/>
              <w:rPr>
                <w:rFonts w:ascii="Arial" w:cs="Arial" w:hAnsi="Arial"/>
                <w:b/>
                <w:bCs/>
                <w:color w:val="000000"/>
                <w:lang w:val="en-IN" w:bidi="hi-IN" w:eastAsia="en-IN"/>
              </w:rPr>
            </w:pPr>
            <w:r>
              <w:rPr>
                <w:rFonts w:ascii="Arial" w:cs="Arial" w:hAnsi="Arial"/>
                <w:b/>
                <w:bCs/>
                <w:color w:val="000000"/>
                <w:lang w:val="en-IN" w:bidi="hi-IN" w:eastAsia="en-IN"/>
              </w:rPr>
              <w:t>SD</w:t>
            </w:r>
          </w:p>
        </w:tc>
        <w:tc>
          <w:tcPr>
            <w:tcW w:w="1170" w:type="dxa"/>
            <w:vMerge w:val="continue"/>
            <w:tcBorders/>
            <w:shd w:val="clear" w:color="auto" w:fill="auto"/>
          </w:tcPr>
          <w:p>
            <w:pPr>
              <w:pStyle w:val="style0"/>
              <w:widowControl w:val="false"/>
              <w:spacing w:after="160"/>
              <w:jc w:val="center"/>
              <w:rPr>
                <w:rFonts w:ascii="Arial" w:cs="Arial" w:hAnsi="Arial"/>
                <w:b/>
                <w:bCs/>
                <w:color w:val="000000"/>
                <w:lang w:val="en-IN" w:bidi="hi-IN" w:eastAsia="en-IN"/>
              </w:rPr>
            </w:pP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1.</w:t>
            </w:r>
          </w:p>
        </w:tc>
        <w:tc>
          <w:tcPr>
            <w:tcW w:w="3150" w:type="dxa"/>
            <w:tcBorders/>
            <w:shd w:val="clear" w:color="auto" w:fill="auto"/>
          </w:tcPr>
          <w:p>
            <w:pPr>
              <w:pStyle w:val="style0"/>
              <w:widowControl w:val="false"/>
              <w:spacing w:after="160"/>
              <w:rPr>
                <w:rFonts w:ascii="Arial" w:cs="Arial" w:hAnsi="Arial"/>
                <w:lang w:val="en-IN" w:eastAsia="en-IN"/>
              </w:rPr>
            </w:pPr>
            <w:r>
              <w:rPr>
                <w:rFonts w:ascii="Arial" w:cs="Arial" w:hAnsi="Arial"/>
                <w:lang w:val="en-IN" w:eastAsia="en-IN"/>
              </w:rPr>
              <w:t>Selection of land, soil testing and field preparation</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02.83</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00.51</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02.74</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00.44</w:t>
            </w:r>
          </w:p>
        </w:tc>
        <w:tc>
          <w:tcPr>
            <w:tcW w:w="117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01.33</w:t>
            </w:r>
            <w:r>
              <w:rPr>
                <w:rFonts w:ascii="Arial" w:cs="Arial" w:hAnsi="Arial"/>
                <w:color w:val="000000"/>
                <w:vertAlign w:val="superscript"/>
                <w:lang w:val="en-IN" w:eastAsia="en-IN"/>
              </w:rPr>
              <w:t>NS</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2.</w:t>
            </w:r>
          </w:p>
        </w:tc>
        <w:tc>
          <w:tcPr>
            <w:tcW w:w="315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Improved varieties</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00.78</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00.42</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00.59</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00.49</w:t>
            </w:r>
          </w:p>
        </w:tc>
        <w:tc>
          <w:tcPr>
            <w:tcW w:w="117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02.94**</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3.</w:t>
            </w:r>
          </w:p>
        </w:tc>
        <w:tc>
          <w:tcPr>
            <w:tcW w:w="315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Time of sowing</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02.54</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00.50</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02.39</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00.41</w:t>
            </w:r>
          </w:p>
        </w:tc>
        <w:tc>
          <w:tcPr>
            <w:tcW w:w="117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01.42</w:t>
            </w:r>
            <w:r>
              <w:rPr>
                <w:rFonts w:ascii="Arial" w:cs="Arial" w:hAnsi="Arial"/>
                <w:color w:val="000000"/>
                <w:vertAlign w:val="superscript"/>
                <w:lang w:val="en-IN" w:eastAsia="en-IN"/>
              </w:rPr>
              <w:t>NS</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4.</w:t>
            </w:r>
          </w:p>
        </w:tc>
        <w:tc>
          <w:tcPr>
            <w:tcW w:w="315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Seed rate and spacing</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01.97</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00.92</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01.66</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00.81</w:t>
            </w:r>
          </w:p>
        </w:tc>
        <w:tc>
          <w:tcPr>
            <w:tcW w:w="117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02.54**</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5.</w:t>
            </w:r>
          </w:p>
        </w:tc>
        <w:tc>
          <w:tcPr>
            <w:tcW w:w="315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Seed treatment</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02.49</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00.51</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02.16</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00.48</w:t>
            </w:r>
          </w:p>
        </w:tc>
        <w:tc>
          <w:tcPr>
            <w:tcW w:w="117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04.61**</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6.</w:t>
            </w:r>
          </w:p>
        </w:tc>
        <w:tc>
          <w:tcPr>
            <w:tcW w:w="315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Nutrient management</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02.47</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00.50</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02.18</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00.39</w:t>
            </w:r>
          </w:p>
        </w:tc>
        <w:tc>
          <w:tcPr>
            <w:tcW w:w="117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01.56</w:t>
            </w:r>
            <w:r>
              <w:rPr>
                <w:rFonts w:ascii="Arial" w:cs="Arial" w:hAnsi="Arial"/>
                <w:color w:val="000000"/>
                <w:vertAlign w:val="superscript"/>
                <w:lang w:val="en-IN" w:eastAsia="en-IN"/>
              </w:rPr>
              <w:t>NS</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7.</w:t>
            </w:r>
          </w:p>
        </w:tc>
        <w:tc>
          <w:tcPr>
            <w:tcW w:w="315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Irrigation management</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01.61</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00.91</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01.16</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00.53</w:t>
            </w:r>
          </w:p>
        </w:tc>
        <w:tc>
          <w:tcPr>
            <w:tcW w:w="117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04.28**</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8.</w:t>
            </w:r>
          </w:p>
        </w:tc>
        <w:tc>
          <w:tcPr>
            <w:tcW w:w="315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Weed management</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00.95</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00.22</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00.74</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00.44</w:t>
            </w:r>
          </w:p>
        </w:tc>
        <w:tc>
          <w:tcPr>
            <w:tcW w:w="117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04.27**</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9.</w:t>
            </w:r>
          </w:p>
        </w:tc>
        <w:tc>
          <w:tcPr>
            <w:tcW w:w="315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Plant protection measures</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03.67</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00.89</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03.24</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00.55</w:t>
            </w:r>
          </w:p>
        </w:tc>
        <w:tc>
          <w:tcPr>
            <w:tcW w:w="117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04.11**</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10.</w:t>
            </w:r>
          </w:p>
        </w:tc>
        <w:tc>
          <w:tcPr>
            <w:tcW w:w="315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Harvesting</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01.00</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01.00</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w:t>
            </w:r>
          </w:p>
        </w:tc>
        <w:tc>
          <w:tcPr>
            <w:tcW w:w="117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w:t>
            </w:r>
          </w:p>
        </w:tc>
      </w:tr>
      <w:tr>
        <w:tblPrEx/>
        <w:trPr/>
        <w:tc>
          <w:tcPr>
            <w:tcW w:w="720" w:type="dxa"/>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11.</w:t>
            </w:r>
          </w:p>
        </w:tc>
        <w:tc>
          <w:tcPr>
            <w:tcW w:w="3150" w:type="dxa"/>
            <w:tcBorders/>
            <w:shd w:val="clear" w:color="auto" w:fill="auto"/>
          </w:tcPr>
          <w:p>
            <w:pPr>
              <w:pStyle w:val="style0"/>
              <w:widowControl w:val="false"/>
              <w:spacing w:after="160"/>
              <w:jc w:val="both"/>
              <w:rPr>
                <w:rFonts w:ascii="Arial" w:cs="Arial" w:hAnsi="Arial"/>
                <w:lang w:val="en-IN" w:eastAsia="en-IN"/>
              </w:rPr>
            </w:pPr>
            <w:r>
              <w:rPr>
                <w:rFonts w:ascii="Arial" w:cs="Arial" w:hAnsi="Arial"/>
                <w:lang w:val="en-IN" w:eastAsia="en-IN"/>
              </w:rPr>
              <w:t>Storage</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00.95</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00.22</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00.77</w:t>
            </w:r>
          </w:p>
        </w:tc>
        <w:tc>
          <w:tcPr>
            <w:tcW w:w="90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00.42</w:t>
            </w:r>
          </w:p>
        </w:tc>
        <w:tc>
          <w:tcPr>
            <w:tcW w:w="1170" w:type="dxa"/>
            <w:tcBorders/>
            <w:shd w:val="clear" w:color="auto" w:fill="auto"/>
            <w:vAlign w:val="center"/>
          </w:tcPr>
          <w:p>
            <w:pPr>
              <w:pStyle w:val="style0"/>
              <w:widowControl w:val="false"/>
              <w:spacing w:after="160"/>
              <w:jc w:val="center"/>
              <w:rPr>
                <w:rFonts w:ascii="Arial" w:cs="Arial" w:hAnsi="Arial"/>
                <w:color w:val="000000"/>
                <w:lang w:val="en-IN" w:eastAsia="en-IN"/>
              </w:rPr>
            </w:pPr>
            <w:r>
              <w:rPr>
                <w:rFonts w:ascii="Arial" w:cs="Arial" w:hAnsi="Arial"/>
                <w:color w:val="000000"/>
                <w:lang w:val="en-IN" w:eastAsia="en-IN"/>
              </w:rPr>
              <w:t>03.78**</w:t>
            </w:r>
          </w:p>
        </w:tc>
      </w:tr>
      <w:tr>
        <w:tblPrEx/>
        <w:trPr/>
        <w:tc>
          <w:tcPr>
            <w:tcW w:w="3870" w:type="dxa"/>
            <w:gridSpan w:val="2"/>
            <w:tcBorders/>
            <w:shd w:val="clear" w:color="auto" w:fill="auto"/>
          </w:tcPr>
          <w:p>
            <w:pPr>
              <w:pStyle w:val="style0"/>
              <w:widowControl w:val="false"/>
              <w:spacing w:after="160"/>
              <w:jc w:val="center"/>
              <w:rPr>
                <w:rFonts w:ascii="Arial" w:cs="Arial" w:hAnsi="Arial"/>
                <w:lang w:val="en-IN" w:eastAsia="en-IN"/>
              </w:rPr>
            </w:pPr>
            <w:r>
              <w:rPr>
                <w:rFonts w:ascii="Arial" w:cs="Arial" w:hAnsi="Arial"/>
                <w:lang w:val="en-IN" w:eastAsia="en-IN"/>
              </w:rPr>
              <w:t>Pooled</w:t>
            </w:r>
          </w:p>
        </w:tc>
        <w:tc>
          <w:tcPr>
            <w:tcW w:w="900" w:type="dxa"/>
            <w:tcBorders/>
            <w:shd w:val="clear" w:color="auto" w:fill="auto"/>
            <w:vAlign w:val="center"/>
          </w:tcPr>
          <w:p>
            <w:pPr>
              <w:pStyle w:val="style0"/>
              <w:widowControl w:val="false"/>
              <w:spacing w:after="160"/>
              <w:jc w:val="center"/>
              <w:rPr>
                <w:rFonts w:ascii="Arial" w:cs="Arial" w:hAnsi="Arial"/>
                <w:lang w:val="en-IN" w:eastAsia="en-IN"/>
              </w:rPr>
            </w:pPr>
            <w:r>
              <w:rPr>
                <w:rFonts w:ascii="Arial" w:cs="Arial" w:hAnsi="Arial"/>
                <w:lang w:val="en-IN" w:eastAsia="en-IN"/>
              </w:rPr>
              <w:t>01.93</w:t>
            </w:r>
          </w:p>
        </w:tc>
        <w:tc>
          <w:tcPr>
            <w:tcW w:w="900" w:type="dxa"/>
            <w:tcBorders/>
            <w:shd w:val="clear" w:color="auto" w:fill="auto"/>
            <w:vAlign w:val="center"/>
          </w:tcPr>
          <w:p>
            <w:pPr>
              <w:pStyle w:val="style0"/>
              <w:widowControl w:val="false"/>
              <w:spacing w:after="160"/>
              <w:jc w:val="center"/>
              <w:rPr>
                <w:rFonts w:ascii="Arial" w:cs="Arial" w:hAnsi="Arial"/>
                <w:lang w:val="en-IN" w:eastAsia="en-IN"/>
              </w:rPr>
            </w:pPr>
            <w:r>
              <w:rPr>
                <w:rFonts w:ascii="Arial" w:cs="Arial" w:hAnsi="Arial"/>
                <w:lang w:val="en-IN" w:eastAsia="en-IN"/>
              </w:rPr>
              <w:t>00.51</w:t>
            </w:r>
          </w:p>
        </w:tc>
        <w:tc>
          <w:tcPr>
            <w:tcW w:w="900" w:type="dxa"/>
            <w:tcBorders/>
            <w:shd w:val="clear" w:color="auto" w:fill="auto"/>
            <w:vAlign w:val="center"/>
          </w:tcPr>
          <w:p>
            <w:pPr>
              <w:pStyle w:val="style0"/>
              <w:widowControl w:val="false"/>
              <w:spacing w:after="160"/>
              <w:jc w:val="center"/>
              <w:rPr>
                <w:rFonts w:ascii="Arial" w:cs="Arial" w:hAnsi="Arial"/>
                <w:lang w:val="en-IN" w:eastAsia="en-IN"/>
              </w:rPr>
            </w:pPr>
            <w:r>
              <w:rPr>
                <w:rFonts w:ascii="Arial" w:cs="Arial" w:hAnsi="Arial"/>
                <w:lang w:val="en-IN" w:eastAsia="en-IN"/>
              </w:rPr>
              <w:t>01.69</w:t>
            </w:r>
          </w:p>
        </w:tc>
        <w:tc>
          <w:tcPr>
            <w:tcW w:w="900" w:type="dxa"/>
            <w:tcBorders/>
            <w:shd w:val="clear" w:color="auto" w:fill="auto"/>
            <w:vAlign w:val="center"/>
          </w:tcPr>
          <w:p>
            <w:pPr>
              <w:pStyle w:val="style0"/>
              <w:widowControl w:val="false"/>
              <w:spacing w:after="160"/>
              <w:jc w:val="center"/>
              <w:rPr>
                <w:rFonts w:ascii="Arial" w:cs="Arial" w:hAnsi="Arial"/>
                <w:lang w:val="en-IN" w:eastAsia="en-IN"/>
              </w:rPr>
            </w:pPr>
            <w:r>
              <w:rPr>
                <w:rFonts w:ascii="Arial" w:cs="Arial" w:hAnsi="Arial"/>
                <w:lang w:val="en-IN" w:eastAsia="en-IN"/>
              </w:rPr>
              <w:t>00.45</w:t>
            </w:r>
          </w:p>
        </w:tc>
        <w:tc>
          <w:tcPr>
            <w:tcW w:w="1170" w:type="dxa"/>
            <w:tcBorders/>
            <w:shd w:val="clear" w:color="auto" w:fill="auto"/>
            <w:vAlign w:val="center"/>
          </w:tcPr>
          <w:p>
            <w:pPr>
              <w:pStyle w:val="style0"/>
              <w:widowControl w:val="false"/>
              <w:spacing w:after="160"/>
              <w:jc w:val="center"/>
              <w:rPr>
                <w:rFonts w:ascii="Arial" w:cs="Arial" w:hAnsi="Arial"/>
                <w:lang w:val="en-IN" w:eastAsia="en-IN"/>
              </w:rPr>
            </w:pPr>
            <w:r>
              <w:rPr>
                <w:rFonts w:ascii="Arial" w:cs="Arial" w:hAnsi="Arial"/>
                <w:lang w:val="en-IN" w:eastAsia="en-IN"/>
              </w:rPr>
              <w:t>02.80**</w:t>
            </w:r>
          </w:p>
        </w:tc>
      </w:tr>
    </w:tbl>
    <w:p>
      <w:pPr>
        <w:pStyle w:val="style0"/>
        <w:jc w:val="both"/>
        <w:rPr>
          <w:rFonts w:ascii="Arial" w:cs="Arial" w:hAnsi="Arial"/>
          <w:color w:val="000000"/>
          <w:lang w:bidi="hi-IN"/>
        </w:rPr>
      </w:pPr>
      <w:r>
        <w:rPr>
          <w:rFonts w:ascii="Arial" w:cs="Arial" w:hAnsi="Arial"/>
          <w:color w:val="000000"/>
          <w:lang w:bidi="hi-IN"/>
        </w:rPr>
        <w:t>**Significant at 1%</w:t>
      </w:r>
    </w:p>
    <w:p>
      <w:pPr>
        <w:pStyle w:val="style0"/>
        <w:jc w:val="both"/>
        <w:rPr>
          <w:rFonts w:ascii="Arial" w:cs="Arial" w:hAnsi="Arial"/>
          <w:color w:val="000000"/>
          <w:lang w:bidi="hi-IN"/>
        </w:rPr>
      </w:pPr>
      <w:r>
        <w:rPr>
          <w:rFonts w:ascii="Arial" w:cs="Arial" w:hAnsi="Arial"/>
          <w:color w:val="000000"/>
          <w:lang w:bidi="hi-IN"/>
        </w:rPr>
        <w:t>NS = Non Significant</w:t>
      </w:r>
    </w:p>
    <w:p>
      <w:pPr>
        <w:pStyle w:val="style0"/>
        <w:jc w:val="both"/>
        <w:rPr>
          <w:rFonts w:ascii="Arial" w:cs="Arial" w:hAnsi="Arial"/>
          <w:color w:val="000000"/>
          <w:lang w:bidi="hi-IN"/>
        </w:rPr>
      </w:pPr>
      <w:r>
        <w:rPr>
          <w:rFonts w:ascii="Arial" w:cs="Arial" w:hAnsi="Arial"/>
          <w:color w:val="000000"/>
          <w:lang w:bidi="hi-IN"/>
        </w:rPr>
        <w:t>SD = Standard Deviation</w:t>
      </w:r>
    </w:p>
    <w:p>
      <w:pPr>
        <w:pStyle w:val="style0"/>
        <w:jc w:val="both"/>
        <w:rPr>
          <w:rFonts w:ascii="Arial" w:cs="Arial" w:hAnsi="Arial"/>
          <w:color w:val="000000"/>
          <w:lang w:bidi="hi-IN"/>
        </w:rPr>
      </w:pPr>
    </w:p>
    <w:p>
      <w:pPr>
        <w:pStyle w:val="style0"/>
        <w:ind w:firstLine="720"/>
        <w:jc w:val="both"/>
        <w:rPr>
          <w:rFonts w:ascii="Arial" w:cs="Arial" w:hAnsi="Arial"/>
          <w:b/>
          <w:bCs/>
        </w:rPr>
      </w:pPr>
      <w:r>
        <w:rPr>
          <w:rFonts w:ascii="Arial" w:cs="Arial" w:hAnsi="Arial"/>
          <w:color w:val="000000"/>
          <w:lang w:bidi="hi-IN"/>
        </w:rPr>
        <w:t xml:space="preserve">Table 3 </w:t>
      </w:r>
      <w:r>
        <w:rPr>
          <w:rFonts w:ascii="Arial" w:cs="Arial" w:hAnsi="Arial"/>
          <w:color w:val="ff0000"/>
          <w:lang w:val="en-US" w:bidi="hi-IN"/>
        </w:rPr>
        <w:t>it's show that</w:t>
      </w:r>
      <w:r>
        <w:rPr>
          <w:rFonts w:ascii="Arial" w:cs="Arial" w:hAnsi="Arial"/>
          <w:color w:val="000000"/>
          <w:lang w:val="en-US" w:bidi="hi-IN"/>
        </w:rPr>
        <w:t xml:space="preserve"> </w:t>
      </w:r>
      <w:r>
        <w:rPr>
          <w:rFonts w:ascii="Arial" w:cs="Arial" w:hAnsi="Arial"/>
          <w:color w:val="000000"/>
          <w:highlight w:val="yellow"/>
          <w:lang w:bidi="hi-IN"/>
        </w:rPr>
        <w:t>interpret that</w:t>
      </w:r>
      <w:r>
        <w:rPr>
          <w:rFonts w:ascii="Arial" w:cs="Arial" w:hAnsi="Arial"/>
          <w:color w:val="000000"/>
          <w:lang w:bidi="hi-IN"/>
        </w:rPr>
        <w:t xml:space="preserve"> among the eleven important aspects of adoption of chickpea cultivation technologies demonstrated under CFLD, a highly significant difference found in the extent of adoption of beneficiary and non-beneficiary farmers in seed treatment, irrigation management, improved varieties, seed rate and spacing, plant protection measures, harvesting, weed management and storage as their calculated Z value was higher than the tabulated value at 1% level of significance. Table 3 also </w:t>
      </w:r>
      <w:r>
        <w:rPr>
          <w:rFonts w:ascii="Arial" w:cs="Arial" w:hAnsi="Arial"/>
          <w:color w:val="ff0000"/>
          <w:lang w:val="en-US" w:bidi="hi-IN"/>
        </w:rPr>
        <w:t>show that</w:t>
      </w:r>
      <w:r>
        <w:rPr>
          <w:rFonts w:ascii="Arial" w:cs="Arial" w:hAnsi="Arial"/>
          <w:color w:val="000000"/>
          <w:lang w:val="en-US" w:bidi="hi-IN"/>
        </w:rPr>
        <w:t xml:space="preserve"> </w:t>
      </w:r>
      <w:r>
        <w:rPr>
          <w:rFonts w:ascii="Arial" w:cs="Arial" w:hAnsi="Arial"/>
          <w:color w:val="000000"/>
          <w:highlight w:val="yellow"/>
          <w:lang w:bidi="hi-IN"/>
        </w:rPr>
        <w:t>reveals that</w:t>
      </w:r>
      <w:r>
        <w:rPr>
          <w:rFonts w:ascii="Arial" w:cs="Arial" w:hAnsi="Arial"/>
          <w:color w:val="000000"/>
          <w:lang w:bidi="hi-IN"/>
        </w:rPr>
        <w:t xml:space="preserve"> calculated Z value was lower than the tabulated value in three aspects of CFLD </w:t>
      </w:r>
      <w:r>
        <w:rPr>
          <w:rFonts w:ascii="Arial" w:cs="Arial" w:hAnsi="Arial"/>
          <w:color w:val="000000"/>
          <w:highlight w:val="yellow"/>
          <w:lang w:bidi="hi-IN"/>
        </w:rPr>
        <w:t>i.e.</w:t>
      </w:r>
      <w:r>
        <w:rPr>
          <w:rFonts w:ascii="Arial" w:cs="Arial" w:hAnsi="Arial"/>
          <w:color w:val="000000"/>
          <w:lang w:bidi="hi-IN"/>
        </w:rPr>
        <w:t xml:space="preserve"> </w:t>
      </w:r>
      <w:r>
        <w:rPr>
          <w:rFonts w:ascii="Arial" w:cs="Arial" w:hAnsi="Arial"/>
          <w:color w:val="ff0000"/>
          <w:lang w:val="en-US" w:bidi="hi-IN"/>
        </w:rPr>
        <w:t>where is</w:t>
      </w:r>
      <w:r>
        <w:rPr>
          <w:rFonts w:ascii="Arial" w:cs="Arial" w:hAnsi="Arial"/>
          <w:color w:val="000000"/>
          <w:lang w:val="en-US" w:bidi="hi-IN"/>
        </w:rPr>
        <w:t xml:space="preserve"> </w:t>
      </w:r>
      <w:r>
        <w:rPr>
          <w:rFonts w:ascii="Arial" w:cs="Arial" w:hAnsi="Arial"/>
          <w:color w:val="000000"/>
          <w:lang w:bidi="hi-IN"/>
        </w:rPr>
        <w:t xml:space="preserve">selection of land, soil testing and field preparation, time of sowing and </w:t>
      </w:r>
      <w:r>
        <w:rPr>
          <w:rFonts w:ascii="Arial" w:cs="Arial" w:hAnsi="Arial"/>
        </w:rPr>
        <w:t xml:space="preserve">nutrient </w:t>
      </w:r>
      <w:r>
        <w:rPr>
          <w:rFonts w:ascii="Arial" w:cs="Arial" w:hAnsi="Arial"/>
          <w:lang w:val="en-US"/>
        </w:rPr>
        <w:t xml:space="preserve">management, </w:t>
      </w:r>
      <w:r>
        <w:rPr>
          <w:rFonts w:ascii="Arial" w:cs="Arial" w:hAnsi="Arial"/>
          <w:color w:val="ff0000"/>
          <w:lang w:val="en-US"/>
        </w:rPr>
        <w:t>that's mean</w:t>
      </w:r>
      <w:r>
        <w:rPr>
          <w:rFonts w:ascii="Arial" w:cs="Arial" w:hAnsi="Arial"/>
          <w:lang w:val="en-US"/>
        </w:rPr>
        <w:t xml:space="preserve"> there's </w:t>
      </w:r>
      <w:r>
        <w:rPr>
          <w:rFonts w:ascii="Arial" w:cs="Arial" w:hAnsi="Arial"/>
          <w:color w:val="000000"/>
          <w:lang w:bidi="hi-IN"/>
        </w:rPr>
        <w:t xml:space="preserve"> </w:t>
      </w:r>
      <w:r>
        <w:rPr>
          <w:rFonts w:ascii="Arial" w:cs="Arial" w:hAnsi="Arial"/>
          <w:color w:val="000000"/>
          <w:highlight w:val="yellow"/>
          <w:lang w:bidi="hi-IN"/>
        </w:rPr>
        <w:t>It showed</w:t>
      </w:r>
      <w:r>
        <w:rPr>
          <w:rFonts w:ascii="Arial" w:cs="Arial" w:hAnsi="Arial"/>
          <w:color w:val="000000"/>
          <w:lang w:bidi="hi-IN"/>
        </w:rPr>
        <w:t xml:space="preserve"> non-significant difference in the adoption level of beneficiary and non-beneficiary </w:t>
      </w:r>
      <w:r>
        <w:rPr>
          <w:rFonts w:ascii="Arial" w:cs="Arial" w:hAnsi="Arial"/>
          <w:color w:val="000000"/>
          <w:lang w:val="en-US" w:bidi="hi-IN"/>
        </w:rPr>
        <w:t xml:space="preserve">farmers </w:t>
      </w:r>
      <w:r>
        <w:rPr>
          <w:rFonts w:ascii="Arial" w:cs="Arial" w:hAnsi="Arial"/>
          <w:color w:val="ff0000"/>
          <w:lang w:val="en-US" w:bidi="hi-IN"/>
        </w:rPr>
        <w:t xml:space="preserve">in the previous </w:t>
      </w:r>
      <w:r>
        <w:rPr>
          <w:rFonts w:ascii="Arial" w:cs="Arial" w:eastAsia="Times New Roman" w:hAnsi="Arial" w:hint="default"/>
          <w:b w:val="false"/>
          <w:bCs w:val="false"/>
          <w:i w:val="false"/>
          <w:iCs w:val="false"/>
          <w:color w:val="ff0000"/>
          <w:sz w:val="20"/>
          <w:szCs w:val="20"/>
          <w:highlight w:val="none"/>
          <w:vertAlign w:val="baseline"/>
          <w:em w:val="none"/>
          <w:lang w:val="en-US" w:bidi="hi-IN" w:eastAsia="en-US"/>
        </w:rPr>
        <w:t xml:space="preserve">three aspects. </w:t>
      </w:r>
    </w:p>
    <w:p>
      <w:pPr>
        <w:pStyle w:val="style0"/>
        <w:ind w:firstLine="720"/>
        <w:jc w:val="both"/>
        <w:rPr>
          <w:rFonts w:ascii="Arial" w:cs="Arial" w:hAnsi="Arial"/>
          <w:color w:val="000000"/>
          <w:lang w:bidi="hi-IN"/>
        </w:rPr>
      </w:pPr>
      <w:r>
        <w:rPr>
          <w:rFonts w:ascii="Arial" w:cs="Arial" w:hAnsi="Arial"/>
          <w:color w:val="000000"/>
          <w:lang w:bidi="hi-IN"/>
        </w:rPr>
        <w:t xml:space="preserve">Overall calculated 'Z' value was higher than the tabulated value at 1% level of significance leading to the conclusion that there was a notable and worthy difference found in the extent of adoption of chickpea cultivation technologies demonstrated under CFLD between beneficiary and non-beneficiary respondents. </w:t>
      </w:r>
    </w:p>
    <w:p>
      <w:pPr>
        <w:pStyle w:val="style0"/>
        <w:ind w:firstLine="720"/>
        <w:jc w:val="both"/>
        <w:rPr>
          <w:rFonts w:ascii="Arial" w:cs="Arial" w:hAnsi="Arial"/>
          <w:color w:val="000000"/>
          <w:lang w:bidi="hi-IN"/>
        </w:rPr>
      </w:pPr>
      <w:r>
        <w:rPr>
          <w:rFonts w:ascii="Arial" w:cs="Arial" w:hAnsi="Arial"/>
          <w:color w:val="000000"/>
          <w:lang w:bidi="hi-IN"/>
        </w:rPr>
        <w:t xml:space="preserve">Thus, it is proved visibly that the adoption of chickpea cultivation technologies demonstrated under CFLD was more among beneficiary farmers as compared to non-beneficiary farmers. The significant difference found between the beneficiary and non-beneficiary farmers about adoption of chickpea cultivation technologies demonstrated under </w:t>
      </w:r>
      <w:r>
        <w:rPr>
          <w:rFonts w:ascii="Arial" w:cs="Arial" w:hAnsi="Arial"/>
          <w:color w:val="000000"/>
          <w:lang w:bidi="hi-IN"/>
        </w:rPr>
        <w:t xml:space="preserve">CFLD in the present study area. It might be due to that the beneficiary farmers had more exposure with mass media and continuously in touch with the extension personnel's, participation in training programmes and other extension activities etc. helped them to acquire latest technical knowhow timely regarding chickpea cultivation technologies, which ultimately enhance the adoption level of beneficiary farmer. The findings of the study are in compliance with the findings of </w:t>
      </w:r>
      <w:r>
        <w:rPr>
          <w:rFonts w:ascii="Arial" w:cs="Arial" w:hAnsi="Arial"/>
          <w:color w:val="000000"/>
          <w:lang w:bidi="hi-IN"/>
        </w:rPr>
        <w:t xml:space="preserve">Aravindh Kumar </w:t>
      </w:r>
      <w:r>
        <w:rPr>
          <w:rFonts w:ascii="Arial" w:cs="Arial" w:hAnsi="Arial"/>
          <w:i/>
          <w:color w:val="000000"/>
          <w:lang w:bidi="hi-IN"/>
        </w:rPr>
        <w:t>et al.</w:t>
      </w:r>
      <w:r>
        <w:rPr>
          <w:rFonts w:ascii="Arial" w:cs="Arial" w:hAnsi="Arial"/>
          <w:color w:val="000000"/>
          <w:lang w:bidi="hi-IN"/>
        </w:rPr>
        <w:t xml:space="preserve"> (2023) and </w:t>
      </w:r>
      <w:r>
        <w:rPr>
          <w:rFonts w:ascii="Arial" w:cs="Arial" w:hAnsi="Arial"/>
          <w:color w:val="000000"/>
          <w:lang w:bidi="hi-IN"/>
        </w:rPr>
        <w:t>Pokar</w:t>
      </w:r>
      <w:r>
        <w:rPr>
          <w:rFonts w:ascii="Arial" w:cs="Arial" w:hAnsi="Arial"/>
          <w:color w:val="000000"/>
          <w:lang w:bidi="hi-IN"/>
        </w:rPr>
        <w:t xml:space="preserve"> </w:t>
      </w:r>
      <w:r>
        <w:rPr>
          <w:rFonts w:ascii="Arial" w:cs="Arial" w:hAnsi="Arial"/>
          <w:i/>
          <w:iCs/>
          <w:color w:val="000000"/>
          <w:lang w:bidi="hi-IN"/>
        </w:rPr>
        <w:t>et al.</w:t>
      </w:r>
      <w:r>
        <w:rPr>
          <w:rFonts w:ascii="Arial" w:cs="Arial" w:hAnsi="Arial"/>
          <w:color w:val="000000"/>
          <w:lang w:bidi="hi-IN"/>
        </w:rPr>
        <w:t xml:space="preserve"> (2014) who stated that there was significant difference between beneficiary and non-beneficiary farmers with respect to their extent of adoption of demonstrated groundnut production technologies.</w:t>
      </w:r>
    </w:p>
    <w:p>
      <w:pPr>
        <w:pStyle w:val="style4099"/>
        <w:spacing w:after="0"/>
        <w:rPr>
          <w:rFonts w:ascii="Arial" w:cs="Arial" w:hAnsi="Arial"/>
        </w:rPr>
      </w:pPr>
    </w:p>
    <w:p>
      <w:pPr>
        <w:pStyle w:val="style4103"/>
        <w:spacing w:after="0"/>
        <w:jc w:val="both"/>
        <w:rPr>
          <w:rFonts w:ascii="Arial" w:cs="Arial" w:hAnsi="Arial"/>
        </w:rPr>
      </w:pPr>
      <w:r>
        <w:rPr>
          <w:rFonts w:ascii="Arial" w:cs="Arial" w:hAnsi="Arial"/>
        </w:rPr>
        <w:t xml:space="preserve">4. </w:t>
      </w:r>
      <w:r>
        <w:rPr>
          <w:rFonts w:ascii="Arial" w:cs="Arial" w:hAnsi="Arial"/>
        </w:rPr>
        <w:t>Conclusion</w:t>
      </w:r>
    </w:p>
    <w:p>
      <w:pPr>
        <w:pStyle w:val="style94"/>
        <w:jc w:val="both"/>
        <w:rPr>
          <w:rFonts w:ascii="Arial" w:cs="Arial" w:hAnsi="Arial"/>
          <w:sz w:val="20"/>
          <w:szCs w:val="20"/>
        </w:rPr>
      </w:pPr>
      <w:r>
        <w:rPr>
          <w:rFonts w:ascii="Arial" w:cs="Arial" w:hAnsi="Arial"/>
          <w:sz w:val="20"/>
          <w:szCs w:val="20"/>
        </w:rPr>
        <w:tab/>
      </w:r>
      <w:r>
        <w:rPr>
          <w:rFonts w:ascii="Arial" w:cs="Arial" w:hAnsi="Arial"/>
          <w:sz w:val="20"/>
          <w:szCs w:val="20"/>
        </w:rPr>
        <w:t xml:space="preserve">The study successfully assessed the extent of adoption of chickpea cultivation technologies demonstrated under CFLD among beneficiary and non-beneficiary farmers in Bikaner district. It found that beneficiary farmers exhibited significantly higher adoption rates, with 90.00% showing medium to high adoption levels, compared to only 59.00% of non-beneficiary farmers. The significant difference in adoption between the two groups was attributed to greater exposure to mass media, extension services, and training programs provided by KVK. For future research and practice, it is recommended that similar programs expand their reach to non-beneficiary farmers, particularly in areas like nutrient management and storage, where adoption rates were lower. Moreover, further studies could focus on the long-term impact of such interventions on overall farm productivity and profitability to strengthen the evidence base for scaling up CFLDs across </w:t>
      </w:r>
      <w:r>
        <w:rPr>
          <w:rFonts w:ascii="Arial" w:cs="Arial" w:hAnsi="Arial"/>
          <w:sz w:val="20"/>
          <w:szCs w:val="20"/>
        </w:rPr>
        <w:t>the region</w:t>
      </w:r>
      <w:r>
        <w:rPr>
          <w:rFonts w:ascii="Arial" w:cs="Arial" w:hAnsi="Arial"/>
          <w:sz w:val="20"/>
          <w:szCs w:val="20"/>
        </w:rPr>
        <w:t>.</w:t>
      </w:r>
    </w:p>
    <w:p>
      <w:pPr>
        <w:pStyle w:val="style4105"/>
        <w:spacing w:after="0"/>
        <w:jc w:val="both"/>
        <w:rPr>
          <w:rFonts w:ascii="Arial" w:cs="Arial" w:hAnsi="Arial"/>
        </w:rPr>
      </w:pPr>
    </w:p>
    <w:p>
      <w:pPr>
        <w:pStyle w:val="style4105"/>
        <w:spacing w:after="0"/>
        <w:jc w:val="both"/>
        <w:rPr>
          <w:rFonts w:ascii="Arial" w:cs="Arial" w:hAnsi="Arial"/>
        </w:rPr>
      </w:pPr>
      <w:r>
        <w:rPr>
          <w:rFonts w:ascii="Arial" w:cs="Arial" w:hAnsi="Arial"/>
        </w:rPr>
        <w:t>References</w:t>
      </w:r>
    </w:p>
    <w:p>
      <w:pPr>
        <w:pStyle w:val="style94"/>
        <w:numPr>
          <w:ilvl w:val="0"/>
          <w:numId w:val="2"/>
        </w:numPr>
        <w:jc w:val="both"/>
        <w:rPr>
          <w:rFonts w:ascii="Arial" w:cs="Arial" w:hAnsi="Arial"/>
          <w:sz w:val="20"/>
          <w:szCs w:val="20"/>
        </w:rPr>
      </w:pPr>
      <w:r>
        <w:rPr>
          <w:rFonts w:ascii="Arial" w:cs="Arial" w:hAnsi="Arial"/>
          <w:sz w:val="20"/>
          <w:szCs w:val="20"/>
        </w:rPr>
        <w:t xml:space="preserve">Aravindh Kumar, S., &amp; Karthikeyan, C. (2022). </w:t>
      </w:r>
      <w:r>
        <w:rPr>
          <w:rFonts w:ascii="Arial" w:cs="Arial" w:hAnsi="Arial"/>
          <w:sz w:val="20"/>
          <w:szCs w:val="20"/>
        </w:rPr>
        <w:t>Uzhavan</w:t>
      </w:r>
      <w:r>
        <w:rPr>
          <w:rFonts w:ascii="Arial" w:cs="Arial" w:hAnsi="Arial"/>
          <w:sz w:val="20"/>
          <w:szCs w:val="20"/>
        </w:rPr>
        <w:t xml:space="preserve"> app as a conduit to reduce the digital divide by fostering vital agricultural extension services in the state of Tamil Nadu, India. </w:t>
      </w:r>
      <w:r>
        <w:rPr>
          <w:rStyle w:val="style88"/>
          <w:rFonts w:ascii="Arial" w:cs="Arial" w:hAnsi="Arial"/>
          <w:sz w:val="20"/>
          <w:szCs w:val="20"/>
        </w:rPr>
        <w:t>International Journal of Agriculture Innovation, Technology and Globalisation, 3</w:t>
      </w:r>
      <w:r>
        <w:rPr>
          <w:rFonts w:ascii="Arial" w:cs="Arial" w:hAnsi="Arial"/>
          <w:sz w:val="20"/>
          <w:szCs w:val="20"/>
        </w:rPr>
        <w:t>(1), 27–45.</w:t>
      </w:r>
    </w:p>
    <w:p>
      <w:pPr>
        <w:pStyle w:val="style94"/>
        <w:numPr>
          <w:ilvl w:val="0"/>
          <w:numId w:val="2"/>
        </w:numPr>
        <w:jc w:val="both"/>
        <w:rPr>
          <w:rFonts w:ascii="Arial" w:cs="Arial" w:hAnsi="Arial"/>
          <w:sz w:val="20"/>
          <w:szCs w:val="20"/>
        </w:rPr>
      </w:pPr>
      <w:r>
        <w:rPr>
          <w:rFonts w:ascii="Arial" w:cs="Arial" w:hAnsi="Arial"/>
          <w:sz w:val="20"/>
          <w:szCs w:val="20"/>
        </w:rPr>
        <w:t xml:space="preserve">Aravindh Kumar, S., Verma, R. K., &amp; Vandana Kumari. (2023). Assessing the multi-dimensional challenges faced by Bikaner farmers during the COVID-19 pandemic through sentimental analysis. </w:t>
      </w:r>
      <w:r>
        <w:rPr>
          <w:rStyle w:val="style88"/>
          <w:rFonts w:ascii="Arial" w:cs="Arial" w:hAnsi="Arial"/>
          <w:sz w:val="20"/>
          <w:szCs w:val="20"/>
        </w:rPr>
        <w:t>Asian Journal of Agricultural Extension, Economics &amp; Sociology, 41</w:t>
      </w:r>
      <w:r>
        <w:rPr>
          <w:rFonts w:ascii="Arial" w:cs="Arial" w:hAnsi="Arial"/>
          <w:sz w:val="20"/>
          <w:szCs w:val="20"/>
        </w:rPr>
        <w:t>(12), 174–186.</w:t>
      </w:r>
    </w:p>
    <w:p>
      <w:pPr>
        <w:pStyle w:val="style94"/>
        <w:numPr>
          <w:ilvl w:val="0"/>
          <w:numId w:val="2"/>
        </w:numPr>
        <w:jc w:val="both"/>
        <w:rPr>
          <w:rFonts w:ascii="Arial" w:cs="Arial" w:hAnsi="Arial"/>
          <w:sz w:val="20"/>
          <w:szCs w:val="20"/>
        </w:rPr>
      </w:pPr>
      <w:r>
        <w:rPr>
          <w:rFonts w:ascii="Arial" w:cs="Arial" w:hAnsi="Arial"/>
          <w:sz w:val="20"/>
          <w:szCs w:val="20"/>
        </w:rPr>
        <w:t>Bagenia</w:t>
      </w:r>
      <w:r>
        <w:rPr>
          <w:rFonts w:ascii="Arial" w:cs="Arial" w:hAnsi="Arial"/>
          <w:sz w:val="20"/>
          <w:szCs w:val="20"/>
        </w:rPr>
        <w:t xml:space="preserve">, P. S., &amp; Lakhera, J. P. (2017). Adoption behaviour of small farmers about mustard production technology in </w:t>
      </w:r>
      <w:r>
        <w:rPr>
          <w:rFonts w:ascii="Arial" w:cs="Arial" w:hAnsi="Arial"/>
          <w:sz w:val="20"/>
          <w:szCs w:val="20"/>
        </w:rPr>
        <w:t>Bharatpur</w:t>
      </w:r>
      <w:r>
        <w:rPr>
          <w:rFonts w:ascii="Arial" w:cs="Arial" w:hAnsi="Arial"/>
          <w:sz w:val="20"/>
          <w:szCs w:val="20"/>
        </w:rPr>
        <w:t xml:space="preserve"> district of Rajasthan. </w:t>
      </w:r>
      <w:r>
        <w:rPr>
          <w:rStyle w:val="style88"/>
          <w:rFonts w:ascii="Arial" w:cs="Arial" w:hAnsi="Arial"/>
          <w:sz w:val="20"/>
          <w:szCs w:val="20"/>
        </w:rPr>
        <w:t>Agriculture Update, 12</w:t>
      </w:r>
      <w:r>
        <w:rPr>
          <w:rFonts w:ascii="Arial" w:cs="Arial" w:hAnsi="Arial"/>
          <w:sz w:val="20"/>
          <w:szCs w:val="20"/>
        </w:rPr>
        <w:t>(1), 89–94.</w:t>
      </w:r>
    </w:p>
    <w:p>
      <w:pPr>
        <w:pStyle w:val="style94"/>
        <w:numPr>
          <w:ilvl w:val="0"/>
          <w:numId w:val="2"/>
        </w:numPr>
        <w:jc w:val="both"/>
        <w:rPr>
          <w:rFonts w:ascii="Arial" w:cs="Arial" w:hAnsi="Arial"/>
          <w:sz w:val="20"/>
          <w:szCs w:val="20"/>
        </w:rPr>
      </w:pPr>
      <w:r>
        <w:rPr>
          <w:rFonts w:ascii="Arial" w:cs="Arial" w:hAnsi="Arial"/>
          <w:sz w:val="20"/>
          <w:szCs w:val="20"/>
        </w:rPr>
        <w:t>Gudadhe</w:t>
      </w:r>
      <w:r>
        <w:rPr>
          <w:rFonts w:ascii="Arial" w:cs="Arial" w:hAnsi="Arial"/>
          <w:sz w:val="20"/>
          <w:szCs w:val="20"/>
        </w:rPr>
        <w:t xml:space="preserve">, N. M., Salame, S. P., </w:t>
      </w:r>
      <w:r>
        <w:rPr>
          <w:rFonts w:ascii="Arial" w:cs="Arial" w:hAnsi="Arial"/>
          <w:sz w:val="20"/>
          <w:szCs w:val="20"/>
        </w:rPr>
        <w:t>Wakle</w:t>
      </w:r>
      <w:r>
        <w:rPr>
          <w:rFonts w:ascii="Arial" w:cs="Arial" w:hAnsi="Arial"/>
          <w:sz w:val="20"/>
          <w:szCs w:val="20"/>
        </w:rPr>
        <w:t xml:space="preserve">, P. K., Chavan, P. P., &amp; </w:t>
      </w:r>
      <w:r>
        <w:rPr>
          <w:rFonts w:ascii="Arial" w:cs="Arial" w:hAnsi="Arial"/>
          <w:sz w:val="20"/>
          <w:szCs w:val="20"/>
        </w:rPr>
        <w:t>Nandapure</w:t>
      </w:r>
      <w:r>
        <w:rPr>
          <w:rFonts w:ascii="Arial" w:cs="Arial" w:hAnsi="Arial"/>
          <w:sz w:val="20"/>
          <w:szCs w:val="20"/>
        </w:rPr>
        <w:t xml:space="preserve">, S. P. (2017). Impact of integrated pest management practices on soybean. </w:t>
      </w:r>
      <w:r>
        <w:rPr>
          <w:rStyle w:val="style88"/>
          <w:rFonts w:ascii="Arial" w:cs="Arial" w:hAnsi="Arial"/>
          <w:sz w:val="20"/>
          <w:szCs w:val="20"/>
        </w:rPr>
        <w:t>Bulletin of Environment, Pharmacology &amp; Life Sciences, 7</w:t>
      </w:r>
      <w:r>
        <w:rPr>
          <w:rFonts w:ascii="Arial" w:cs="Arial" w:hAnsi="Arial"/>
          <w:sz w:val="20"/>
          <w:szCs w:val="20"/>
        </w:rPr>
        <w:t>(3), 491–494.</w:t>
      </w:r>
    </w:p>
    <w:p>
      <w:pPr>
        <w:pStyle w:val="style94"/>
        <w:numPr>
          <w:ilvl w:val="0"/>
          <w:numId w:val="2"/>
        </w:numPr>
        <w:jc w:val="both"/>
        <w:rPr>
          <w:rFonts w:ascii="Arial" w:cs="Arial" w:hAnsi="Arial"/>
          <w:sz w:val="20"/>
          <w:szCs w:val="20"/>
        </w:rPr>
      </w:pPr>
      <w:r>
        <w:rPr>
          <w:rFonts w:ascii="Arial" w:cs="Arial" w:hAnsi="Arial"/>
          <w:sz w:val="20"/>
          <w:szCs w:val="20"/>
        </w:rPr>
        <w:t xml:space="preserve">Hadiya, B., Deshmukh, G., &amp; </w:t>
      </w:r>
      <w:r>
        <w:rPr>
          <w:rFonts w:ascii="Arial" w:cs="Arial" w:hAnsi="Arial"/>
          <w:sz w:val="20"/>
          <w:szCs w:val="20"/>
        </w:rPr>
        <w:t>Barlya</w:t>
      </w:r>
      <w:r>
        <w:rPr>
          <w:rFonts w:ascii="Arial" w:cs="Arial" w:hAnsi="Arial"/>
          <w:sz w:val="20"/>
          <w:szCs w:val="20"/>
        </w:rPr>
        <w:t xml:space="preserve">, M. (2014). Adoption of recommended practices of kharif groundnut growers in Saurashtra zone of Gujarat. </w:t>
      </w:r>
      <w:r>
        <w:rPr>
          <w:rStyle w:val="style88"/>
          <w:rFonts w:ascii="Arial" w:cs="Arial" w:hAnsi="Arial"/>
          <w:sz w:val="20"/>
          <w:szCs w:val="20"/>
        </w:rPr>
        <w:t>Indian Research Journal of Extension Education, 14</w:t>
      </w:r>
      <w:r>
        <w:rPr>
          <w:rFonts w:ascii="Arial" w:cs="Arial" w:hAnsi="Arial"/>
          <w:sz w:val="20"/>
          <w:szCs w:val="20"/>
        </w:rPr>
        <w:t>(3), 47–50.</w:t>
      </w:r>
    </w:p>
    <w:p>
      <w:pPr>
        <w:pStyle w:val="style94"/>
        <w:numPr>
          <w:ilvl w:val="0"/>
          <w:numId w:val="2"/>
        </w:numPr>
        <w:jc w:val="both"/>
        <w:rPr>
          <w:rFonts w:ascii="Arial" w:cs="Arial" w:hAnsi="Arial"/>
          <w:sz w:val="20"/>
          <w:szCs w:val="20"/>
        </w:rPr>
      </w:pPr>
      <w:r>
        <w:rPr>
          <w:rFonts w:ascii="Arial" w:cs="Arial" w:hAnsi="Arial"/>
          <w:sz w:val="20"/>
          <w:szCs w:val="20"/>
        </w:rPr>
        <w:t xml:space="preserve">ICAR-ATARI. (2018). ICAR-Agricultural Technology Application Research Institute, Zone-II Jodhpur, CFLDs on pulses under NFSM, </w:t>
      </w:r>
      <w:r>
        <w:rPr>
          <w:rStyle w:val="style88"/>
          <w:rFonts w:ascii="Arial" w:cs="Arial" w:hAnsi="Arial"/>
          <w:sz w:val="20"/>
          <w:szCs w:val="20"/>
        </w:rPr>
        <w:t>Annual Report 2017-18</w:t>
      </w:r>
      <w:r>
        <w:rPr>
          <w:rFonts w:ascii="Arial" w:cs="Arial" w:hAnsi="Arial"/>
          <w:sz w:val="20"/>
          <w:szCs w:val="20"/>
        </w:rPr>
        <w:t>.</w:t>
      </w:r>
    </w:p>
    <w:p>
      <w:pPr>
        <w:pStyle w:val="style94"/>
        <w:numPr>
          <w:ilvl w:val="0"/>
          <w:numId w:val="2"/>
        </w:numPr>
        <w:jc w:val="both"/>
        <w:rPr>
          <w:rFonts w:ascii="Arial" w:cs="Arial" w:hAnsi="Arial"/>
          <w:sz w:val="20"/>
          <w:szCs w:val="20"/>
        </w:rPr>
      </w:pPr>
      <w:r>
        <w:rPr>
          <w:rFonts w:ascii="Arial" w:cs="Arial" w:hAnsi="Arial"/>
          <w:sz w:val="20"/>
          <w:szCs w:val="20"/>
        </w:rPr>
        <w:t xml:space="preserve">Mahadik, R. P., &amp; </w:t>
      </w:r>
      <w:r>
        <w:rPr>
          <w:rFonts w:ascii="Arial" w:cs="Arial" w:hAnsi="Arial"/>
          <w:sz w:val="20"/>
          <w:szCs w:val="20"/>
        </w:rPr>
        <w:t>Talathi</w:t>
      </w:r>
      <w:r>
        <w:rPr>
          <w:rFonts w:ascii="Arial" w:cs="Arial" w:hAnsi="Arial"/>
          <w:sz w:val="20"/>
          <w:szCs w:val="20"/>
        </w:rPr>
        <w:t xml:space="preserve">, M. S. (2016). Impact of frontline demonstrations (FLDs) organized by Krishi Vigyan Kendra, Roha. </w:t>
      </w:r>
      <w:r>
        <w:rPr>
          <w:rStyle w:val="style88"/>
          <w:rFonts w:ascii="Arial" w:cs="Arial" w:hAnsi="Arial"/>
          <w:sz w:val="20"/>
          <w:szCs w:val="20"/>
        </w:rPr>
        <w:t>Indian Journal Extension Education &amp; Rural Development, 2</w:t>
      </w:r>
      <w:r>
        <w:rPr>
          <w:rFonts w:ascii="Arial" w:cs="Arial" w:hAnsi="Arial"/>
          <w:sz w:val="20"/>
          <w:szCs w:val="20"/>
        </w:rPr>
        <w:t>(1), 162–165.</w:t>
      </w:r>
    </w:p>
    <w:p>
      <w:pPr>
        <w:pStyle w:val="style94"/>
        <w:numPr>
          <w:ilvl w:val="0"/>
          <w:numId w:val="2"/>
        </w:numPr>
        <w:jc w:val="both"/>
        <w:rPr>
          <w:rFonts w:ascii="Arial" w:cs="Arial" w:hAnsi="Arial"/>
          <w:sz w:val="20"/>
          <w:szCs w:val="20"/>
        </w:rPr>
      </w:pPr>
      <w:r>
        <w:rPr>
          <w:rFonts w:ascii="Arial" w:cs="Arial" w:hAnsi="Arial"/>
          <w:sz w:val="20"/>
          <w:szCs w:val="20"/>
        </w:rPr>
        <w:t xml:space="preserve">Meena, S. R., &amp; Sharma, Y. K. (2019). Extent of adoption and adoption gaps amongst the mustard growers (B.F. &amp; N B.F.) regarding recommended mustard production technology. </w:t>
      </w:r>
      <w:r>
        <w:rPr>
          <w:rStyle w:val="style88"/>
          <w:rFonts w:ascii="Arial" w:cs="Arial" w:hAnsi="Arial"/>
          <w:sz w:val="20"/>
          <w:szCs w:val="20"/>
        </w:rPr>
        <w:t>International Journal of Current Microbiology &amp; Applied Sciences, 8</w:t>
      </w:r>
      <w:r>
        <w:rPr>
          <w:rFonts w:ascii="Arial" w:cs="Arial" w:hAnsi="Arial"/>
          <w:sz w:val="20"/>
          <w:szCs w:val="20"/>
        </w:rPr>
        <w:t>(9), 1718–1735.</w:t>
      </w:r>
    </w:p>
    <w:p>
      <w:pPr>
        <w:pStyle w:val="style94"/>
        <w:numPr>
          <w:ilvl w:val="0"/>
          <w:numId w:val="2"/>
        </w:numPr>
        <w:jc w:val="both"/>
        <w:rPr>
          <w:rFonts w:ascii="Arial" w:cs="Arial" w:hAnsi="Arial"/>
          <w:sz w:val="20"/>
          <w:szCs w:val="20"/>
        </w:rPr>
      </w:pPr>
      <w:r>
        <w:rPr>
          <w:rFonts w:ascii="Arial" w:cs="Arial" w:hAnsi="Arial"/>
          <w:sz w:val="20"/>
          <w:szCs w:val="20"/>
        </w:rPr>
        <w:t xml:space="preserve">Patel, V. M., Mistry, J. J., &amp; Thakkar, K. A. (2010). Adoption behaviour of farmers about kharif groundnut production technology. </w:t>
      </w:r>
      <w:r>
        <w:rPr>
          <w:rStyle w:val="style88"/>
          <w:rFonts w:ascii="Arial" w:cs="Arial" w:hAnsi="Arial"/>
          <w:sz w:val="20"/>
          <w:szCs w:val="20"/>
        </w:rPr>
        <w:t>Gujarat Journal of Extension Education, 20–21</w:t>
      </w:r>
      <w:r>
        <w:rPr>
          <w:rFonts w:ascii="Arial" w:cs="Arial" w:hAnsi="Arial"/>
          <w:sz w:val="20"/>
          <w:szCs w:val="20"/>
        </w:rPr>
        <w:t>, 64–66.</w:t>
      </w:r>
    </w:p>
    <w:p>
      <w:pPr>
        <w:pStyle w:val="style94"/>
        <w:numPr>
          <w:ilvl w:val="0"/>
          <w:numId w:val="2"/>
        </w:numPr>
        <w:jc w:val="both"/>
        <w:rPr>
          <w:rFonts w:ascii="Arial" w:cs="Arial" w:hAnsi="Arial"/>
          <w:sz w:val="20"/>
          <w:szCs w:val="20"/>
        </w:rPr>
      </w:pPr>
      <w:r>
        <w:rPr>
          <w:rFonts w:ascii="Arial" w:cs="Arial" w:hAnsi="Arial"/>
          <w:sz w:val="20"/>
          <w:szCs w:val="20"/>
        </w:rPr>
        <w:t>Pokar</w:t>
      </w:r>
      <w:r>
        <w:rPr>
          <w:rFonts w:ascii="Arial" w:cs="Arial" w:hAnsi="Arial"/>
          <w:sz w:val="20"/>
          <w:szCs w:val="20"/>
        </w:rPr>
        <w:t xml:space="preserve">, M. V., Javia, R. M., Sapara, G. K., &amp; Solanki, K. D. (2014). Adoption of improved groundnut production technology under Front Line Demonstration. </w:t>
      </w:r>
      <w:r>
        <w:rPr>
          <w:rStyle w:val="style88"/>
          <w:rFonts w:ascii="Arial" w:cs="Arial" w:hAnsi="Arial"/>
          <w:sz w:val="20"/>
          <w:szCs w:val="20"/>
        </w:rPr>
        <w:t>Agriculture Update, 9</w:t>
      </w:r>
      <w:r>
        <w:rPr>
          <w:rFonts w:ascii="Arial" w:cs="Arial" w:hAnsi="Arial"/>
          <w:sz w:val="20"/>
          <w:szCs w:val="20"/>
        </w:rPr>
        <w:t>(2), 186–189.</w:t>
      </w:r>
    </w:p>
    <w:p>
      <w:pPr>
        <w:pStyle w:val="style94"/>
        <w:numPr>
          <w:ilvl w:val="0"/>
          <w:numId w:val="2"/>
        </w:numPr>
        <w:jc w:val="both"/>
        <w:rPr>
          <w:rFonts w:ascii="Arial" w:cs="Arial" w:hAnsi="Arial"/>
          <w:sz w:val="20"/>
          <w:szCs w:val="20"/>
        </w:rPr>
      </w:pPr>
      <w:r>
        <w:rPr>
          <w:rFonts w:ascii="Arial" w:cs="Arial" w:hAnsi="Arial"/>
          <w:sz w:val="20"/>
          <w:szCs w:val="20"/>
        </w:rPr>
        <w:t xml:space="preserve">Raghava, N. V., &amp; Rao, P. P. (2013). Impact of front line demonstrations on groundnut production technology in Guntur district of A.P. </w:t>
      </w:r>
      <w:r>
        <w:rPr>
          <w:rStyle w:val="style88"/>
          <w:rFonts w:ascii="Arial" w:cs="Arial" w:hAnsi="Arial"/>
          <w:sz w:val="20"/>
          <w:szCs w:val="20"/>
        </w:rPr>
        <w:t>Agriculture Update, 8</w:t>
      </w:r>
      <w:r>
        <w:rPr>
          <w:rFonts w:ascii="Arial" w:cs="Arial" w:hAnsi="Arial"/>
          <w:sz w:val="20"/>
          <w:szCs w:val="20"/>
        </w:rPr>
        <w:t>(1-2), 283–290.</w:t>
      </w:r>
    </w:p>
    <w:p>
      <w:pPr>
        <w:pStyle w:val="style94"/>
        <w:numPr>
          <w:ilvl w:val="0"/>
          <w:numId w:val="2"/>
        </w:numPr>
        <w:jc w:val="both"/>
        <w:rPr>
          <w:rFonts w:ascii="Arial" w:cs="Arial" w:hAnsi="Arial"/>
          <w:sz w:val="20"/>
          <w:szCs w:val="20"/>
        </w:rPr>
      </w:pPr>
      <w:r>
        <w:rPr>
          <w:rFonts w:ascii="Arial" w:cs="Arial" w:hAnsi="Arial"/>
          <w:sz w:val="20"/>
          <w:szCs w:val="20"/>
        </w:rPr>
        <w:t xml:space="preserve">Rajbhar, A. K., Singh, H. C., Jha, K. K., &amp; Sachan, S. (2020). Analysis of socio-economic characteristics and technology adoption by chickpea cultivators in Uttar Pradesh. </w:t>
      </w:r>
      <w:r>
        <w:rPr>
          <w:rStyle w:val="style88"/>
          <w:rFonts w:ascii="Arial" w:cs="Arial" w:hAnsi="Arial"/>
          <w:sz w:val="20"/>
          <w:szCs w:val="20"/>
        </w:rPr>
        <w:t>Plant Archives, 20</w:t>
      </w:r>
      <w:r>
        <w:rPr>
          <w:rFonts w:ascii="Arial" w:cs="Arial" w:hAnsi="Arial"/>
          <w:sz w:val="20"/>
          <w:szCs w:val="20"/>
        </w:rPr>
        <w:t>(2), 2517–2521.</w:t>
      </w:r>
    </w:p>
    <w:p>
      <w:pPr>
        <w:pStyle w:val="style94"/>
        <w:numPr>
          <w:ilvl w:val="0"/>
          <w:numId w:val="2"/>
        </w:numPr>
        <w:jc w:val="both"/>
        <w:rPr>
          <w:rFonts w:ascii="Arial" w:cs="Arial" w:hAnsi="Arial"/>
          <w:sz w:val="20"/>
          <w:szCs w:val="20"/>
        </w:rPr>
      </w:pPr>
      <w:r>
        <w:rPr>
          <w:rFonts w:ascii="Arial" w:cs="Arial" w:hAnsi="Arial"/>
          <w:sz w:val="20"/>
          <w:szCs w:val="20"/>
        </w:rPr>
        <w:t>Tunvar</w:t>
      </w:r>
      <w:r>
        <w:rPr>
          <w:rFonts w:ascii="Arial" w:cs="Arial" w:hAnsi="Arial"/>
          <w:sz w:val="20"/>
          <w:szCs w:val="20"/>
        </w:rPr>
        <w:t xml:space="preserve">, M. A., Patel, A. J., &amp; Prajapati, V. V. (2017). Impact of front line demonstration on groundnut conducted by Krishi Vigyan Kendra, </w:t>
      </w:r>
      <w:r>
        <w:rPr>
          <w:rFonts w:ascii="Arial" w:cs="Arial" w:hAnsi="Arial"/>
          <w:sz w:val="20"/>
          <w:szCs w:val="20"/>
        </w:rPr>
        <w:t>Deesa</w:t>
      </w:r>
      <w:r>
        <w:rPr>
          <w:rFonts w:ascii="Arial" w:cs="Arial" w:hAnsi="Arial"/>
          <w:sz w:val="20"/>
          <w:szCs w:val="20"/>
        </w:rPr>
        <w:t xml:space="preserve">. </w:t>
      </w:r>
      <w:r>
        <w:rPr>
          <w:rStyle w:val="style88"/>
          <w:rFonts w:ascii="Arial" w:cs="Arial" w:hAnsi="Arial"/>
          <w:sz w:val="20"/>
          <w:szCs w:val="20"/>
        </w:rPr>
        <w:t>Gujarat Journal of Extension Education, Special Issue on National Seminar</w:t>
      </w:r>
      <w:r>
        <w:rPr>
          <w:rFonts w:ascii="Arial" w:cs="Arial" w:hAnsi="Arial"/>
          <w:sz w:val="20"/>
          <w:szCs w:val="20"/>
        </w:rPr>
        <w:t>, April 2017.</w:t>
      </w:r>
    </w:p>
    <w:p>
      <w:pPr>
        <w:pStyle w:val="style94"/>
        <w:numPr>
          <w:ilvl w:val="0"/>
          <w:numId w:val="2"/>
        </w:numPr>
        <w:jc w:val="both"/>
        <w:rPr>
          <w:rFonts w:ascii="Arial" w:cs="Arial" w:hAnsi="Arial"/>
          <w:sz w:val="20"/>
          <w:szCs w:val="20"/>
        </w:rPr>
      </w:pPr>
      <w:r>
        <w:rPr>
          <w:rFonts w:ascii="Arial" w:cs="Arial" w:hAnsi="Arial"/>
          <w:sz w:val="20"/>
          <w:szCs w:val="20"/>
        </w:rPr>
        <w:t xml:space="preserve">Vandana, K., Vikram, Y., Yogi, R. K., Ashok, K. S., Aravindh, K. S., &amp; Vijay, K. (2025). Adoption and economic assessment of sprinkler irrigation for sustainable groundnut cultivation in the Western dry region of India. </w:t>
      </w:r>
      <w:r>
        <w:rPr>
          <w:rStyle w:val="style88"/>
          <w:rFonts w:ascii="Arial" w:cs="Arial" w:hAnsi="Arial"/>
          <w:sz w:val="20"/>
          <w:szCs w:val="20"/>
        </w:rPr>
        <w:t>Plant Science Today</w:t>
      </w:r>
      <w:r>
        <w:rPr>
          <w:rFonts w:ascii="Arial" w:cs="Arial" w:hAnsi="Arial"/>
          <w:sz w:val="20"/>
          <w:szCs w:val="20"/>
        </w:rPr>
        <w:t xml:space="preserve">. </w:t>
      </w:r>
      <w:r>
        <w:rPr/>
        <w:fldChar w:fldCharType="begin"/>
      </w:r>
      <w:r>
        <w:instrText xml:space="preserve"> HYPERLINK "https://doi.org/10.14719/pst.7892" </w:instrText>
      </w:r>
      <w:r>
        <w:rPr/>
        <w:fldChar w:fldCharType="separate"/>
      </w:r>
      <w:r>
        <w:rPr>
          <w:rStyle w:val="style85"/>
          <w:rFonts w:ascii="Arial" w:cs="Arial" w:hAnsi="Arial"/>
          <w:sz w:val="20"/>
          <w:szCs w:val="20"/>
        </w:rPr>
        <w:t>https://doi.org/10.14719/pst.7892</w:t>
      </w:r>
      <w:r>
        <w:rPr/>
        <w:fldChar w:fldCharType="end"/>
      </w:r>
    </w:p>
    <w:p>
      <w:pPr>
        <w:pStyle w:val="style4099"/>
        <w:spacing w:after="0"/>
        <w:rPr>
          <w:rFonts w:ascii="Arial" w:cs="Arial" w:hAnsi="Arial"/>
          <w:b/>
        </w:rPr>
        <w:sectPr>
          <w:headerReference w:type="even" r:id="rId7"/>
          <w:headerReference w:type="default" r:id="rId8"/>
          <w:footerReference w:type="default" r:id="rId9"/>
          <w:headerReference w:type="first" r:id="rId10"/>
          <w:type w:val="continuous"/>
          <w:pgSz w:w="12240" w:h="15840" w:orient="portrait"/>
          <w:pgMar w:top="1440" w:right="2016" w:bottom="2016" w:left="2016" w:header="720" w:footer="1123" w:gutter="0"/>
          <w:cols w:space="720"/>
          <w:docGrid w:linePitch="272"/>
        </w:sectPr>
      </w:pPr>
    </w:p>
    <w:p>
      <w:pPr>
        <w:pStyle w:val="style4116"/>
        <w:spacing w:after="0"/>
        <w:jc w:val="both"/>
        <w:rPr>
          <w:rFonts w:ascii="Arial" w:cs="Arial" w:hAnsi="Arial"/>
          <w:b w:val="false"/>
        </w:rPr>
      </w:pPr>
    </w:p>
    <w:sectPr>
      <w:type w:val="continuous"/>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altName w:val="Helvetica"/>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AFF" w:usb1="C0007843" w:usb2="00000009" w:usb3="00000000" w:csb0="000001FF" w:csb1="00000000"/>
  </w:font>
  <w:font w:name="Calibri">
    <w:altName w:val="Calibri"/>
    <w:panose1 w:val="020f0502020000030204"/>
    <w:charset w:val="00"/>
    <w:family w:val="swiss"/>
    <w:pitch w:val="variable"/>
    <w:sig w:usb0="E1002AFF" w:usb1="4000ACFF"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t xml:space="preserve"> </w: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20.65pt;height:57.8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20.65pt;height:57.8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ind w:left="2160"/>
      <w:jc w:val="center"/>
      <w:rPr>
        <w:rFonts w:ascii="Times New Roman" w:eastAsia="Calibri" w:hAnsi="Times New Roman"/>
        <w:i/>
        <w:sz w:val="18"/>
        <w:szCs w:val="22"/>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20.65pt;height:57.8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p>
    <w:pPr>
      <w:pStyle w:val="style0"/>
      <w:ind w:left="4320"/>
      <w:rPr>
        <w:rFonts w:ascii="Times New Roman" w:eastAsia="Calibri" w:hAnsi="Times New Roman"/>
        <w:i/>
        <w:sz w:val="18"/>
        <w:szCs w:val="22"/>
      </w:rPr>
    </w:pPr>
    <w:r>
      <w:rPr>
        <w:rFonts w:ascii="Times New Roman" w:eastAsia="Calibri" w:hAnsi="Times New Roman"/>
        <w:i/>
        <w:sz w:val="18"/>
        <w:szCs w:val="22"/>
      </w:rPr>
      <w:t>.</w:t>
    </w:r>
    <w:r>
      <w:rPr>
        <w:rFonts w:ascii="Times New Roman" w:eastAsia="Calibri" w:hAnsi="Times New Roman"/>
        <w:i/>
        <w:sz w:val="18"/>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w:t>
    </w:r>
  </w:p>
  <w:p>
    <w:pPr>
      <w:pStyle w:val="style0"/>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Pr>
        <w:rFonts w:ascii="Times New Roman" w:eastAsia="Calibri" w:hAnsi="Times New Roman"/>
        <w:b/>
        <w:i/>
        <w:sz w:val="32"/>
        <w:szCs w:val="22"/>
      </w:rPr>
      <w:t>.</w:t>
    </w:r>
    <w:r>
      <w:rPr>
        <w:rFonts w:ascii="Times New Roman" w:eastAsia="Calibri" w:hAnsi="Times New Roman"/>
        <w:b/>
        <w:i/>
        <w:sz w:val="32"/>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 xml:space="preserve">                     </w:t>
    </w:r>
  </w:p>
  <w:p>
    <w:pPr>
      <w:pStyle w:val="style0"/>
      <w:tabs>
        <w:tab w:val="left" w:leader="none"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i/>
        <w:sz w:val="18"/>
        <w:szCs w:val="22"/>
      </w:rPr>
      <w:t>.</w:t>
    </w:r>
  </w:p>
  <w:p>
    <w:pPr>
      <w:pStyle w:val="style31"/>
      <w:rPr/>
    </w:pPr>
    <w:r>
      <w:t>..</w:t>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bookmarkStart w:id="0" w:name="_GoBack"/>
    <w:bookmarkEnd w:id="0"/>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1" type="#_x0000_t136" fillcolor="silver" stroked="f" style="position:absolute;margin-left:0.0pt;margin-top:0.0pt;width:520.65pt;height:57.85pt;z-index:-2147483641;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2" type="#_x0000_t136" fillcolor="silver" stroked="f" style="position:absolute;margin-left:0.0pt;margin-top:0.0pt;width:520.65pt;height:57.85pt;z-index:-2147483640;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3" type="#_x0000_t136" fillcolor="silver" stroked="f" style="position:absolute;margin-left:0.0pt;margin-top:0.0pt;width:520.65pt;height:57.85pt;z-index:-2147483642;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FF"/>
    <w:lvl w:ilvl="0">
      <w:start w:val="1"/>
      <w:numFmt w:val="decimal"/>
      <w:lvlText w:val="*"/>
      <w:lvlJc w:val="left"/>
      <w:pPr/>
    </w:lvl>
  </w:abstractNum>
  <w:abstractNum w:abstractNumId="1">
    <w:nsid w:val="00000001"/>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
    <w:nsid w:val="00000002"/>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
    <w:nsid w:val="0000000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4">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6">
    <w:nsid w:val="00000006"/>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7">
    <w:nsid w:val="00000007"/>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8">
    <w:nsid w:val="00000008"/>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9">
    <w:nsid w:val="00000009"/>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0">
    <w:nsid w:val="0000000A"/>
    <w:multiLevelType w:val="multilevel"/>
    <w:tmpl w:val="2548A9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2">
    <w:nsid w:val="0000000C"/>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3">
    <w:nsid w:val="0000000D"/>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4">
    <w:nsid w:val="0000000E"/>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5">
    <w:nsid w:val="0000000F"/>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0000010"/>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00000011"/>
    <w:multiLevelType w:val="singleLevel"/>
    <w:tmpl w:val="A1B04AE0"/>
    <w:lvl w:ilvl="0">
      <w:start w:val="1"/>
      <w:numFmt w:val="decimal"/>
      <w:lvlText w:val="%1."/>
      <w:lvlJc w:val="left"/>
      <w:pPr>
        <w:ind w:left="360" w:hanging="360"/>
      </w:pPr>
    </w:lvl>
  </w:abstractNum>
  <w:abstractNum w:abstractNumId="18">
    <w:nsid w:val="00000012"/>
    <w:multiLevelType w:val="hybridMultilevel"/>
    <w:tmpl w:val="D05A99DE"/>
    <w:lvl w:ilvl="0" w:tplc="7A92AA74">
      <w:start w:val="1"/>
      <w:numFmt w:val="bullet"/>
      <w:lvlText w:val="·"/>
      <w:lvlJc w:val="left"/>
      <w:pPr>
        <w:ind w:left="900" w:hanging="54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0">
    <w:nsid w:val="00000014"/>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1">
    <w:nsid w:val="00000015"/>
    <w:multiLevelType w:val="singleLevel"/>
    <w:tmpl w:val="E368B7EE"/>
    <w:lvl w:ilvl="0">
      <w:start w:val="1"/>
      <w:numFmt w:val="decimal"/>
      <w:pStyle w:val="style4109"/>
      <w:lvlText w:val="%1."/>
      <w:lvlJc w:val="left"/>
      <w:pPr>
        <w:tabs>
          <w:tab w:val="left" w:leader="none" w:pos="360"/>
        </w:tabs>
        <w:ind w:left="360" w:hanging="360"/>
      </w:pPr>
    </w:lvl>
  </w:abstractNum>
  <w:abstractNum w:abstractNumId="22">
    <w:nsid w:val="00000016"/>
    <w:multiLevelType w:val="hybridMultilevel"/>
    <w:tmpl w:val="256E6680"/>
    <w:lvl w:ilvl="0" w:tplc="04140001">
      <w:start w:val="1"/>
      <w:numFmt w:val="bullet"/>
      <w:lvlText w:val=""/>
      <w:lvlJc w:val="left"/>
      <w:pPr>
        <w:tabs>
          <w:tab w:val="left" w:leader="none" w:pos="720"/>
        </w:tabs>
        <w:ind w:left="720" w:hanging="360"/>
      </w:pPr>
      <w:rPr>
        <w:rFonts w:ascii="Symbol" w:hAnsi="Symbol" w:hint="default"/>
      </w:rPr>
    </w:lvl>
    <w:lvl w:ilvl="1" w:tplc="04140003" w:tentative="1">
      <w:start w:val="1"/>
      <w:numFmt w:val="bullet"/>
      <w:lvlText w:val="o"/>
      <w:lvlJc w:val="left"/>
      <w:pPr>
        <w:tabs>
          <w:tab w:val="left" w:leader="none" w:pos="1440"/>
        </w:tabs>
        <w:ind w:left="1440" w:hanging="360"/>
      </w:pPr>
      <w:rPr>
        <w:rFonts w:ascii="Courier New" w:cs="Courier New" w:hAnsi="Courier New" w:hint="default"/>
      </w:rPr>
    </w:lvl>
    <w:lvl w:ilvl="2" w:tplc="04140005" w:tentative="1">
      <w:start w:val="1"/>
      <w:numFmt w:val="bullet"/>
      <w:lvlText w:val=""/>
      <w:lvlJc w:val="left"/>
      <w:pPr>
        <w:tabs>
          <w:tab w:val="left" w:leader="none" w:pos="2160"/>
        </w:tabs>
        <w:ind w:left="2160" w:hanging="360"/>
      </w:pPr>
      <w:rPr>
        <w:rFonts w:ascii="Wingdings" w:hAnsi="Wingdings" w:hint="default"/>
      </w:rPr>
    </w:lvl>
    <w:lvl w:ilvl="3" w:tplc="04140001" w:tentative="1">
      <w:start w:val="1"/>
      <w:numFmt w:val="bullet"/>
      <w:lvlText w:val=""/>
      <w:lvlJc w:val="left"/>
      <w:pPr>
        <w:tabs>
          <w:tab w:val="left" w:leader="none" w:pos="2880"/>
        </w:tabs>
        <w:ind w:left="2880" w:hanging="360"/>
      </w:pPr>
      <w:rPr>
        <w:rFonts w:ascii="Symbol" w:hAnsi="Symbol" w:hint="default"/>
      </w:rPr>
    </w:lvl>
    <w:lvl w:ilvl="4" w:tplc="04140003" w:tentative="1">
      <w:start w:val="1"/>
      <w:numFmt w:val="bullet"/>
      <w:lvlText w:val="o"/>
      <w:lvlJc w:val="left"/>
      <w:pPr>
        <w:tabs>
          <w:tab w:val="left" w:leader="none" w:pos="3600"/>
        </w:tabs>
        <w:ind w:left="3600" w:hanging="360"/>
      </w:pPr>
      <w:rPr>
        <w:rFonts w:ascii="Courier New" w:cs="Courier New" w:hAnsi="Courier New" w:hint="default"/>
      </w:rPr>
    </w:lvl>
    <w:lvl w:ilvl="5" w:tplc="04140005" w:tentative="1">
      <w:start w:val="1"/>
      <w:numFmt w:val="bullet"/>
      <w:lvlText w:val=""/>
      <w:lvlJc w:val="left"/>
      <w:pPr>
        <w:tabs>
          <w:tab w:val="left" w:leader="none" w:pos="4320"/>
        </w:tabs>
        <w:ind w:left="4320" w:hanging="360"/>
      </w:pPr>
      <w:rPr>
        <w:rFonts w:ascii="Wingdings" w:hAnsi="Wingdings" w:hint="default"/>
      </w:rPr>
    </w:lvl>
    <w:lvl w:ilvl="6" w:tplc="04140001" w:tentative="1">
      <w:start w:val="1"/>
      <w:numFmt w:val="bullet"/>
      <w:lvlText w:val=""/>
      <w:lvlJc w:val="left"/>
      <w:pPr>
        <w:tabs>
          <w:tab w:val="left" w:leader="none" w:pos="5040"/>
        </w:tabs>
        <w:ind w:left="5040" w:hanging="360"/>
      </w:pPr>
      <w:rPr>
        <w:rFonts w:ascii="Symbol" w:hAnsi="Symbol" w:hint="default"/>
      </w:rPr>
    </w:lvl>
    <w:lvl w:ilvl="7" w:tplc="04140003" w:tentative="1">
      <w:start w:val="1"/>
      <w:numFmt w:val="bullet"/>
      <w:lvlText w:val="o"/>
      <w:lvlJc w:val="left"/>
      <w:pPr>
        <w:tabs>
          <w:tab w:val="left" w:leader="none" w:pos="5760"/>
        </w:tabs>
        <w:ind w:left="5760" w:hanging="360"/>
      </w:pPr>
      <w:rPr>
        <w:rFonts w:ascii="Courier New" w:cs="Courier New" w:hAnsi="Courier New" w:hint="default"/>
      </w:rPr>
    </w:lvl>
    <w:lvl w:ilvl="8" w:tplc="04140005" w:tentative="1">
      <w:start w:val="1"/>
      <w:numFmt w:val="bullet"/>
      <w:lvlText w:val=""/>
      <w:lvlJc w:val="left"/>
      <w:pPr>
        <w:tabs>
          <w:tab w:val="left" w:leader="none" w:pos="6480"/>
        </w:tabs>
        <w:ind w:left="6480" w:hanging="360"/>
      </w:pPr>
      <w:rPr>
        <w:rFonts w:ascii="Wingdings" w:hAnsi="Wingdings" w:hint="default"/>
      </w:rPr>
    </w:lvl>
  </w:abstractNum>
  <w:abstractNum w:abstractNumId="23">
    <w:nsid w:val="00000017"/>
    <w:multiLevelType w:val="singleLevel"/>
    <w:tmpl w:val="A1B04AE0"/>
    <w:lvl w:ilvl="0">
      <w:start w:val="1"/>
      <w:numFmt w:val="decimal"/>
      <w:lvlText w:val="%1."/>
      <w:lvlJc w:val="left"/>
      <w:pPr>
        <w:ind w:left="360" w:hanging="360"/>
      </w:pPr>
    </w:lvl>
  </w:abstractNum>
  <w:abstractNum w:abstractNumId="24">
    <w:nsid w:val="00000018"/>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5">
    <w:nsid w:val="00000019"/>
    <w:multiLevelType w:val="singleLevel"/>
    <w:tmpl w:val="199E1F42"/>
    <w:lvl w:ilvl="0">
      <w:start w:val="1"/>
      <w:numFmt w:val="decimal"/>
      <w:lvlText w:val="%1"/>
      <w:lvlJc w:val="left"/>
      <w:pPr>
        <w:ind w:left="360" w:hanging="360"/>
      </w:pPr>
      <w:rPr>
        <w:rFonts w:ascii="Symbol" w:hAnsi="Symbol" w:hint="default"/>
        <w:b w:val="false"/>
        <w:i w:val="false"/>
        <w:sz w:val="20"/>
      </w:rPr>
    </w:lvl>
  </w:abstractNum>
  <w:abstractNum w:abstractNumId="26">
    <w:nsid w:val="0000001A"/>
    <w:multiLevelType w:val="multilevel"/>
    <w:tmpl w:val="66E27A4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469A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9">
    <w:nsid w:val="0000001D"/>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multilevel"/>
    <w:tmpl w:val="7C8A22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num w:numId="1">
    <w:abstractNumId w:val="21"/>
  </w:num>
  <w:num w:numId="2">
    <w:abstractNumId w:val="26"/>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17"/>
  </w:num>
  <w:num w:numId="5">
    <w:abstractNumId w:val="25"/>
  </w:num>
  <w:num w:numId="6">
    <w:abstractNumId w:val="0"/>
    <w:lvlOverride w:ilvl="0">
      <w:lvl w:ilvl="0">
        <w:start w:val="1"/>
        <w:numFmt w:val="bullet"/>
        <w:lvlText w:val=""/>
        <w:lvlJc w:val="left"/>
        <w:pPr>
          <w:ind w:left="360" w:hanging="360"/>
        </w:pPr>
        <w:rPr>
          <w:rFonts w:ascii="Wingdings" w:hAnsi="Wingdings" w:hint="default"/>
          <w:sz w:val="16"/>
        </w:rPr>
      </w:lvl>
    </w:lvlOverride>
  </w:num>
  <w:num w:numId="7">
    <w:abstractNumId w:val="7"/>
  </w:num>
  <w:num w:numId="8">
    <w:abstractNumId w:val="6"/>
  </w:num>
  <w:num w:numId="9">
    <w:abstractNumId w:val="1"/>
  </w:num>
  <w:num w:numId="10">
    <w:abstractNumId w:val="12"/>
  </w:num>
  <w:num w:numId="11">
    <w:abstractNumId w:val="28"/>
  </w:num>
  <w:num w:numId="12">
    <w:abstractNumId w:val="2"/>
  </w:num>
  <w:num w:numId="13">
    <w:abstractNumId w:val="20"/>
  </w:num>
  <w:num w:numId="14">
    <w:abstractNumId w:val="3"/>
  </w:num>
  <w:num w:numId="15">
    <w:abstractNumId w:val="19"/>
  </w:num>
  <w:num w:numId="16">
    <w:abstractNumId w:val="8"/>
  </w:num>
  <w:num w:numId="17">
    <w:abstractNumId w:val="23"/>
  </w:num>
  <w:num w:numId="18">
    <w:abstractNumId w:val="5"/>
  </w:num>
  <w:num w:numId="19">
    <w:abstractNumId w:val="24"/>
  </w:num>
  <w:num w:numId="20">
    <w:abstractNumId w:val="14"/>
  </w:num>
  <w:num w:numId="21">
    <w:abstractNumId w:val="31"/>
  </w:num>
  <w:num w:numId="22">
    <w:abstractNumId w:val="11"/>
  </w:num>
  <w:num w:numId="23">
    <w:abstractNumId w:val="9"/>
  </w:num>
  <w:num w:numId="24">
    <w:abstractNumId w:val="13"/>
  </w:num>
  <w:num w:numId="25">
    <w:abstractNumId w:val="29"/>
  </w:num>
  <w:num w:numId="26">
    <w:abstractNumId w:val="4"/>
  </w:num>
  <w:num w:numId="27">
    <w:abstractNumId w:val="18"/>
  </w:num>
  <w:num w:numId="28">
    <w:abstractNumId w:val="22"/>
  </w:num>
  <w:num w:numId="29">
    <w:abstractNumId w:val="30"/>
  </w:num>
  <w:num w:numId="30">
    <w:abstractNumId w:val="27"/>
  </w:num>
  <w:num w:numId="31">
    <w:abstractNumId w:val="10"/>
  </w:num>
  <w:num w:numId="32">
    <w:abstractNumId w:val="15"/>
  </w:num>
  <w:num w:numId="33">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rFonts w:ascii="Helvetica" w:hAnsi="Helvetica"/>
    </w:rPr>
  </w:style>
  <w:style w:type="paragraph" w:styleId="style1">
    <w:name w:val="heading 1"/>
    <w:basedOn w:val="style0"/>
    <w:next w:val="style0"/>
    <w:qFormat/>
    <w:pPr>
      <w:keepNext/>
      <w:spacing w:before="240" w:after="60"/>
      <w:outlineLvl w:val="0"/>
    </w:pPr>
    <w:rPr>
      <w:rFonts w:ascii="Arial" w:hAnsi="Arial"/>
      <w:b/>
      <w:kern w:val="28"/>
      <w:sz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Author"/>
    <w:basedOn w:val="style0"/>
    <w:next w:val="style4097"/>
    <w:pPr>
      <w:spacing w:lineRule="exact" w:line="280"/>
      <w:jc w:val="right"/>
    </w:pPr>
    <w:rPr>
      <w:b/>
      <w:sz w:val="24"/>
    </w:rPr>
  </w:style>
  <w:style w:type="paragraph" w:customStyle="1" w:styleId="style4098">
    <w:name w:val="Affiliation"/>
    <w:basedOn w:val="style0"/>
    <w:next w:val="style4098"/>
    <w:pPr>
      <w:spacing w:after="240" w:lineRule="exact" w:line="240"/>
      <w:jc w:val="right"/>
    </w:pPr>
    <w:rPr/>
  </w:style>
  <w:style w:type="paragraph" w:customStyle="1" w:styleId="style4099">
    <w:name w:val="Body"/>
    <w:basedOn w:val="style0"/>
    <w:next w:val="style4099"/>
    <w:pPr>
      <w:spacing w:after="240"/>
      <w:jc w:val="both"/>
    </w:pPr>
    <w:rPr/>
  </w:style>
  <w:style w:type="paragraph" w:customStyle="1" w:styleId="style4100">
    <w:name w:val="Abst Head"/>
    <w:basedOn w:val="style4123"/>
    <w:next w:val="style4100"/>
    <w:pPr/>
    <w:rPr>
      <w:sz w:val="22"/>
    </w:rPr>
  </w:style>
  <w:style w:type="paragraph" w:customStyle="1" w:styleId="style4101">
    <w:name w:val="Intro Head"/>
    <w:basedOn w:val="style4123"/>
    <w:next w:val="style4101"/>
    <w:pPr/>
    <w:rPr>
      <w:sz w:val="22"/>
    </w:rPr>
  </w:style>
  <w:style w:type="paragraph" w:customStyle="1" w:styleId="style4102">
    <w:name w:val="Paper Number"/>
    <w:basedOn w:val="style0"/>
    <w:next w:val="style4102"/>
    <w:pPr>
      <w:spacing w:after="280" w:lineRule="exact" w:line="280"/>
      <w:jc w:val="right"/>
    </w:pPr>
    <w:rPr>
      <w:b/>
      <w:sz w:val="28"/>
    </w:rPr>
  </w:style>
  <w:style w:type="paragraph" w:customStyle="1" w:styleId="style4103">
    <w:name w:val="Conc Head"/>
    <w:basedOn w:val="style4123"/>
    <w:next w:val="style4103"/>
    <w:pPr/>
    <w:rPr>
      <w:sz w:val="22"/>
    </w:rPr>
  </w:style>
  <w:style w:type="paragraph" w:customStyle="1" w:styleId="style4104">
    <w:name w:val="Ackn Head"/>
    <w:basedOn w:val="style4123"/>
    <w:next w:val="style4104"/>
    <w:pPr/>
    <w:rPr>
      <w:sz w:val="22"/>
    </w:rPr>
  </w:style>
  <w:style w:type="paragraph" w:customStyle="1" w:styleId="style4105">
    <w:name w:val="Refer Head"/>
    <w:basedOn w:val="style4123"/>
    <w:next w:val="style4105"/>
    <w:pPr/>
    <w:rPr>
      <w:sz w:val="22"/>
    </w:rPr>
  </w:style>
  <w:style w:type="paragraph" w:customStyle="1" w:styleId="style4106">
    <w:name w:val="AddSrc Head"/>
    <w:basedOn w:val="style4123"/>
    <w:next w:val="style4106"/>
    <w:pPr/>
    <w:rPr>
      <w:sz w:val="22"/>
    </w:rPr>
  </w:style>
  <w:style w:type="paragraph" w:customStyle="1" w:styleId="style4107">
    <w:name w:val="DefAcrHead"/>
    <w:basedOn w:val="style4123"/>
    <w:next w:val="style4107"/>
    <w:pPr/>
    <w:rPr>
      <w:sz w:val="22"/>
    </w:rPr>
  </w:style>
  <w:style w:type="paragraph" w:customStyle="1" w:styleId="style4108">
    <w:name w:val="Copyright"/>
    <w:basedOn w:val="style0"/>
    <w:next w:val="style4108"/>
    <w:pPr>
      <w:spacing w:after="960" w:lineRule="exact" w:line="200"/>
    </w:pPr>
    <w:rPr>
      <w:sz w:val="16"/>
    </w:rPr>
  </w:style>
  <w:style w:type="paragraph" w:styleId="style62">
    <w:name w:val="Title"/>
    <w:basedOn w:val="style0"/>
    <w:next w:val="style62"/>
    <w:qFormat/>
    <w:pPr>
      <w:spacing w:after="360"/>
      <w:jc w:val="right"/>
    </w:pPr>
    <w:rPr>
      <w:b/>
      <w:kern w:val="28"/>
      <w:sz w:val="36"/>
    </w:rPr>
  </w:style>
  <w:style w:type="paragraph" w:customStyle="1" w:styleId="style4109">
    <w:name w:val="Reference"/>
    <w:basedOn w:val="style4099"/>
    <w:next w:val="style4109"/>
    <w:pPr>
      <w:numPr>
        <w:ilvl w:val="0"/>
        <w:numId w:val="1"/>
      </w:numPr>
      <w:spacing w:after="0" w:lineRule="exact" w:line="240"/>
    </w:pPr>
    <w:rPr/>
  </w:style>
  <w:style w:type="paragraph" w:customStyle="1" w:styleId="style4110">
    <w:name w:val="Head1"/>
    <w:basedOn w:val="style4123"/>
    <w:next w:val="style4110"/>
    <w:pPr/>
    <w:rPr>
      <w:sz w:val="22"/>
    </w:rPr>
  </w:style>
  <w:style w:type="paragraph" w:customStyle="1" w:styleId="style4111">
    <w:name w:val="Contact Head"/>
    <w:basedOn w:val="style4123"/>
    <w:next w:val="style4111"/>
    <w:pPr/>
    <w:rPr>
      <w:sz w:val="22"/>
    </w:rPr>
  </w:style>
  <w:style w:type="paragraph" w:customStyle="1" w:styleId="style4112">
    <w:name w:val="Head3"/>
    <w:basedOn w:val="style4119"/>
    <w:next w:val="style4112"/>
    <w:pPr/>
    <w:rPr>
      <w:caps w:val="false"/>
      <w:u w:val="single"/>
    </w:rPr>
  </w:style>
  <w:style w:type="paragraph" w:customStyle="1" w:styleId="style4113">
    <w:name w:val="Head4"/>
    <w:basedOn w:val="style4112"/>
    <w:next w:val="style4113"/>
    <w:pPr/>
    <w:rPr>
      <w:u w:val="none"/>
    </w:rPr>
  </w:style>
  <w:style w:type="paragraph" w:customStyle="1" w:styleId="style4114">
    <w:name w:val="Unord List"/>
    <w:basedOn w:val="style4099"/>
    <w:next w:val="style4114"/>
    <w:pPr>
      <w:spacing w:after="0"/>
      <w:ind w:left="360" w:hanging="360"/>
    </w:pPr>
    <w:rPr/>
  </w:style>
  <w:style w:type="paragraph" w:customStyle="1" w:styleId="style4115">
    <w:name w:val="Ord List"/>
    <w:basedOn w:val="style4114"/>
    <w:next w:val="style4115"/>
    <w:pPr>
      <w:jc w:val="left"/>
    </w:pPr>
    <w:rPr/>
  </w:style>
  <w:style w:type="paragraph" w:customStyle="1" w:styleId="style4116">
    <w:name w:val="Appendix"/>
    <w:basedOn w:val="style4123"/>
    <w:next w:val="style4116"/>
    <w:pPr/>
    <w:rPr>
      <w:sz w:val="22"/>
    </w:rPr>
  </w:style>
  <w:style w:type="paragraph" w:customStyle="1" w:styleId="style4117">
    <w:name w:val="Term"/>
    <w:basedOn w:val="style4099"/>
    <w:next w:val="style4117"/>
    <w:pPr>
      <w:spacing w:after="0"/>
    </w:pPr>
    <w:rPr>
      <w:b/>
    </w:rPr>
  </w:style>
  <w:style w:type="paragraph" w:customStyle="1" w:styleId="style4118">
    <w:name w:val="Definition"/>
    <w:basedOn w:val="style4099"/>
    <w:next w:val="style4118"/>
    <w:pPr/>
  </w:style>
  <w:style w:type="paragraph" w:customStyle="1" w:styleId="style4119">
    <w:name w:val="Head2"/>
    <w:basedOn w:val="style0"/>
    <w:next w:val="style4099"/>
    <w:pPr>
      <w:keepNext/>
      <w:spacing w:after="240"/>
    </w:pPr>
    <w:rPr>
      <w:caps/>
    </w:rPr>
  </w:style>
  <w:style w:type="character" w:customStyle="1" w:styleId="style4120">
    <w:name w:val="Bold"/>
    <w:next w:val="style4120"/>
    <w:rPr>
      <w:b/>
    </w:rPr>
  </w:style>
  <w:style w:type="character" w:customStyle="1" w:styleId="style4121">
    <w:name w:val="Italic"/>
    <w:next w:val="style4121"/>
    <w:rPr>
      <w:i/>
    </w:rPr>
  </w:style>
  <w:style w:type="character" w:customStyle="1" w:styleId="style4122">
    <w:name w:val="Underline"/>
    <w:next w:val="style4122"/>
    <w:rPr>
      <w:u w:val="single"/>
    </w:rPr>
  </w:style>
  <w:style w:type="paragraph" w:customStyle="1" w:styleId="style4123">
    <w:name w:val="Main Head"/>
    <w:basedOn w:val="style0"/>
    <w:next w:val="style4123"/>
    <w:pPr>
      <w:keepNext/>
      <w:spacing w:after="240"/>
    </w:pPr>
    <w:rPr>
      <w:b/>
      <w:caps/>
    </w:rPr>
  </w:style>
  <w:style w:type="paragraph" w:customStyle="1" w:styleId="style4124">
    <w:name w:val="Equation"/>
    <w:basedOn w:val="style4099"/>
    <w:next w:val="style4124"/>
    <w:pPr/>
  </w:style>
  <w:style w:type="paragraph" w:customStyle="1" w:styleId="style4125">
    <w:name w:val="Figure"/>
    <w:basedOn w:val="style4108"/>
    <w:next w:val="style4125"/>
    <w:pPr>
      <w:spacing w:after="240"/>
    </w:pPr>
    <w:rPr>
      <w:sz w:val="20"/>
    </w:rPr>
  </w:style>
  <w:style w:type="paragraph" w:styleId="style32">
    <w:name w:val="footer"/>
    <w:basedOn w:val="style0"/>
    <w:next w:val="style32"/>
    <w:pPr>
      <w:tabs>
        <w:tab w:val="center" w:leader="none" w:pos="4320"/>
        <w:tab w:val="right" w:leader="none" w:pos="8640"/>
      </w:tabs>
    </w:pPr>
    <w:rPr/>
  </w:style>
  <w:style w:type="paragraph" w:customStyle="1" w:styleId="style4126">
    <w:name w:val="Head 4"/>
    <w:basedOn w:val="style4112"/>
    <w:next w:val="style4126"/>
    <w:pPr/>
    <w:rPr>
      <w:u w:val="none"/>
    </w:rPr>
  </w:style>
  <w:style w:type="paragraph" w:styleId="style31">
    <w:name w:val="header"/>
    <w:basedOn w:val="style0"/>
    <w:next w:val="style31"/>
    <w:pPr>
      <w:tabs>
        <w:tab w:val="center" w:leader="none" w:pos="4320"/>
        <w:tab w:val="right" w:leader="none" w:pos="8640"/>
      </w:tabs>
    </w:pPr>
    <w:rPr/>
  </w:style>
  <w:style w:type="paragraph" w:customStyle="1" w:styleId="style4127">
    <w:name w:val="Paper"/>
    <w:basedOn w:val="style0"/>
    <w:next w:val="style4127"/>
    <w:pPr>
      <w:spacing w:after="360" w:lineRule="exact" w:line="440"/>
      <w:jc w:val="right"/>
    </w:pPr>
    <w:rPr>
      <w:b/>
      <w:sz w:val="36"/>
    </w:rPr>
  </w:style>
  <w:style w:type="paragraph" w:styleId="style64">
    <w:name w:val="Signature"/>
    <w:basedOn w:val="style0"/>
    <w:next w:val="style64"/>
    <w:pPr>
      <w:ind w:left="4320"/>
    </w:pPr>
    <w:rPr/>
  </w:style>
  <w:style w:type="character" w:customStyle="1" w:styleId="style4128">
    <w:name w:val="Subscript"/>
    <w:next w:val="style4128"/>
    <w:rPr>
      <w:vertAlign w:val="subscript"/>
    </w:rPr>
  </w:style>
  <w:style w:type="character" w:customStyle="1" w:styleId="style4129">
    <w:name w:val="Superscript"/>
    <w:next w:val="style4129"/>
    <w:rPr>
      <w:vertAlign w:val="superscript"/>
    </w:rPr>
  </w:style>
  <w:style w:type="character" w:customStyle="1" w:styleId="style4130">
    <w:name w:val="Symbol"/>
    <w:next w:val="style4130"/>
    <w:rPr>
      <w:rFonts w:ascii="Symbol" w:hAnsi="Symbol"/>
    </w:rPr>
  </w:style>
  <w:style w:type="paragraph" w:customStyle="1" w:styleId="style4131">
    <w:name w:val="Symbol P"/>
    <w:basedOn w:val="style4099"/>
    <w:next w:val="style4131"/>
    <w:pPr>
      <w:tabs>
        <w:tab w:val="left" w:leader="none" w:pos="720"/>
        <w:tab w:val="left" w:leader="none" w:pos="3780"/>
      </w:tabs>
      <w:spacing w:after="0"/>
    </w:pPr>
    <w:rPr>
      <w:sz w:val="24"/>
    </w:rPr>
  </w:style>
  <w:style w:type="character" w:customStyle="1" w:styleId="style4132">
    <w:name w:val="BoldItal"/>
    <w:basedOn w:val="style65"/>
    <w:next w:val="style4132"/>
    <w:rPr>
      <w:b/>
      <w:i/>
    </w:rPr>
  </w:style>
  <w:style w:type="character" w:customStyle="1" w:styleId="style4133">
    <w:name w:val="SubItal"/>
    <w:next w:val="style4133"/>
    <w:rPr>
      <w:i/>
      <w:vertAlign w:val="subscript"/>
    </w:rPr>
  </w:style>
  <w:style w:type="character" w:customStyle="1" w:styleId="style4134">
    <w:name w:val="SuperItal"/>
    <w:next w:val="style4134"/>
    <w:rPr>
      <w:i/>
      <w:vertAlign w:val="superscript"/>
    </w:rPr>
  </w:style>
  <w:style w:type="character" w:customStyle="1" w:styleId="style4135">
    <w:name w:val="SymItal"/>
    <w:next w:val="style4135"/>
    <w:rPr>
      <w:rFonts w:ascii="Symbol" w:hAnsi="Symbol"/>
      <w:i/>
    </w:rPr>
  </w:style>
  <w:style w:type="character" w:styleId="style85">
    <w:name w:val="Hyperlink"/>
    <w:basedOn w:val="style65"/>
    <w:next w:val="style85"/>
    <w:rPr>
      <w:color w:val="ff0080"/>
      <w:u w:val="single"/>
    </w:rPr>
  </w:style>
  <w:style w:type="character" w:styleId="style86">
    <w:name w:val="FollowedHyperlink"/>
    <w:basedOn w:val="style65"/>
    <w:next w:val="style86"/>
    <w:rPr>
      <w:color w:val="800080"/>
      <w:u w:val="single"/>
    </w:rPr>
  </w:style>
  <w:style w:type="table" w:styleId="style154">
    <w:name w:val="Table Grid"/>
    <w:basedOn w:val="style105"/>
    <w:next w:val="style154"/>
    <w:uiPriority w:val="59"/>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80">
    <w:name w:val="Body Text 2"/>
    <w:basedOn w:val="style0"/>
    <w:next w:val="style80"/>
    <w:link w:val="style4136"/>
    <w:pPr>
      <w:spacing w:after="120" w:lineRule="auto" w:line="480"/>
    </w:pPr>
    <w:rPr/>
  </w:style>
  <w:style w:type="character" w:customStyle="1" w:styleId="style4136">
    <w:name w:val="Body Text 2 Char"/>
    <w:basedOn w:val="style65"/>
    <w:next w:val="style4136"/>
    <w:link w:val="style80"/>
    <w:rPr>
      <w:rFonts w:ascii="Helvetica" w:hAnsi="Helvetica"/>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37"/>
    <w:uiPriority w:val="99"/>
    <w:pPr/>
    <w:rPr>
      <w:rFonts w:ascii="Times New Roman" w:hAnsi="Times New Roman"/>
      <w:lang w:val="nb-NO" w:eastAsia="nb-NO"/>
    </w:rPr>
  </w:style>
  <w:style w:type="character" w:customStyle="1" w:styleId="style4137">
    <w:name w:val="Comment Text Char"/>
    <w:basedOn w:val="style65"/>
    <w:next w:val="style4137"/>
    <w:link w:val="style30"/>
    <w:uiPriority w:val="99"/>
    <w:rPr>
      <w:lang w:val="nb-NO" w:eastAsia="nb-NO"/>
    </w:rPr>
  </w:style>
  <w:style w:type="paragraph" w:styleId="style153">
    <w:name w:val="Balloon Text"/>
    <w:basedOn w:val="style0"/>
    <w:next w:val="style153"/>
    <w:link w:val="style4138"/>
    <w:pPr/>
    <w:rPr>
      <w:rFonts w:ascii="Tahoma" w:cs="Tahoma" w:hAnsi="Tahoma"/>
      <w:sz w:val="16"/>
      <w:szCs w:val="16"/>
    </w:rPr>
  </w:style>
  <w:style w:type="character" w:customStyle="1" w:styleId="style4138">
    <w:name w:val="Balloon Text Char"/>
    <w:basedOn w:val="style65"/>
    <w:next w:val="style4138"/>
    <w:link w:val="style153"/>
    <w:rPr>
      <w:rFonts w:ascii="Tahoma" w:cs="Tahoma" w:hAnsi="Tahoma"/>
      <w:sz w:val="16"/>
      <w:szCs w:val="16"/>
    </w:rPr>
  </w:style>
  <w:style w:type="paragraph" w:styleId="style81">
    <w:name w:val="Body Text 3"/>
    <w:basedOn w:val="style0"/>
    <w:next w:val="style81"/>
    <w:link w:val="style4139"/>
    <w:pPr>
      <w:spacing w:after="120"/>
    </w:pPr>
    <w:rPr>
      <w:sz w:val="16"/>
      <w:szCs w:val="16"/>
    </w:rPr>
  </w:style>
  <w:style w:type="character" w:customStyle="1" w:styleId="style4139">
    <w:name w:val="Body Text 3 Char"/>
    <w:basedOn w:val="style65"/>
    <w:next w:val="style4139"/>
    <w:link w:val="style81"/>
    <w:rPr>
      <w:rFonts w:ascii="Helvetica" w:hAnsi="Helvetica"/>
      <w:sz w:val="16"/>
      <w:szCs w:val="16"/>
    </w:rPr>
  </w:style>
  <w:style w:type="character" w:styleId="style40">
    <w:name w:val="line number"/>
    <w:basedOn w:val="style65"/>
    <w:next w:val="style40"/>
  </w:style>
  <w:style w:type="character" w:styleId="style88">
    <w:name w:val="Emphasis"/>
    <w:basedOn w:val="style65"/>
    <w:next w:val="style88"/>
    <w:qFormat/>
    <w:uiPriority w:val="20"/>
    <w:rPr>
      <w:i/>
      <w:iCs/>
    </w:rPr>
  </w:style>
  <w:style w:type="character" w:customStyle="1" w:styleId="style4140">
    <w:name w:val="Unresolved Mention1"/>
    <w:basedOn w:val="style65"/>
    <w:next w:val="style4140"/>
    <w:uiPriority w:val="99"/>
    <w:rPr>
      <w:color w:val="605e5c"/>
      <w:shd w:val="clear" w:color="auto" w:fill="e1dfdd"/>
    </w:rPr>
  </w:style>
  <w:style w:type="paragraph" w:styleId="style94">
    <w:name w:val="Normal (Web)"/>
    <w:basedOn w:val="style0"/>
    <w:next w:val="style94"/>
    <w:uiPriority w:val="99"/>
    <w:pPr>
      <w:spacing w:before="100" w:beforeAutospacing="true" w:after="100" w:afterAutospacing="true"/>
    </w:pPr>
    <w:rPr>
      <w:rFonts w:ascii="Times New Roman" w:hAnsi="Times New Roman"/>
      <w:sz w:val="24"/>
      <w:szCs w:val="24"/>
      <w:lang w:val="en-IN" w:eastAsia="en-IN"/>
    </w:rPr>
  </w:style>
  <w:style w:type="paragraph" w:customStyle="1" w:styleId="style4141">
    <w:name w:val="Table Paragraph"/>
    <w:basedOn w:val="style0"/>
    <w:next w:val="style4141"/>
    <w:qFormat/>
    <w:uiPriority w:val="1"/>
    <w:pPr>
      <w:widowControl w:val="false"/>
      <w:autoSpaceDE w:val="false"/>
      <w:autoSpaceDN w:val="false"/>
    </w:pPr>
    <w:rPr>
      <w:rFonts w:ascii="Times New Roman" w:hAnsi="Times New Roman"/>
      <w:sz w:val="22"/>
      <w:szCs w:val="22"/>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header" Target="header9.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footer" Target="footer8.xml"/><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82581-3883-4766-8E6B-B618A0C7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Words>3037</Words>
  <Pages>7</Pages>
  <Characters>17480</Characters>
  <Application>WPS Office</Application>
  <DocSecurity>0</DocSecurity>
  <Paragraphs>369</Paragraphs>
  <ScaleCrop>false</ScaleCrop>
  <Company>aaaa</Company>
  <LinksUpToDate>false</LinksUpToDate>
  <CharactersWithSpaces>20273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2025-04-27T02:52:00Z</dcterms:created>
  <dc:creator>SDI</dc:creator>
  <lastModifiedBy>FIG-LA1</lastModifiedBy>
  <lastPrinted>1999-07-06T11:00:00Z</lastPrinted>
  <dcterms:modified xsi:type="dcterms:W3CDTF">2025-05-01T19:53:41Z</dcterms:modified>
  <revision>51</revision>
  <dc:title>Paper Template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783d97e87f8a4ae9b381bd2ca0b49db7</vt:lpwstr>
  </property>
</Properties>
</file>