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BBFB" w14:textId="77777777" w:rsidR="00C82BB3" w:rsidRPr="00C82BB3" w:rsidRDefault="00C82BB3" w:rsidP="00C82BB3">
      <w:pPr>
        <w:jc w:val="center"/>
        <w:rPr>
          <w:rFonts w:ascii="Times New Roman" w:hAnsi="Times New Roman" w:cs="Times New Roman"/>
          <w:b/>
          <w:bCs/>
          <w:i/>
          <w:iCs/>
          <w:u w:val="single"/>
          <w:lang w:val="en-US"/>
        </w:rPr>
      </w:pPr>
      <w:bookmarkStart w:id="0" w:name="_Hlk197625096"/>
      <w:r w:rsidRPr="00C82BB3">
        <w:rPr>
          <w:rFonts w:ascii="Times New Roman" w:hAnsi="Times New Roman" w:cs="Times New Roman"/>
          <w:b/>
          <w:bCs/>
          <w:i/>
          <w:iCs/>
          <w:u w:val="single"/>
          <w:lang w:val="en-US"/>
        </w:rPr>
        <w:t>Original Research Article</w:t>
      </w:r>
    </w:p>
    <w:p w14:paraId="493211F0" w14:textId="50E89505" w:rsidR="00FF7381" w:rsidRDefault="00FF7381" w:rsidP="00FF7381">
      <w:pPr>
        <w:jc w:val="center"/>
        <w:rPr>
          <w:rFonts w:ascii="Times New Roman" w:hAnsi="Times New Roman" w:cs="Times New Roman"/>
          <w:b/>
          <w:lang w:val="en-US"/>
        </w:rPr>
      </w:pPr>
      <w:r w:rsidRPr="00FF7381">
        <w:rPr>
          <w:rFonts w:ascii="Times New Roman" w:hAnsi="Times New Roman" w:cs="Times New Roman"/>
          <w:b/>
          <w:lang w:val="en-US"/>
        </w:rPr>
        <w:t xml:space="preserve">Effect </w:t>
      </w:r>
      <w:r>
        <w:rPr>
          <w:rFonts w:ascii="Times New Roman" w:hAnsi="Times New Roman" w:cs="Times New Roman"/>
          <w:b/>
          <w:lang w:val="en-US"/>
        </w:rPr>
        <w:t>o</w:t>
      </w:r>
      <w:r w:rsidRPr="00FF7381">
        <w:rPr>
          <w:rFonts w:ascii="Times New Roman" w:hAnsi="Times New Roman" w:cs="Times New Roman"/>
          <w:b/>
          <w:lang w:val="en-US"/>
        </w:rPr>
        <w:t xml:space="preserve">f Nitrogen and Potassium on </w:t>
      </w:r>
      <w:r>
        <w:rPr>
          <w:rFonts w:ascii="Times New Roman" w:hAnsi="Times New Roman" w:cs="Times New Roman"/>
          <w:b/>
          <w:lang w:val="en-US"/>
        </w:rPr>
        <w:t xml:space="preserve">growth attribute and nutrient availability </w:t>
      </w:r>
      <w:r w:rsidRPr="00FF7381">
        <w:rPr>
          <w:rFonts w:ascii="Times New Roman" w:hAnsi="Times New Roman" w:cs="Times New Roman"/>
          <w:b/>
          <w:lang w:val="en-US"/>
        </w:rPr>
        <w:t>of Pearl Millet</w:t>
      </w:r>
      <w:r w:rsidR="00C77982">
        <w:rPr>
          <w:rFonts w:ascii="Times New Roman" w:hAnsi="Times New Roman" w:cs="Times New Roman"/>
          <w:b/>
          <w:lang w:val="en-US"/>
        </w:rPr>
        <w:t>.</w:t>
      </w:r>
    </w:p>
    <w:p w14:paraId="733FDAAC" w14:textId="3AF63E22" w:rsidR="006A5798" w:rsidRDefault="006A5798" w:rsidP="00FF7381">
      <w:pPr>
        <w:jc w:val="center"/>
        <w:rPr>
          <w:rFonts w:ascii="Times New Roman" w:hAnsi="Times New Roman" w:cs="Times New Roman"/>
          <w:bCs/>
          <w:lang w:val="en-US"/>
        </w:rPr>
      </w:pPr>
    </w:p>
    <w:p w14:paraId="3F9BBB0A" w14:textId="4ABE3790" w:rsidR="00176BA1" w:rsidRDefault="00176BA1" w:rsidP="00FF7381">
      <w:pPr>
        <w:jc w:val="center"/>
        <w:rPr>
          <w:rFonts w:ascii="Times New Roman" w:hAnsi="Times New Roman" w:cs="Times New Roman"/>
          <w:b/>
          <w:lang w:val="en-US"/>
        </w:rPr>
      </w:pPr>
      <w:r>
        <w:rPr>
          <w:rFonts w:ascii="Times New Roman" w:hAnsi="Times New Roman" w:cs="Times New Roman"/>
          <w:b/>
          <w:lang w:val="en-US"/>
        </w:rPr>
        <w:t xml:space="preserve">Abstract </w:t>
      </w:r>
    </w:p>
    <w:p w14:paraId="36010EB1" w14:textId="31B49279" w:rsidR="00446AC9" w:rsidRPr="00446AC9" w:rsidRDefault="00446AC9" w:rsidP="00446AC9">
      <w:pPr>
        <w:jc w:val="both"/>
        <w:rPr>
          <w:rFonts w:ascii="Times New Roman" w:hAnsi="Times New Roman" w:cs="Times New Roman"/>
          <w:bCs/>
        </w:rPr>
      </w:pPr>
      <w:r w:rsidRPr="00446AC9">
        <w:rPr>
          <w:rFonts w:ascii="Times New Roman" w:hAnsi="Times New Roman" w:cs="Times New Roman"/>
          <w:bCs/>
        </w:rPr>
        <w:t xml:space="preserve">A field experiment was conducted during the </w:t>
      </w:r>
      <w:r w:rsidRPr="00446AC9">
        <w:rPr>
          <w:rFonts w:ascii="Times New Roman" w:hAnsi="Times New Roman" w:cs="Times New Roman"/>
          <w:bCs/>
          <w:i/>
          <w:iCs/>
        </w:rPr>
        <w:t>kharif</w:t>
      </w:r>
      <w:r w:rsidRPr="00446AC9">
        <w:rPr>
          <w:rFonts w:ascii="Times New Roman" w:hAnsi="Times New Roman" w:cs="Times New Roman"/>
          <w:bCs/>
        </w:rPr>
        <w:t xml:space="preserve"> season of 2023 at MJRP College of Agriculture and Research, Jaipur, to evaluate the effect of nitrogen and potassium on growth parameters and soil nutrient availability in pearl millet (</w:t>
      </w:r>
      <w:r w:rsidRPr="00446AC9">
        <w:rPr>
          <w:rFonts w:ascii="Times New Roman" w:hAnsi="Times New Roman" w:cs="Times New Roman"/>
          <w:bCs/>
          <w:i/>
          <w:iCs/>
        </w:rPr>
        <w:t>Pennisetum glaucum</w:t>
      </w:r>
      <w:r w:rsidRPr="00446AC9">
        <w:rPr>
          <w:rFonts w:ascii="Times New Roman" w:hAnsi="Times New Roman" w:cs="Times New Roman"/>
          <w:bCs/>
        </w:rPr>
        <w:t xml:space="preserve"> L.). The experiment comprised eight treatments arranged in a Randomized Block Design with three replications. Treatments included varying levels of nitrogen (60, 80</w:t>
      </w:r>
      <w:r w:rsidRPr="00232668">
        <w:rPr>
          <w:rFonts w:ascii="Times New Roman" w:hAnsi="Times New Roman" w:cs="Times New Roman"/>
          <w:bCs/>
          <w:color w:val="FF0000"/>
        </w:rPr>
        <w:t xml:space="preserve">, and </w:t>
      </w:r>
      <w:r w:rsidRPr="00446AC9">
        <w:rPr>
          <w:rFonts w:ascii="Times New Roman" w:hAnsi="Times New Roman" w:cs="Times New Roman"/>
          <w:bCs/>
        </w:rPr>
        <w:t>100 kg ha⁻¹) and potassium (20 and 40 kg ha⁻¹), along with a fixed phosphorus dose (30 kg P₂O₅ ha⁻¹) and a soil test-based treatment. The hybrid variety PHB-3 was used</w:t>
      </w:r>
      <w:r w:rsidRPr="00232668">
        <w:rPr>
          <w:rFonts w:ascii="Times New Roman" w:hAnsi="Times New Roman" w:cs="Times New Roman"/>
          <w:bCs/>
          <w:color w:val="FF0000"/>
        </w:rPr>
        <w:t xml:space="preserve">, and </w:t>
      </w:r>
      <w:r w:rsidRPr="00446AC9">
        <w:rPr>
          <w:rFonts w:ascii="Times New Roman" w:hAnsi="Times New Roman" w:cs="Times New Roman"/>
          <w:bCs/>
        </w:rPr>
        <w:t>observations were recorded on plant population, height, dry matter production, and post-harvest soil properties at two depths (0–15 cm and 15–30 cm).</w:t>
      </w:r>
      <w:r>
        <w:rPr>
          <w:rFonts w:ascii="Times New Roman" w:hAnsi="Times New Roman" w:cs="Times New Roman"/>
          <w:bCs/>
        </w:rPr>
        <w:t xml:space="preserve"> </w:t>
      </w:r>
      <w:r w:rsidRPr="00446AC9">
        <w:rPr>
          <w:rFonts w:ascii="Times New Roman" w:hAnsi="Times New Roman" w:cs="Times New Roman"/>
          <w:bCs/>
        </w:rPr>
        <w:t xml:space="preserve">Results indicated that nutrient management significantly influenced all growth parameters. The treatment </w:t>
      </w:r>
      <w:r w:rsidRPr="00232668">
        <w:rPr>
          <w:rFonts w:ascii="Times New Roman" w:hAnsi="Times New Roman" w:cs="Times New Roman"/>
          <w:bCs/>
          <w:color w:val="FF0000"/>
        </w:rPr>
        <w:t>T7</w:t>
      </w:r>
      <w:r w:rsidRPr="00446AC9">
        <w:rPr>
          <w:rFonts w:ascii="Times New Roman" w:hAnsi="Times New Roman" w:cs="Times New Roman"/>
          <w:bCs/>
        </w:rPr>
        <w:t xml:space="preserve"> (100 kg N + 30 kg P₂O₅ + 40 kg K₂O ha⁻¹) produced the highest plant population (117628 ha⁻¹), plant height (172.60 cm), and dry matter yield (7539.67 kg ha⁻¹). Soil analysis revealed that this treatment also resulted in higher values of organic carbon, cation exchange capacity</w:t>
      </w:r>
      <w:r w:rsidRPr="00232668">
        <w:rPr>
          <w:rFonts w:ascii="Times New Roman" w:hAnsi="Times New Roman" w:cs="Times New Roman"/>
          <w:bCs/>
          <w:color w:val="FF0000"/>
        </w:rPr>
        <w:t xml:space="preserve">, and </w:t>
      </w:r>
      <w:r w:rsidRPr="00446AC9">
        <w:rPr>
          <w:rFonts w:ascii="Times New Roman" w:hAnsi="Times New Roman" w:cs="Times New Roman"/>
          <w:bCs/>
        </w:rPr>
        <w:t>available nitrogen and potassium, especially at the 15–30 cm depth. The soil test-based treatment (</w:t>
      </w:r>
      <w:r w:rsidRPr="00232668">
        <w:rPr>
          <w:rFonts w:ascii="Times New Roman" w:hAnsi="Times New Roman" w:cs="Times New Roman"/>
          <w:bCs/>
          <w:color w:val="FF0000"/>
        </w:rPr>
        <w:t>T8</w:t>
      </w:r>
      <w:r w:rsidR="00E960D3">
        <w:rPr>
          <w:rFonts w:ascii="Times New Roman" w:hAnsi="Times New Roman" w:cs="Times New Roman"/>
          <w:bCs/>
        </w:rPr>
        <w:t>-</w:t>
      </w:r>
      <w:r w:rsidR="00E960D3" w:rsidRPr="00E960D3">
        <w:rPr>
          <w:rFonts w:ascii="Times New Roman" w:hAnsi="Times New Roman" w:cs="Times New Roman"/>
        </w:rPr>
        <w:t xml:space="preserve"> </w:t>
      </w:r>
      <w:r w:rsidR="00E960D3" w:rsidRPr="00211C3B">
        <w:rPr>
          <w:rFonts w:ascii="Times New Roman" w:hAnsi="Times New Roman" w:cs="Times New Roman"/>
        </w:rPr>
        <w:t>Application of N, P</w:t>
      </w:r>
      <w:r w:rsidR="00E960D3" w:rsidRPr="00211C3B">
        <w:rPr>
          <w:rFonts w:ascii="Times New Roman" w:hAnsi="Times New Roman" w:cs="Times New Roman"/>
          <w:vertAlign w:val="subscript"/>
        </w:rPr>
        <w:t>2</w:t>
      </w:r>
      <w:r w:rsidR="00E960D3" w:rsidRPr="00211C3B">
        <w:rPr>
          <w:rFonts w:ascii="Times New Roman" w:hAnsi="Times New Roman" w:cs="Times New Roman"/>
        </w:rPr>
        <w:t>O</w:t>
      </w:r>
      <w:r w:rsidR="00E960D3" w:rsidRPr="00211C3B">
        <w:rPr>
          <w:rFonts w:ascii="Times New Roman" w:hAnsi="Times New Roman" w:cs="Times New Roman"/>
          <w:vertAlign w:val="subscript"/>
        </w:rPr>
        <w:t>5</w:t>
      </w:r>
      <w:r w:rsidR="00E960D3" w:rsidRPr="00211C3B">
        <w:rPr>
          <w:rFonts w:ascii="Times New Roman" w:hAnsi="Times New Roman" w:cs="Times New Roman"/>
        </w:rPr>
        <w:t xml:space="preserve"> and K</w:t>
      </w:r>
      <w:r w:rsidR="00E960D3" w:rsidRPr="00211C3B">
        <w:rPr>
          <w:rFonts w:ascii="Times New Roman" w:hAnsi="Times New Roman" w:cs="Times New Roman"/>
          <w:vertAlign w:val="subscript"/>
        </w:rPr>
        <w:t>2</w:t>
      </w:r>
      <w:r w:rsidR="00E960D3" w:rsidRPr="00211C3B">
        <w:rPr>
          <w:rFonts w:ascii="Times New Roman" w:hAnsi="Times New Roman" w:cs="Times New Roman"/>
        </w:rPr>
        <w:t>O based on Soil Test Values.</w:t>
      </w:r>
      <w:r w:rsidRPr="00446AC9">
        <w:rPr>
          <w:rFonts w:ascii="Times New Roman" w:hAnsi="Times New Roman" w:cs="Times New Roman"/>
          <w:bCs/>
        </w:rPr>
        <w:t>) also improved soil fertility indicators, highlighting the benefit of targeted nutrient application.</w:t>
      </w:r>
      <w:r>
        <w:rPr>
          <w:rFonts w:ascii="Times New Roman" w:hAnsi="Times New Roman" w:cs="Times New Roman"/>
          <w:bCs/>
        </w:rPr>
        <w:t xml:space="preserve"> </w:t>
      </w:r>
      <w:r w:rsidRPr="00446AC9">
        <w:rPr>
          <w:rFonts w:ascii="Times New Roman" w:hAnsi="Times New Roman" w:cs="Times New Roman"/>
          <w:bCs/>
        </w:rPr>
        <w:t>The balanced application of nitrogen and potassium significantly enhances both crop performance and soil fertility under rainfed conditions. The results emphasize the importance of integrated nutrient management, particularly in semi-arid regions where soil fertility is often limiting. Adoption of such practices can help achieve higher and more sustainable productivity in pearl millet cultivation, while also maintaining long-term soil health.</w:t>
      </w:r>
    </w:p>
    <w:p w14:paraId="619D7E61" w14:textId="7763FD07" w:rsidR="00446AC9" w:rsidRPr="00446AC9" w:rsidRDefault="00446AC9" w:rsidP="00446AC9">
      <w:pPr>
        <w:jc w:val="both"/>
        <w:rPr>
          <w:rFonts w:ascii="Times New Roman" w:hAnsi="Times New Roman" w:cs="Times New Roman"/>
          <w:bCs/>
        </w:rPr>
      </w:pPr>
      <w:r w:rsidRPr="00446AC9">
        <w:rPr>
          <w:rFonts w:ascii="Times New Roman" w:hAnsi="Times New Roman" w:cs="Times New Roman"/>
          <w:b/>
          <w:bCs/>
        </w:rPr>
        <w:t>Keywords</w:t>
      </w:r>
      <w:r w:rsidRPr="00446AC9">
        <w:rPr>
          <w:rFonts w:ascii="Times New Roman" w:hAnsi="Times New Roman" w:cs="Times New Roman"/>
          <w:bCs/>
        </w:rPr>
        <w:t xml:space="preserve">: </w:t>
      </w:r>
      <w:r w:rsidRPr="00446AC9">
        <w:rPr>
          <w:rFonts w:ascii="Times New Roman" w:hAnsi="Times New Roman" w:cs="Times New Roman"/>
          <w:bCs/>
          <w:i/>
          <w:iCs/>
        </w:rPr>
        <w:t xml:space="preserve">Pearl </w:t>
      </w:r>
      <w:r w:rsidR="00536581" w:rsidRPr="00446AC9">
        <w:rPr>
          <w:rFonts w:ascii="Times New Roman" w:hAnsi="Times New Roman" w:cs="Times New Roman"/>
          <w:bCs/>
          <w:i/>
          <w:iCs/>
        </w:rPr>
        <w:t>Millet, Nitrogen, Potassium, Dry Matter Production, Soil Fertility, Nutrient Management, Semi-Arid.</w:t>
      </w:r>
    </w:p>
    <w:p w14:paraId="79B6AD94" w14:textId="77777777" w:rsidR="00176BA1" w:rsidRPr="00176BA1" w:rsidRDefault="00176BA1" w:rsidP="00176BA1">
      <w:pPr>
        <w:rPr>
          <w:rFonts w:ascii="Times New Roman" w:hAnsi="Times New Roman" w:cs="Times New Roman"/>
          <w:b/>
          <w:lang w:val="en-US"/>
        </w:rPr>
      </w:pPr>
      <w:r w:rsidRPr="00176BA1">
        <w:rPr>
          <w:rFonts w:ascii="Times New Roman" w:hAnsi="Times New Roman" w:cs="Times New Roman"/>
          <w:b/>
          <w:lang w:val="en-US"/>
        </w:rPr>
        <w:t>INTRODUCTION</w:t>
      </w:r>
    </w:p>
    <w:p w14:paraId="702E07B7" w14:textId="627A2B41"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Pearl millet (</w:t>
      </w:r>
      <w:r w:rsidRPr="00095E7F">
        <w:rPr>
          <w:rFonts w:ascii="Times New Roman" w:hAnsi="Times New Roman" w:cs="Times New Roman"/>
          <w:bCs/>
          <w:i/>
          <w:iCs/>
          <w:lang w:val="en-US"/>
        </w:rPr>
        <w:t>Pennisetum glaucum</w:t>
      </w:r>
      <w:r w:rsidRPr="00176BA1">
        <w:rPr>
          <w:rFonts w:ascii="Times New Roman" w:hAnsi="Times New Roman" w:cs="Times New Roman"/>
          <w:bCs/>
          <w:lang w:val="en-US"/>
        </w:rPr>
        <w:t xml:space="preserve"> L.), also known locally as bajra, is among the most important food and fodder crops cultivated in arid and semi-arid regions of the world. Ranking fifth after rice, wheat, maize, and sorghum, it is a climate-resilient cereal well adapted to harsh growing conditions including drought, low soil fertility, and high temperatures</w:t>
      </w:r>
      <w:r w:rsidR="000C0B2A">
        <w:rPr>
          <w:rFonts w:ascii="Times New Roman" w:hAnsi="Times New Roman" w:cs="Times New Roman"/>
          <w:bCs/>
          <w:lang w:val="en-US"/>
        </w:rPr>
        <w:t xml:space="preserve"> (</w:t>
      </w:r>
      <w:r w:rsidR="000C0B2A" w:rsidRPr="00232668">
        <w:rPr>
          <w:color w:val="FF0000"/>
        </w:rPr>
        <w:t>Muitire et al., 2021)</w:t>
      </w:r>
      <w:r w:rsidR="000C0B2A" w:rsidRPr="00232668">
        <w:rPr>
          <w:rFonts w:ascii="Times New Roman" w:hAnsi="Times New Roman" w:cs="Times New Roman"/>
          <w:bCs/>
          <w:color w:val="FF0000"/>
          <w:lang w:val="en-US"/>
        </w:rPr>
        <w:t>)</w:t>
      </w:r>
      <w:r w:rsidRPr="00232668">
        <w:rPr>
          <w:rFonts w:ascii="Times New Roman" w:hAnsi="Times New Roman" w:cs="Times New Roman"/>
          <w:bCs/>
          <w:color w:val="FF0000"/>
          <w:lang w:val="en-US"/>
        </w:rPr>
        <w:t xml:space="preserve">. </w:t>
      </w:r>
      <w:r w:rsidRPr="00176BA1">
        <w:rPr>
          <w:rFonts w:ascii="Times New Roman" w:hAnsi="Times New Roman" w:cs="Times New Roman"/>
          <w:bCs/>
          <w:lang w:val="en-US"/>
        </w:rPr>
        <w:t>Due to its robust root system and efficient use of limited water resources, pearl millet thrives in regions receiving as little as 200 to 600 mm of annual rainfall</w:t>
      </w:r>
      <w:r w:rsidR="00095E7F">
        <w:rPr>
          <w:rFonts w:ascii="Times New Roman" w:hAnsi="Times New Roman" w:cs="Times New Roman"/>
          <w:bCs/>
          <w:lang w:val="en-US"/>
        </w:rPr>
        <w:t xml:space="preserve"> </w:t>
      </w:r>
      <w:r w:rsidRPr="00176BA1">
        <w:rPr>
          <w:rFonts w:ascii="Times New Roman" w:hAnsi="Times New Roman" w:cs="Times New Roman"/>
          <w:bCs/>
          <w:lang w:val="en-US"/>
        </w:rPr>
        <w:t xml:space="preserve">conditions under which other cereals like maize and sorghum struggle to survive. Its cultivation is largely concentrated in Africa and Asia, which together contribute to </w:t>
      </w:r>
      <w:r w:rsidRPr="0097241A">
        <w:rPr>
          <w:rFonts w:ascii="Times New Roman" w:hAnsi="Times New Roman" w:cs="Times New Roman"/>
          <w:bCs/>
          <w:lang w:val="en-US"/>
        </w:rPr>
        <w:t>nearly 95% of global production, with India and several sub-Saharan African nations being the primary producers (National Research Council, 2023).</w:t>
      </w:r>
    </w:p>
    <w:p w14:paraId="0990EAF4" w14:textId="3A705D49"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Globally, pearl millet is grown on approximately 29 million hectares, with Africa accounting for about 60% of the area and Asia 35%. The crop is a staple for over 500 million people, especially in marginal environments, due to its high calorific value and nutrient-rich composition</w:t>
      </w:r>
      <w:r w:rsidR="00803B14">
        <w:rPr>
          <w:rFonts w:ascii="Times New Roman" w:hAnsi="Times New Roman" w:cs="Times New Roman"/>
          <w:bCs/>
          <w:lang w:val="en-US"/>
        </w:rPr>
        <w:t xml:space="preserve"> (</w:t>
      </w:r>
      <w:r w:rsidR="00803B14" w:rsidRPr="00232668">
        <w:rPr>
          <w:color w:val="FF0000"/>
        </w:rPr>
        <w:t>Tonapi et al., 2024</w:t>
      </w:r>
      <w:r w:rsidR="00803B14" w:rsidRPr="00803B14">
        <w:t>)</w:t>
      </w:r>
      <w:r w:rsidRPr="00176BA1">
        <w:rPr>
          <w:rFonts w:ascii="Times New Roman" w:hAnsi="Times New Roman" w:cs="Times New Roman"/>
          <w:bCs/>
          <w:lang w:val="en-US"/>
        </w:rPr>
        <w:t>. The grains contain 11–19% protein, 60–78% carbohydrates, 3.0–4.6% fat, and appreciable levels of micronutrients such as phosphorus and iron. Besides human consumption, it also serves as valuable fodder, contributing to livestock nutrition, especially in mixed farming systems.</w:t>
      </w:r>
      <w:r w:rsidR="004C618B">
        <w:rPr>
          <w:rFonts w:ascii="Times New Roman" w:hAnsi="Times New Roman" w:cs="Times New Roman"/>
          <w:bCs/>
          <w:lang w:val="en-US"/>
        </w:rPr>
        <w:t xml:space="preserve"> </w:t>
      </w:r>
      <w:r w:rsidRPr="00176BA1">
        <w:rPr>
          <w:rFonts w:ascii="Times New Roman" w:hAnsi="Times New Roman" w:cs="Times New Roman"/>
          <w:bCs/>
          <w:lang w:val="en-US"/>
        </w:rPr>
        <w:t xml:space="preserve">In India, pearl millet is cultivated on about 9.3 million hectares, producing an annual average of 9.3 million tonnes with a national productivity of approximately 1044 kg ha⁻¹. It ranks fourth among cereals and second among coarse cereals in the country. Rajasthan is the leading state in terms of area, contributing significantly to the national production, though its productivity (1749 kg ha⁻¹) remains below that of states like Haryana (2040 kg ha⁻¹) and Madhya Pradesh (1924 kg ha⁻¹). The low </w:t>
      </w:r>
      <w:r w:rsidRPr="00176BA1">
        <w:rPr>
          <w:rFonts w:ascii="Times New Roman" w:hAnsi="Times New Roman" w:cs="Times New Roman"/>
          <w:bCs/>
          <w:lang w:val="en-US"/>
        </w:rPr>
        <w:lastRenderedPageBreak/>
        <w:t>productivity in Rajasthan, despite its vast cultivation area, underscores the need for improved nutrient and crop management practices.</w:t>
      </w:r>
    </w:p>
    <w:p w14:paraId="7EDBCD72" w14:textId="634F81F9"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Pearl millet’s short growing cycle makes it highly suitable for multiple cropping systems</w:t>
      </w:r>
      <w:r w:rsidR="000C0B2A">
        <w:rPr>
          <w:rFonts w:ascii="Times New Roman" w:hAnsi="Times New Roman" w:cs="Times New Roman"/>
          <w:bCs/>
          <w:lang w:val="en-US"/>
        </w:rPr>
        <w:t xml:space="preserve"> (</w:t>
      </w:r>
      <w:r w:rsidR="000C0B2A" w:rsidRPr="00FB2F94">
        <w:t xml:space="preserve">De Rouw, </w:t>
      </w:r>
      <w:r w:rsidR="000C0B2A">
        <w:t xml:space="preserve">, </w:t>
      </w:r>
      <w:r w:rsidR="000C0B2A" w:rsidRPr="00FB2F94">
        <w:t>2004</w:t>
      </w:r>
      <w:r w:rsidR="000C0B2A">
        <w:rPr>
          <w:rFonts w:ascii="Times New Roman" w:hAnsi="Times New Roman" w:cs="Times New Roman"/>
          <w:bCs/>
          <w:lang w:val="en-US"/>
        </w:rPr>
        <w:t>)</w:t>
      </w:r>
      <w:r w:rsidRPr="00176BA1">
        <w:rPr>
          <w:rFonts w:ascii="Times New Roman" w:hAnsi="Times New Roman" w:cs="Times New Roman"/>
          <w:bCs/>
          <w:lang w:val="en-US"/>
        </w:rPr>
        <w:t xml:space="preserve">. </w:t>
      </w:r>
      <w:r w:rsidR="00A1607A">
        <w:rPr>
          <w:rFonts w:ascii="Times New Roman" w:hAnsi="Times New Roman" w:cs="Times New Roman"/>
          <w:bCs/>
          <w:lang w:val="en-US"/>
        </w:rPr>
        <w:t>D</w:t>
      </w:r>
      <w:r w:rsidRPr="00176BA1">
        <w:rPr>
          <w:rFonts w:ascii="Times New Roman" w:hAnsi="Times New Roman" w:cs="Times New Roman"/>
          <w:bCs/>
          <w:lang w:val="en-US"/>
        </w:rPr>
        <w:t>espite its resilience, its yield potential is often constrained by poor soil fertility and imbalanced nutrient management. Among essential macronutrients, nitrogen (N) plays a pivotal role in vegetative growth and biomass accumulation, while potassium (K) enhances water-use efficiency, stress tolerance, and nutrient uptake. In sandy loam soils typical of Rajasthan, native nitrogen availability is often low, and potassium dynamics can be complex due to leaching</w:t>
      </w:r>
      <w:r w:rsidR="00A1607A">
        <w:rPr>
          <w:rFonts w:ascii="Times New Roman" w:hAnsi="Times New Roman" w:cs="Times New Roman"/>
          <w:bCs/>
          <w:lang w:val="en-US"/>
        </w:rPr>
        <w:t xml:space="preserve"> </w:t>
      </w:r>
      <w:r w:rsidR="00A1607A" w:rsidRPr="00232668">
        <w:rPr>
          <w:rFonts w:ascii="Times New Roman" w:hAnsi="Times New Roman" w:cs="Times New Roman"/>
          <w:bCs/>
          <w:color w:val="FF0000"/>
          <w:lang w:val="en-US"/>
        </w:rPr>
        <w:t>(</w:t>
      </w:r>
      <w:r w:rsidR="00A1607A" w:rsidRPr="00232668">
        <w:rPr>
          <w:color w:val="FF0000"/>
        </w:rPr>
        <w:t>Singhal et al., 2023</w:t>
      </w:r>
      <w:r w:rsidR="00A1607A" w:rsidRPr="00232668">
        <w:rPr>
          <w:rFonts w:ascii="Times New Roman" w:hAnsi="Times New Roman" w:cs="Times New Roman"/>
          <w:bCs/>
          <w:color w:val="FF0000"/>
          <w:lang w:val="en-US"/>
        </w:rPr>
        <w:t>)</w:t>
      </w:r>
      <w:r w:rsidRPr="00176BA1">
        <w:rPr>
          <w:rFonts w:ascii="Times New Roman" w:hAnsi="Times New Roman" w:cs="Times New Roman"/>
          <w:bCs/>
          <w:lang w:val="en-US"/>
        </w:rPr>
        <w:t xml:space="preserve">. </w:t>
      </w:r>
      <w:r w:rsidR="00A1607A">
        <w:rPr>
          <w:rFonts w:ascii="Times New Roman" w:hAnsi="Times New Roman" w:cs="Times New Roman"/>
          <w:bCs/>
          <w:lang w:val="en-US"/>
        </w:rPr>
        <w:t>O</w:t>
      </w:r>
      <w:r w:rsidRPr="00176BA1">
        <w:rPr>
          <w:rFonts w:ascii="Times New Roman" w:hAnsi="Times New Roman" w:cs="Times New Roman"/>
          <w:bCs/>
          <w:lang w:val="en-US"/>
        </w:rPr>
        <w:t>ptimizing N and K fertilization is vital for maximizing pearl millet productivity and ensuring sustainable nutrient availability in the soil.</w:t>
      </w:r>
      <w:r w:rsidR="004C618B">
        <w:rPr>
          <w:rFonts w:ascii="Times New Roman" w:hAnsi="Times New Roman" w:cs="Times New Roman"/>
          <w:bCs/>
          <w:lang w:val="en-US"/>
        </w:rPr>
        <w:t xml:space="preserve"> </w:t>
      </w:r>
      <w:r w:rsidRPr="00176BA1">
        <w:rPr>
          <w:rFonts w:ascii="Times New Roman" w:hAnsi="Times New Roman" w:cs="Times New Roman"/>
          <w:bCs/>
          <w:lang w:val="en-US"/>
        </w:rPr>
        <w:t>Although extensive research has been done on the role of nitrogen in cereal crops, the combined effect of nitrogen and potassium on pearl millet growth and soil nutrient dynamics under rainfed conditions remains underexplored. This study was thus undertaken to evaluate the influence of varying nitrogen and potassium levels on growth attributes, dry matter production, and nutrient availability in pearl millet, aiming to establish region-specific nutrient management strategies for enhanced productivity and soil fertility sustainability in semi-arid agroecosystems.</w:t>
      </w:r>
    </w:p>
    <w:bookmarkEnd w:id="0"/>
    <w:p w14:paraId="04D17122"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b/>
          <w:bCs/>
          <w:spacing w:val="-2"/>
          <w:kern w:val="0"/>
          <w:sz w:val="20"/>
          <w:szCs w:val="20"/>
          <w14:ligatures w14:val="none"/>
        </w:rPr>
      </w:pPr>
      <w:r w:rsidRPr="0098165F">
        <w:rPr>
          <w:rFonts w:ascii="Times New Roman" w:eastAsia="Times New Roman" w:hAnsi="Times New Roman" w:cs="Times New Roman"/>
          <w:b/>
          <w:bCs/>
          <w:spacing w:val="-2"/>
          <w:kern w:val="0"/>
          <w:sz w:val="20"/>
          <w:szCs w:val="20"/>
          <w14:ligatures w14:val="none"/>
        </w:rPr>
        <w:t>MATERIALS AND METHODS</w:t>
      </w:r>
    </w:p>
    <w:p w14:paraId="71EDD72D"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field experiment was conducted during the </w:t>
      </w:r>
      <w:r w:rsidRPr="0098165F">
        <w:rPr>
          <w:rFonts w:ascii="Times New Roman" w:eastAsia="Times New Roman" w:hAnsi="Times New Roman" w:cs="Times New Roman"/>
          <w:i/>
          <w:iCs/>
          <w:spacing w:val="-2"/>
          <w:kern w:val="0"/>
          <w14:ligatures w14:val="none"/>
        </w:rPr>
        <w:t>kharif</w:t>
      </w:r>
      <w:r w:rsidRPr="0098165F">
        <w:rPr>
          <w:rFonts w:ascii="Times New Roman" w:eastAsia="Times New Roman" w:hAnsi="Times New Roman" w:cs="Times New Roman"/>
          <w:spacing w:val="-2"/>
          <w:kern w:val="0"/>
          <w14:ligatures w14:val="none"/>
        </w:rPr>
        <w:t xml:space="preserve"> season of 2023 at the MJRP College of Agriculture and Research, Jaipur, located at 30°23′ N latitude and 76°47′ E longitude, with an elevation of 264 meters above mean sea level. The area lies in a semi-arid, subtropical region. Weather data during the crop growth period recorded weekly average maximum and minimum temperatures ranging from 30.54 °C to 38.50 °C and 23.41 °C to 27.93 °C, respectively. The average relative humidity was 79.09%, sunshine duration ranged from 0.61 to 7.56 hours per day, and the total rainfall received was 456 mm, with 280.5 mm falling over six rainy days.</w:t>
      </w:r>
    </w:p>
    <w:p w14:paraId="4C64D188"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The experimental field had sandy loam soil with neutral pH (7.35), electrical conductivity of 0.068 dS m⁻¹, and organic carbon content of 0.63%. It was low in available nitrogen (150.52 kg ha⁻¹), and high in available phosphorus (159.97 kg P₂O₅ ha⁻¹) and potassium (422.01 kg K₂O ha⁻¹). The experiment was laid out in a Randomized Block Design (RBD) with eight treatments and three replications. The net plot size was 5.0 m × 4.5 m (22.5 m²). Treatments included different combinations of nitrogen (60, 80</w:t>
      </w:r>
      <w:r w:rsidRPr="00232668">
        <w:rPr>
          <w:rFonts w:ascii="Times New Roman" w:eastAsia="Times New Roman" w:hAnsi="Times New Roman" w:cs="Times New Roman"/>
          <w:color w:val="FF0000"/>
          <w:spacing w:val="-2"/>
          <w:kern w:val="0"/>
          <w14:ligatures w14:val="none"/>
        </w:rPr>
        <w:t xml:space="preserve">, and </w:t>
      </w:r>
      <w:r w:rsidRPr="0098165F">
        <w:rPr>
          <w:rFonts w:ascii="Times New Roman" w:eastAsia="Times New Roman" w:hAnsi="Times New Roman" w:cs="Times New Roman"/>
          <w:spacing w:val="-2"/>
          <w:kern w:val="0"/>
          <w14:ligatures w14:val="none"/>
        </w:rPr>
        <w:t>100 kg ha⁻¹) and potassium (20 and 40 kg ha⁻¹) with a fixed phosphorus dose (30 kg P₂O₅ ha⁻¹), alongside a control and one soil test-based treatment (78 kg N, 21 kg P₂O₅, and 14 kg K₂O ha⁻¹).</w:t>
      </w:r>
    </w:p>
    <w:p w14:paraId="52C735BB" w14:textId="5C97963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pearl millet hybrid PHB-3 was sown on June 17, 2023, using a seed rate of 4 kg ha⁻¹. Seeds were treated with carbendazim @ 2 g kg⁻¹ to prevent seed-borne diseases. The land was prepared with two passes of a tractor-drawn cultivator, harrowing, and </w:t>
      </w:r>
      <w:r w:rsidR="002F5FC8" w:rsidRPr="006A5798">
        <w:rPr>
          <w:rFonts w:ascii="Times New Roman" w:eastAsia="Times New Roman" w:hAnsi="Times New Roman" w:cs="Times New Roman"/>
          <w:spacing w:val="-2"/>
          <w:kern w:val="0"/>
          <w14:ligatures w14:val="none"/>
        </w:rPr>
        <w:t>levelling</w:t>
      </w:r>
      <w:r w:rsidRPr="0098165F">
        <w:rPr>
          <w:rFonts w:ascii="Times New Roman" w:eastAsia="Times New Roman" w:hAnsi="Times New Roman" w:cs="Times New Roman"/>
          <w:spacing w:val="-2"/>
          <w:kern w:val="0"/>
          <w14:ligatures w14:val="none"/>
        </w:rPr>
        <w:t xml:space="preserve">, followed by furrow formation at 45 cm spacing. Urea (46% N) was used as the nitrogen source, applied in two equal splits—at sowing and at 30 days after transplanting (DAT). Phosphorus was supplied through single super phosphate (16% P₂O₅), and potassium through muriate of potash (60% K₂O), both applied basally. One protective irrigation was applied after sowing, and the rest of the crop was grown under rainfed conditions. Hand weeding was done at 15 days after sowing, and stem borer infestation was controlled with chlorpyriphos @ 2.5 ml L⁻¹. Bird scaring was arranged from the 65th day until </w:t>
      </w:r>
      <w:r w:rsidRPr="0098165F">
        <w:rPr>
          <w:rFonts w:ascii="Times New Roman" w:eastAsia="Times New Roman" w:hAnsi="Times New Roman" w:cs="Times New Roman"/>
          <w:spacing w:val="-2"/>
          <w:kern w:val="0"/>
          <w14:ligatures w14:val="none"/>
        </w:rPr>
        <w:lastRenderedPageBreak/>
        <w:t>harvest.</w:t>
      </w:r>
    </w:p>
    <w:p w14:paraId="3F653348"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Biometric observations included plant height and dry matter accumulation. Plant height was recorded from five randomly selected plants per plot at 30 and 60 DAT and at harvest. Dry matter was estimated by collecting five plants per plot at each stage, drying them first in sunlight and then in an oven at 60 °C to constant weight, and expressing the values as kg ha⁻¹.</w:t>
      </w:r>
    </w:p>
    <w:p w14:paraId="286D1DA9" w14:textId="1B895960"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Post-harvest soil samples were collected from two depths (0–15 cm and 15–30 cm) from each plot. The samples were air-dried, ground, sieved (2 mm), and stored for laboratory analysis. Soil pH was measured in 1:2 soil-water suspension using a glass electrode pH meter as described by Jackson (1973). Electrical conductivity (EC) was determined using a digital EC meter in 1:2 soil-water suspension following Richards et al. (1954). Organic carbon was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by the wet oxidation method proposed by Walkley and Black (1934), as modified by Jackson (1973). Cation Exchange Capacity (CEC) was determined by the ammonium acetate method using sodium saturation and flame photometry according to </w:t>
      </w:r>
      <w:r w:rsidRPr="00232668">
        <w:rPr>
          <w:rFonts w:ascii="Times New Roman" w:eastAsia="Times New Roman" w:hAnsi="Times New Roman" w:cs="Times New Roman"/>
          <w:color w:val="FF0000"/>
          <w:spacing w:val="-2"/>
          <w:kern w:val="0"/>
          <w14:ligatures w14:val="none"/>
        </w:rPr>
        <w:t>Bower et al. (1952).</w:t>
      </w:r>
    </w:p>
    <w:p w14:paraId="7D17A153" w14:textId="483E232D"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mechanical composition of the soil (texture) was determined by the hydrometer method as per Piper (1950). Available nitrogen was estimated using the alkaline permanganate method developed by Subbiah and Asija (1956). Available phosphorus was extracted with 0.5 M NaHCO₃ (pH 8.5) and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w:t>
      </w:r>
      <w:r w:rsidR="002F5FC8" w:rsidRPr="006A5798">
        <w:rPr>
          <w:rFonts w:ascii="Times New Roman" w:eastAsia="Times New Roman" w:hAnsi="Times New Roman" w:cs="Times New Roman"/>
          <w:spacing w:val="-2"/>
          <w:kern w:val="0"/>
          <w14:ligatures w14:val="none"/>
        </w:rPr>
        <w:t>calorimetrically</w:t>
      </w:r>
      <w:r w:rsidRPr="0098165F">
        <w:rPr>
          <w:rFonts w:ascii="Times New Roman" w:eastAsia="Times New Roman" w:hAnsi="Times New Roman" w:cs="Times New Roman"/>
          <w:spacing w:val="-2"/>
          <w:kern w:val="0"/>
          <w14:ligatures w14:val="none"/>
        </w:rPr>
        <w:t xml:space="preserve"> using a spectrophotometer at 660 nm, as described by Ols</w:t>
      </w:r>
      <w:r w:rsidRPr="00232668">
        <w:rPr>
          <w:rFonts w:ascii="Times New Roman" w:eastAsia="Times New Roman" w:hAnsi="Times New Roman" w:cs="Times New Roman"/>
          <w:color w:val="FF0000"/>
          <w:spacing w:val="-2"/>
          <w:kern w:val="0"/>
          <w14:ligatures w14:val="none"/>
        </w:rPr>
        <w:t xml:space="preserve">en et al. (1954). </w:t>
      </w:r>
      <w:r w:rsidRPr="0098165F">
        <w:rPr>
          <w:rFonts w:ascii="Times New Roman" w:eastAsia="Times New Roman" w:hAnsi="Times New Roman" w:cs="Times New Roman"/>
          <w:spacing w:val="-2"/>
          <w:kern w:val="0"/>
          <w14:ligatures w14:val="none"/>
        </w:rPr>
        <w:t>Available potassium was extracted with neutral normal ammonium acetate and determined using a flame photometer following the procedure of Jackson (1973).</w:t>
      </w:r>
    </w:p>
    <w:p w14:paraId="0E94F18E" w14:textId="091E6BB3"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All experimental data were statistically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using analysis of variance (ANOVA) as described by Panse and Sukhatme (1978) for the Randomized Block Design. Significance of treatment differences was tested at the 5% probability level. Where significant, the critical difference (CD) was calculated and reported.</w:t>
      </w:r>
    </w:p>
    <w:p w14:paraId="31572708" w14:textId="77777777" w:rsidR="001916AF" w:rsidRPr="00181E53" w:rsidRDefault="001916AF" w:rsidP="00FF0B69">
      <w:pPr>
        <w:widowControl w:val="0"/>
        <w:autoSpaceDE w:val="0"/>
        <w:autoSpaceDN w:val="0"/>
        <w:spacing w:after="0" w:line="360" w:lineRule="auto"/>
        <w:ind w:right="228"/>
        <w:jc w:val="both"/>
        <w:rPr>
          <w:rFonts w:ascii="Times New Roman" w:eastAsia="Times New Roman" w:hAnsi="Times New Roman" w:cs="Times New Roman"/>
          <w:kern w:val="0"/>
          <w:sz w:val="27"/>
          <w:szCs w:val="27"/>
          <w:lang w:val="en-US"/>
          <w14:ligatures w14:val="none"/>
        </w:rPr>
      </w:pPr>
    </w:p>
    <w:p w14:paraId="0A4531BC" w14:textId="5AF62E32" w:rsidR="00FF0B69" w:rsidRDefault="00FF0B69" w:rsidP="00FF0B69">
      <w:pPr>
        <w:widowControl w:val="0"/>
        <w:autoSpaceDE w:val="0"/>
        <w:autoSpaceDN w:val="0"/>
        <w:spacing w:after="0" w:line="360" w:lineRule="auto"/>
        <w:ind w:right="228"/>
        <w:jc w:val="both"/>
        <w:rPr>
          <w:rFonts w:ascii="Times New Roman" w:eastAsia="Times New Roman" w:hAnsi="Times New Roman" w:cs="Times New Roman"/>
          <w:b/>
          <w:bCs/>
          <w:kern w:val="0"/>
          <w:sz w:val="27"/>
          <w:szCs w:val="27"/>
          <w:lang w:val="en-US"/>
          <w14:ligatures w14:val="none"/>
        </w:rPr>
      </w:pPr>
      <w:r w:rsidRPr="00FF0B69">
        <w:rPr>
          <w:rFonts w:ascii="Times New Roman" w:eastAsia="Times New Roman" w:hAnsi="Times New Roman" w:cs="Times New Roman"/>
          <w:b/>
          <w:bCs/>
          <w:kern w:val="0"/>
          <w:sz w:val="27"/>
          <w:szCs w:val="27"/>
          <w:lang w:val="en-US"/>
          <w14:ligatures w14:val="none"/>
        </w:rPr>
        <w:t>Result and Discussion</w:t>
      </w:r>
    </w:p>
    <w:p w14:paraId="7C73B1DE" w14:textId="0E4A6D34"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Population at Harvest</w:t>
      </w:r>
    </w:p>
    <w:p w14:paraId="07C55376" w14:textId="36DEECCF"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 xml:space="preserve">Significant variations in plant population at harvest were observed under different nutrient management treatments (Table 1). The highest plant population (117628.45 ha⁻¹) was recorded in treatment </w:t>
      </w:r>
      <w:r w:rsidRPr="00232668">
        <w:rPr>
          <w:rFonts w:ascii="Times New Roman" w:eastAsia="Times New Roman" w:hAnsi="Times New Roman" w:cs="Times New Roman"/>
          <w:color w:val="FF0000"/>
          <w:kern w:val="0"/>
          <w14:ligatures w14:val="none"/>
        </w:rPr>
        <w:t>T7</w:t>
      </w:r>
      <w:r w:rsidRPr="00D70F09">
        <w:rPr>
          <w:rFonts w:ascii="Times New Roman" w:eastAsia="Times New Roman" w:hAnsi="Times New Roman" w:cs="Times New Roman"/>
          <w:kern w:val="0"/>
          <w14:ligatures w14:val="none"/>
        </w:rPr>
        <w:t xml:space="preserve"> (100 kg N ha⁻¹ + 30 kg P₂O₅ ha⁻¹ + 40 kg K₂O ha⁻¹), closely followed by</w:t>
      </w:r>
      <w:r w:rsidRPr="00232668">
        <w:rPr>
          <w:rFonts w:ascii="Times New Roman" w:eastAsia="Times New Roman" w:hAnsi="Times New Roman" w:cs="Times New Roman"/>
          <w:color w:val="FF0000"/>
          <w:kern w:val="0"/>
          <w14:ligatures w14:val="none"/>
        </w:rPr>
        <w:t xml:space="preserve"> T8 </w:t>
      </w:r>
      <w:r w:rsidRPr="00D70F09">
        <w:rPr>
          <w:rFonts w:ascii="Times New Roman" w:eastAsia="Times New Roman" w:hAnsi="Times New Roman" w:cs="Times New Roman"/>
          <w:kern w:val="0"/>
          <w14:ligatures w14:val="none"/>
        </w:rPr>
        <w:t xml:space="preserve">(soil test-based nutrient application) and T5. The lowest plant population (101184.17 ha⁻¹) was observed in the control </w:t>
      </w:r>
      <w:r w:rsidRPr="00232668">
        <w:rPr>
          <w:rFonts w:ascii="Times New Roman" w:eastAsia="Times New Roman" w:hAnsi="Times New Roman" w:cs="Times New Roman"/>
          <w:color w:val="FF0000"/>
          <w:kern w:val="0"/>
          <w14:ligatures w14:val="none"/>
        </w:rPr>
        <w:t xml:space="preserve">(T1), </w:t>
      </w:r>
      <w:r w:rsidRPr="00D70F09">
        <w:rPr>
          <w:rFonts w:ascii="Times New Roman" w:eastAsia="Times New Roman" w:hAnsi="Times New Roman" w:cs="Times New Roman"/>
          <w:kern w:val="0"/>
          <w14:ligatures w14:val="none"/>
        </w:rPr>
        <w:t>which received no fertilizer.</w:t>
      </w:r>
      <w:r w:rsidR="002D3E0B">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 increased plant population in fertilized plots could be attributed to improved early plant </w:t>
      </w:r>
      <w:r w:rsidR="00E0350A" w:rsidRPr="00D70F09">
        <w:rPr>
          <w:rFonts w:ascii="Times New Roman" w:eastAsia="Times New Roman" w:hAnsi="Times New Roman" w:cs="Times New Roman"/>
          <w:kern w:val="0"/>
          <w14:ligatures w14:val="none"/>
        </w:rPr>
        <w:t>Vigor</w:t>
      </w:r>
      <w:r w:rsidRPr="00D70F09">
        <w:rPr>
          <w:rFonts w:ascii="Times New Roman" w:eastAsia="Times New Roman" w:hAnsi="Times New Roman" w:cs="Times New Roman"/>
          <w:kern w:val="0"/>
          <w14:ligatures w14:val="none"/>
        </w:rPr>
        <w:t xml:space="preserve"> and better survival due to enhanced nutrient availability, particularly nitrogen and potassium, which play crucial roles in cell division and root development. Potassium, in particular, enhances water retention and disease resistance, which likely contributed to better plant stand in </w:t>
      </w:r>
      <w:r w:rsidRPr="00232668">
        <w:rPr>
          <w:rFonts w:ascii="Times New Roman" w:eastAsia="Times New Roman" w:hAnsi="Times New Roman" w:cs="Times New Roman"/>
          <w:color w:val="FF0000"/>
          <w:kern w:val="0"/>
          <w14:ligatures w14:val="none"/>
        </w:rPr>
        <w:t xml:space="preserve">T7 </w:t>
      </w:r>
      <w:r w:rsidRPr="00D70F09">
        <w:rPr>
          <w:rFonts w:ascii="Times New Roman" w:eastAsia="Times New Roman" w:hAnsi="Times New Roman" w:cs="Times New Roman"/>
          <w:kern w:val="0"/>
          <w14:ligatures w14:val="none"/>
        </w:rPr>
        <w:t>(</w:t>
      </w:r>
      <w:r w:rsidR="002F5FC8" w:rsidRPr="00FB2F94">
        <w:t>Maiya,</w:t>
      </w:r>
      <w:r w:rsidR="002F5FC8">
        <w:t xml:space="preserve"> </w:t>
      </w:r>
      <w:r w:rsidR="002F5FC8" w:rsidRPr="00FB2F94">
        <w:t>2024</w:t>
      </w:r>
      <w:r w:rsidRPr="00D70F09">
        <w:rPr>
          <w:rFonts w:ascii="Times New Roman" w:eastAsia="Times New Roman" w:hAnsi="Times New Roman" w:cs="Times New Roman"/>
          <w:kern w:val="0"/>
          <w14:ligatures w14:val="none"/>
        </w:rPr>
        <w:t xml:space="preserve">). Similar results were reported by </w:t>
      </w:r>
      <w:r w:rsidR="002F5FC8">
        <w:rPr>
          <w:rFonts w:ascii="Times New Roman" w:eastAsia="Times New Roman" w:hAnsi="Times New Roman" w:cs="Times New Roman"/>
          <w:kern w:val="0"/>
          <w14:ligatures w14:val="none"/>
        </w:rPr>
        <w:t>(</w:t>
      </w:r>
      <w:r w:rsidR="002F5FC8" w:rsidRPr="002F5FC8">
        <w:rPr>
          <w:rFonts w:ascii="Times New Roman" w:eastAsia="Times New Roman" w:hAnsi="Times New Roman" w:cs="Times New Roman"/>
          <w:kern w:val="0"/>
          <w14:ligatures w14:val="none"/>
        </w:rPr>
        <w:t>Bhargavi,</w:t>
      </w:r>
      <w:r w:rsidR="002F5FC8">
        <w:rPr>
          <w:rFonts w:ascii="Times New Roman" w:eastAsia="Times New Roman" w:hAnsi="Times New Roman" w:cs="Times New Roman"/>
          <w:kern w:val="0"/>
          <w14:ligatures w14:val="none"/>
        </w:rPr>
        <w:t xml:space="preserve"> </w:t>
      </w:r>
      <w:r w:rsidR="002F5FC8" w:rsidRPr="002F5FC8">
        <w:rPr>
          <w:rFonts w:ascii="Times New Roman" w:eastAsia="Times New Roman" w:hAnsi="Times New Roman" w:cs="Times New Roman"/>
          <w:kern w:val="0"/>
          <w14:ligatures w14:val="none"/>
        </w:rPr>
        <w:t>2021)</w:t>
      </w:r>
      <w:r w:rsidRPr="00D70F09">
        <w:rPr>
          <w:rFonts w:ascii="Times New Roman" w:eastAsia="Times New Roman" w:hAnsi="Times New Roman" w:cs="Times New Roman"/>
          <w:kern w:val="0"/>
          <w14:ligatures w14:val="none"/>
        </w:rPr>
        <w:t>, where integrated N and K application improved emergence and plant establishment in pearl millet.</w:t>
      </w:r>
    </w:p>
    <w:p w14:paraId="56B3EC9A" w14:textId="77777777" w:rsidR="00B532FD" w:rsidRDefault="00B532FD"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381F90D6" w14:textId="57078631"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Height at Harvest</w:t>
      </w:r>
    </w:p>
    <w:p w14:paraId="7326B808" w14:textId="101034F3"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Plant height was significantly influenced by different levels of nitrogen and potassium</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xml:space="preserve">. The tallest plants (179.60 cm) were recorded in </w:t>
      </w:r>
      <w:r w:rsidRPr="00232668">
        <w:rPr>
          <w:rFonts w:ascii="Times New Roman" w:eastAsia="Times New Roman" w:hAnsi="Times New Roman" w:cs="Times New Roman"/>
          <w:color w:val="FF0000"/>
          <w:kern w:val="0"/>
          <w14:ligatures w14:val="none"/>
        </w:rPr>
        <w:t>T4</w:t>
      </w:r>
      <w:r w:rsidRPr="00D70F09">
        <w:rPr>
          <w:rFonts w:ascii="Times New Roman" w:eastAsia="Times New Roman" w:hAnsi="Times New Roman" w:cs="Times New Roman"/>
          <w:kern w:val="0"/>
          <w14:ligatures w14:val="none"/>
        </w:rPr>
        <w:t xml:space="preserve"> (100 kg N ha⁻¹ + 30 kg P₂O₅ ha⁻¹ + 20 kg K₂O ha⁻¹), followed by</w:t>
      </w:r>
      <w:r w:rsidRPr="00232668">
        <w:rPr>
          <w:rFonts w:ascii="Times New Roman" w:eastAsia="Times New Roman" w:hAnsi="Times New Roman" w:cs="Times New Roman"/>
          <w:color w:val="FF0000"/>
          <w:kern w:val="0"/>
          <w14:ligatures w14:val="none"/>
        </w:rPr>
        <w:t xml:space="preserve"> T7 </w:t>
      </w:r>
      <w:r w:rsidRPr="00D70F09">
        <w:rPr>
          <w:rFonts w:ascii="Times New Roman" w:eastAsia="Times New Roman" w:hAnsi="Times New Roman" w:cs="Times New Roman"/>
          <w:kern w:val="0"/>
          <w14:ligatures w14:val="none"/>
        </w:rPr>
        <w:t xml:space="preserve">(172.60 cm) and </w:t>
      </w:r>
      <w:r w:rsidRPr="00232668">
        <w:rPr>
          <w:rFonts w:ascii="Times New Roman" w:eastAsia="Times New Roman" w:hAnsi="Times New Roman" w:cs="Times New Roman"/>
          <w:color w:val="FF0000"/>
          <w:kern w:val="0"/>
          <w14:ligatures w14:val="none"/>
        </w:rPr>
        <w:t>T3</w:t>
      </w:r>
      <w:r w:rsidRPr="00D70F09">
        <w:rPr>
          <w:rFonts w:ascii="Times New Roman" w:eastAsia="Times New Roman" w:hAnsi="Times New Roman" w:cs="Times New Roman"/>
          <w:kern w:val="0"/>
          <w14:ligatures w14:val="none"/>
        </w:rPr>
        <w:t xml:space="preserve"> (172.60 cm). The shortest plants were observed in the control treatment (158.28 cm).</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The enhanced plant height in N and K treated plots could be attributed to the role of nitrogen in promoting vegetative growth through enhanced chlorophyll synthesis, which in turn increases photosynthesis and cell elongation (</w:t>
      </w:r>
      <w:r w:rsidR="00450BD9" w:rsidRPr="00450BD9">
        <w:rPr>
          <w:rFonts w:ascii="Times New Roman" w:eastAsia="Times New Roman" w:hAnsi="Times New Roman" w:cs="Times New Roman"/>
          <w:kern w:val="0"/>
          <w14:ligatures w14:val="none"/>
        </w:rPr>
        <w:t>Bhanu</w:t>
      </w:r>
      <w:r w:rsidR="00B90E65">
        <w:rPr>
          <w:rFonts w:ascii="Times New Roman" w:eastAsia="Times New Roman" w:hAnsi="Times New Roman" w:cs="Times New Roman"/>
          <w:kern w:val="0"/>
          <w14:ligatures w14:val="none"/>
        </w:rPr>
        <w:t xml:space="preserve">, </w:t>
      </w:r>
      <w:r w:rsidR="00450BD9" w:rsidRPr="00450BD9">
        <w:rPr>
          <w:rFonts w:ascii="Times New Roman" w:eastAsia="Times New Roman" w:hAnsi="Times New Roman" w:cs="Times New Roman"/>
          <w:kern w:val="0"/>
          <w14:ligatures w14:val="none"/>
        </w:rPr>
        <w:t>2014).</w:t>
      </w:r>
      <w:r w:rsidR="00450BD9">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Potassium contributes to enzyme activation and osmoregulation, further supporting growth processes (</w:t>
      </w:r>
      <w:r w:rsidR="00450BD9" w:rsidRPr="00450BD9">
        <w:rPr>
          <w:rFonts w:ascii="Times New Roman" w:eastAsia="Times New Roman" w:hAnsi="Times New Roman" w:cs="Times New Roman"/>
          <w:kern w:val="0"/>
          <w14:ligatures w14:val="none"/>
        </w:rPr>
        <w:t>Maiya, 2024</w:t>
      </w:r>
      <w:r w:rsidRPr="00D70F09">
        <w:rPr>
          <w:rFonts w:ascii="Times New Roman" w:eastAsia="Times New Roman" w:hAnsi="Times New Roman" w:cs="Times New Roman"/>
          <w:kern w:val="0"/>
          <w14:ligatures w14:val="none"/>
        </w:rPr>
        <w:t xml:space="preserve">). The slight difference between </w:t>
      </w:r>
      <w:r w:rsidRPr="00232668">
        <w:rPr>
          <w:rFonts w:ascii="Times New Roman" w:eastAsia="Times New Roman" w:hAnsi="Times New Roman" w:cs="Times New Roman"/>
          <w:color w:val="FF0000"/>
          <w:kern w:val="0"/>
          <w14:ligatures w14:val="none"/>
        </w:rPr>
        <w:t xml:space="preserve">T4 and T7 </w:t>
      </w:r>
      <w:r w:rsidRPr="00D70F09">
        <w:rPr>
          <w:rFonts w:ascii="Times New Roman" w:eastAsia="Times New Roman" w:hAnsi="Times New Roman" w:cs="Times New Roman"/>
          <w:kern w:val="0"/>
          <w14:ligatures w14:val="none"/>
        </w:rPr>
        <w:t>also highlights that while higher potassium enhances biomass, excessive K may not necessarily promote additional plant height beyond optimal levels.</w:t>
      </w:r>
      <w:r w:rsidR="00450BD9">
        <w:rPr>
          <w:rFonts w:ascii="Times New Roman" w:eastAsia="Times New Roman" w:hAnsi="Times New Roman" w:cs="Times New Roman"/>
          <w:kern w:val="0"/>
          <w14:ligatures w14:val="none"/>
        </w:rPr>
        <w:t xml:space="preserve"> </w:t>
      </w:r>
    </w:p>
    <w:p w14:paraId="689C82CB" w14:textId="5E85B17B" w:rsidR="00C26094" w:rsidRDefault="000B329D"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2F6EFE99" w14:textId="4CDD80A1"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Dry Matter Production at Harvest</w:t>
      </w:r>
    </w:p>
    <w:p w14:paraId="55520149" w14:textId="5F439A65"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Dry matter accumulation was significantly influenced by the nutrient management practices</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xml:space="preserve">. The maximum dry matter production (7539.67 kg ha⁻¹) was recorded in </w:t>
      </w:r>
      <w:r w:rsidRPr="00232668">
        <w:rPr>
          <w:rFonts w:ascii="Times New Roman" w:eastAsia="Times New Roman" w:hAnsi="Times New Roman" w:cs="Times New Roman"/>
          <w:color w:val="FF0000"/>
          <w:kern w:val="0"/>
          <w14:ligatures w14:val="none"/>
        </w:rPr>
        <w:t>T7</w:t>
      </w:r>
      <w:r w:rsidRPr="00D70F09">
        <w:rPr>
          <w:rFonts w:ascii="Times New Roman" w:eastAsia="Times New Roman" w:hAnsi="Times New Roman" w:cs="Times New Roman"/>
          <w:kern w:val="0"/>
          <w14:ligatures w14:val="none"/>
        </w:rPr>
        <w:t xml:space="preserve">, followed by </w:t>
      </w:r>
      <w:r w:rsidRPr="00232668">
        <w:rPr>
          <w:rFonts w:ascii="Times New Roman" w:eastAsia="Times New Roman" w:hAnsi="Times New Roman" w:cs="Times New Roman"/>
          <w:color w:val="FF0000"/>
          <w:kern w:val="0"/>
          <w14:ligatures w14:val="none"/>
        </w:rPr>
        <w:t>T4</w:t>
      </w:r>
      <w:r w:rsidRPr="00D70F09">
        <w:rPr>
          <w:rFonts w:ascii="Times New Roman" w:eastAsia="Times New Roman" w:hAnsi="Times New Roman" w:cs="Times New Roman"/>
          <w:kern w:val="0"/>
          <w14:ligatures w14:val="none"/>
        </w:rPr>
        <w:t xml:space="preserve"> (7108.45 kg ha⁻¹) and </w:t>
      </w:r>
      <w:r w:rsidRPr="00232668">
        <w:rPr>
          <w:rFonts w:ascii="Times New Roman" w:eastAsia="Times New Roman" w:hAnsi="Times New Roman" w:cs="Times New Roman"/>
          <w:color w:val="FF0000"/>
          <w:kern w:val="0"/>
          <w14:ligatures w14:val="none"/>
        </w:rPr>
        <w:t>T6</w:t>
      </w:r>
      <w:r w:rsidRPr="00D70F09">
        <w:rPr>
          <w:rFonts w:ascii="Times New Roman" w:eastAsia="Times New Roman" w:hAnsi="Times New Roman" w:cs="Times New Roman"/>
          <w:kern w:val="0"/>
          <w14:ligatures w14:val="none"/>
        </w:rPr>
        <w:t xml:space="preserve"> (6696.67 kg ha⁻¹). The lowest dry matter production (4108.59 kg ha⁻¹) was observed in the unfertilized control (</w:t>
      </w:r>
      <w:r w:rsidRPr="00232668">
        <w:rPr>
          <w:rFonts w:ascii="Times New Roman" w:eastAsia="Times New Roman" w:hAnsi="Times New Roman" w:cs="Times New Roman"/>
          <w:color w:val="FF0000"/>
          <w:kern w:val="0"/>
          <w14:ligatures w14:val="none"/>
        </w:rPr>
        <w:t>T1</w:t>
      </w:r>
      <w:r w:rsidRPr="00D70F09">
        <w:rPr>
          <w:rFonts w:ascii="Times New Roman" w:eastAsia="Times New Roman" w:hAnsi="Times New Roman" w:cs="Times New Roman"/>
          <w:kern w:val="0"/>
          <w14:ligatures w14:val="none"/>
        </w:rPr>
        <w:t>).</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Higher dry matter production under </w:t>
      </w:r>
      <w:r w:rsidRPr="00232668">
        <w:rPr>
          <w:rFonts w:ascii="Times New Roman" w:eastAsia="Times New Roman" w:hAnsi="Times New Roman" w:cs="Times New Roman"/>
          <w:color w:val="FF0000"/>
          <w:kern w:val="0"/>
          <w14:ligatures w14:val="none"/>
        </w:rPr>
        <w:t xml:space="preserve">T7 </w:t>
      </w:r>
      <w:r w:rsidRPr="00D70F09">
        <w:rPr>
          <w:rFonts w:ascii="Times New Roman" w:eastAsia="Times New Roman" w:hAnsi="Times New Roman" w:cs="Times New Roman"/>
          <w:kern w:val="0"/>
          <w14:ligatures w14:val="none"/>
        </w:rPr>
        <w:t>can be attributed to the synergistic effect of nitrogen and potassium application, which enhances photosynthetic activity, leaf area development, and translocation of assimilates towards biomass accumulation (</w:t>
      </w:r>
      <w:r w:rsidR="00C267F2" w:rsidRPr="00450BD9">
        <w:rPr>
          <w:rFonts w:ascii="Times New Roman" w:eastAsia="Times New Roman" w:hAnsi="Times New Roman" w:cs="Times New Roman"/>
          <w:kern w:val="0"/>
          <w14:ligatures w14:val="none"/>
        </w:rPr>
        <w:t>Maiya, 2024</w:t>
      </w:r>
      <w:r w:rsidR="00C267F2">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Nitrogen promotes shoot growth, while potassium plays a significant role in improving water use efficiency and nutrient translocation (</w:t>
      </w:r>
      <w:r w:rsidR="00B90E65" w:rsidRPr="00B90E65">
        <w:rPr>
          <w:rFonts w:ascii="Times New Roman" w:eastAsia="Times New Roman" w:hAnsi="Times New Roman" w:cs="Times New Roman"/>
          <w:kern w:val="0"/>
          <w14:ligatures w14:val="none"/>
        </w:rPr>
        <w:t>Singh</w:t>
      </w:r>
      <w:r w:rsidR="00B90E65">
        <w:rPr>
          <w:rFonts w:ascii="Times New Roman" w:eastAsia="Times New Roman" w:hAnsi="Times New Roman" w:cs="Times New Roman"/>
          <w:kern w:val="0"/>
          <w14:ligatures w14:val="none"/>
        </w:rPr>
        <w:t xml:space="preserve"> and </w:t>
      </w:r>
      <w:r w:rsidR="00B90E65" w:rsidRPr="00B90E65">
        <w:rPr>
          <w:rFonts w:ascii="Times New Roman" w:eastAsia="Times New Roman" w:hAnsi="Times New Roman" w:cs="Times New Roman"/>
          <w:kern w:val="0"/>
          <w14:ligatures w14:val="none"/>
        </w:rPr>
        <w:t>Pal</w:t>
      </w:r>
      <w:r w:rsidR="00B90E65">
        <w:rPr>
          <w:rFonts w:ascii="Times New Roman" w:eastAsia="Times New Roman" w:hAnsi="Times New Roman" w:cs="Times New Roman"/>
          <w:kern w:val="0"/>
          <w14:ligatures w14:val="none"/>
        </w:rPr>
        <w:t xml:space="preserve">, </w:t>
      </w:r>
      <w:r w:rsidR="00B90E65" w:rsidRPr="00B90E65">
        <w:rPr>
          <w:rFonts w:ascii="Times New Roman" w:eastAsia="Times New Roman" w:hAnsi="Times New Roman" w:cs="Times New Roman"/>
          <w:kern w:val="0"/>
          <w14:ligatures w14:val="none"/>
        </w:rPr>
        <w:t>2015</w:t>
      </w:r>
      <w:r w:rsidRPr="00D70F09">
        <w:rPr>
          <w:rFonts w:ascii="Times New Roman" w:eastAsia="Times New Roman" w:hAnsi="Times New Roman" w:cs="Times New Roman"/>
          <w:kern w:val="0"/>
          <w14:ligatures w14:val="none"/>
        </w:rPr>
        <w:t xml:space="preserve">). The improvement in dry matter production in the soil test-based treatment </w:t>
      </w:r>
      <w:r w:rsidRPr="00232668">
        <w:rPr>
          <w:rFonts w:ascii="Times New Roman" w:eastAsia="Times New Roman" w:hAnsi="Times New Roman" w:cs="Times New Roman"/>
          <w:color w:val="FF0000"/>
          <w:kern w:val="0"/>
          <w14:ligatures w14:val="none"/>
        </w:rPr>
        <w:t>(T8</w:t>
      </w:r>
      <w:r w:rsidRPr="00D70F09">
        <w:rPr>
          <w:rFonts w:ascii="Times New Roman" w:eastAsia="Times New Roman" w:hAnsi="Times New Roman" w:cs="Times New Roman"/>
          <w:kern w:val="0"/>
          <w14:ligatures w14:val="none"/>
        </w:rPr>
        <w:t>) also indicates the effectiveness of site-specific nutrient management.</w:t>
      </w:r>
      <w:r w:rsidR="00F46550">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These findings are consistent with those of </w:t>
      </w:r>
      <w:r w:rsidR="00B90E65">
        <w:rPr>
          <w:rFonts w:ascii="Times New Roman" w:eastAsia="Times New Roman" w:hAnsi="Times New Roman" w:cs="Times New Roman"/>
          <w:kern w:val="0"/>
          <w14:ligatures w14:val="none"/>
        </w:rPr>
        <w:t>(</w:t>
      </w:r>
      <w:r w:rsidR="00B90E65" w:rsidRPr="00B90E65">
        <w:rPr>
          <w:rFonts w:ascii="Times New Roman" w:eastAsia="Times New Roman" w:hAnsi="Times New Roman" w:cs="Times New Roman"/>
          <w:kern w:val="0"/>
          <w14:ligatures w14:val="none"/>
        </w:rPr>
        <w:t>Bhanu, 2014</w:t>
      </w:r>
      <w:r w:rsidRPr="00D70F09">
        <w:rPr>
          <w:rFonts w:ascii="Times New Roman" w:eastAsia="Times New Roman" w:hAnsi="Times New Roman" w:cs="Times New Roman"/>
          <w:kern w:val="0"/>
          <w14:ligatures w14:val="none"/>
        </w:rPr>
        <w:t>), who reported that balanced fertilization significantly enhances the biomass accumulation and overall productivity of pearl millet in semi-arid regions.</w:t>
      </w:r>
    </w:p>
    <w:p w14:paraId="7713823C" w14:textId="77777777" w:rsidR="00A14CF7" w:rsidRDefault="00A14CF7"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2234876F" w14:textId="77777777"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131D17">
        <w:rPr>
          <w:rFonts w:ascii="Times New Roman" w:eastAsia="Times New Roman" w:hAnsi="Times New Roman" w:cs="Times New Roman"/>
          <w:b/>
          <w:bCs/>
          <w:kern w:val="0"/>
          <w14:ligatures w14:val="none"/>
        </w:rPr>
        <w:t>Soil Properties at 0–15 cm Depth as Influenced by Nutrient Management</w:t>
      </w:r>
    </w:p>
    <w:p w14:paraId="543C6A9D" w14:textId="186E0EE5"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131D17">
        <w:rPr>
          <w:rFonts w:ascii="Times New Roman" w:eastAsia="Times New Roman" w:hAnsi="Times New Roman" w:cs="Times New Roman"/>
          <w:kern w:val="0"/>
          <w14:ligatures w14:val="none"/>
        </w:rPr>
        <w:t>Post-harvest soil analysis at the 0–15 cm depth revealed that nutrient management significantly influenced key soil properties</w:t>
      </w:r>
      <w:r w:rsidR="00B95ABB">
        <w:rPr>
          <w:rFonts w:ascii="Times New Roman" w:eastAsia="Times New Roman" w:hAnsi="Times New Roman" w:cs="Times New Roman"/>
          <w:kern w:val="0"/>
          <w14:ligatures w14:val="none"/>
        </w:rPr>
        <w:t xml:space="preserve"> (Table </w:t>
      </w:r>
      <w:r w:rsidR="00C73E46">
        <w:rPr>
          <w:rFonts w:ascii="Times New Roman" w:eastAsia="Times New Roman" w:hAnsi="Times New Roman" w:cs="Times New Roman"/>
          <w:kern w:val="0"/>
          <w14:ligatures w14:val="none"/>
        </w:rPr>
        <w:t>2</w:t>
      </w:r>
      <w:r w:rsidR="00B95ABB">
        <w:rPr>
          <w:rFonts w:ascii="Times New Roman" w:eastAsia="Times New Roman" w:hAnsi="Times New Roman" w:cs="Times New Roman"/>
          <w:kern w:val="0"/>
          <w14:ligatures w14:val="none"/>
        </w:rPr>
        <w:t>)</w:t>
      </w:r>
      <w:r w:rsidRPr="00131D17">
        <w:rPr>
          <w:rFonts w:ascii="Times New Roman" w:eastAsia="Times New Roman" w:hAnsi="Times New Roman" w:cs="Times New Roman"/>
          <w:kern w:val="0"/>
          <w14:ligatures w14:val="none"/>
        </w:rPr>
        <w:t>. Soil pH remained near neutral, ranging from 6.85 in T5 (60 kg N ha⁻¹ + 30 kg P₂O₅ ha⁻¹ + 40 kg K₂O ha⁻¹) to 7.19 in T6 (80 kg N ha⁻¹ + 30 kg P₂O₅ ha⁻¹ + 40 kg K₂O ha⁻¹), showing that fertilization had minimal impact on soil acidity due to the buffering capacity of sandy loam soils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Electrical conductivity (EC) values were low across treatments (0.043–0.058 dS m⁻¹), with the highest in </w:t>
      </w:r>
      <w:r w:rsidRPr="00232668">
        <w:rPr>
          <w:rFonts w:ascii="Times New Roman" w:eastAsia="Times New Roman" w:hAnsi="Times New Roman" w:cs="Times New Roman"/>
          <w:color w:val="FF0000"/>
          <w:kern w:val="0"/>
          <w14:ligatures w14:val="none"/>
        </w:rPr>
        <w:t>T7</w:t>
      </w:r>
      <w:r w:rsidRPr="00131D17">
        <w:rPr>
          <w:rFonts w:ascii="Times New Roman" w:eastAsia="Times New Roman" w:hAnsi="Times New Roman" w:cs="Times New Roman"/>
          <w:kern w:val="0"/>
          <w14:ligatures w14:val="none"/>
        </w:rPr>
        <w:t xml:space="preserve"> (100 kg N ha⁻¹ + 30 kg P₂O₅ ha⁻¹ + 40 kg K₂O ha⁻¹), suggesting increased ionic concentration from residual fertilizer salts, though still within non-saline limits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xml:space="preserve">). Organic carbon ranged from 0.44% in </w:t>
      </w:r>
      <w:r w:rsidRPr="00232668">
        <w:rPr>
          <w:rFonts w:ascii="Times New Roman" w:eastAsia="Times New Roman" w:hAnsi="Times New Roman" w:cs="Times New Roman"/>
          <w:color w:val="FF0000"/>
          <w:kern w:val="0"/>
          <w14:ligatures w14:val="none"/>
        </w:rPr>
        <w:t xml:space="preserve">T2 </w:t>
      </w:r>
      <w:r w:rsidRPr="00131D17">
        <w:rPr>
          <w:rFonts w:ascii="Times New Roman" w:eastAsia="Times New Roman" w:hAnsi="Times New Roman" w:cs="Times New Roman"/>
          <w:kern w:val="0"/>
          <w14:ligatures w14:val="none"/>
        </w:rPr>
        <w:t xml:space="preserve">(RDF: 60 kg N + 30 kg P₂O₅ + 20 kg K₂O ha⁻¹) and </w:t>
      </w:r>
      <w:r w:rsidRPr="00232668">
        <w:rPr>
          <w:rFonts w:ascii="Times New Roman" w:eastAsia="Times New Roman" w:hAnsi="Times New Roman" w:cs="Times New Roman"/>
          <w:color w:val="FF0000"/>
          <w:kern w:val="0"/>
          <w14:ligatures w14:val="none"/>
        </w:rPr>
        <w:t>T5</w:t>
      </w:r>
      <w:r w:rsidRPr="00131D17">
        <w:rPr>
          <w:rFonts w:ascii="Times New Roman" w:eastAsia="Times New Roman" w:hAnsi="Times New Roman" w:cs="Times New Roman"/>
          <w:kern w:val="0"/>
          <w14:ligatures w14:val="none"/>
        </w:rPr>
        <w:t xml:space="preserve"> to 0.58% in T8 (soil test-based application: </w:t>
      </w:r>
      <w:r w:rsidRPr="00131D17">
        <w:rPr>
          <w:rFonts w:ascii="Times New Roman" w:eastAsia="Times New Roman" w:hAnsi="Times New Roman" w:cs="Times New Roman"/>
          <w:kern w:val="0"/>
          <w14:ligatures w14:val="none"/>
        </w:rPr>
        <w:lastRenderedPageBreak/>
        <w:t>78 kg N + 21 kg P₂O₅ + 14 kg K₂O ha⁻¹), likely due to enhanced root biomass and organic matter input in well-fertilized plots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Cation exchange capacity (CEC) varied from 4.44 </w:t>
      </w:r>
      <w:r w:rsidRPr="00232668">
        <w:rPr>
          <w:rFonts w:ascii="Times New Roman" w:eastAsia="Times New Roman" w:hAnsi="Times New Roman" w:cs="Times New Roman"/>
          <w:color w:val="FF0000"/>
          <w:kern w:val="0"/>
          <w14:ligatures w14:val="none"/>
        </w:rPr>
        <w:t>cmol</w:t>
      </w:r>
      <w:r w:rsidRPr="00131D17">
        <w:rPr>
          <w:rFonts w:ascii="Times New Roman" w:eastAsia="Times New Roman" w:hAnsi="Times New Roman" w:cs="Times New Roman"/>
          <w:kern w:val="0"/>
          <w14:ligatures w14:val="none"/>
        </w:rPr>
        <w:t xml:space="preserve">(p⁺) kg⁻¹ in </w:t>
      </w:r>
      <w:r w:rsidRPr="00232668">
        <w:rPr>
          <w:rFonts w:ascii="Times New Roman" w:eastAsia="Times New Roman" w:hAnsi="Times New Roman" w:cs="Times New Roman"/>
          <w:color w:val="FF0000"/>
          <w:kern w:val="0"/>
          <w14:ligatures w14:val="none"/>
        </w:rPr>
        <w:t>T1</w:t>
      </w:r>
      <w:r w:rsidRPr="00131D17">
        <w:rPr>
          <w:rFonts w:ascii="Times New Roman" w:eastAsia="Times New Roman" w:hAnsi="Times New Roman" w:cs="Times New Roman"/>
          <w:kern w:val="0"/>
          <w14:ligatures w14:val="none"/>
        </w:rPr>
        <w:t xml:space="preserve"> (Control: no fertilizers) to 10.65 cmol</w:t>
      </w:r>
      <w:r w:rsidR="005E35F1">
        <w:rPr>
          <w:rFonts w:ascii="Times New Roman" w:eastAsia="Times New Roman" w:hAnsi="Times New Roman" w:cs="Times New Roman"/>
          <w:kern w:val="0"/>
          <w14:ligatures w14:val="none"/>
        </w:rPr>
        <w:t xml:space="preserve"> </w:t>
      </w:r>
      <w:r w:rsidRPr="00131D17">
        <w:rPr>
          <w:rFonts w:ascii="Times New Roman" w:eastAsia="Times New Roman" w:hAnsi="Times New Roman" w:cs="Times New Roman"/>
          <w:kern w:val="0"/>
          <w14:ligatures w14:val="none"/>
        </w:rPr>
        <w:t xml:space="preserve">(p⁺) kg⁻¹ in </w:t>
      </w:r>
      <w:r w:rsidRPr="00232668">
        <w:rPr>
          <w:rFonts w:ascii="Times New Roman" w:eastAsia="Times New Roman" w:hAnsi="Times New Roman" w:cs="Times New Roman"/>
          <w:color w:val="FF0000"/>
          <w:kern w:val="0"/>
          <w14:ligatures w14:val="none"/>
        </w:rPr>
        <w:t>T7</w:t>
      </w:r>
      <w:r w:rsidRPr="00131D17">
        <w:rPr>
          <w:rFonts w:ascii="Times New Roman" w:eastAsia="Times New Roman" w:hAnsi="Times New Roman" w:cs="Times New Roman"/>
          <w:kern w:val="0"/>
          <w14:ligatures w14:val="none"/>
        </w:rPr>
        <w:t>, indicating improved nutrient-holding capacity with higher organic matter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xml:space="preserve">). Available nitrogen content increased substantially from 197.79 kg ha⁻¹ in the control to 295.41 kg ha⁻¹ in </w:t>
      </w:r>
      <w:r w:rsidRPr="00232668">
        <w:rPr>
          <w:rFonts w:ascii="Times New Roman" w:eastAsia="Times New Roman" w:hAnsi="Times New Roman" w:cs="Times New Roman"/>
          <w:color w:val="FF0000"/>
          <w:kern w:val="0"/>
          <w14:ligatures w14:val="none"/>
        </w:rPr>
        <w:t>T7,</w:t>
      </w:r>
      <w:r w:rsidRPr="00131D17">
        <w:rPr>
          <w:rFonts w:ascii="Times New Roman" w:eastAsia="Times New Roman" w:hAnsi="Times New Roman" w:cs="Times New Roman"/>
          <w:kern w:val="0"/>
          <w14:ligatures w14:val="none"/>
        </w:rPr>
        <w:t xml:space="preserve"> reflecting residual N buildup due to greater fertilization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xml:space="preserve">). Phosphorus availability was highest (111.8 kg ha⁻¹) in </w:t>
      </w:r>
      <w:r w:rsidRPr="00232668">
        <w:rPr>
          <w:rFonts w:ascii="Times New Roman" w:eastAsia="Times New Roman" w:hAnsi="Times New Roman" w:cs="Times New Roman"/>
          <w:color w:val="FF0000"/>
          <w:kern w:val="0"/>
          <w14:ligatures w14:val="none"/>
        </w:rPr>
        <w:t>T5</w:t>
      </w:r>
      <w:r w:rsidRPr="00131D17">
        <w:rPr>
          <w:rFonts w:ascii="Times New Roman" w:eastAsia="Times New Roman" w:hAnsi="Times New Roman" w:cs="Times New Roman"/>
          <w:kern w:val="0"/>
          <w14:ligatures w14:val="none"/>
        </w:rPr>
        <w:t xml:space="preserve">, potentially due to limited uptake or fixation, and lowest in </w:t>
      </w:r>
      <w:r w:rsidRPr="00232668">
        <w:rPr>
          <w:rFonts w:ascii="Times New Roman" w:eastAsia="Times New Roman" w:hAnsi="Times New Roman" w:cs="Times New Roman"/>
          <w:color w:val="FF0000"/>
          <w:kern w:val="0"/>
          <w14:ligatures w14:val="none"/>
        </w:rPr>
        <w:t>T3</w:t>
      </w:r>
      <w:r w:rsidRPr="00131D17">
        <w:rPr>
          <w:rFonts w:ascii="Times New Roman" w:eastAsia="Times New Roman" w:hAnsi="Times New Roman" w:cs="Times New Roman"/>
          <w:kern w:val="0"/>
          <w14:ligatures w14:val="none"/>
        </w:rPr>
        <w:t xml:space="preserve"> (80 kg N ha⁻¹ + 30 kg P₂O₅ ha⁻¹ + 20 kg K₂O ha⁻¹). Available potassium content ranged from 115.1 kg ha⁻¹ in </w:t>
      </w:r>
      <w:r w:rsidRPr="00232668">
        <w:rPr>
          <w:rFonts w:ascii="Times New Roman" w:eastAsia="Times New Roman" w:hAnsi="Times New Roman" w:cs="Times New Roman"/>
          <w:color w:val="FF0000"/>
          <w:kern w:val="0"/>
          <w14:ligatures w14:val="none"/>
        </w:rPr>
        <w:t>T3</w:t>
      </w:r>
      <w:r w:rsidRPr="00131D17">
        <w:rPr>
          <w:rFonts w:ascii="Times New Roman" w:eastAsia="Times New Roman" w:hAnsi="Times New Roman" w:cs="Times New Roman"/>
          <w:kern w:val="0"/>
          <w14:ligatures w14:val="none"/>
        </w:rPr>
        <w:t xml:space="preserve"> to 165.8 kg ha⁻¹ in </w:t>
      </w:r>
      <w:r w:rsidRPr="00232668">
        <w:rPr>
          <w:rFonts w:ascii="Times New Roman" w:eastAsia="Times New Roman" w:hAnsi="Times New Roman" w:cs="Times New Roman"/>
          <w:color w:val="FF0000"/>
          <w:kern w:val="0"/>
          <w14:ligatures w14:val="none"/>
        </w:rPr>
        <w:t>T4</w:t>
      </w:r>
      <w:r w:rsidRPr="00131D17">
        <w:rPr>
          <w:rFonts w:ascii="Times New Roman" w:eastAsia="Times New Roman" w:hAnsi="Times New Roman" w:cs="Times New Roman"/>
          <w:kern w:val="0"/>
          <w14:ligatures w14:val="none"/>
        </w:rPr>
        <w:t xml:space="preserve"> (100 kg N ha⁻¹ + 30 kg P₂O₅ ha⁻¹ + 20 kg K₂O ha⁻¹), suggesting residual benefits from applied K as well as variable uptake rates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xml:space="preserve">). Overall, </w:t>
      </w:r>
      <w:r w:rsidRPr="00232668">
        <w:rPr>
          <w:rFonts w:ascii="Times New Roman" w:eastAsia="Times New Roman" w:hAnsi="Times New Roman" w:cs="Times New Roman"/>
          <w:color w:val="FF0000"/>
          <w:kern w:val="0"/>
          <w14:ligatures w14:val="none"/>
        </w:rPr>
        <w:t xml:space="preserve">T7 and T8 </w:t>
      </w:r>
      <w:r w:rsidRPr="00131D17">
        <w:rPr>
          <w:rFonts w:ascii="Times New Roman" w:eastAsia="Times New Roman" w:hAnsi="Times New Roman" w:cs="Times New Roman"/>
          <w:kern w:val="0"/>
          <w14:ligatures w14:val="none"/>
        </w:rPr>
        <w:t>proved most effective in enhancing soil fertility indicators at surface depth, supporting the benefits of balanced or soil test-based nutrient management.</w:t>
      </w:r>
    </w:p>
    <w:p w14:paraId="6D48A3AD" w14:textId="77777777" w:rsidR="00AE44FA" w:rsidRDefault="00AE44FA"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4C6A6F0F" w14:textId="75482F39" w:rsidR="00240E73" w:rsidRP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240E73">
        <w:rPr>
          <w:rFonts w:ascii="Times New Roman" w:eastAsia="Times New Roman" w:hAnsi="Times New Roman" w:cs="Times New Roman"/>
          <w:b/>
          <w:bCs/>
          <w:kern w:val="0"/>
          <w14:ligatures w14:val="none"/>
        </w:rPr>
        <w:t>Soil Properties at 15–30 cm Depth as Influenced by Nutrient Management</w:t>
      </w:r>
    </w:p>
    <w:p w14:paraId="2A3382B2" w14:textId="679B0461" w:rsid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240E73">
        <w:rPr>
          <w:rFonts w:ascii="Times New Roman" w:eastAsia="Times New Roman" w:hAnsi="Times New Roman" w:cs="Times New Roman"/>
          <w:kern w:val="0"/>
          <w14:ligatures w14:val="none"/>
        </w:rPr>
        <w:t>At the 15–30 cm soil depth, nutrient management practices showed noticeable effects on soil physicochemical properties</w:t>
      </w:r>
      <w:r w:rsidRPr="00A14CF7">
        <w:rPr>
          <w:rFonts w:ascii="Times New Roman" w:eastAsia="Times New Roman" w:hAnsi="Times New Roman" w:cs="Times New Roman"/>
          <w:kern w:val="0"/>
          <w14:ligatures w14:val="none"/>
        </w:rPr>
        <w:t xml:space="preserve"> (Table</w:t>
      </w:r>
      <w:r w:rsidR="00F060AE">
        <w:rPr>
          <w:rFonts w:ascii="Times New Roman" w:eastAsia="Times New Roman" w:hAnsi="Times New Roman" w:cs="Times New Roman"/>
          <w:kern w:val="0"/>
          <w14:ligatures w14:val="none"/>
        </w:rPr>
        <w:t xml:space="preserve"> 3</w:t>
      </w:r>
      <w:r w:rsidRPr="00A14CF7">
        <w:rPr>
          <w:rFonts w:ascii="Times New Roman" w:eastAsia="Times New Roman" w:hAnsi="Times New Roman" w:cs="Times New Roman"/>
          <w:kern w:val="0"/>
          <w14:ligatures w14:val="none"/>
        </w:rPr>
        <w:t>)</w:t>
      </w:r>
      <w:r w:rsidRPr="00240E73">
        <w:rPr>
          <w:rFonts w:ascii="Times New Roman" w:eastAsia="Times New Roman" w:hAnsi="Times New Roman" w:cs="Times New Roman"/>
          <w:kern w:val="0"/>
          <w14:ligatures w14:val="none"/>
        </w:rPr>
        <w:t xml:space="preserve">. Soil pH ranged from 6.92 to 7.21, with the lowest in </w:t>
      </w:r>
      <w:r w:rsidRPr="00232668">
        <w:rPr>
          <w:rFonts w:ascii="Times New Roman" w:eastAsia="Times New Roman" w:hAnsi="Times New Roman" w:cs="Times New Roman"/>
          <w:color w:val="FF0000"/>
          <w:kern w:val="0"/>
          <w14:ligatures w14:val="none"/>
        </w:rPr>
        <w:t xml:space="preserve">T5 </w:t>
      </w:r>
      <w:r w:rsidRPr="00240E73">
        <w:rPr>
          <w:rFonts w:ascii="Times New Roman" w:eastAsia="Times New Roman" w:hAnsi="Times New Roman" w:cs="Times New Roman"/>
          <w:kern w:val="0"/>
          <w14:ligatures w14:val="none"/>
        </w:rPr>
        <w:t>(60 kg N ha⁻¹ + 30 kg P₂O₅ ha⁻¹ + 40 kg K₂O ha⁻¹) and the highest in T7 (100 kg N ha⁻¹ + 30 kg P₂O₅ ha⁻¹ + 40 kg K₂O ha⁻¹), indicating a slight acidifying effect of higher nitrogen and potassium applications, moderated by the subsoil's buffering capacity (</w:t>
      </w:r>
      <w:r w:rsidR="00D03CB6" w:rsidRPr="00D03CB6">
        <w:t>Bhargavi</w:t>
      </w:r>
      <w:r w:rsidR="00D03CB6">
        <w:t xml:space="preserve"> </w:t>
      </w:r>
      <w:r w:rsidR="00D03CB6" w:rsidRPr="00D03CB6">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xml:space="preserve">). Electrical conductivity (EC) remained low and within non-saline limits (0.027 to 0.041 dS m⁻¹), with the highest EC in </w:t>
      </w:r>
      <w:r w:rsidRPr="00232668">
        <w:rPr>
          <w:rFonts w:ascii="Times New Roman" w:eastAsia="Times New Roman" w:hAnsi="Times New Roman" w:cs="Times New Roman"/>
          <w:color w:val="FF0000"/>
          <w:kern w:val="0"/>
          <w14:ligatures w14:val="none"/>
        </w:rPr>
        <w:t xml:space="preserve">T6 </w:t>
      </w:r>
      <w:r w:rsidRPr="00240E73">
        <w:rPr>
          <w:rFonts w:ascii="Times New Roman" w:eastAsia="Times New Roman" w:hAnsi="Times New Roman" w:cs="Times New Roman"/>
          <w:kern w:val="0"/>
          <w14:ligatures w14:val="none"/>
        </w:rPr>
        <w:t xml:space="preserve">(80 kg N ha⁻¹ + 30 kg P₂O₅ ha⁻¹ + 40 kg K₂O ha⁻¹) due to possible accumulation of residual fertilizer salts (Richards et al., 1954). Organic carbon content varied from 0.25% to 0.47%, highest under </w:t>
      </w:r>
      <w:r w:rsidRPr="00232668">
        <w:rPr>
          <w:rFonts w:ascii="Times New Roman" w:eastAsia="Times New Roman" w:hAnsi="Times New Roman" w:cs="Times New Roman"/>
          <w:color w:val="FF0000"/>
          <w:kern w:val="0"/>
          <w14:ligatures w14:val="none"/>
        </w:rPr>
        <w:t xml:space="preserve">T7 and T8 </w:t>
      </w:r>
      <w:r w:rsidRPr="00240E73">
        <w:rPr>
          <w:rFonts w:ascii="Times New Roman" w:eastAsia="Times New Roman" w:hAnsi="Times New Roman" w:cs="Times New Roman"/>
          <w:kern w:val="0"/>
          <w14:ligatures w14:val="none"/>
        </w:rPr>
        <w:t xml:space="preserve">(Soil test-based application: 78 kg N ha⁻¹ + 21 kg P₂O₅ ha⁻¹ + 14 kg K₂O ha⁻¹), likely due to increased root biomass and organic inputs, consistent with the findings of </w:t>
      </w:r>
      <w:r w:rsidR="00BE364D">
        <w:rPr>
          <w:rFonts w:ascii="Times New Roman" w:eastAsia="Times New Roman" w:hAnsi="Times New Roman" w:cs="Times New Roman"/>
          <w:kern w:val="0"/>
          <w14:ligatures w14:val="none"/>
        </w:rPr>
        <w:t>(</w:t>
      </w:r>
      <w:r w:rsidR="00BE364D" w:rsidRPr="00BE364D">
        <w:rPr>
          <w:rFonts w:ascii="Times New Roman" w:eastAsia="Times New Roman" w:hAnsi="Times New Roman" w:cs="Times New Roman"/>
          <w:kern w:val="0"/>
          <w14:ligatures w14:val="none"/>
        </w:rPr>
        <w:t>Bhargavi,</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Cation exchange capacity (CEC) ranged from 6.17 to 10.63 cmol</w:t>
      </w:r>
      <w:r w:rsidR="00BE364D">
        <w:rPr>
          <w:rFonts w:ascii="Times New Roman" w:eastAsia="Times New Roman" w:hAnsi="Times New Roman" w:cs="Times New Roman"/>
          <w:kern w:val="0"/>
          <w14:ligatures w14:val="none"/>
        </w:rPr>
        <w:t xml:space="preserve"> </w:t>
      </w:r>
      <w:r w:rsidRPr="00240E73">
        <w:rPr>
          <w:rFonts w:ascii="Times New Roman" w:eastAsia="Times New Roman" w:hAnsi="Times New Roman" w:cs="Times New Roman"/>
          <w:kern w:val="0"/>
          <w14:ligatures w14:val="none"/>
        </w:rPr>
        <w:t xml:space="preserve">(p⁺) kg⁻¹, with the highest value in </w:t>
      </w:r>
      <w:r w:rsidRPr="00232668">
        <w:rPr>
          <w:rFonts w:ascii="Times New Roman" w:eastAsia="Times New Roman" w:hAnsi="Times New Roman" w:cs="Times New Roman"/>
          <w:color w:val="FF0000"/>
          <w:kern w:val="0"/>
          <w14:ligatures w14:val="none"/>
        </w:rPr>
        <w:t>T7</w:t>
      </w:r>
      <w:r w:rsidRPr="00240E73">
        <w:rPr>
          <w:rFonts w:ascii="Times New Roman" w:eastAsia="Times New Roman" w:hAnsi="Times New Roman" w:cs="Times New Roman"/>
          <w:kern w:val="0"/>
          <w14:ligatures w14:val="none"/>
        </w:rPr>
        <w:t>, reflecting the strong influence of organic matter on nutrient retention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 xml:space="preserve">). Available nitrogen increased significantly with nitrogen application, from 208.07 kg ha⁻¹ in </w:t>
      </w:r>
      <w:r w:rsidRPr="00232668">
        <w:rPr>
          <w:rFonts w:ascii="Times New Roman" w:eastAsia="Times New Roman" w:hAnsi="Times New Roman" w:cs="Times New Roman"/>
          <w:color w:val="FF0000"/>
          <w:kern w:val="0"/>
          <w14:ligatures w14:val="none"/>
        </w:rPr>
        <w:t xml:space="preserve">T1 </w:t>
      </w:r>
      <w:r w:rsidRPr="00240E73">
        <w:rPr>
          <w:rFonts w:ascii="Times New Roman" w:eastAsia="Times New Roman" w:hAnsi="Times New Roman" w:cs="Times New Roman"/>
          <w:kern w:val="0"/>
          <w14:ligatures w14:val="none"/>
        </w:rPr>
        <w:t xml:space="preserve">(Control – no fertilizers applied) to 300.56 kg ha⁻¹ in </w:t>
      </w:r>
      <w:r w:rsidRPr="00232668">
        <w:rPr>
          <w:rFonts w:ascii="Times New Roman" w:eastAsia="Times New Roman" w:hAnsi="Times New Roman" w:cs="Times New Roman"/>
          <w:color w:val="FF0000"/>
          <w:kern w:val="0"/>
          <w14:ligatures w14:val="none"/>
        </w:rPr>
        <w:t>T7,</w:t>
      </w:r>
      <w:r w:rsidRPr="00240E73">
        <w:rPr>
          <w:rFonts w:ascii="Times New Roman" w:eastAsia="Times New Roman" w:hAnsi="Times New Roman" w:cs="Times New Roman"/>
          <w:kern w:val="0"/>
          <w14:ligatures w14:val="none"/>
        </w:rPr>
        <w:t xml:space="preserve"> indicating downward movement due to leaching (Subbiah and Asija, 1956). Available phosphorus ranged from 81.01 to 141.86 kg ha⁻¹, highest in T7, likely due to increased root activity and moisture (</w:t>
      </w:r>
      <w:r w:rsidRPr="00232668">
        <w:rPr>
          <w:rFonts w:ascii="Times New Roman" w:eastAsia="Times New Roman" w:hAnsi="Times New Roman" w:cs="Times New Roman"/>
          <w:color w:val="FF0000"/>
          <w:kern w:val="0"/>
          <w14:ligatures w14:val="none"/>
        </w:rPr>
        <w:t xml:space="preserve">Olsen et al., 1954). </w:t>
      </w:r>
      <w:r w:rsidRPr="00240E73">
        <w:rPr>
          <w:rFonts w:ascii="Times New Roman" w:eastAsia="Times New Roman" w:hAnsi="Times New Roman" w:cs="Times New Roman"/>
          <w:kern w:val="0"/>
          <w14:ligatures w14:val="none"/>
        </w:rPr>
        <w:t xml:space="preserve">Available potassium ranged from 101.24 to 184.12 kg ha⁻¹, highest in </w:t>
      </w:r>
      <w:r w:rsidRPr="00232668">
        <w:rPr>
          <w:rFonts w:ascii="Times New Roman" w:eastAsia="Times New Roman" w:hAnsi="Times New Roman" w:cs="Times New Roman"/>
          <w:color w:val="FF0000"/>
          <w:kern w:val="0"/>
          <w14:ligatures w14:val="none"/>
        </w:rPr>
        <w:t>T4</w:t>
      </w:r>
      <w:r w:rsidRPr="00240E73">
        <w:rPr>
          <w:rFonts w:ascii="Times New Roman" w:eastAsia="Times New Roman" w:hAnsi="Times New Roman" w:cs="Times New Roman"/>
          <w:kern w:val="0"/>
          <w14:ligatures w14:val="none"/>
        </w:rPr>
        <w:t xml:space="preserve"> (100 kg N ha⁻¹ + 30 kg P₂O₅ ha⁻¹ + 20 kg K₂O ha⁻¹), possibly due to mineralization or reduced uptake, while elevated values </w:t>
      </w:r>
      <w:r w:rsidRPr="00232668">
        <w:rPr>
          <w:rFonts w:ascii="Times New Roman" w:eastAsia="Times New Roman" w:hAnsi="Times New Roman" w:cs="Times New Roman"/>
          <w:color w:val="FF0000"/>
          <w:kern w:val="0"/>
          <w14:ligatures w14:val="none"/>
        </w:rPr>
        <w:t xml:space="preserve">in T6 and T7 </w:t>
      </w:r>
      <w:r w:rsidRPr="00240E73">
        <w:rPr>
          <w:rFonts w:ascii="Times New Roman" w:eastAsia="Times New Roman" w:hAnsi="Times New Roman" w:cs="Times New Roman"/>
          <w:kern w:val="0"/>
          <w14:ligatures w14:val="none"/>
        </w:rPr>
        <w:t>suggest residual effects of potassium application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w:t>
      </w:r>
    </w:p>
    <w:p w14:paraId="66BA86F0" w14:textId="77777777" w:rsidR="00131D17" w:rsidRDefault="00131D17"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41032B36"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052BC523"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742BADCA"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1595E88A" w14:textId="5AF0FCB8" w:rsidR="00C3711C" w:rsidRPr="003002E3" w:rsidRDefault="00C3711C" w:rsidP="002441E8">
      <w:pPr>
        <w:jc w:val="both"/>
        <w:rPr>
          <w:rFonts w:ascii="Times New Roman" w:hAnsi="Times New Roman" w:cs="Times New Roman"/>
          <w:b/>
          <w:lang w:val="en-US"/>
        </w:rPr>
      </w:pPr>
      <w:r w:rsidRPr="003002E3">
        <w:rPr>
          <w:rFonts w:ascii="Times New Roman" w:hAnsi="Times New Roman" w:cs="Times New Roman"/>
          <w:b/>
          <w:lang w:val="en-US"/>
        </w:rPr>
        <w:lastRenderedPageBreak/>
        <w:t>Table</w:t>
      </w:r>
      <w:r w:rsidR="00BC5947" w:rsidRPr="003002E3">
        <w:rPr>
          <w:rFonts w:ascii="Times New Roman" w:hAnsi="Times New Roman" w:cs="Times New Roman"/>
          <w:b/>
          <w:lang w:val="en-US"/>
        </w:rPr>
        <w:t>:</w:t>
      </w:r>
      <w:r w:rsidR="002441E8" w:rsidRPr="002441E8">
        <w:rPr>
          <w:rFonts w:ascii="Times New Roman" w:hAnsi="Times New Roman" w:cs="Times New Roman"/>
          <w:bCs/>
          <w:lang w:val="en-US"/>
        </w:rPr>
        <w:t>1</w:t>
      </w:r>
      <w:r w:rsidR="00DD4732" w:rsidRPr="002441E8">
        <w:rPr>
          <w:rFonts w:ascii="Times New Roman" w:hAnsi="Times New Roman" w:cs="Times New Roman"/>
          <w:bCs/>
          <w:lang w:val="en-US"/>
        </w:rPr>
        <w:t xml:space="preserve"> </w:t>
      </w:r>
      <w:r w:rsidR="002441E8" w:rsidRPr="002441E8">
        <w:rPr>
          <w:rFonts w:ascii="Times New Roman" w:hAnsi="Times New Roman" w:cs="Times New Roman"/>
          <w:bCs/>
          <w:lang w:val="en-US"/>
        </w:rPr>
        <w:t>Plant Population</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Plant height (cm)</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Dry matter production</w:t>
      </w:r>
      <w:r w:rsidR="002441E8">
        <w:rPr>
          <w:rFonts w:ascii="Times New Roman" w:hAnsi="Times New Roman" w:cs="Times New Roman"/>
          <w:bCs/>
          <w:lang w:val="en-US"/>
        </w:rPr>
        <w:t xml:space="preserve"> </w:t>
      </w:r>
      <w:r w:rsidR="002441E8" w:rsidRPr="002441E8">
        <w:rPr>
          <w:rFonts w:ascii="Times New Roman" w:hAnsi="Times New Roman" w:cs="Times New Roman"/>
          <w:bCs/>
          <w:lang w:val="en-US"/>
        </w:rPr>
        <w:t>(kg ha</w:t>
      </w:r>
      <w:r w:rsidR="002441E8" w:rsidRPr="002441E8">
        <w:rPr>
          <w:rFonts w:ascii="Times New Roman" w:hAnsi="Times New Roman" w:cs="Times New Roman"/>
          <w:bCs/>
          <w:vertAlign w:val="superscript"/>
          <w:lang w:val="en-US"/>
        </w:rPr>
        <w:t>-1</w:t>
      </w:r>
      <w:r w:rsidR="002441E8" w:rsidRPr="002441E8">
        <w:rPr>
          <w:rFonts w:ascii="Times New Roman" w:hAnsi="Times New Roman" w:cs="Times New Roman"/>
          <w:bCs/>
          <w:lang w:val="en-US"/>
        </w:rPr>
        <w:t xml:space="preserve">) at harvest </w:t>
      </w:r>
      <w:r w:rsidRPr="002441E8">
        <w:rPr>
          <w:rFonts w:ascii="Times New Roman" w:hAnsi="Times New Roman" w:cs="Times New Roman"/>
          <w:bCs/>
          <w:lang w:val="en-US"/>
        </w:rPr>
        <w:t>at different stages of crop growth as influenced by nutrient management practices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5"/>
        <w:gridCol w:w="1467"/>
        <w:gridCol w:w="2595"/>
        <w:gridCol w:w="2013"/>
      </w:tblGrid>
      <w:tr w:rsidR="00B113AA" w:rsidRPr="00211C3B" w14:paraId="7BEF2997" w14:textId="77777777" w:rsidTr="00211C3B">
        <w:trPr>
          <w:trHeight w:val="527"/>
          <w:jc w:val="center"/>
        </w:trPr>
        <w:tc>
          <w:tcPr>
            <w:tcW w:w="1520" w:type="pct"/>
            <w:vAlign w:val="center"/>
          </w:tcPr>
          <w:p w14:paraId="21D0B568"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Treatment</w:t>
            </w:r>
          </w:p>
        </w:tc>
        <w:tc>
          <w:tcPr>
            <w:tcW w:w="840" w:type="pct"/>
            <w:vAlign w:val="center"/>
          </w:tcPr>
          <w:p w14:paraId="32025E28" w14:textId="7AA9C5FD" w:rsidR="00C3711C" w:rsidRPr="00211C3B" w:rsidRDefault="00882FC9" w:rsidP="003002E3">
            <w:pPr>
              <w:jc w:val="center"/>
              <w:rPr>
                <w:rFonts w:ascii="Times New Roman" w:hAnsi="Times New Roman" w:cs="Times New Roman"/>
                <w:b/>
                <w:lang w:val="en-US"/>
              </w:rPr>
            </w:pPr>
            <w:r w:rsidRPr="00211C3B">
              <w:rPr>
                <w:rFonts w:ascii="Times New Roman" w:hAnsi="Times New Roman" w:cs="Times New Roman"/>
                <w:b/>
                <w:lang w:val="en-US"/>
              </w:rPr>
              <w:t xml:space="preserve">Plant Population </w:t>
            </w:r>
            <w:r w:rsidR="00C3711C" w:rsidRPr="00211C3B">
              <w:rPr>
                <w:rFonts w:ascii="Times New Roman" w:hAnsi="Times New Roman" w:cs="Times New Roman"/>
                <w:b/>
                <w:lang w:val="en-US"/>
              </w:rPr>
              <w:t>At harvest</w:t>
            </w:r>
          </w:p>
        </w:tc>
        <w:tc>
          <w:tcPr>
            <w:tcW w:w="1486" w:type="pct"/>
            <w:vAlign w:val="center"/>
          </w:tcPr>
          <w:p w14:paraId="6C3341AC" w14:textId="5F1F4E31"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Plant</w:t>
            </w:r>
            <w:r w:rsidRPr="00211C3B">
              <w:rPr>
                <w:rFonts w:ascii="Times New Roman" w:eastAsia="Times New Roman" w:hAnsi="Times New Roman" w:cs="Times New Roman"/>
                <w:b/>
                <w:spacing w:val="-4"/>
                <w:kern w:val="0"/>
                <w:lang w:val="en-US"/>
                <w14:ligatures w14:val="none"/>
              </w:rPr>
              <w:t xml:space="preserve"> </w:t>
            </w:r>
            <w:r w:rsidRPr="00211C3B">
              <w:rPr>
                <w:rFonts w:ascii="Times New Roman" w:eastAsia="Times New Roman" w:hAnsi="Times New Roman" w:cs="Times New Roman"/>
                <w:b/>
                <w:kern w:val="0"/>
                <w:lang w:val="en-US"/>
                <w14:ligatures w14:val="none"/>
              </w:rPr>
              <w:t>height</w:t>
            </w:r>
            <w:r w:rsidRPr="00211C3B">
              <w:rPr>
                <w:rFonts w:ascii="Times New Roman" w:eastAsia="Times New Roman" w:hAnsi="Times New Roman" w:cs="Times New Roman"/>
                <w:b/>
                <w:spacing w:val="-8"/>
                <w:kern w:val="0"/>
                <w:lang w:val="en-US"/>
                <w14:ligatures w14:val="none"/>
              </w:rPr>
              <w:t xml:space="preserve"> </w:t>
            </w:r>
            <w:r w:rsidRPr="00211C3B">
              <w:rPr>
                <w:rFonts w:ascii="Times New Roman" w:eastAsia="Times New Roman" w:hAnsi="Times New Roman" w:cs="Times New Roman"/>
                <w:b/>
                <w:kern w:val="0"/>
                <w:lang w:val="en-US"/>
                <w14:ligatures w14:val="none"/>
              </w:rPr>
              <w:t>(cm)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c>
          <w:tcPr>
            <w:tcW w:w="1153" w:type="pct"/>
            <w:vAlign w:val="center"/>
          </w:tcPr>
          <w:p w14:paraId="5ECC18B7" w14:textId="0D40FD5E"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Dry</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kern w:val="0"/>
                <w:lang w:val="en-US"/>
                <w14:ligatures w14:val="none"/>
              </w:rPr>
              <w:t>matter</w:t>
            </w:r>
            <w:r w:rsidRPr="00211C3B">
              <w:rPr>
                <w:rFonts w:ascii="Times New Roman" w:eastAsia="Times New Roman" w:hAnsi="Times New Roman" w:cs="Times New Roman"/>
                <w:b/>
                <w:spacing w:val="-2"/>
                <w:kern w:val="0"/>
                <w:lang w:val="en-US"/>
                <w14:ligatures w14:val="none"/>
              </w:rPr>
              <w:t xml:space="preserve"> </w:t>
            </w:r>
            <w:r w:rsidRPr="00211C3B">
              <w:rPr>
                <w:rFonts w:ascii="Times New Roman" w:eastAsia="Times New Roman" w:hAnsi="Times New Roman" w:cs="Times New Roman"/>
                <w:b/>
                <w:kern w:val="0"/>
                <w:lang w:val="en-US"/>
                <w14:ligatures w14:val="none"/>
              </w:rPr>
              <w:t>production</w:t>
            </w:r>
            <w:r w:rsidRPr="00211C3B">
              <w:rPr>
                <w:rFonts w:ascii="Times New Roman" w:eastAsia="Times New Roman" w:hAnsi="Times New Roman" w:cs="Times New Roman"/>
                <w:b/>
                <w:spacing w:val="-9"/>
                <w:kern w:val="0"/>
                <w:lang w:val="en-US"/>
                <w14:ligatures w14:val="none"/>
              </w:rPr>
              <w:t xml:space="preserve"> </w:t>
            </w:r>
            <w:r w:rsidRPr="00211C3B">
              <w:rPr>
                <w:rFonts w:ascii="Times New Roman" w:eastAsia="Times New Roman" w:hAnsi="Times New Roman" w:cs="Times New Roman"/>
                <w:b/>
                <w:kern w:val="0"/>
                <w:lang w:val="en-US"/>
                <w14:ligatures w14:val="none"/>
              </w:rPr>
              <w:t>(kg ha</w:t>
            </w:r>
            <w:r w:rsidRPr="00211C3B">
              <w:rPr>
                <w:rFonts w:ascii="Times New Roman" w:eastAsia="Times New Roman" w:hAnsi="Times New Roman" w:cs="Times New Roman"/>
                <w:b/>
                <w:kern w:val="0"/>
                <w:vertAlign w:val="superscript"/>
                <w:lang w:val="en-US"/>
                <w14:ligatures w14:val="none"/>
              </w:rPr>
              <w:t>-1</w:t>
            </w:r>
            <w:r w:rsidRPr="00211C3B">
              <w:rPr>
                <w:rFonts w:ascii="Times New Roman" w:eastAsia="Times New Roman" w:hAnsi="Times New Roman" w:cs="Times New Roman"/>
                <w:b/>
                <w:kern w:val="0"/>
                <w:lang w:val="en-US"/>
                <w14:ligatures w14:val="none"/>
              </w:rPr>
              <w:t>)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r>
      <w:tr w:rsidR="00B113AA" w:rsidRPr="00211C3B" w14:paraId="5B4AF064" w14:textId="77777777" w:rsidTr="00211C3B">
        <w:trPr>
          <w:trHeight w:val="578"/>
          <w:jc w:val="center"/>
        </w:trPr>
        <w:tc>
          <w:tcPr>
            <w:tcW w:w="1520" w:type="pct"/>
          </w:tcPr>
          <w:p w14:paraId="211B7606"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1</w:t>
            </w:r>
            <w:r w:rsidRPr="00211C3B">
              <w:rPr>
                <w:sz w:val="22"/>
                <w:szCs w:val="22"/>
              </w:rPr>
              <w:t>: Control (no fertilizers).</w:t>
            </w:r>
          </w:p>
        </w:tc>
        <w:tc>
          <w:tcPr>
            <w:tcW w:w="840" w:type="pct"/>
          </w:tcPr>
          <w:p w14:paraId="62427450" w14:textId="27C34C78"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101184.17</w:t>
            </w:r>
          </w:p>
        </w:tc>
        <w:tc>
          <w:tcPr>
            <w:tcW w:w="1486" w:type="pct"/>
          </w:tcPr>
          <w:p w14:paraId="7F02608D" w14:textId="41867FB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158.28</w:t>
            </w:r>
          </w:p>
        </w:tc>
        <w:tc>
          <w:tcPr>
            <w:tcW w:w="1153" w:type="pct"/>
          </w:tcPr>
          <w:p w14:paraId="358B9ADF" w14:textId="4792F35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4108.59</w:t>
            </w:r>
          </w:p>
        </w:tc>
      </w:tr>
      <w:tr w:rsidR="00B113AA" w:rsidRPr="00211C3B" w14:paraId="3A0B003F" w14:textId="77777777" w:rsidTr="00211C3B">
        <w:trPr>
          <w:trHeight w:val="574"/>
          <w:jc w:val="center"/>
        </w:trPr>
        <w:tc>
          <w:tcPr>
            <w:tcW w:w="1520" w:type="pct"/>
          </w:tcPr>
          <w:p w14:paraId="64F5112E" w14:textId="465AA90E"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2</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r w:rsidR="006C1CCE">
              <w:rPr>
                <w:sz w:val="22"/>
                <w:szCs w:val="22"/>
                <w:vertAlign w:val="superscript"/>
              </w:rPr>
              <w:t xml:space="preserve"> </w:t>
            </w:r>
            <w:r w:rsidRPr="004A4C12">
              <w:rPr>
                <w:color w:val="FF0000"/>
                <w:sz w:val="22"/>
                <w:szCs w:val="22"/>
              </w:rPr>
              <w:t>(</w:t>
            </w:r>
            <w:r w:rsidRPr="004A4C12">
              <w:rPr>
                <w:b/>
                <w:color w:val="FF0000"/>
                <w:sz w:val="22"/>
                <w:szCs w:val="22"/>
              </w:rPr>
              <w:t>RDF</w:t>
            </w:r>
            <w:r w:rsidRPr="004A4C12">
              <w:rPr>
                <w:color w:val="FF0000"/>
                <w:sz w:val="22"/>
                <w:szCs w:val="22"/>
              </w:rPr>
              <w:t>)</w:t>
            </w:r>
          </w:p>
        </w:tc>
        <w:tc>
          <w:tcPr>
            <w:tcW w:w="840" w:type="pct"/>
          </w:tcPr>
          <w:p w14:paraId="65571B40" w14:textId="0A594E85"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113035.91</w:t>
            </w:r>
          </w:p>
        </w:tc>
        <w:tc>
          <w:tcPr>
            <w:tcW w:w="1486" w:type="pct"/>
          </w:tcPr>
          <w:p w14:paraId="1EB6C07C" w14:textId="5FDF8B3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161.00</w:t>
            </w:r>
          </w:p>
        </w:tc>
        <w:tc>
          <w:tcPr>
            <w:tcW w:w="1153" w:type="pct"/>
          </w:tcPr>
          <w:p w14:paraId="28A0FE49" w14:textId="6B8E2A2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5830.45</w:t>
            </w:r>
          </w:p>
        </w:tc>
      </w:tr>
      <w:tr w:rsidR="00B113AA" w:rsidRPr="00211C3B" w14:paraId="51713FA1" w14:textId="77777777" w:rsidTr="00211C3B">
        <w:trPr>
          <w:trHeight w:val="578"/>
          <w:jc w:val="center"/>
        </w:trPr>
        <w:tc>
          <w:tcPr>
            <w:tcW w:w="1520" w:type="pct"/>
          </w:tcPr>
          <w:p w14:paraId="5315500B"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3</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507AF40C" w14:textId="1F25FD44"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115998.84</w:t>
            </w:r>
          </w:p>
        </w:tc>
        <w:tc>
          <w:tcPr>
            <w:tcW w:w="1486" w:type="pct"/>
          </w:tcPr>
          <w:p w14:paraId="67394282" w14:textId="1DECAC1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tcPr>
          <w:p w14:paraId="73ACAA0F" w14:textId="47F3A99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6460.12</w:t>
            </w:r>
          </w:p>
        </w:tc>
      </w:tr>
      <w:tr w:rsidR="00B113AA" w:rsidRPr="00211C3B" w14:paraId="3517B5B4" w14:textId="77777777" w:rsidTr="00211C3B">
        <w:trPr>
          <w:trHeight w:val="572"/>
          <w:jc w:val="center"/>
        </w:trPr>
        <w:tc>
          <w:tcPr>
            <w:tcW w:w="1520" w:type="pct"/>
          </w:tcPr>
          <w:p w14:paraId="00A2E1C1"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4</w:t>
            </w:r>
            <w:r w:rsidRPr="00211C3B">
              <w:rPr>
                <w:sz w:val="22"/>
                <w:szCs w:val="22"/>
              </w:rPr>
              <w:t>: 100 kg N ha</w:t>
            </w:r>
            <w:r w:rsidRPr="00211C3B">
              <w:rPr>
                <w:sz w:val="22"/>
                <w:szCs w:val="22"/>
                <w:vertAlign w:val="superscript"/>
              </w:rPr>
              <w:t>-1</w:t>
            </w:r>
            <w:r w:rsidRPr="00211C3B">
              <w:rPr>
                <w:sz w:val="22"/>
                <w:szCs w:val="22"/>
              </w:rPr>
              <w:t xml:space="preserve">  + 30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1F7EAF47" w14:textId="0F71CEFB"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115702.54</w:t>
            </w:r>
          </w:p>
        </w:tc>
        <w:tc>
          <w:tcPr>
            <w:tcW w:w="1486" w:type="pct"/>
          </w:tcPr>
          <w:p w14:paraId="55654AF4" w14:textId="1B93233C"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179.60</w:t>
            </w:r>
          </w:p>
        </w:tc>
        <w:tc>
          <w:tcPr>
            <w:tcW w:w="1153" w:type="pct"/>
          </w:tcPr>
          <w:p w14:paraId="03BB4990" w14:textId="69BE62F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7108.45</w:t>
            </w:r>
          </w:p>
        </w:tc>
      </w:tr>
      <w:tr w:rsidR="00B113AA" w:rsidRPr="00211C3B" w14:paraId="66450A80" w14:textId="77777777" w:rsidTr="00211C3B">
        <w:trPr>
          <w:trHeight w:val="579"/>
          <w:jc w:val="center"/>
        </w:trPr>
        <w:tc>
          <w:tcPr>
            <w:tcW w:w="1520" w:type="pct"/>
          </w:tcPr>
          <w:p w14:paraId="69A27D39"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5</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3F762496" w14:textId="1C1E2C48"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116295.13</w:t>
            </w:r>
          </w:p>
        </w:tc>
        <w:tc>
          <w:tcPr>
            <w:tcW w:w="1486" w:type="pct"/>
          </w:tcPr>
          <w:p w14:paraId="5EEBDA57" w14:textId="76BB7AB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169.80</w:t>
            </w:r>
          </w:p>
        </w:tc>
        <w:tc>
          <w:tcPr>
            <w:tcW w:w="1153" w:type="pct"/>
          </w:tcPr>
          <w:p w14:paraId="19AAF4D0" w14:textId="47E79EC2"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5982.51</w:t>
            </w:r>
          </w:p>
        </w:tc>
      </w:tr>
      <w:tr w:rsidR="00B113AA" w:rsidRPr="00211C3B" w14:paraId="3CB842EE" w14:textId="77777777" w:rsidTr="00211C3B">
        <w:trPr>
          <w:trHeight w:val="572"/>
          <w:jc w:val="center"/>
        </w:trPr>
        <w:tc>
          <w:tcPr>
            <w:tcW w:w="1520" w:type="pct"/>
          </w:tcPr>
          <w:p w14:paraId="01B0C997"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6</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1F7522C4" w14:textId="4C95895E"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110665.56</w:t>
            </w:r>
          </w:p>
        </w:tc>
        <w:tc>
          <w:tcPr>
            <w:tcW w:w="1486" w:type="pct"/>
          </w:tcPr>
          <w:p w14:paraId="1C933755" w14:textId="115F374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165.92</w:t>
            </w:r>
          </w:p>
        </w:tc>
        <w:tc>
          <w:tcPr>
            <w:tcW w:w="1153" w:type="pct"/>
          </w:tcPr>
          <w:p w14:paraId="76324758" w14:textId="1BC24A13"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6696.67</w:t>
            </w:r>
          </w:p>
        </w:tc>
      </w:tr>
      <w:tr w:rsidR="00B113AA" w:rsidRPr="00211C3B" w14:paraId="18FBC690" w14:textId="77777777" w:rsidTr="00211C3B">
        <w:trPr>
          <w:trHeight w:val="578"/>
          <w:jc w:val="center"/>
        </w:trPr>
        <w:tc>
          <w:tcPr>
            <w:tcW w:w="1520" w:type="pct"/>
          </w:tcPr>
          <w:p w14:paraId="03EC89C5"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7</w:t>
            </w:r>
            <w:r w:rsidRPr="00211C3B">
              <w:rPr>
                <w:sz w:val="22"/>
                <w:szCs w:val="22"/>
              </w:rPr>
              <w:t>: 100 kg N ha</w:t>
            </w:r>
            <w:r w:rsidRPr="00211C3B">
              <w:rPr>
                <w:sz w:val="22"/>
                <w:szCs w:val="22"/>
                <w:vertAlign w:val="superscript"/>
              </w:rPr>
              <w:t>-1</w:t>
            </w:r>
            <w:r w:rsidRPr="00211C3B">
              <w:rPr>
                <w:sz w:val="22"/>
                <w:szCs w:val="22"/>
              </w:rPr>
              <w:t xml:space="preserve">  + 30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465A9C49" w14:textId="1FC3B25E"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117628.45</w:t>
            </w:r>
          </w:p>
        </w:tc>
        <w:tc>
          <w:tcPr>
            <w:tcW w:w="1486" w:type="pct"/>
          </w:tcPr>
          <w:p w14:paraId="64FAD345" w14:textId="0CD8DAF1"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tcPr>
          <w:p w14:paraId="246E04DD" w14:textId="07A08D5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7539.67</w:t>
            </w:r>
          </w:p>
        </w:tc>
      </w:tr>
      <w:tr w:rsidR="00B113AA" w:rsidRPr="00211C3B" w14:paraId="19111561" w14:textId="77777777" w:rsidTr="00211C3B">
        <w:trPr>
          <w:trHeight w:val="572"/>
          <w:jc w:val="center"/>
        </w:trPr>
        <w:tc>
          <w:tcPr>
            <w:tcW w:w="1520" w:type="pct"/>
          </w:tcPr>
          <w:p w14:paraId="0DFD4C45"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8</w:t>
            </w:r>
            <w:r w:rsidRPr="00211C3B">
              <w:rPr>
                <w:sz w:val="22"/>
                <w:szCs w:val="22"/>
              </w:rPr>
              <w:t>: Application of N,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and K</w:t>
            </w:r>
            <w:r w:rsidRPr="00211C3B">
              <w:rPr>
                <w:sz w:val="22"/>
                <w:szCs w:val="22"/>
                <w:vertAlign w:val="subscript"/>
              </w:rPr>
              <w:t>2</w:t>
            </w:r>
            <w:r w:rsidRPr="00211C3B">
              <w:rPr>
                <w:sz w:val="22"/>
                <w:szCs w:val="22"/>
              </w:rPr>
              <w:t>O based on Soil Test Values.</w:t>
            </w:r>
          </w:p>
        </w:tc>
        <w:tc>
          <w:tcPr>
            <w:tcW w:w="840" w:type="pct"/>
          </w:tcPr>
          <w:p w14:paraId="7EAFD440" w14:textId="319E841C"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117035.86</w:t>
            </w:r>
          </w:p>
        </w:tc>
        <w:tc>
          <w:tcPr>
            <w:tcW w:w="1486" w:type="pct"/>
          </w:tcPr>
          <w:p w14:paraId="47980F46" w14:textId="765406D8"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170.00</w:t>
            </w:r>
          </w:p>
        </w:tc>
        <w:tc>
          <w:tcPr>
            <w:tcW w:w="1153" w:type="pct"/>
          </w:tcPr>
          <w:p w14:paraId="4963B142" w14:textId="355A7B80"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6430.40</w:t>
            </w:r>
          </w:p>
        </w:tc>
      </w:tr>
      <w:tr w:rsidR="00B113AA" w:rsidRPr="00211C3B" w14:paraId="58AD91FB" w14:textId="77777777" w:rsidTr="00211C3B">
        <w:trPr>
          <w:trHeight w:val="578"/>
          <w:jc w:val="center"/>
        </w:trPr>
        <w:tc>
          <w:tcPr>
            <w:tcW w:w="1520" w:type="pct"/>
          </w:tcPr>
          <w:p w14:paraId="3F6DE150"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SEm±</w:t>
            </w:r>
          </w:p>
        </w:tc>
        <w:tc>
          <w:tcPr>
            <w:tcW w:w="840" w:type="pct"/>
          </w:tcPr>
          <w:p w14:paraId="3DB3A0E4" w14:textId="293EF659"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4805.27</w:t>
            </w:r>
          </w:p>
        </w:tc>
        <w:tc>
          <w:tcPr>
            <w:tcW w:w="1486" w:type="pct"/>
          </w:tcPr>
          <w:p w14:paraId="1199C5C5" w14:textId="10978E9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0.793</w:t>
            </w:r>
          </w:p>
        </w:tc>
        <w:tc>
          <w:tcPr>
            <w:tcW w:w="1153" w:type="pct"/>
          </w:tcPr>
          <w:p w14:paraId="756980F1" w14:textId="6B40A8E0"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59.786</w:t>
            </w:r>
          </w:p>
        </w:tc>
      </w:tr>
      <w:tr w:rsidR="00B113AA" w:rsidRPr="00211C3B" w14:paraId="3CBC6A60" w14:textId="77777777" w:rsidTr="00211C3B">
        <w:trPr>
          <w:trHeight w:val="579"/>
          <w:jc w:val="center"/>
        </w:trPr>
        <w:tc>
          <w:tcPr>
            <w:tcW w:w="1520" w:type="pct"/>
          </w:tcPr>
          <w:p w14:paraId="15C633C3"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CD (P = 0.05)</w:t>
            </w:r>
          </w:p>
        </w:tc>
        <w:tc>
          <w:tcPr>
            <w:tcW w:w="840" w:type="pct"/>
          </w:tcPr>
          <w:p w14:paraId="65829FB6" w14:textId="6F7D7571"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N.S.</w:t>
            </w:r>
          </w:p>
        </w:tc>
        <w:tc>
          <w:tcPr>
            <w:tcW w:w="1486" w:type="pct"/>
          </w:tcPr>
          <w:p w14:paraId="138E9C93" w14:textId="214730D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2.429</w:t>
            </w:r>
          </w:p>
        </w:tc>
        <w:tc>
          <w:tcPr>
            <w:tcW w:w="1153" w:type="pct"/>
          </w:tcPr>
          <w:p w14:paraId="6FBC70B1" w14:textId="2A9B8F3D"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183.100</w:t>
            </w:r>
          </w:p>
        </w:tc>
      </w:tr>
    </w:tbl>
    <w:p w14:paraId="0F88958E" w14:textId="77777777" w:rsidR="00C3711C" w:rsidRPr="003002E3" w:rsidRDefault="00C3711C" w:rsidP="003002E3">
      <w:pPr>
        <w:jc w:val="center"/>
        <w:rPr>
          <w:rFonts w:ascii="Times New Roman" w:hAnsi="Times New Roman" w:cs="Times New Roman"/>
          <w:lang w:val="en-US"/>
        </w:rPr>
      </w:pPr>
    </w:p>
    <w:p w14:paraId="0D37769B" w14:textId="77777777" w:rsidR="00B456F7" w:rsidRPr="003002E3" w:rsidRDefault="00B456F7" w:rsidP="003002E3">
      <w:pPr>
        <w:jc w:val="center"/>
        <w:rPr>
          <w:rFonts w:ascii="Times New Roman" w:hAnsi="Times New Roman" w:cs="Times New Roman"/>
          <w:lang w:val="en-US"/>
        </w:rPr>
      </w:pPr>
    </w:p>
    <w:p w14:paraId="28AB1438" w14:textId="77777777" w:rsidR="00B456F7" w:rsidRPr="003002E3" w:rsidRDefault="00B456F7" w:rsidP="003002E3">
      <w:pPr>
        <w:jc w:val="center"/>
        <w:rPr>
          <w:rFonts w:ascii="Times New Roman" w:hAnsi="Times New Roman" w:cs="Times New Roman"/>
          <w:lang w:val="en-US"/>
        </w:rPr>
      </w:pPr>
    </w:p>
    <w:p w14:paraId="0706DCFE"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997670">
          <w:headerReference w:type="even" r:id="rId8"/>
          <w:headerReference w:type="default" r:id="rId9"/>
          <w:footerReference w:type="even" r:id="rId10"/>
          <w:footerReference w:type="default" r:id="rId11"/>
          <w:headerReference w:type="first" r:id="rId12"/>
          <w:footerReference w:type="first" r:id="rId13"/>
          <w:pgSz w:w="11910" w:h="16840" w:code="9"/>
          <w:pgMar w:top="1340" w:right="1830" w:bottom="1320" w:left="1340" w:header="720" w:footer="720" w:gutter="0"/>
          <w:cols w:space="720"/>
          <w:docGrid w:linePitch="299"/>
        </w:sectPr>
      </w:pPr>
    </w:p>
    <w:p w14:paraId="038F90D0" w14:textId="111E6E93"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w:t>
      </w:r>
      <w:r w:rsidR="00F37E85">
        <w:rPr>
          <w:rFonts w:ascii="Times New Roman" w:hAnsi="Times New Roman" w:cs="Times New Roman"/>
          <w:b/>
          <w:lang w:val="en-US"/>
        </w:rPr>
        <w:t>2</w:t>
      </w:r>
      <w:r w:rsidR="00323880" w:rsidRPr="003002E3">
        <w:rPr>
          <w:rFonts w:ascii="Times New Roman" w:hAnsi="Times New Roman" w:cs="Times New Roman"/>
          <w:b/>
          <w:lang w:val="en-US"/>
        </w:rPr>
        <w:t xml:space="preserve"> </w:t>
      </w:r>
      <w:r w:rsidRPr="00F37E85">
        <w:rPr>
          <w:rFonts w:ascii="Times New Roman" w:hAnsi="Times New Roman" w:cs="Times New Roman"/>
          <w:bCs/>
          <w:lang w:val="en-US"/>
        </w:rPr>
        <w:t>Soil pH, EC (dSm</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at 25° C), organic carbon (%), CEC (cmol (p+) kg</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and available N, P</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w:t>
      </w:r>
      <w:r w:rsidRPr="00F37E85">
        <w:rPr>
          <w:rFonts w:ascii="Times New Roman" w:hAnsi="Times New Roman" w:cs="Times New Roman"/>
          <w:bCs/>
          <w:vertAlign w:val="subscript"/>
          <w:lang w:val="en-US"/>
        </w:rPr>
        <w:t>5</w:t>
      </w:r>
      <w:r w:rsidRPr="00F37E85">
        <w:rPr>
          <w:rFonts w:ascii="Times New Roman" w:hAnsi="Times New Roman" w:cs="Times New Roman"/>
          <w:bCs/>
          <w:lang w:val="en-US"/>
        </w:rPr>
        <w:t xml:space="preserve"> and K</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 (kg ha</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xml:space="preserve">) </w:t>
      </w:r>
      <w:bookmarkStart w:id="1" w:name="_Hlk197632995"/>
      <w:r w:rsidRPr="00F37E85">
        <w:rPr>
          <w:rFonts w:ascii="Times New Roman" w:hAnsi="Times New Roman" w:cs="Times New Roman"/>
          <w:bCs/>
          <w:lang w:val="en-US"/>
        </w:rPr>
        <w:t>at 0-15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5"/>
        <w:gridCol w:w="956"/>
        <w:gridCol w:w="956"/>
        <w:gridCol w:w="957"/>
        <w:gridCol w:w="1067"/>
        <w:gridCol w:w="1067"/>
        <w:gridCol w:w="914"/>
        <w:gridCol w:w="875"/>
      </w:tblGrid>
      <w:tr w:rsidR="00C3711C" w:rsidRPr="003002E3" w14:paraId="05B12AB6" w14:textId="77777777" w:rsidTr="002724A1">
        <w:trPr>
          <w:trHeight w:val="436"/>
        </w:trPr>
        <w:tc>
          <w:tcPr>
            <w:tcW w:w="7135" w:type="dxa"/>
          </w:tcPr>
          <w:bookmarkEnd w:id="1"/>
          <w:p w14:paraId="36BE7D3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6" w:type="dxa"/>
          </w:tcPr>
          <w:p w14:paraId="44D59D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6" w:type="dxa"/>
          </w:tcPr>
          <w:p w14:paraId="521031F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7" w:type="dxa"/>
          </w:tcPr>
          <w:p w14:paraId="5259012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7" w:type="dxa"/>
          </w:tcPr>
          <w:p w14:paraId="3B8E391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7" w:type="dxa"/>
          </w:tcPr>
          <w:p w14:paraId="5A3208B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4" w:type="dxa"/>
          </w:tcPr>
          <w:p w14:paraId="4C8545F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5" w:type="dxa"/>
          </w:tcPr>
          <w:p w14:paraId="2FDB289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154EBEC2" w14:textId="77777777" w:rsidTr="002724A1">
        <w:trPr>
          <w:trHeight w:val="474"/>
        </w:trPr>
        <w:tc>
          <w:tcPr>
            <w:tcW w:w="7135" w:type="dxa"/>
          </w:tcPr>
          <w:p w14:paraId="78C033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6" w:type="dxa"/>
          </w:tcPr>
          <w:p w14:paraId="007BF64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7.08</w:t>
            </w:r>
          </w:p>
        </w:tc>
        <w:tc>
          <w:tcPr>
            <w:tcW w:w="956" w:type="dxa"/>
          </w:tcPr>
          <w:p w14:paraId="2EA2A56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30B13EE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0.50</w:t>
            </w:r>
          </w:p>
        </w:tc>
        <w:tc>
          <w:tcPr>
            <w:tcW w:w="1067" w:type="dxa"/>
          </w:tcPr>
          <w:p w14:paraId="1AC831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4.44</w:t>
            </w:r>
          </w:p>
        </w:tc>
        <w:tc>
          <w:tcPr>
            <w:tcW w:w="1067" w:type="dxa"/>
          </w:tcPr>
          <w:p w14:paraId="0D154A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197.79</w:t>
            </w:r>
          </w:p>
        </w:tc>
        <w:tc>
          <w:tcPr>
            <w:tcW w:w="914" w:type="dxa"/>
          </w:tcPr>
          <w:p w14:paraId="04D65E8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79.0</w:t>
            </w:r>
          </w:p>
        </w:tc>
        <w:tc>
          <w:tcPr>
            <w:tcW w:w="875" w:type="dxa"/>
          </w:tcPr>
          <w:p w14:paraId="2EF5587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121.0</w:t>
            </w:r>
          </w:p>
        </w:tc>
      </w:tr>
      <w:tr w:rsidR="00C3711C" w:rsidRPr="003002E3" w14:paraId="2EBA7F01" w14:textId="77777777" w:rsidTr="002724A1">
        <w:trPr>
          <w:trHeight w:val="480"/>
        </w:trPr>
        <w:tc>
          <w:tcPr>
            <w:tcW w:w="7135" w:type="dxa"/>
          </w:tcPr>
          <w:p w14:paraId="08F8D030" w14:textId="4DC03E9F"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vertAlign w:val="superscript"/>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r w:rsidRPr="003002E3">
              <w:rPr>
                <w:rFonts w:ascii="Times New Roman" w:hAnsi="Times New Roman" w:cs="Times New Roman"/>
                <w:b/>
                <w:lang w:val="en-US"/>
              </w:rPr>
              <w:t>RDF</w:t>
            </w:r>
            <w:r w:rsidRPr="003002E3">
              <w:rPr>
                <w:rFonts w:ascii="Times New Roman" w:hAnsi="Times New Roman" w:cs="Times New Roman"/>
                <w:lang w:val="en-US"/>
              </w:rPr>
              <w:t>)</w:t>
            </w:r>
          </w:p>
        </w:tc>
        <w:tc>
          <w:tcPr>
            <w:tcW w:w="956" w:type="dxa"/>
          </w:tcPr>
          <w:p w14:paraId="4C578A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7.09</w:t>
            </w:r>
          </w:p>
        </w:tc>
        <w:tc>
          <w:tcPr>
            <w:tcW w:w="956" w:type="dxa"/>
          </w:tcPr>
          <w:p w14:paraId="555632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66D38AC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5C801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7.59</w:t>
            </w:r>
          </w:p>
        </w:tc>
        <w:tc>
          <w:tcPr>
            <w:tcW w:w="1067" w:type="dxa"/>
          </w:tcPr>
          <w:p w14:paraId="38BE85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232.47</w:t>
            </w:r>
          </w:p>
        </w:tc>
        <w:tc>
          <w:tcPr>
            <w:tcW w:w="914" w:type="dxa"/>
          </w:tcPr>
          <w:p w14:paraId="000773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875" w:type="dxa"/>
          </w:tcPr>
          <w:p w14:paraId="38EE72E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142.5</w:t>
            </w:r>
          </w:p>
        </w:tc>
      </w:tr>
      <w:tr w:rsidR="00C3711C" w:rsidRPr="003002E3" w14:paraId="6745056B" w14:textId="77777777" w:rsidTr="002724A1">
        <w:trPr>
          <w:trHeight w:val="474"/>
        </w:trPr>
        <w:tc>
          <w:tcPr>
            <w:tcW w:w="7135" w:type="dxa"/>
          </w:tcPr>
          <w:p w14:paraId="43A7193D" w14:textId="1C5D00AC"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C8004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6" w:type="dxa"/>
          </w:tcPr>
          <w:p w14:paraId="5643913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0.045</w:t>
            </w:r>
          </w:p>
        </w:tc>
        <w:tc>
          <w:tcPr>
            <w:tcW w:w="957" w:type="dxa"/>
          </w:tcPr>
          <w:p w14:paraId="7927E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0.52</w:t>
            </w:r>
          </w:p>
        </w:tc>
        <w:tc>
          <w:tcPr>
            <w:tcW w:w="1067" w:type="dxa"/>
          </w:tcPr>
          <w:p w14:paraId="09E214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7.17</w:t>
            </w:r>
          </w:p>
        </w:tc>
        <w:tc>
          <w:tcPr>
            <w:tcW w:w="1067" w:type="dxa"/>
          </w:tcPr>
          <w:p w14:paraId="4128F9B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246.60</w:t>
            </w:r>
          </w:p>
        </w:tc>
        <w:tc>
          <w:tcPr>
            <w:tcW w:w="914" w:type="dxa"/>
          </w:tcPr>
          <w:p w14:paraId="5C01A38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58.8</w:t>
            </w:r>
          </w:p>
        </w:tc>
        <w:tc>
          <w:tcPr>
            <w:tcW w:w="875" w:type="dxa"/>
          </w:tcPr>
          <w:p w14:paraId="45EB19A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115.1</w:t>
            </w:r>
          </w:p>
        </w:tc>
      </w:tr>
      <w:tr w:rsidR="00C3711C" w:rsidRPr="003002E3" w14:paraId="66F9FE6A" w14:textId="77777777" w:rsidTr="002724A1">
        <w:trPr>
          <w:trHeight w:val="480"/>
        </w:trPr>
        <w:tc>
          <w:tcPr>
            <w:tcW w:w="7135" w:type="dxa"/>
          </w:tcPr>
          <w:p w14:paraId="5DEDD893" w14:textId="1C2C63C8"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089A5F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7.16</w:t>
            </w:r>
          </w:p>
        </w:tc>
        <w:tc>
          <w:tcPr>
            <w:tcW w:w="956" w:type="dxa"/>
          </w:tcPr>
          <w:p w14:paraId="254186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5DE411E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119029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8.55</w:t>
            </w:r>
          </w:p>
        </w:tc>
        <w:tc>
          <w:tcPr>
            <w:tcW w:w="1067" w:type="dxa"/>
          </w:tcPr>
          <w:p w14:paraId="62A192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282.56</w:t>
            </w:r>
          </w:p>
        </w:tc>
        <w:tc>
          <w:tcPr>
            <w:tcW w:w="914" w:type="dxa"/>
          </w:tcPr>
          <w:p w14:paraId="6B7CC1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74.2</w:t>
            </w:r>
          </w:p>
        </w:tc>
        <w:tc>
          <w:tcPr>
            <w:tcW w:w="875" w:type="dxa"/>
          </w:tcPr>
          <w:p w14:paraId="2C056B8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165.8</w:t>
            </w:r>
          </w:p>
        </w:tc>
      </w:tr>
      <w:tr w:rsidR="00C3711C" w:rsidRPr="003002E3" w14:paraId="538794FD" w14:textId="77777777" w:rsidTr="002724A1">
        <w:trPr>
          <w:trHeight w:val="474"/>
        </w:trPr>
        <w:tc>
          <w:tcPr>
            <w:tcW w:w="7135" w:type="dxa"/>
          </w:tcPr>
          <w:p w14:paraId="1FA21E72" w14:textId="02A6CB4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2976D1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6.85</w:t>
            </w:r>
          </w:p>
        </w:tc>
        <w:tc>
          <w:tcPr>
            <w:tcW w:w="956" w:type="dxa"/>
          </w:tcPr>
          <w:p w14:paraId="4E5036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0.052</w:t>
            </w:r>
          </w:p>
        </w:tc>
        <w:tc>
          <w:tcPr>
            <w:tcW w:w="957" w:type="dxa"/>
          </w:tcPr>
          <w:p w14:paraId="76514B5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27C583B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9.38</w:t>
            </w:r>
          </w:p>
        </w:tc>
        <w:tc>
          <w:tcPr>
            <w:tcW w:w="1067" w:type="dxa"/>
          </w:tcPr>
          <w:p w14:paraId="5F5B7F7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237.61</w:t>
            </w:r>
          </w:p>
        </w:tc>
        <w:tc>
          <w:tcPr>
            <w:tcW w:w="914" w:type="dxa"/>
          </w:tcPr>
          <w:p w14:paraId="5435CC9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111.8</w:t>
            </w:r>
          </w:p>
        </w:tc>
        <w:tc>
          <w:tcPr>
            <w:tcW w:w="875" w:type="dxa"/>
          </w:tcPr>
          <w:p w14:paraId="2EF6F7A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118.7</w:t>
            </w:r>
          </w:p>
        </w:tc>
      </w:tr>
      <w:tr w:rsidR="00C3711C" w:rsidRPr="003002E3" w14:paraId="4C7EF23A" w14:textId="77777777" w:rsidTr="002724A1">
        <w:trPr>
          <w:trHeight w:val="479"/>
        </w:trPr>
        <w:tc>
          <w:tcPr>
            <w:tcW w:w="7135" w:type="dxa"/>
          </w:tcPr>
          <w:p w14:paraId="136B8727" w14:textId="097F88DB"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1F2CA3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7.19</w:t>
            </w:r>
          </w:p>
        </w:tc>
        <w:tc>
          <w:tcPr>
            <w:tcW w:w="956" w:type="dxa"/>
          </w:tcPr>
          <w:p w14:paraId="0E87938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0.043</w:t>
            </w:r>
          </w:p>
        </w:tc>
        <w:tc>
          <w:tcPr>
            <w:tcW w:w="957" w:type="dxa"/>
          </w:tcPr>
          <w:p w14:paraId="023260B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61B5A77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8.93</w:t>
            </w:r>
          </w:p>
        </w:tc>
        <w:tc>
          <w:tcPr>
            <w:tcW w:w="1067" w:type="dxa"/>
          </w:tcPr>
          <w:p w14:paraId="10E78A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256.88</w:t>
            </w:r>
          </w:p>
        </w:tc>
        <w:tc>
          <w:tcPr>
            <w:tcW w:w="914" w:type="dxa"/>
          </w:tcPr>
          <w:p w14:paraId="1DB95F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87.5</w:t>
            </w:r>
          </w:p>
        </w:tc>
        <w:tc>
          <w:tcPr>
            <w:tcW w:w="875" w:type="dxa"/>
          </w:tcPr>
          <w:p w14:paraId="6B9BA11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150.5</w:t>
            </w:r>
          </w:p>
        </w:tc>
      </w:tr>
      <w:tr w:rsidR="00C3711C" w:rsidRPr="003002E3" w14:paraId="2F7A8075" w14:textId="77777777" w:rsidTr="002724A1">
        <w:trPr>
          <w:trHeight w:val="475"/>
        </w:trPr>
        <w:tc>
          <w:tcPr>
            <w:tcW w:w="7135" w:type="dxa"/>
          </w:tcPr>
          <w:p w14:paraId="3D1F6806" w14:textId="53F2E081"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8E676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6.96</w:t>
            </w:r>
          </w:p>
        </w:tc>
        <w:tc>
          <w:tcPr>
            <w:tcW w:w="956" w:type="dxa"/>
          </w:tcPr>
          <w:p w14:paraId="3C5F379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0.058</w:t>
            </w:r>
          </w:p>
        </w:tc>
        <w:tc>
          <w:tcPr>
            <w:tcW w:w="957" w:type="dxa"/>
          </w:tcPr>
          <w:p w14:paraId="2BE5A95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0.56</w:t>
            </w:r>
          </w:p>
        </w:tc>
        <w:tc>
          <w:tcPr>
            <w:tcW w:w="1067" w:type="dxa"/>
          </w:tcPr>
          <w:p w14:paraId="249EAC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10.65</w:t>
            </w:r>
          </w:p>
        </w:tc>
        <w:tc>
          <w:tcPr>
            <w:tcW w:w="1067" w:type="dxa"/>
          </w:tcPr>
          <w:p w14:paraId="7645C2B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295.41</w:t>
            </w:r>
          </w:p>
        </w:tc>
        <w:tc>
          <w:tcPr>
            <w:tcW w:w="914" w:type="dxa"/>
          </w:tcPr>
          <w:p w14:paraId="6D4AF8A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92.5</w:t>
            </w:r>
          </w:p>
        </w:tc>
        <w:tc>
          <w:tcPr>
            <w:tcW w:w="875" w:type="dxa"/>
          </w:tcPr>
          <w:p w14:paraId="7031544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148.7</w:t>
            </w:r>
          </w:p>
        </w:tc>
      </w:tr>
      <w:tr w:rsidR="00C3711C" w:rsidRPr="003002E3" w14:paraId="6310833E" w14:textId="77777777" w:rsidTr="002724A1">
        <w:trPr>
          <w:trHeight w:val="479"/>
        </w:trPr>
        <w:tc>
          <w:tcPr>
            <w:tcW w:w="7135" w:type="dxa"/>
          </w:tcPr>
          <w:p w14:paraId="099ED4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6" w:type="dxa"/>
          </w:tcPr>
          <w:p w14:paraId="2D4D337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7.03</w:t>
            </w:r>
          </w:p>
        </w:tc>
        <w:tc>
          <w:tcPr>
            <w:tcW w:w="956" w:type="dxa"/>
          </w:tcPr>
          <w:p w14:paraId="05BB201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0.044</w:t>
            </w:r>
          </w:p>
        </w:tc>
        <w:tc>
          <w:tcPr>
            <w:tcW w:w="957" w:type="dxa"/>
          </w:tcPr>
          <w:p w14:paraId="76CAC2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0.58</w:t>
            </w:r>
          </w:p>
        </w:tc>
        <w:tc>
          <w:tcPr>
            <w:tcW w:w="1067" w:type="dxa"/>
          </w:tcPr>
          <w:p w14:paraId="5B81B4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7.83</w:t>
            </w:r>
          </w:p>
        </w:tc>
        <w:tc>
          <w:tcPr>
            <w:tcW w:w="1067" w:type="dxa"/>
          </w:tcPr>
          <w:p w14:paraId="19FC09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236.33</w:t>
            </w:r>
          </w:p>
        </w:tc>
        <w:tc>
          <w:tcPr>
            <w:tcW w:w="914" w:type="dxa"/>
          </w:tcPr>
          <w:p w14:paraId="750F664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76.4</w:t>
            </w:r>
          </w:p>
        </w:tc>
        <w:tc>
          <w:tcPr>
            <w:tcW w:w="875" w:type="dxa"/>
          </w:tcPr>
          <w:p w14:paraId="6AD406A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116.0</w:t>
            </w:r>
          </w:p>
        </w:tc>
      </w:tr>
      <w:tr w:rsidR="00C3711C" w:rsidRPr="003002E3" w14:paraId="251A2F8C" w14:textId="77777777" w:rsidTr="002724A1">
        <w:trPr>
          <w:trHeight w:val="474"/>
        </w:trPr>
        <w:tc>
          <w:tcPr>
            <w:tcW w:w="7135" w:type="dxa"/>
          </w:tcPr>
          <w:p w14:paraId="0B87D97D"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SEm±</w:t>
            </w:r>
          </w:p>
        </w:tc>
        <w:tc>
          <w:tcPr>
            <w:tcW w:w="956" w:type="dxa"/>
          </w:tcPr>
          <w:p w14:paraId="75AF3C7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0.107</w:t>
            </w:r>
          </w:p>
        </w:tc>
        <w:tc>
          <w:tcPr>
            <w:tcW w:w="956" w:type="dxa"/>
          </w:tcPr>
          <w:p w14:paraId="5EAF99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7" w:type="dxa"/>
          </w:tcPr>
          <w:p w14:paraId="11B17E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0.08</w:t>
            </w:r>
          </w:p>
        </w:tc>
        <w:tc>
          <w:tcPr>
            <w:tcW w:w="1067" w:type="dxa"/>
          </w:tcPr>
          <w:p w14:paraId="613BC2D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0.106</w:t>
            </w:r>
          </w:p>
        </w:tc>
        <w:tc>
          <w:tcPr>
            <w:tcW w:w="1067" w:type="dxa"/>
          </w:tcPr>
          <w:p w14:paraId="4CAE30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1.763</w:t>
            </w:r>
          </w:p>
        </w:tc>
        <w:tc>
          <w:tcPr>
            <w:tcW w:w="914" w:type="dxa"/>
          </w:tcPr>
          <w:p w14:paraId="5182F29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0.89</w:t>
            </w:r>
          </w:p>
        </w:tc>
        <w:tc>
          <w:tcPr>
            <w:tcW w:w="875" w:type="dxa"/>
          </w:tcPr>
          <w:p w14:paraId="27A2A17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1.123</w:t>
            </w:r>
          </w:p>
        </w:tc>
      </w:tr>
      <w:tr w:rsidR="00C3711C" w:rsidRPr="003002E3" w14:paraId="549CD5BE" w14:textId="77777777" w:rsidTr="002724A1">
        <w:trPr>
          <w:trHeight w:val="480"/>
        </w:trPr>
        <w:tc>
          <w:tcPr>
            <w:tcW w:w="7135" w:type="dxa"/>
          </w:tcPr>
          <w:p w14:paraId="789EE05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6" w:type="dxa"/>
          </w:tcPr>
          <w:p w14:paraId="0211DC6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6" w:type="dxa"/>
          </w:tcPr>
          <w:p w14:paraId="0240162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7" w:type="dxa"/>
          </w:tcPr>
          <w:p w14:paraId="6F9DE6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7" w:type="dxa"/>
          </w:tcPr>
          <w:p w14:paraId="179621AD"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0.325</w:t>
            </w:r>
          </w:p>
        </w:tc>
        <w:tc>
          <w:tcPr>
            <w:tcW w:w="1067" w:type="dxa"/>
          </w:tcPr>
          <w:p w14:paraId="7596975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5.400</w:t>
            </w:r>
          </w:p>
        </w:tc>
        <w:tc>
          <w:tcPr>
            <w:tcW w:w="914" w:type="dxa"/>
          </w:tcPr>
          <w:p w14:paraId="2D38552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2.725</w:t>
            </w:r>
          </w:p>
        </w:tc>
        <w:tc>
          <w:tcPr>
            <w:tcW w:w="875" w:type="dxa"/>
          </w:tcPr>
          <w:p w14:paraId="652842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3.439</w:t>
            </w:r>
          </w:p>
        </w:tc>
      </w:tr>
      <w:tr w:rsidR="00C3711C" w:rsidRPr="003002E3" w14:paraId="39CF85D1" w14:textId="77777777" w:rsidTr="002724A1">
        <w:trPr>
          <w:trHeight w:val="479"/>
        </w:trPr>
        <w:tc>
          <w:tcPr>
            <w:tcW w:w="7135" w:type="dxa"/>
          </w:tcPr>
          <w:p w14:paraId="1FC0AAB9"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Intial soil analysis</w:t>
            </w:r>
          </w:p>
        </w:tc>
        <w:tc>
          <w:tcPr>
            <w:tcW w:w="956" w:type="dxa"/>
          </w:tcPr>
          <w:p w14:paraId="3D6246B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7.35</w:t>
            </w:r>
          </w:p>
        </w:tc>
        <w:tc>
          <w:tcPr>
            <w:tcW w:w="956" w:type="dxa"/>
          </w:tcPr>
          <w:p w14:paraId="7E4077B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0.068</w:t>
            </w:r>
          </w:p>
        </w:tc>
        <w:tc>
          <w:tcPr>
            <w:tcW w:w="957" w:type="dxa"/>
          </w:tcPr>
          <w:p w14:paraId="0A3E2E2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0.63</w:t>
            </w:r>
          </w:p>
        </w:tc>
        <w:tc>
          <w:tcPr>
            <w:tcW w:w="1067" w:type="dxa"/>
          </w:tcPr>
          <w:p w14:paraId="0E7E6E4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4.62</w:t>
            </w:r>
          </w:p>
        </w:tc>
        <w:tc>
          <w:tcPr>
            <w:tcW w:w="1067" w:type="dxa"/>
          </w:tcPr>
          <w:p w14:paraId="2358A1C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150.52</w:t>
            </w:r>
          </w:p>
        </w:tc>
        <w:tc>
          <w:tcPr>
            <w:tcW w:w="914" w:type="dxa"/>
          </w:tcPr>
          <w:p w14:paraId="1A4269C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159.97</w:t>
            </w:r>
          </w:p>
        </w:tc>
        <w:tc>
          <w:tcPr>
            <w:tcW w:w="875" w:type="dxa"/>
          </w:tcPr>
          <w:p w14:paraId="00E0595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422.01</w:t>
            </w:r>
          </w:p>
        </w:tc>
      </w:tr>
    </w:tbl>
    <w:p w14:paraId="694D7366"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C3711C">
          <w:pgSz w:w="16840" w:h="11910" w:orient="landscape"/>
          <w:pgMar w:top="1340" w:right="1340" w:bottom="280" w:left="1320" w:header="720" w:footer="720" w:gutter="0"/>
          <w:cols w:space="720"/>
        </w:sectPr>
      </w:pPr>
    </w:p>
    <w:p w14:paraId="5C5CCC9C" w14:textId="093B35A2"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 xml:space="preserve">: </w:t>
      </w:r>
      <w:r w:rsidR="00A14CF7">
        <w:rPr>
          <w:rFonts w:ascii="Times New Roman" w:hAnsi="Times New Roman" w:cs="Times New Roman"/>
          <w:b/>
          <w:lang w:val="en-US"/>
        </w:rPr>
        <w:t xml:space="preserve">3 </w:t>
      </w:r>
      <w:r w:rsidRPr="003002E3">
        <w:rPr>
          <w:rFonts w:ascii="Times New Roman" w:hAnsi="Times New Roman" w:cs="Times New Roman"/>
          <w:b/>
          <w:lang w:val="en-US"/>
        </w:rPr>
        <w:t xml:space="preserve"> </w:t>
      </w:r>
      <w:r w:rsidRPr="00F060AE">
        <w:rPr>
          <w:rFonts w:ascii="Times New Roman" w:hAnsi="Times New Roman" w:cs="Times New Roman"/>
          <w:bCs/>
          <w:lang w:val="en-US"/>
        </w:rPr>
        <w:t>Soil pH, EC (dSm</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at 25° C), organic carbon (%), CEC (cmol (p+) kg</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and available N, P</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w:t>
      </w:r>
      <w:r w:rsidRPr="00F060AE">
        <w:rPr>
          <w:rFonts w:ascii="Times New Roman" w:hAnsi="Times New Roman" w:cs="Times New Roman"/>
          <w:bCs/>
          <w:vertAlign w:val="subscript"/>
          <w:lang w:val="en-US"/>
        </w:rPr>
        <w:t>5</w:t>
      </w:r>
      <w:r w:rsidRPr="00F060AE">
        <w:rPr>
          <w:rFonts w:ascii="Times New Roman" w:hAnsi="Times New Roman" w:cs="Times New Roman"/>
          <w:bCs/>
          <w:lang w:val="en-US"/>
        </w:rPr>
        <w:t xml:space="preserve"> and K</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 (kg ha</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at 15-30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953"/>
        <w:gridCol w:w="953"/>
        <w:gridCol w:w="954"/>
        <w:gridCol w:w="1064"/>
        <w:gridCol w:w="1064"/>
        <w:gridCol w:w="911"/>
        <w:gridCol w:w="872"/>
      </w:tblGrid>
      <w:tr w:rsidR="00C3711C" w:rsidRPr="003002E3" w14:paraId="6C298DD7" w14:textId="77777777" w:rsidTr="00EF226A">
        <w:trPr>
          <w:trHeight w:val="361"/>
        </w:trPr>
        <w:tc>
          <w:tcPr>
            <w:tcW w:w="7117" w:type="dxa"/>
          </w:tcPr>
          <w:p w14:paraId="1793A0C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3" w:type="dxa"/>
          </w:tcPr>
          <w:p w14:paraId="158B4DC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3" w:type="dxa"/>
          </w:tcPr>
          <w:p w14:paraId="1C34A01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4" w:type="dxa"/>
          </w:tcPr>
          <w:p w14:paraId="29ED89E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4" w:type="dxa"/>
          </w:tcPr>
          <w:p w14:paraId="18D0926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4" w:type="dxa"/>
          </w:tcPr>
          <w:p w14:paraId="148D3C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1" w:type="dxa"/>
          </w:tcPr>
          <w:p w14:paraId="095044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2" w:type="dxa"/>
          </w:tcPr>
          <w:p w14:paraId="6756132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524565B5" w14:textId="77777777" w:rsidTr="00EF226A">
        <w:trPr>
          <w:trHeight w:val="392"/>
        </w:trPr>
        <w:tc>
          <w:tcPr>
            <w:tcW w:w="7117" w:type="dxa"/>
          </w:tcPr>
          <w:p w14:paraId="113366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3" w:type="dxa"/>
          </w:tcPr>
          <w:p w14:paraId="7BF687C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7.18</w:t>
            </w:r>
          </w:p>
        </w:tc>
        <w:tc>
          <w:tcPr>
            <w:tcW w:w="953" w:type="dxa"/>
          </w:tcPr>
          <w:p w14:paraId="3BC4FA4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0.032</w:t>
            </w:r>
          </w:p>
        </w:tc>
        <w:tc>
          <w:tcPr>
            <w:tcW w:w="954" w:type="dxa"/>
          </w:tcPr>
          <w:p w14:paraId="0EC3173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0.36</w:t>
            </w:r>
          </w:p>
        </w:tc>
        <w:tc>
          <w:tcPr>
            <w:tcW w:w="1064" w:type="dxa"/>
          </w:tcPr>
          <w:p w14:paraId="6D5F72F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6.17</w:t>
            </w:r>
          </w:p>
        </w:tc>
        <w:tc>
          <w:tcPr>
            <w:tcW w:w="1064" w:type="dxa"/>
          </w:tcPr>
          <w:p w14:paraId="01CB99C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208.07</w:t>
            </w:r>
          </w:p>
        </w:tc>
        <w:tc>
          <w:tcPr>
            <w:tcW w:w="911" w:type="dxa"/>
          </w:tcPr>
          <w:p w14:paraId="7AD7F6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99.64</w:t>
            </w:r>
          </w:p>
        </w:tc>
        <w:tc>
          <w:tcPr>
            <w:tcW w:w="872" w:type="dxa"/>
          </w:tcPr>
          <w:p w14:paraId="4A058E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129.02</w:t>
            </w:r>
          </w:p>
        </w:tc>
      </w:tr>
      <w:tr w:rsidR="00C3711C" w:rsidRPr="003002E3" w14:paraId="71C0F193" w14:textId="77777777" w:rsidTr="00EF226A">
        <w:trPr>
          <w:trHeight w:val="397"/>
        </w:trPr>
        <w:tc>
          <w:tcPr>
            <w:tcW w:w="7117" w:type="dxa"/>
          </w:tcPr>
          <w:p w14:paraId="4B5BB2E9" w14:textId="19C179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r w:rsidRPr="003002E3">
              <w:rPr>
                <w:rFonts w:ascii="Times New Roman" w:hAnsi="Times New Roman" w:cs="Times New Roman"/>
                <w:b/>
                <w:lang w:val="en-US"/>
              </w:rPr>
              <w:t>RDF</w:t>
            </w:r>
            <w:r w:rsidRPr="003002E3">
              <w:rPr>
                <w:rFonts w:ascii="Times New Roman" w:hAnsi="Times New Roman" w:cs="Times New Roman"/>
                <w:lang w:val="en-US"/>
              </w:rPr>
              <w:t>)</w:t>
            </w:r>
          </w:p>
        </w:tc>
        <w:tc>
          <w:tcPr>
            <w:tcW w:w="953" w:type="dxa"/>
          </w:tcPr>
          <w:p w14:paraId="17EB6C8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3DAFA01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0.027</w:t>
            </w:r>
          </w:p>
        </w:tc>
        <w:tc>
          <w:tcPr>
            <w:tcW w:w="954" w:type="dxa"/>
          </w:tcPr>
          <w:p w14:paraId="159D17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0.27</w:t>
            </w:r>
          </w:p>
        </w:tc>
        <w:tc>
          <w:tcPr>
            <w:tcW w:w="1064" w:type="dxa"/>
          </w:tcPr>
          <w:p w14:paraId="468B1E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7.78</w:t>
            </w:r>
          </w:p>
        </w:tc>
        <w:tc>
          <w:tcPr>
            <w:tcW w:w="1064" w:type="dxa"/>
          </w:tcPr>
          <w:p w14:paraId="6227865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231.19</w:t>
            </w:r>
          </w:p>
        </w:tc>
        <w:tc>
          <w:tcPr>
            <w:tcW w:w="911" w:type="dxa"/>
          </w:tcPr>
          <w:p w14:paraId="2159823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81.01</w:t>
            </w:r>
          </w:p>
        </w:tc>
        <w:tc>
          <w:tcPr>
            <w:tcW w:w="872" w:type="dxa"/>
          </w:tcPr>
          <w:p w14:paraId="01E60E5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118.68</w:t>
            </w:r>
          </w:p>
        </w:tc>
      </w:tr>
      <w:tr w:rsidR="00C3711C" w:rsidRPr="003002E3" w14:paraId="52230A0E" w14:textId="77777777" w:rsidTr="00EF226A">
        <w:trPr>
          <w:trHeight w:val="392"/>
        </w:trPr>
        <w:tc>
          <w:tcPr>
            <w:tcW w:w="7117" w:type="dxa"/>
          </w:tcPr>
          <w:p w14:paraId="120089AC" w14:textId="648B20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9AE39D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6BEEBD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0.031</w:t>
            </w:r>
          </w:p>
        </w:tc>
        <w:tc>
          <w:tcPr>
            <w:tcW w:w="954" w:type="dxa"/>
          </w:tcPr>
          <w:p w14:paraId="40F579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0.32</w:t>
            </w:r>
          </w:p>
        </w:tc>
        <w:tc>
          <w:tcPr>
            <w:tcW w:w="1064" w:type="dxa"/>
          </w:tcPr>
          <w:p w14:paraId="244158B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1064" w:type="dxa"/>
          </w:tcPr>
          <w:p w14:paraId="79F45A4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250.45</w:t>
            </w:r>
          </w:p>
        </w:tc>
        <w:tc>
          <w:tcPr>
            <w:tcW w:w="911" w:type="dxa"/>
          </w:tcPr>
          <w:p w14:paraId="2E398B0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126.81</w:t>
            </w:r>
          </w:p>
        </w:tc>
        <w:tc>
          <w:tcPr>
            <w:tcW w:w="872" w:type="dxa"/>
          </w:tcPr>
          <w:p w14:paraId="7096540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101.24</w:t>
            </w:r>
          </w:p>
        </w:tc>
      </w:tr>
      <w:tr w:rsidR="00C3711C" w:rsidRPr="003002E3" w14:paraId="6434757F" w14:textId="77777777" w:rsidTr="00EF226A">
        <w:trPr>
          <w:trHeight w:val="397"/>
        </w:trPr>
        <w:tc>
          <w:tcPr>
            <w:tcW w:w="7117" w:type="dxa"/>
          </w:tcPr>
          <w:p w14:paraId="25458FD5" w14:textId="10344E3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78ABA2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3" w:type="dxa"/>
          </w:tcPr>
          <w:p w14:paraId="6B88536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7F3FE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0.34</w:t>
            </w:r>
          </w:p>
        </w:tc>
        <w:tc>
          <w:tcPr>
            <w:tcW w:w="1064" w:type="dxa"/>
          </w:tcPr>
          <w:p w14:paraId="1677EA0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8.27</w:t>
            </w:r>
          </w:p>
        </w:tc>
        <w:tc>
          <w:tcPr>
            <w:tcW w:w="1064" w:type="dxa"/>
          </w:tcPr>
          <w:p w14:paraId="115A648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292.84</w:t>
            </w:r>
          </w:p>
        </w:tc>
        <w:tc>
          <w:tcPr>
            <w:tcW w:w="911" w:type="dxa"/>
          </w:tcPr>
          <w:p w14:paraId="53CFD2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99.82</w:t>
            </w:r>
          </w:p>
        </w:tc>
        <w:tc>
          <w:tcPr>
            <w:tcW w:w="872" w:type="dxa"/>
          </w:tcPr>
          <w:p w14:paraId="66DDC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184.12</w:t>
            </w:r>
          </w:p>
        </w:tc>
      </w:tr>
      <w:tr w:rsidR="00C3711C" w:rsidRPr="003002E3" w14:paraId="2D5F6B45" w14:textId="77777777" w:rsidTr="00EF226A">
        <w:trPr>
          <w:trHeight w:val="392"/>
        </w:trPr>
        <w:tc>
          <w:tcPr>
            <w:tcW w:w="7117" w:type="dxa"/>
          </w:tcPr>
          <w:p w14:paraId="4B8C7722" w14:textId="06A96176"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66C31F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6.92</w:t>
            </w:r>
          </w:p>
        </w:tc>
        <w:tc>
          <w:tcPr>
            <w:tcW w:w="953" w:type="dxa"/>
          </w:tcPr>
          <w:p w14:paraId="66A419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0.030</w:t>
            </w:r>
          </w:p>
        </w:tc>
        <w:tc>
          <w:tcPr>
            <w:tcW w:w="954" w:type="dxa"/>
          </w:tcPr>
          <w:p w14:paraId="407CC1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0.25</w:t>
            </w:r>
          </w:p>
        </w:tc>
        <w:tc>
          <w:tcPr>
            <w:tcW w:w="1064" w:type="dxa"/>
          </w:tcPr>
          <w:p w14:paraId="0D06011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8.16</w:t>
            </w:r>
          </w:p>
        </w:tc>
        <w:tc>
          <w:tcPr>
            <w:tcW w:w="1064" w:type="dxa"/>
          </w:tcPr>
          <w:p w14:paraId="3A637C4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244.04</w:t>
            </w:r>
          </w:p>
        </w:tc>
        <w:tc>
          <w:tcPr>
            <w:tcW w:w="911" w:type="dxa"/>
          </w:tcPr>
          <w:p w14:paraId="15A3BC3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85.79</w:t>
            </w:r>
          </w:p>
        </w:tc>
        <w:tc>
          <w:tcPr>
            <w:tcW w:w="872" w:type="dxa"/>
          </w:tcPr>
          <w:p w14:paraId="457826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107.96</w:t>
            </w:r>
          </w:p>
        </w:tc>
      </w:tr>
      <w:tr w:rsidR="00C3711C" w:rsidRPr="003002E3" w14:paraId="2594C6EC" w14:textId="77777777" w:rsidTr="00EF226A">
        <w:trPr>
          <w:trHeight w:val="397"/>
        </w:trPr>
        <w:tc>
          <w:tcPr>
            <w:tcW w:w="7117" w:type="dxa"/>
          </w:tcPr>
          <w:p w14:paraId="40A2F4A2" w14:textId="409BEBC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468FB8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1293C1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0.041</w:t>
            </w:r>
          </w:p>
        </w:tc>
        <w:tc>
          <w:tcPr>
            <w:tcW w:w="954" w:type="dxa"/>
          </w:tcPr>
          <w:p w14:paraId="497FC1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0.30</w:t>
            </w:r>
          </w:p>
        </w:tc>
        <w:tc>
          <w:tcPr>
            <w:tcW w:w="1064" w:type="dxa"/>
          </w:tcPr>
          <w:p w14:paraId="452868C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9.70</w:t>
            </w:r>
          </w:p>
        </w:tc>
        <w:tc>
          <w:tcPr>
            <w:tcW w:w="1064" w:type="dxa"/>
          </w:tcPr>
          <w:p w14:paraId="3A48ECD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262.02</w:t>
            </w:r>
          </w:p>
        </w:tc>
        <w:tc>
          <w:tcPr>
            <w:tcW w:w="911" w:type="dxa"/>
          </w:tcPr>
          <w:p w14:paraId="1AB2DDA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109.72</w:t>
            </w:r>
          </w:p>
        </w:tc>
        <w:tc>
          <w:tcPr>
            <w:tcW w:w="872" w:type="dxa"/>
          </w:tcPr>
          <w:p w14:paraId="5AEF336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128.12</w:t>
            </w:r>
          </w:p>
        </w:tc>
      </w:tr>
      <w:tr w:rsidR="00C3711C" w:rsidRPr="003002E3" w14:paraId="3FC1A207" w14:textId="77777777" w:rsidTr="00EF226A">
        <w:trPr>
          <w:trHeight w:val="393"/>
        </w:trPr>
        <w:tc>
          <w:tcPr>
            <w:tcW w:w="7117" w:type="dxa"/>
          </w:tcPr>
          <w:p w14:paraId="57A01BE8" w14:textId="20CAB5F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45B7A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7.21</w:t>
            </w:r>
          </w:p>
        </w:tc>
        <w:tc>
          <w:tcPr>
            <w:tcW w:w="953" w:type="dxa"/>
          </w:tcPr>
          <w:p w14:paraId="3481386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0.037</w:t>
            </w:r>
          </w:p>
        </w:tc>
        <w:tc>
          <w:tcPr>
            <w:tcW w:w="954" w:type="dxa"/>
          </w:tcPr>
          <w:p w14:paraId="5C5D6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4" w:type="dxa"/>
          </w:tcPr>
          <w:p w14:paraId="06049A1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10.63</w:t>
            </w:r>
          </w:p>
        </w:tc>
        <w:tc>
          <w:tcPr>
            <w:tcW w:w="1064" w:type="dxa"/>
          </w:tcPr>
          <w:p w14:paraId="7998FB2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300.56</w:t>
            </w:r>
          </w:p>
        </w:tc>
        <w:tc>
          <w:tcPr>
            <w:tcW w:w="911" w:type="dxa"/>
          </w:tcPr>
          <w:p w14:paraId="7CE84F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141.86</w:t>
            </w:r>
          </w:p>
        </w:tc>
        <w:tc>
          <w:tcPr>
            <w:tcW w:w="872" w:type="dxa"/>
          </w:tcPr>
          <w:p w14:paraId="77457C6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112.89</w:t>
            </w:r>
          </w:p>
        </w:tc>
      </w:tr>
      <w:tr w:rsidR="00C3711C" w:rsidRPr="003002E3" w14:paraId="63D05733" w14:textId="77777777" w:rsidTr="00EF226A">
        <w:trPr>
          <w:trHeight w:val="397"/>
        </w:trPr>
        <w:tc>
          <w:tcPr>
            <w:tcW w:w="7117" w:type="dxa"/>
          </w:tcPr>
          <w:p w14:paraId="0271CC1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3" w:type="dxa"/>
          </w:tcPr>
          <w:p w14:paraId="62AEAD1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7.10</w:t>
            </w:r>
          </w:p>
        </w:tc>
        <w:tc>
          <w:tcPr>
            <w:tcW w:w="953" w:type="dxa"/>
          </w:tcPr>
          <w:p w14:paraId="62337AC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BF9842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0.45</w:t>
            </w:r>
          </w:p>
        </w:tc>
        <w:tc>
          <w:tcPr>
            <w:tcW w:w="1064" w:type="dxa"/>
          </w:tcPr>
          <w:p w14:paraId="5E4F829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6.70</w:t>
            </w:r>
          </w:p>
        </w:tc>
        <w:tc>
          <w:tcPr>
            <w:tcW w:w="1064" w:type="dxa"/>
          </w:tcPr>
          <w:p w14:paraId="2B50C9B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245.32</w:t>
            </w:r>
          </w:p>
        </w:tc>
        <w:tc>
          <w:tcPr>
            <w:tcW w:w="911" w:type="dxa"/>
          </w:tcPr>
          <w:p w14:paraId="555777E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109.55</w:t>
            </w:r>
          </w:p>
        </w:tc>
        <w:tc>
          <w:tcPr>
            <w:tcW w:w="872" w:type="dxa"/>
          </w:tcPr>
          <w:p w14:paraId="179FAD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108.86</w:t>
            </w:r>
          </w:p>
        </w:tc>
      </w:tr>
      <w:tr w:rsidR="00C3711C" w:rsidRPr="003002E3" w14:paraId="40497BEC" w14:textId="77777777" w:rsidTr="00EF226A">
        <w:trPr>
          <w:trHeight w:val="392"/>
        </w:trPr>
        <w:tc>
          <w:tcPr>
            <w:tcW w:w="7117" w:type="dxa"/>
          </w:tcPr>
          <w:p w14:paraId="4AAE2CD9"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SEm±</w:t>
            </w:r>
          </w:p>
        </w:tc>
        <w:tc>
          <w:tcPr>
            <w:tcW w:w="953" w:type="dxa"/>
          </w:tcPr>
          <w:p w14:paraId="16FB5B3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0.138</w:t>
            </w:r>
          </w:p>
        </w:tc>
        <w:tc>
          <w:tcPr>
            <w:tcW w:w="953" w:type="dxa"/>
          </w:tcPr>
          <w:p w14:paraId="43E6694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4" w:type="dxa"/>
          </w:tcPr>
          <w:p w14:paraId="79609F2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w:t>
            </w:r>
          </w:p>
        </w:tc>
        <w:tc>
          <w:tcPr>
            <w:tcW w:w="1064" w:type="dxa"/>
          </w:tcPr>
          <w:p w14:paraId="0AC692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0.091</w:t>
            </w:r>
          </w:p>
        </w:tc>
        <w:tc>
          <w:tcPr>
            <w:tcW w:w="1064" w:type="dxa"/>
          </w:tcPr>
          <w:p w14:paraId="7EEA6CC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1.767</w:t>
            </w:r>
          </w:p>
        </w:tc>
        <w:tc>
          <w:tcPr>
            <w:tcW w:w="911" w:type="dxa"/>
          </w:tcPr>
          <w:p w14:paraId="025BEA7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1.165</w:t>
            </w:r>
          </w:p>
        </w:tc>
        <w:tc>
          <w:tcPr>
            <w:tcW w:w="872" w:type="dxa"/>
          </w:tcPr>
          <w:p w14:paraId="1B3E4E2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1.514</w:t>
            </w:r>
          </w:p>
        </w:tc>
      </w:tr>
      <w:tr w:rsidR="00C3711C" w:rsidRPr="003002E3" w14:paraId="11090EF1" w14:textId="77777777" w:rsidTr="00EF226A">
        <w:trPr>
          <w:trHeight w:val="397"/>
        </w:trPr>
        <w:tc>
          <w:tcPr>
            <w:tcW w:w="7117" w:type="dxa"/>
          </w:tcPr>
          <w:p w14:paraId="5E23F5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3" w:type="dxa"/>
          </w:tcPr>
          <w:p w14:paraId="2487AD99"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3" w:type="dxa"/>
          </w:tcPr>
          <w:p w14:paraId="041B99C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4" w:type="dxa"/>
          </w:tcPr>
          <w:p w14:paraId="31E64C6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4" w:type="dxa"/>
          </w:tcPr>
          <w:p w14:paraId="6B0E6D6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0.280</w:t>
            </w:r>
          </w:p>
        </w:tc>
        <w:tc>
          <w:tcPr>
            <w:tcW w:w="1064" w:type="dxa"/>
          </w:tcPr>
          <w:p w14:paraId="2387DBA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5.411</w:t>
            </w:r>
          </w:p>
        </w:tc>
        <w:tc>
          <w:tcPr>
            <w:tcW w:w="911" w:type="dxa"/>
          </w:tcPr>
          <w:p w14:paraId="2E02DB1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3.569</w:t>
            </w:r>
          </w:p>
        </w:tc>
        <w:tc>
          <w:tcPr>
            <w:tcW w:w="872" w:type="dxa"/>
          </w:tcPr>
          <w:p w14:paraId="3E9C663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4.636</w:t>
            </w:r>
          </w:p>
        </w:tc>
      </w:tr>
      <w:tr w:rsidR="00C3711C" w:rsidRPr="003002E3" w14:paraId="5AA904A0" w14:textId="77777777" w:rsidTr="00EF226A">
        <w:trPr>
          <w:trHeight w:val="397"/>
        </w:trPr>
        <w:tc>
          <w:tcPr>
            <w:tcW w:w="7117" w:type="dxa"/>
          </w:tcPr>
          <w:p w14:paraId="238EDC5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Intial soil analysis</w:t>
            </w:r>
          </w:p>
        </w:tc>
        <w:tc>
          <w:tcPr>
            <w:tcW w:w="953" w:type="dxa"/>
          </w:tcPr>
          <w:p w14:paraId="3AA6BB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7.31</w:t>
            </w:r>
          </w:p>
        </w:tc>
        <w:tc>
          <w:tcPr>
            <w:tcW w:w="953" w:type="dxa"/>
          </w:tcPr>
          <w:p w14:paraId="297BF6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0.072</w:t>
            </w:r>
          </w:p>
        </w:tc>
        <w:tc>
          <w:tcPr>
            <w:tcW w:w="954" w:type="dxa"/>
          </w:tcPr>
          <w:p w14:paraId="139969B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0.43</w:t>
            </w:r>
          </w:p>
        </w:tc>
        <w:tc>
          <w:tcPr>
            <w:tcW w:w="1064" w:type="dxa"/>
          </w:tcPr>
          <w:p w14:paraId="7F7A6EA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6.54</w:t>
            </w:r>
          </w:p>
        </w:tc>
        <w:tc>
          <w:tcPr>
            <w:tcW w:w="1064" w:type="dxa"/>
          </w:tcPr>
          <w:p w14:paraId="16F39AD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125.61</w:t>
            </w:r>
          </w:p>
        </w:tc>
        <w:tc>
          <w:tcPr>
            <w:tcW w:w="911" w:type="dxa"/>
          </w:tcPr>
          <w:p w14:paraId="1A88F1E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106.13</w:t>
            </w:r>
          </w:p>
        </w:tc>
        <w:tc>
          <w:tcPr>
            <w:tcW w:w="872" w:type="dxa"/>
          </w:tcPr>
          <w:p w14:paraId="12B591D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286.27</w:t>
            </w:r>
          </w:p>
        </w:tc>
      </w:tr>
    </w:tbl>
    <w:p w14:paraId="1E7ECC9B" w14:textId="115C6276" w:rsidR="00C3711C" w:rsidRDefault="00C3711C" w:rsidP="003002E3">
      <w:pPr>
        <w:tabs>
          <w:tab w:val="left" w:pos="9435"/>
        </w:tabs>
        <w:jc w:val="center"/>
        <w:rPr>
          <w:rFonts w:ascii="Times New Roman" w:hAnsi="Times New Roman" w:cs="Times New Roman"/>
          <w:lang w:val="en-US"/>
        </w:rPr>
      </w:pPr>
    </w:p>
    <w:p w14:paraId="1C59AAA4" w14:textId="77777777" w:rsidR="0098165F" w:rsidRDefault="0098165F" w:rsidP="003002E3">
      <w:pPr>
        <w:tabs>
          <w:tab w:val="left" w:pos="9435"/>
        </w:tabs>
        <w:jc w:val="center"/>
        <w:rPr>
          <w:rFonts w:ascii="Times New Roman" w:hAnsi="Times New Roman" w:cs="Times New Roman"/>
          <w:lang w:val="en-US"/>
        </w:rPr>
      </w:pPr>
    </w:p>
    <w:p w14:paraId="4C064482" w14:textId="77777777" w:rsidR="0098165F" w:rsidRDefault="0098165F" w:rsidP="003002E3">
      <w:pPr>
        <w:tabs>
          <w:tab w:val="left" w:pos="9435"/>
        </w:tabs>
        <w:jc w:val="center"/>
        <w:rPr>
          <w:rFonts w:ascii="Times New Roman" w:hAnsi="Times New Roman" w:cs="Times New Roman"/>
          <w:lang w:val="en-US"/>
        </w:rPr>
      </w:pPr>
    </w:p>
    <w:p w14:paraId="4D7D9A84" w14:textId="21A81561" w:rsidR="0098165F" w:rsidRDefault="00263785" w:rsidP="003002E3">
      <w:pPr>
        <w:tabs>
          <w:tab w:val="left" w:pos="9435"/>
        </w:tabs>
        <w:jc w:val="center"/>
        <w:rPr>
          <w:rFonts w:ascii="Times New Roman" w:hAnsi="Times New Roman" w:cs="Times New Roman"/>
          <w:lang w:val="en-US"/>
        </w:rPr>
      </w:pPr>
      <w:r>
        <w:rPr>
          <w:rFonts w:ascii="Times New Roman" w:hAnsi="Times New Roman" w:cs="Times New Roman"/>
          <w:lang w:val="en-US"/>
        </w:rPr>
        <w:t>s</w:t>
      </w:r>
      <w:bookmarkStart w:id="2" w:name="_GoBack"/>
      <w:bookmarkEnd w:id="2"/>
    </w:p>
    <w:p w14:paraId="44335BD3" w14:textId="77777777" w:rsidR="0098165F" w:rsidRDefault="0098165F" w:rsidP="003002E3">
      <w:pPr>
        <w:tabs>
          <w:tab w:val="left" w:pos="9435"/>
        </w:tabs>
        <w:jc w:val="center"/>
        <w:rPr>
          <w:rFonts w:ascii="Times New Roman" w:hAnsi="Times New Roman" w:cs="Times New Roman"/>
          <w:lang w:val="en-US"/>
        </w:rPr>
      </w:pPr>
    </w:p>
    <w:p w14:paraId="721401DD" w14:textId="77777777" w:rsidR="0098165F" w:rsidRDefault="0098165F" w:rsidP="003002E3">
      <w:pPr>
        <w:tabs>
          <w:tab w:val="left" w:pos="9435"/>
        </w:tabs>
        <w:jc w:val="center"/>
        <w:rPr>
          <w:rFonts w:ascii="Times New Roman" w:hAnsi="Times New Roman" w:cs="Times New Roman"/>
          <w:lang w:val="en-US"/>
        </w:rPr>
      </w:pPr>
    </w:p>
    <w:p w14:paraId="64739969" w14:textId="77777777" w:rsidR="0098165F" w:rsidRDefault="0098165F" w:rsidP="003002E3">
      <w:pPr>
        <w:tabs>
          <w:tab w:val="left" w:pos="9435"/>
        </w:tabs>
        <w:jc w:val="center"/>
        <w:rPr>
          <w:rFonts w:ascii="Times New Roman" w:hAnsi="Times New Roman" w:cs="Times New Roman"/>
          <w:lang w:val="en-US"/>
        </w:rPr>
      </w:pPr>
    </w:p>
    <w:p w14:paraId="123F6224" w14:textId="77777777" w:rsidR="0098165F" w:rsidRDefault="0098165F" w:rsidP="003002E3">
      <w:pPr>
        <w:tabs>
          <w:tab w:val="left" w:pos="9435"/>
        </w:tabs>
        <w:jc w:val="center"/>
        <w:rPr>
          <w:rFonts w:ascii="Times New Roman" w:hAnsi="Times New Roman" w:cs="Times New Roman"/>
          <w:lang w:val="en-US"/>
        </w:rPr>
      </w:pPr>
    </w:p>
    <w:p w14:paraId="60230392" w14:textId="77777777" w:rsidR="0098165F" w:rsidRDefault="0098165F" w:rsidP="003002E3">
      <w:pPr>
        <w:tabs>
          <w:tab w:val="left" w:pos="9435"/>
        </w:tabs>
        <w:jc w:val="center"/>
        <w:rPr>
          <w:rFonts w:ascii="Times New Roman" w:hAnsi="Times New Roman" w:cs="Times New Roman"/>
          <w:lang w:val="en-US"/>
        </w:rPr>
      </w:pPr>
    </w:p>
    <w:p w14:paraId="3F0F5845" w14:textId="77777777" w:rsidR="0098165F" w:rsidRDefault="0098165F" w:rsidP="0098165F">
      <w:pPr>
        <w:tabs>
          <w:tab w:val="left" w:pos="9435"/>
        </w:tabs>
        <w:jc w:val="both"/>
        <w:rPr>
          <w:rFonts w:ascii="Times New Roman" w:hAnsi="Times New Roman" w:cs="Times New Roman"/>
          <w:lang w:val="en-US"/>
        </w:rPr>
      </w:pPr>
    </w:p>
    <w:p w14:paraId="616A0D57" w14:textId="6C5C4E59" w:rsidR="0098165F" w:rsidRDefault="0098165F" w:rsidP="0098165F">
      <w:pPr>
        <w:tabs>
          <w:tab w:val="left" w:pos="9435"/>
        </w:tabs>
        <w:jc w:val="both"/>
        <w:rPr>
          <w:rFonts w:ascii="Times New Roman" w:hAnsi="Times New Roman" w:cs="Times New Roman"/>
          <w:b/>
          <w:bCs/>
          <w:lang w:val="en-US"/>
        </w:rPr>
      </w:pPr>
      <w:r w:rsidRPr="0098165F">
        <w:rPr>
          <w:rFonts w:ascii="Times New Roman" w:hAnsi="Times New Roman" w:cs="Times New Roman"/>
          <w:b/>
          <w:bCs/>
          <w:lang w:val="en-US"/>
        </w:rPr>
        <w:t>Conclusion</w:t>
      </w:r>
    </w:p>
    <w:p w14:paraId="47B6DED4" w14:textId="0CEDA414" w:rsidR="0098165F" w:rsidRPr="002666B9" w:rsidRDefault="00475922" w:rsidP="00384ABC">
      <w:pPr>
        <w:jc w:val="both"/>
        <w:rPr>
          <w:rFonts w:ascii="Times New Roman" w:hAnsi="Times New Roman" w:cs="Times New Roman"/>
          <w:lang w:val="en-US"/>
        </w:rPr>
      </w:pPr>
      <w:r w:rsidRPr="00475922">
        <w:rPr>
          <w:rFonts w:ascii="Times New Roman" w:hAnsi="Times New Roman" w:cs="Times New Roman"/>
          <w:lang w:val="en-US"/>
        </w:rPr>
        <w:t xml:space="preserve">The present study demonstrated that integrated application of nitrogen and potassium significantly influenced the growth attributes and soil nutrient dynamics of pearl millet. Among all treatments, </w:t>
      </w:r>
      <w:r w:rsidRPr="004A4C12">
        <w:rPr>
          <w:rFonts w:ascii="Times New Roman" w:hAnsi="Times New Roman" w:cs="Times New Roman"/>
          <w:color w:val="FF0000"/>
          <w:lang w:val="en-US"/>
        </w:rPr>
        <w:t>T7 (</w:t>
      </w:r>
      <w:r w:rsidRPr="00475922">
        <w:rPr>
          <w:rFonts w:ascii="Times New Roman" w:hAnsi="Times New Roman" w:cs="Times New Roman"/>
          <w:lang w:val="en-US"/>
        </w:rPr>
        <w:t>100 kg N ha⁻¹ + 30 kg P₂O₅ ha⁻¹ + 40 kg K₂O ha⁻¹) recorded the highest plant height, dry matter production, and improved soil fertility at both 0–15 cm and 15–30 cm depths. Enhanced organic carbon, cation exchange capacity, and availability of nitrogen and potassium in fertilized plots indicate the effectiveness of balanced nutrient management in sustaining soil health. Soil test-based treatment (</w:t>
      </w:r>
      <w:r w:rsidRPr="004A4C12">
        <w:rPr>
          <w:rFonts w:ascii="Times New Roman" w:hAnsi="Times New Roman" w:cs="Times New Roman"/>
          <w:color w:val="FF0000"/>
          <w:lang w:val="en-US"/>
        </w:rPr>
        <w:t>T8</w:t>
      </w:r>
      <w:r w:rsidR="008B4773" w:rsidRPr="004A4C12">
        <w:rPr>
          <w:rFonts w:ascii="Times New Roman" w:hAnsi="Times New Roman" w:cs="Times New Roman"/>
          <w:color w:val="FF0000"/>
          <w:lang w:val="en-US"/>
        </w:rPr>
        <w:t xml:space="preserve">- </w:t>
      </w:r>
      <w:r w:rsidR="008B4773" w:rsidRPr="003002E3">
        <w:rPr>
          <w:rFonts w:ascii="Times New Roman" w:hAnsi="Times New Roman" w:cs="Times New Roman"/>
          <w:lang w:val="en-US"/>
        </w:rPr>
        <w:t>Application of N, P</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w:t>
      </w:r>
      <w:r w:rsidR="008B4773" w:rsidRPr="003002E3">
        <w:rPr>
          <w:rFonts w:ascii="Times New Roman" w:hAnsi="Times New Roman" w:cs="Times New Roman"/>
          <w:vertAlign w:val="subscript"/>
          <w:lang w:val="en-US"/>
        </w:rPr>
        <w:t>5</w:t>
      </w:r>
      <w:r w:rsidR="008B4773" w:rsidRPr="003002E3">
        <w:rPr>
          <w:rFonts w:ascii="Times New Roman" w:hAnsi="Times New Roman" w:cs="Times New Roman"/>
          <w:lang w:val="en-US"/>
        </w:rPr>
        <w:t xml:space="preserve"> and K</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 based on Soil Test Values.</w:t>
      </w:r>
      <w:r w:rsidRPr="00475922">
        <w:rPr>
          <w:rFonts w:ascii="Times New Roman" w:hAnsi="Times New Roman" w:cs="Times New Roman"/>
          <w:lang w:val="en-US"/>
        </w:rPr>
        <w:t xml:space="preserve">) also showed favorable results, supporting the need for site-specific recommendations. These findings suggest that higher nitrogen combined with adequate potassium not only boosts crop performance but also improves soil nutrient status under rainfed conditions. </w:t>
      </w:r>
      <w:r w:rsidR="00384ABC">
        <w:rPr>
          <w:rFonts w:ascii="Times New Roman" w:hAnsi="Times New Roman" w:cs="Times New Roman"/>
          <w:lang w:val="en-US"/>
        </w:rPr>
        <w:t>A</w:t>
      </w:r>
      <w:r w:rsidRPr="00475922">
        <w:rPr>
          <w:rFonts w:ascii="Times New Roman" w:hAnsi="Times New Roman" w:cs="Times New Roman"/>
          <w:lang w:val="en-US"/>
        </w:rPr>
        <w:t>dopting balanced fertilization strategies is essential for optimizing pearl millet productivity and maintaining long-term soil fertility in semi-arid regions.</w:t>
      </w:r>
    </w:p>
    <w:p w14:paraId="26F3616D" w14:textId="77777777" w:rsidR="0011428F" w:rsidRDefault="0011428F" w:rsidP="0098165F">
      <w:pPr>
        <w:rPr>
          <w:rFonts w:ascii="Times New Roman" w:hAnsi="Times New Roman" w:cs="Times New Roman"/>
          <w:b/>
          <w:bCs/>
          <w:lang w:val="en-US"/>
        </w:rPr>
      </w:pPr>
    </w:p>
    <w:p w14:paraId="27E45420" w14:textId="25AE3351" w:rsidR="0098165F" w:rsidRPr="0098165F" w:rsidRDefault="0098165F" w:rsidP="0098165F">
      <w:pPr>
        <w:rPr>
          <w:rFonts w:ascii="Times New Roman" w:hAnsi="Times New Roman" w:cs="Times New Roman"/>
          <w:b/>
          <w:bCs/>
          <w:lang w:val="en-US"/>
        </w:rPr>
      </w:pPr>
      <w:r w:rsidRPr="0098165F">
        <w:rPr>
          <w:rFonts w:ascii="Times New Roman" w:hAnsi="Times New Roman" w:cs="Times New Roman"/>
          <w:b/>
          <w:bCs/>
          <w:lang w:val="en-US"/>
        </w:rPr>
        <w:t>REFERENCES</w:t>
      </w:r>
    </w:p>
    <w:p w14:paraId="7D7C0CFD"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Bower, C. A., Reitemeier, R. F., &amp; Fireman, M. (1952). Exchangeable cation analysis of saline and alkali soils. Soil Science, 73(4), 251–261.</w:t>
      </w:r>
    </w:p>
    <w:p w14:paraId="1931C802"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Jackson, M. L. (1973). Soil Chemical Analysis. Prentice Hall of India Pvt. Ltd., New Delhi, India.</w:t>
      </w:r>
    </w:p>
    <w:p w14:paraId="1F8E2D6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Olsen, S. R., Cole, C. V., Watanabe, F. S., &amp; Dean, L. A. (1954). Estimation of available phosphorus in soils by extraction with sodium bicarbonate. U.S. Department of Agriculture Circular, 939, 1–19.</w:t>
      </w:r>
    </w:p>
    <w:p w14:paraId="07EB38E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Panse, V. G., &amp; Sukhatme, P. V. (1978). Statistical Methods for Agricultural Workers (3rd ed.). ICAR Publication, New Delhi, India.</w:t>
      </w:r>
    </w:p>
    <w:p w14:paraId="3BC0A566"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Piper, C. S. (1950). Soil and Plant Analysis. Interscience Publishers, New York.</w:t>
      </w:r>
    </w:p>
    <w:p w14:paraId="6015EEE8"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Richards, L. A. (Ed.). (1954). Diagnosis and Improvement of Saline and Alkali Soils. USDA Handbook No. 60. U.S. Department of Agriculture, Washington, D.C.</w:t>
      </w:r>
    </w:p>
    <w:p w14:paraId="41C54F2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Subbiah, B. V., &amp; Asija, G. L. (1956). A rapid procedure for estimation of available nitrogen in soils. Current Science, 25, 259–260.</w:t>
      </w:r>
    </w:p>
    <w:p w14:paraId="0BC47D92" w14:textId="09FA5AA9" w:rsid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Walkley, A., &amp; Black, I. A. (1934). An examination of Degtjareff method for determining soil organic matter and a proposed modification of the chromic acid titration method. Soil Science, 37, 29–38.</w:t>
      </w:r>
    </w:p>
    <w:p w14:paraId="6B490F8F" w14:textId="73532F9D" w:rsidR="002817C4" w:rsidRDefault="002817C4" w:rsidP="00576612">
      <w:pPr>
        <w:jc w:val="both"/>
        <w:rPr>
          <w:rFonts w:ascii="Times New Roman" w:hAnsi="Times New Roman" w:cs="Times New Roman"/>
          <w:lang w:val="en-US"/>
        </w:rPr>
      </w:pPr>
      <w:r w:rsidRPr="002817C4">
        <w:rPr>
          <w:rFonts w:ascii="Times New Roman" w:hAnsi="Times New Roman" w:cs="Times New Roman"/>
          <w:lang w:val="en-US"/>
        </w:rPr>
        <w:t>National Research Council. (2023). Lost Crops of Africa: Volume I: Grains. The National Academies Press, Washington, D.C. https://doi.org/10.17226/2305</w:t>
      </w:r>
    </w:p>
    <w:p w14:paraId="0CAAA46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lang w:val="fi-FI"/>
        </w:rPr>
        <w:t xml:space="preserve">Tonapi, V. A., Thirunavukkarasu, N., Gupta, S. K., Gangashetty, P. I., &amp; Yadav, O. P. (2024). </w:t>
      </w:r>
      <w:r w:rsidRPr="00147F3D">
        <w:rPr>
          <w:rFonts w:ascii="Times New Roman" w:hAnsi="Times New Roman" w:cs="Times New Roman"/>
        </w:rPr>
        <w:t>Pearl Millet in the 21st Century. Springer Nature: Singapore.</w:t>
      </w:r>
    </w:p>
    <w:p w14:paraId="47C490F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De Rouw, A. (2004). Improving yields and reducing risks in pearl millet farming in the African Sahel. Agricultural systems, 81(1), 73-93.</w:t>
      </w:r>
    </w:p>
    <w:p w14:paraId="7AB662B6"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lastRenderedPageBreak/>
        <w:t>Muitire, C., Kamutando, C., &amp; Moyo, M. (2021). Building stress resilience of cereals under future climatic scenarios:‘the case of maize, wheat, rice and sorghum’. In Cereal Grains-Volume 1. IntechOpen.</w:t>
      </w:r>
    </w:p>
    <w:p w14:paraId="41F5D2FC" w14:textId="77777777" w:rsidR="00147F3D" w:rsidRPr="00147F3D" w:rsidRDefault="00147F3D" w:rsidP="00576612">
      <w:pPr>
        <w:jc w:val="both"/>
        <w:rPr>
          <w:rFonts w:ascii="Times New Roman" w:hAnsi="Times New Roman" w:cs="Times New Roman"/>
        </w:rPr>
      </w:pPr>
    </w:p>
    <w:p w14:paraId="0EABD28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Singhal, R. K., Fahad, S., Kumar, P., Choyal, P., Javed, T., Jinger, D., ... &amp; Nawaz, T. (2023). Beneficial elements: New Players in improving nutrient use efficiency and abiotic stress tolerance. Plant Growth Regulation, 100(2), 237-265.</w:t>
      </w:r>
    </w:p>
    <w:p w14:paraId="1607530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Maiya, V. (2024). Effect of organic and inorganic nutrient sources on growth, yield and quality of Pearl millet (Pennisetum glaucum L.) under rainfed sub tropics of Jammu (Doctoral dissertation, Sher-e-Kashmir University of Agricultural Sciences &amp; Technology of Jammu).</w:t>
      </w:r>
    </w:p>
    <w:p w14:paraId="77FE0AC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BHARGAVI, T. (2021). RESPONSE OF PEARL MILLET TO ORGANIC AND INORGANIC SOURCES OF NITROGEN (Doctoral dissertation, Acharya NG Ranga Agricultural University, Guntur).</w:t>
      </w:r>
    </w:p>
    <w:p w14:paraId="3BCFB64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BHANU PRASAD REDDY, S. (2014). Effect Of Nitrogen And Potassium On Yield And Quality Of Pearl Millet (Doctoral Dissertation, Acharya Ng Ranga Agricultural University).</w:t>
      </w:r>
    </w:p>
    <w:p w14:paraId="6398F2A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Singh, A., &amp; Pal, S. K. (2015). Effect of Nutrient Management on Indian Mustard [Brassica juncea (L.)]: A Review. International Journal of Plant &amp; Soil Science, 36(7), 429-438.</w:t>
      </w:r>
    </w:p>
    <w:p w14:paraId="5484FB54" w14:textId="77777777" w:rsidR="00147F3D" w:rsidRPr="00147F3D" w:rsidRDefault="00147F3D" w:rsidP="00147F3D">
      <w:pPr>
        <w:rPr>
          <w:rFonts w:ascii="Times New Roman" w:hAnsi="Times New Roman" w:cs="Times New Roman"/>
          <w:lang w:val="en-US"/>
        </w:rPr>
      </w:pPr>
    </w:p>
    <w:sectPr w:rsidR="00147F3D" w:rsidRPr="00147F3D" w:rsidSect="00C3711C">
      <w:pgSz w:w="16840" w:h="11910" w:orient="landscape"/>
      <w:pgMar w:top="13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3298" w14:textId="77777777" w:rsidR="004747A7" w:rsidRDefault="004747A7" w:rsidP="00421F94">
      <w:pPr>
        <w:spacing w:after="0" w:line="240" w:lineRule="auto"/>
      </w:pPr>
      <w:r>
        <w:separator/>
      </w:r>
    </w:p>
  </w:endnote>
  <w:endnote w:type="continuationSeparator" w:id="0">
    <w:p w14:paraId="52F11484" w14:textId="77777777" w:rsidR="004747A7" w:rsidRDefault="004747A7" w:rsidP="004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5D74" w14:textId="77777777" w:rsidR="00421F94" w:rsidRDefault="00421F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A086" w14:textId="77777777" w:rsidR="00421F94" w:rsidRDefault="004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503BC" w14:textId="77777777" w:rsidR="00421F94" w:rsidRDefault="00421F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8E48" w14:textId="77777777" w:rsidR="004747A7" w:rsidRDefault="004747A7" w:rsidP="00421F94">
      <w:pPr>
        <w:spacing w:after="0" w:line="240" w:lineRule="auto"/>
      </w:pPr>
      <w:r>
        <w:separator/>
      </w:r>
    </w:p>
  </w:footnote>
  <w:footnote w:type="continuationSeparator" w:id="0">
    <w:p w14:paraId="5A8FD0DA" w14:textId="77777777" w:rsidR="004747A7" w:rsidRDefault="004747A7" w:rsidP="0042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B4A3" w14:textId="745A4D46" w:rsidR="00421F94" w:rsidRDefault="004747A7">
    <w:pPr>
      <w:pStyle w:val="Header"/>
    </w:pPr>
    <w:r>
      <w:rPr>
        <w:noProof/>
      </w:rPr>
      <w:pict w14:anchorId="3F45D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6"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9EDB" w14:textId="13F6A94F" w:rsidR="00421F94" w:rsidRDefault="004747A7">
    <w:pPr>
      <w:pStyle w:val="Header"/>
    </w:pPr>
    <w:r>
      <w:rPr>
        <w:noProof/>
      </w:rPr>
      <w:pict w14:anchorId="12B0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7"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1039" w14:textId="0F8BD44D" w:rsidR="00421F94" w:rsidRDefault="004747A7">
    <w:pPr>
      <w:pStyle w:val="Header"/>
    </w:pPr>
    <w:r>
      <w:rPr>
        <w:noProof/>
      </w:rPr>
      <w:pict w14:anchorId="397D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5"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990"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6"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abstractNumId w:val="6"/>
  </w:num>
  <w:num w:numId="2">
    <w:abstractNumId w:val="0"/>
  </w:num>
  <w:num w:numId="3">
    <w:abstractNumId w:val="4"/>
  </w:num>
  <w:num w:numId="4">
    <w:abstractNumId w:val="5"/>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B6"/>
    <w:rsid w:val="000115BD"/>
    <w:rsid w:val="00013750"/>
    <w:rsid w:val="00041AFF"/>
    <w:rsid w:val="00051D28"/>
    <w:rsid w:val="00095E7F"/>
    <w:rsid w:val="000B329D"/>
    <w:rsid w:val="000C0B2A"/>
    <w:rsid w:val="000E1A00"/>
    <w:rsid w:val="0011428F"/>
    <w:rsid w:val="00131D17"/>
    <w:rsid w:val="00147F3D"/>
    <w:rsid w:val="00176BA1"/>
    <w:rsid w:val="00181E53"/>
    <w:rsid w:val="001916AF"/>
    <w:rsid w:val="001C4345"/>
    <w:rsid w:val="00211C3B"/>
    <w:rsid w:val="00212F15"/>
    <w:rsid w:val="00232668"/>
    <w:rsid w:val="00240E73"/>
    <w:rsid w:val="00241919"/>
    <w:rsid w:val="002441E8"/>
    <w:rsid w:val="00263785"/>
    <w:rsid w:val="002666B9"/>
    <w:rsid w:val="002817C4"/>
    <w:rsid w:val="002C27E1"/>
    <w:rsid w:val="002C2BD1"/>
    <w:rsid w:val="002D3E0B"/>
    <w:rsid w:val="002F3E71"/>
    <w:rsid w:val="002F5FC8"/>
    <w:rsid w:val="003002E3"/>
    <w:rsid w:val="00323880"/>
    <w:rsid w:val="00335688"/>
    <w:rsid w:val="003417D1"/>
    <w:rsid w:val="00345730"/>
    <w:rsid w:val="00364159"/>
    <w:rsid w:val="0036489F"/>
    <w:rsid w:val="00384ABC"/>
    <w:rsid w:val="003E28C5"/>
    <w:rsid w:val="0041607A"/>
    <w:rsid w:val="00421F94"/>
    <w:rsid w:val="00444D40"/>
    <w:rsid w:val="00446AC9"/>
    <w:rsid w:val="00450BD9"/>
    <w:rsid w:val="004747A7"/>
    <w:rsid w:val="00475922"/>
    <w:rsid w:val="004A4C12"/>
    <w:rsid w:val="004C618B"/>
    <w:rsid w:val="004E7F4D"/>
    <w:rsid w:val="0050127A"/>
    <w:rsid w:val="00506470"/>
    <w:rsid w:val="00515520"/>
    <w:rsid w:val="005174D9"/>
    <w:rsid w:val="005355BC"/>
    <w:rsid w:val="00536581"/>
    <w:rsid w:val="0053680D"/>
    <w:rsid w:val="00537270"/>
    <w:rsid w:val="00576612"/>
    <w:rsid w:val="00581F95"/>
    <w:rsid w:val="005C2BF9"/>
    <w:rsid w:val="005E2E6B"/>
    <w:rsid w:val="005E35F1"/>
    <w:rsid w:val="005E6281"/>
    <w:rsid w:val="00630C77"/>
    <w:rsid w:val="00633A27"/>
    <w:rsid w:val="006840D7"/>
    <w:rsid w:val="006A5798"/>
    <w:rsid w:val="006C1CCE"/>
    <w:rsid w:val="00725453"/>
    <w:rsid w:val="007F337E"/>
    <w:rsid w:val="00803B14"/>
    <w:rsid w:val="00805F5B"/>
    <w:rsid w:val="00860D2D"/>
    <w:rsid w:val="00880F68"/>
    <w:rsid w:val="00882FC9"/>
    <w:rsid w:val="008B4773"/>
    <w:rsid w:val="008D4084"/>
    <w:rsid w:val="008D5D57"/>
    <w:rsid w:val="00920BB6"/>
    <w:rsid w:val="0097241A"/>
    <w:rsid w:val="0098165F"/>
    <w:rsid w:val="00986247"/>
    <w:rsid w:val="00997670"/>
    <w:rsid w:val="009A3995"/>
    <w:rsid w:val="009B2D11"/>
    <w:rsid w:val="00A14CF7"/>
    <w:rsid w:val="00A1607A"/>
    <w:rsid w:val="00A72727"/>
    <w:rsid w:val="00AE44FA"/>
    <w:rsid w:val="00AE5E31"/>
    <w:rsid w:val="00B110A5"/>
    <w:rsid w:val="00B113AA"/>
    <w:rsid w:val="00B36578"/>
    <w:rsid w:val="00B456F7"/>
    <w:rsid w:val="00B532FD"/>
    <w:rsid w:val="00B66C56"/>
    <w:rsid w:val="00B90E65"/>
    <w:rsid w:val="00B95ABB"/>
    <w:rsid w:val="00BA43B2"/>
    <w:rsid w:val="00BC5947"/>
    <w:rsid w:val="00BE364D"/>
    <w:rsid w:val="00C12BBF"/>
    <w:rsid w:val="00C26094"/>
    <w:rsid w:val="00C267F2"/>
    <w:rsid w:val="00C3711C"/>
    <w:rsid w:val="00C4358C"/>
    <w:rsid w:val="00C73E46"/>
    <w:rsid w:val="00C77982"/>
    <w:rsid w:val="00C82BB3"/>
    <w:rsid w:val="00CA56C2"/>
    <w:rsid w:val="00D03CB6"/>
    <w:rsid w:val="00D254DF"/>
    <w:rsid w:val="00D70F09"/>
    <w:rsid w:val="00DA3D25"/>
    <w:rsid w:val="00DD4732"/>
    <w:rsid w:val="00E0350A"/>
    <w:rsid w:val="00E31B40"/>
    <w:rsid w:val="00E44BAC"/>
    <w:rsid w:val="00E907B1"/>
    <w:rsid w:val="00E960D3"/>
    <w:rsid w:val="00EB2074"/>
    <w:rsid w:val="00EC5BA5"/>
    <w:rsid w:val="00EC5D96"/>
    <w:rsid w:val="00EF226A"/>
    <w:rsid w:val="00F060AE"/>
    <w:rsid w:val="00F156FC"/>
    <w:rsid w:val="00F355F0"/>
    <w:rsid w:val="00F37E85"/>
    <w:rsid w:val="00F46550"/>
    <w:rsid w:val="00F531B5"/>
    <w:rsid w:val="00F6610B"/>
    <w:rsid w:val="00FA04CA"/>
    <w:rsid w:val="00FB736E"/>
    <w:rsid w:val="00FF0B69"/>
    <w:rsid w:val="00FF73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891B7"/>
  <w15:chartTrackingRefBased/>
  <w15:docId w15:val="{0A4BB97A-D011-47BC-A043-B6063BB6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20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20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20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920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BB6"/>
    <w:rPr>
      <w:rFonts w:eastAsiaTheme="majorEastAsia" w:cstheme="majorBidi"/>
      <w:color w:val="272727" w:themeColor="text1" w:themeTint="D8"/>
    </w:rPr>
  </w:style>
  <w:style w:type="paragraph" w:styleId="Title">
    <w:name w:val="Title"/>
    <w:basedOn w:val="Normal"/>
    <w:next w:val="Normal"/>
    <w:link w:val="TitleChar"/>
    <w:uiPriority w:val="1"/>
    <w:qFormat/>
    <w:rsid w:val="0092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20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BB6"/>
    <w:pPr>
      <w:spacing w:before="160"/>
      <w:jc w:val="center"/>
    </w:pPr>
    <w:rPr>
      <w:i/>
      <w:iCs/>
      <w:color w:val="404040" w:themeColor="text1" w:themeTint="BF"/>
    </w:rPr>
  </w:style>
  <w:style w:type="character" w:customStyle="1" w:styleId="QuoteChar">
    <w:name w:val="Quote Char"/>
    <w:basedOn w:val="DefaultParagraphFont"/>
    <w:link w:val="Quote"/>
    <w:uiPriority w:val="29"/>
    <w:rsid w:val="00920BB6"/>
    <w:rPr>
      <w:i/>
      <w:iCs/>
      <w:color w:val="404040" w:themeColor="text1" w:themeTint="BF"/>
    </w:rPr>
  </w:style>
  <w:style w:type="paragraph" w:styleId="ListParagraph">
    <w:name w:val="List Paragraph"/>
    <w:basedOn w:val="Normal"/>
    <w:uiPriority w:val="1"/>
    <w:qFormat/>
    <w:rsid w:val="00920BB6"/>
    <w:pPr>
      <w:ind w:left="720"/>
      <w:contextualSpacing/>
    </w:pPr>
  </w:style>
  <w:style w:type="character" w:styleId="IntenseEmphasis">
    <w:name w:val="Intense Emphasis"/>
    <w:basedOn w:val="DefaultParagraphFont"/>
    <w:uiPriority w:val="21"/>
    <w:qFormat/>
    <w:rsid w:val="00920BB6"/>
    <w:rPr>
      <w:i/>
      <w:iCs/>
      <w:color w:val="2F5496" w:themeColor="accent1" w:themeShade="BF"/>
    </w:rPr>
  </w:style>
  <w:style w:type="paragraph" w:styleId="IntenseQuote">
    <w:name w:val="Intense Quote"/>
    <w:basedOn w:val="Normal"/>
    <w:next w:val="Normal"/>
    <w:link w:val="IntenseQuoteChar"/>
    <w:uiPriority w:val="30"/>
    <w:qFormat/>
    <w:rsid w:val="00920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BB6"/>
    <w:rPr>
      <w:i/>
      <w:iCs/>
      <w:color w:val="2F5496" w:themeColor="accent1" w:themeShade="BF"/>
    </w:rPr>
  </w:style>
  <w:style w:type="character" w:styleId="IntenseReference">
    <w:name w:val="Intense Reference"/>
    <w:basedOn w:val="DefaultParagraphFont"/>
    <w:uiPriority w:val="32"/>
    <w:qFormat/>
    <w:rsid w:val="00920BB6"/>
    <w:rPr>
      <w:b/>
      <w:bCs/>
      <w:smallCaps/>
      <w:color w:val="2F5496" w:themeColor="accent1" w:themeShade="BF"/>
      <w:spacing w:val="5"/>
    </w:rPr>
  </w:style>
  <w:style w:type="numbering" w:customStyle="1" w:styleId="NoList1">
    <w:name w:val="No List1"/>
    <w:next w:val="NoList"/>
    <w:uiPriority w:val="99"/>
    <w:semiHidden/>
    <w:unhideWhenUsed/>
    <w:rsid w:val="00C3711C"/>
  </w:style>
  <w:style w:type="paragraph" w:styleId="BodyText">
    <w:name w:val="Body Text"/>
    <w:basedOn w:val="Normal"/>
    <w:link w:val="BodyTextChar"/>
    <w:uiPriority w:val="1"/>
    <w:qFormat/>
    <w:rsid w:val="00C3711C"/>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C3711C"/>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C3711C"/>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C3711C"/>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C3711C"/>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C3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C3711C"/>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C3711C"/>
  </w:style>
  <w:style w:type="numbering" w:customStyle="1" w:styleId="NoList2">
    <w:name w:val="No List2"/>
    <w:next w:val="NoList"/>
    <w:uiPriority w:val="99"/>
    <w:semiHidden/>
    <w:unhideWhenUsed/>
    <w:rsid w:val="006C1CCE"/>
  </w:style>
  <w:style w:type="character" w:styleId="Hyperlink">
    <w:name w:val="Hyperlink"/>
    <w:basedOn w:val="DefaultParagraphFont"/>
    <w:uiPriority w:val="99"/>
    <w:unhideWhenUsed/>
    <w:rsid w:val="00E960D3"/>
    <w:rPr>
      <w:color w:val="0563C1" w:themeColor="hyperlink"/>
      <w:u w:val="single"/>
    </w:rPr>
  </w:style>
  <w:style w:type="character" w:customStyle="1" w:styleId="UnresolvedMention">
    <w:name w:val="Unresolved Mention"/>
    <w:basedOn w:val="DefaultParagraphFont"/>
    <w:uiPriority w:val="99"/>
    <w:semiHidden/>
    <w:unhideWhenUsed/>
    <w:rsid w:val="00E9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0776">
      <w:bodyDiv w:val="1"/>
      <w:marLeft w:val="0"/>
      <w:marRight w:val="0"/>
      <w:marTop w:val="0"/>
      <w:marBottom w:val="0"/>
      <w:divBdr>
        <w:top w:val="none" w:sz="0" w:space="0" w:color="auto"/>
        <w:left w:val="none" w:sz="0" w:space="0" w:color="auto"/>
        <w:bottom w:val="none" w:sz="0" w:space="0" w:color="auto"/>
        <w:right w:val="none" w:sz="0" w:space="0" w:color="auto"/>
      </w:divBdr>
    </w:div>
    <w:div w:id="204416928">
      <w:bodyDiv w:val="1"/>
      <w:marLeft w:val="0"/>
      <w:marRight w:val="0"/>
      <w:marTop w:val="0"/>
      <w:marBottom w:val="0"/>
      <w:divBdr>
        <w:top w:val="none" w:sz="0" w:space="0" w:color="auto"/>
        <w:left w:val="none" w:sz="0" w:space="0" w:color="auto"/>
        <w:bottom w:val="none" w:sz="0" w:space="0" w:color="auto"/>
        <w:right w:val="none" w:sz="0" w:space="0" w:color="auto"/>
      </w:divBdr>
      <w:divsChild>
        <w:div w:id="1116830072">
          <w:marLeft w:val="0"/>
          <w:marRight w:val="0"/>
          <w:marTop w:val="0"/>
          <w:marBottom w:val="0"/>
          <w:divBdr>
            <w:top w:val="none" w:sz="0" w:space="0" w:color="auto"/>
            <w:left w:val="none" w:sz="0" w:space="0" w:color="auto"/>
            <w:bottom w:val="none" w:sz="0" w:space="0" w:color="auto"/>
            <w:right w:val="none" w:sz="0" w:space="0" w:color="auto"/>
          </w:divBdr>
          <w:divsChild>
            <w:div w:id="1244531928">
              <w:marLeft w:val="0"/>
              <w:marRight w:val="0"/>
              <w:marTop w:val="0"/>
              <w:marBottom w:val="0"/>
              <w:divBdr>
                <w:top w:val="none" w:sz="0" w:space="0" w:color="auto"/>
                <w:left w:val="none" w:sz="0" w:space="0" w:color="auto"/>
                <w:bottom w:val="none" w:sz="0" w:space="0" w:color="auto"/>
                <w:right w:val="none" w:sz="0" w:space="0" w:color="auto"/>
              </w:divBdr>
              <w:divsChild>
                <w:div w:id="2000766753">
                  <w:marLeft w:val="0"/>
                  <w:marRight w:val="0"/>
                  <w:marTop w:val="0"/>
                  <w:marBottom w:val="0"/>
                  <w:divBdr>
                    <w:top w:val="none" w:sz="0" w:space="0" w:color="auto"/>
                    <w:left w:val="none" w:sz="0" w:space="0" w:color="auto"/>
                    <w:bottom w:val="none" w:sz="0" w:space="0" w:color="auto"/>
                    <w:right w:val="none" w:sz="0" w:space="0" w:color="auto"/>
                  </w:divBdr>
                  <w:divsChild>
                    <w:div w:id="56827462">
                      <w:marLeft w:val="0"/>
                      <w:marRight w:val="0"/>
                      <w:marTop w:val="0"/>
                      <w:marBottom w:val="0"/>
                      <w:divBdr>
                        <w:top w:val="none" w:sz="0" w:space="0" w:color="auto"/>
                        <w:left w:val="none" w:sz="0" w:space="0" w:color="auto"/>
                        <w:bottom w:val="none" w:sz="0" w:space="0" w:color="auto"/>
                        <w:right w:val="none" w:sz="0" w:space="0" w:color="auto"/>
                      </w:divBdr>
                      <w:divsChild>
                        <w:div w:id="1921136867">
                          <w:marLeft w:val="0"/>
                          <w:marRight w:val="0"/>
                          <w:marTop w:val="0"/>
                          <w:marBottom w:val="0"/>
                          <w:divBdr>
                            <w:top w:val="none" w:sz="0" w:space="0" w:color="auto"/>
                            <w:left w:val="none" w:sz="0" w:space="0" w:color="auto"/>
                            <w:bottom w:val="none" w:sz="0" w:space="0" w:color="auto"/>
                            <w:right w:val="none" w:sz="0" w:space="0" w:color="auto"/>
                          </w:divBdr>
                          <w:divsChild>
                            <w:div w:id="21320002">
                              <w:marLeft w:val="0"/>
                              <w:marRight w:val="0"/>
                              <w:marTop w:val="0"/>
                              <w:marBottom w:val="0"/>
                              <w:divBdr>
                                <w:top w:val="none" w:sz="0" w:space="0" w:color="auto"/>
                                <w:left w:val="none" w:sz="0" w:space="0" w:color="auto"/>
                                <w:bottom w:val="none" w:sz="0" w:space="0" w:color="auto"/>
                                <w:right w:val="none" w:sz="0" w:space="0" w:color="auto"/>
                              </w:divBdr>
                              <w:divsChild>
                                <w:div w:id="206257139">
                                  <w:marLeft w:val="0"/>
                                  <w:marRight w:val="0"/>
                                  <w:marTop w:val="0"/>
                                  <w:marBottom w:val="0"/>
                                  <w:divBdr>
                                    <w:top w:val="none" w:sz="0" w:space="0" w:color="auto"/>
                                    <w:left w:val="none" w:sz="0" w:space="0" w:color="auto"/>
                                    <w:bottom w:val="none" w:sz="0" w:space="0" w:color="auto"/>
                                    <w:right w:val="none" w:sz="0" w:space="0" w:color="auto"/>
                                  </w:divBdr>
                                  <w:divsChild>
                                    <w:div w:id="13136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857763">
      <w:bodyDiv w:val="1"/>
      <w:marLeft w:val="0"/>
      <w:marRight w:val="0"/>
      <w:marTop w:val="0"/>
      <w:marBottom w:val="0"/>
      <w:divBdr>
        <w:top w:val="none" w:sz="0" w:space="0" w:color="auto"/>
        <w:left w:val="none" w:sz="0" w:space="0" w:color="auto"/>
        <w:bottom w:val="none" w:sz="0" w:space="0" w:color="auto"/>
        <w:right w:val="none" w:sz="0" w:space="0" w:color="auto"/>
      </w:divBdr>
    </w:div>
    <w:div w:id="1173182988">
      <w:bodyDiv w:val="1"/>
      <w:marLeft w:val="0"/>
      <w:marRight w:val="0"/>
      <w:marTop w:val="0"/>
      <w:marBottom w:val="0"/>
      <w:divBdr>
        <w:top w:val="none" w:sz="0" w:space="0" w:color="auto"/>
        <w:left w:val="none" w:sz="0" w:space="0" w:color="auto"/>
        <w:bottom w:val="none" w:sz="0" w:space="0" w:color="auto"/>
        <w:right w:val="none" w:sz="0" w:space="0" w:color="auto"/>
      </w:divBdr>
    </w:div>
    <w:div w:id="1297296834">
      <w:bodyDiv w:val="1"/>
      <w:marLeft w:val="0"/>
      <w:marRight w:val="0"/>
      <w:marTop w:val="0"/>
      <w:marBottom w:val="0"/>
      <w:divBdr>
        <w:top w:val="none" w:sz="0" w:space="0" w:color="auto"/>
        <w:left w:val="none" w:sz="0" w:space="0" w:color="auto"/>
        <w:bottom w:val="none" w:sz="0" w:space="0" w:color="auto"/>
        <w:right w:val="none" w:sz="0" w:space="0" w:color="auto"/>
      </w:divBdr>
    </w:div>
    <w:div w:id="1350645533">
      <w:bodyDiv w:val="1"/>
      <w:marLeft w:val="0"/>
      <w:marRight w:val="0"/>
      <w:marTop w:val="0"/>
      <w:marBottom w:val="0"/>
      <w:divBdr>
        <w:top w:val="none" w:sz="0" w:space="0" w:color="auto"/>
        <w:left w:val="none" w:sz="0" w:space="0" w:color="auto"/>
        <w:bottom w:val="none" w:sz="0" w:space="0" w:color="auto"/>
        <w:right w:val="none" w:sz="0" w:space="0" w:color="auto"/>
      </w:divBdr>
    </w:div>
    <w:div w:id="1877352151">
      <w:bodyDiv w:val="1"/>
      <w:marLeft w:val="0"/>
      <w:marRight w:val="0"/>
      <w:marTop w:val="0"/>
      <w:marBottom w:val="0"/>
      <w:divBdr>
        <w:top w:val="none" w:sz="0" w:space="0" w:color="auto"/>
        <w:left w:val="none" w:sz="0" w:space="0" w:color="auto"/>
        <w:bottom w:val="none" w:sz="0" w:space="0" w:color="auto"/>
        <w:right w:val="none" w:sz="0" w:space="0" w:color="auto"/>
      </w:divBdr>
    </w:div>
    <w:div w:id="1958945392">
      <w:bodyDiv w:val="1"/>
      <w:marLeft w:val="0"/>
      <w:marRight w:val="0"/>
      <w:marTop w:val="0"/>
      <w:marBottom w:val="0"/>
      <w:divBdr>
        <w:top w:val="none" w:sz="0" w:space="0" w:color="auto"/>
        <w:left w:val="none" w:sz="0" w:space="0" w:color="auto"/>
        <w:bottom w:val="none" w:sz="0" w:space="0" w:color="auto"/>
        <w:right w:val="none" w:sz="0" w:space="0" w:color="auto"/>
      </w:divBdr>
    </w:div>
    <w:div w:id="21226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5BF29-DE12-47ED-BA76-F97F3D14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cp:lastModifiedBy>
  <cp:revision>5</cp:revision>
  <dcterms:created xsi:type="dcterms:W3CDTF">2025-05-13T07:53:00Z</dcterms:created>
  <dcterms:modified xsi:type="dcterms:W3CDTF">2025-05-13T08:09:00Z</dcterms:modified>
</cp:coreProperties>
</file>