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85" w:rsidRDefault="004B3727">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Response of lemon plants to foliar spray of chemical and growth regulators on flowering, fruit quality and yield attributes</w:t>
      </w:r>
    </w:p>
    <w:p w:rsidR="00E80A1E" w:rsidRPr="00E80A1E" w:rsidRDefault="00E80A1E" w:rsidP="00E80A1E">
      <w:pPr>
        <w:spacing w:after="200" w:line="276" w:lineRule="auto"/>
        <w:rPr>
          <w:rFonts w:ascii="Times New Roman" w:eastAsia="Arial-ItalicMT" w:hAnsi="Times New Roman" w:cs="Times New Roman"/>
          <w:color w:val="000000"/>
          <w:kern w:val="0"/>
          <w:sz w:val="24"/>
          <w:szCs w:val="24"/>
          <w:lang w:val="en-US" w:eastAsia="zh-CN"/>
        </w:rPr>
      </w:pPr>
    </w:p>
    <w:p w:rsidR="00E80A1E" w:rsidRPr="00752112" w:rsidRDefault="00E80A1E" w:rsidP="00752112">
      <w:pPr>
        <w:tabs>
          <w:tab w:val="left" w:pos="898"/>
        </w:tabs>
        <w:spacing w:before="244" w:after="0" w:line="360" w:lineRule="auto"/>
        <w:ind w:right="295"/>
        <w:jc w:val="center"/>
        <w:rPr>
          <w:rFonts w:ascii="Times New Roman" w:hAnsi="Times New Roman"/>
          <w:iCs/>
          <w:color w:val="0033CC"/>
          <w:sz w:val="24"/>
          <w:szCs w:val="24"/>
        </w:rPr>
      </w:pPr>
    </w:p>
    <w:p w:rsidR="00D50A85" w:rsidRDefault="004B3727">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ABSTRACT</w:t>
      </w:r>
    </w:p>
    <w:p w:rsidR="00D50A85" w:rsidRDefault="004B3727">
      <w:pPr>
        <w:jc w:val="both"/>
        <w:rPr>
          <w:rFonts w:ascii="Times New Roman" w:hAnsi="Times New Roman" w:cs="Times New Roman"/>
          <w:i/>
          <w:iCs/>
          <w:sz w:val="18"/>
          <w:szCs w:val="18"/>
          <w:lang w:val="en-US"/>
        </w:rPr>
      </w:pPr>
      <w:r>
        <w:rPr>
          <w:rFonts w:ascii="Times New Roman" w:hAnsi="Times New Roman" w:cs="Times New Roman"/>
          <w:i/>
          <w:iCs/>
          <w:sz w:val="18"/>
          <w:szCs w:val="18"/>
          <w:lang w:val="en-US"/>
        </w:rPr>
        <w:t>In the current investigation, plant growth regulators and chemical were sprayed on 4</w:t>
      </w:r>
      <w:r>
        <w:rPr>
          <w:rFonts w:ascii="Times New Roman" w:hAnsi="Times New Roman" w:cs="Times New Roman"/>
          <w:i/>
          <w:iCs/>
          <w:sz w:val="18"/>
          <w:szCs w:val="18"/>
          <w:vertAlign w:val="superscript"/>
          <w:lang w:val="en-US"/>
        </w:rPr>
        <w:t>th</w:t>
      </w:r>
      <w:r>
        <w:rPr>
          <w:rFonts w:ascii="Times New Roman" w:hAnsi="Times New Roman" w:cs="Times New Roman"/>
          <w:i/>
          <w:iCs/>
          <w:sz w:val="18"/>
          <w:szCs w:val="18"/>
          <w:lang w:val="en-US"/>
        </w:rPr>
        <w:t xml:space="preserve"> week of December, 2021 at Horticulture Research Station, Mondouri, Bidhan Chandra Krishi Viswavidyalaya, Nadiain Randomized Block Design (RBD) with an objective to find out</w:t>
      </w:r>
      <w:r>
        <w:rPr>
          <w:rFonts w:ascii="Times New Roman" w:eastAsiaTheme="minorEastAsia" w:hAnsi="Times New Roman" w:cs="Times New Roman"/>
          <w:i/>
          <w:iCs/>
          <w:sz w:val="18"/>
          <w:szCs w:val="18"/>
          <w:lang w:val="en-US"/>
        </w:rPr>
        <w:t xml:space="preserve"> the reproductive behavior, yield, physical and chemical characters of lemon.</w:t>
      </w:r>
      <w:r>
        <w:rPr>
          <w:rFonts w:ascii="Times New Roman" w:hAnsi="Times New Roman" w:cs="Times New Roman"/>
          <w:i/>
          <w:iCs/>
          <w:sz w:val="18"/>
          <w:szCs w:val="18"/>
          <w:lang w:val="en-US"/>
        </w:rPr>
        <w:t xml:space="preserve"> Early flowering was observed in </w:t>
      </w:r>
      <w:r>
        <w:rPr>
          <w:rFonts w:ascii="Times New Roman" w:eastAsiaTheme="minorEastAsia" w:hAnsi="Times New Roman" w:cs="Times New Roman"/>
          <w:i/>
          <w:iCs/>
          <w:sz w:val="18"/>
          <w:szCs w:val="18"/>
          <w:lang w:val="en-US"/>
        </w:rPr>
        <w:t>KNO</w:t>
      </w:r>
      <w:r>
        <w:rPr>
          <w:rFonts w:ascii="Times New Roman" w:eastAsiaTheme="minorEastAsia" w:hAnsi="Times New Roman" w:cs="Times New Roman"/>
          <w:i/>
          <w:iCs/>
          <w:sz w:val="18"/>
          <w:szCs w:val="18"/>
          <w:vertAlign w:val="subscript"/>
          <w:lang w:val="en-US"/>
        </w:rPr>
        <w:t>3</w:t>
      </w:r>
      <w:r>
        <w:rPr>
          <w:rFonts w:ascii="Times New Roman" w:hAnsi="Times New Roman" w:cs="Times New Roman"/>
          <w:i/>
          <w:iCs/>
          <w:sz w:val="18"/>
          <w:szCs w:val="18"/>
          <w:lang w:val="en-US"/>
        </w:rPr>
        <w:t xml:space="preserve"> 2%, the highest flowering duration, maximum number of flowers shootlet</w:t>
      </w:r>
      <w:r>
        <w:rPr>
          <w:rFonts w:ascii="Times New Roman" w:hAnsi="Times New Roman" w:cs="Times New Roman"/>
          <w:i/>
          <w:iCs/>
          <w:sz w:val="18"/>
          <w:szCs w:val="18"/>
          <w:vertAlign w:val="superscript"/>
          <w:lang w:val="en-US"/>
        </w:rPr>
        <w:t>-1</w:t>
      </w:r>
      <w:r>
        <w:rPr>
          <w:rFonts w:ascii="Times New Roman" w:hAnsi="Times New Roman" w:cs="Times New Roman"/>
          <w:i/>
          <w:iCs/>
          <w:sz w:val="18"/>
          <w:szCs w:val="18"/>
          <w:lang w:val="en-US"/>
        </w:rPr>
        <w:t>, fruit set (%) as well as fruit retention (%) and lowest fruit drop (%) were noted in plants treated with CCC 1000 ppm. A significant variation also noticed in physical parameters and chemical parameters of fruits, where CCC 1000 ppm showed the best result compared to Control. The maximum percentage increase of yield plant</w:t>
      </w:r>
      <w:r>
        <w:rPr>
          <w:rFonts w:ascii="Times New Roman" w:hAnsi="Times New Roman" w:cs="Times New Roman"/>
          <w:i/>
          <w:iCs/>
          <w:sz w:val="18"/>
          <w:szCs w:val="18"/>
          <w:vertAlign w:val="superscript"/>
          <w:lang w:val="en-US"/>
        </w:rPr>
        <w:t>-1</w:t>
      </w:r>
      <w:r>
        <w:rPr>
          <w:rFonts w:ascii="Times New Roman" w:hAnsi="Times New Roman" w:cs="Times New Roman"/>
          <w:i/>
          <w:iCs/>
          <w:sz w:val="18"/>
          <w:szCs w:val="18"/>
          <w:lang w:val="en-US"/>
        </w:rPr>
        <w:t xml:space="preserve"> over control (23.5%) also noticed in CCC 1000 ppm. So, it can be concluded that </w:t>
      </w:r>
      <w:r>
        <w:rPr>
          <w:rFonts w:ascii="Times New Roman" w:eastAsiaTheme="minorEastAsia" w:hAnsi="Times New Roman" w:cs="Times New Roman"/>
          <w:i/>
          <w:iCs/>
          <w:sz w:val="18"/>
          <w:szCs w:val="18"/>
          <w:lang w:val="en-US"/>
        </w:rPr>
        <w:t>KNO</w:t>
      </w:r>
      <w:r>
        <w:rPr>
          <w:rFonts w:ascii="Times New Roman" w:eastAsiaTheme="minorEastAsia" w:hAnsi="Times New Roman" w:cs="Times New Roman"/>
          <w:i/>
          <w:iCs/>
          <w:sz w:val="18"/>
          <w:szCs w:val="18"/>
          <w:vertAlign w:val="subscript"/>
          <w:lang w:val="en-US"/>
        </w:rPr>
        <w:t>3</w:t>
      </w:r>
      <w:r>
        <w:rPr>
          <w:rFonts w:ascii="Times New Roman" w:hAnsi="Times New Roman" w:cs="Times New Roman"/>
          <w:i/>
          <w:iCs/>
          <w:sz w:val="18"/>
          <w:szCs w:val="18"/>
          <w:lang w:val="en-US"/>
        </w:rPr>
        <w:t xml:space="preserve"> 2% can be used for early flowering and CCC 1000 ppm can be used in lemon for more flowering, better fruit quality and production.</w:t>
      </w:r>
    </w:p>
    <w:p w:rsidR="00D50A85" w:rsidRDefault="004B3727">
      <w:pPr>
        <w:jc w:val="both"/>
        <w:rPr>
          <w:rFonts w:ascii="Times New Roman" w:hAnsi="Times New Roman" w:cs="Times New Roman"/>
          <w:sz w:val="18"/>
          <w:szCs w:val="18"/>
          <w:lang w:val="en-US"/>
        </w:rPr>
      </w:pPr>
      <w:r>
        <w:rPr>
          <w:rFonts w:ascii="Times New Roman" w:hAnsi="Times New Roman" w:cs="Times New Roman"/>
          <w:b/>
          <w:bCs/>
          <w:i/>
          <w:iCs/>
          <w:sz w:val="18"/>
          <w:szCs w:val="18"/>
          <w:lang w:val="en-US"/>
        </w:rPr>
        <w:t>Keywords</w:t>
      </w:r>
      <w:r>
        <w:rPr>
          <w:rFonts w:ascii="Times New Roman" w:hAnsi="Times New Roman" w:cs="Times New Roman"/>
          <w:b/>
          <w:bCs/>
          <w:sz w:val="18"/>
          <w:szCs w:val="18"/>
          <w:lang w:val="en-US"/>
        </w:rPr>
        <w:t xml:space="preserve">: </w:t>
      </w:r>
      <w:r>
        <w:rPr>
          <w:rFonts w:ascii="Times New Roman" w:hAnsi="Times New Roman" w:cs="Times New Roman"/>
          <w:sz w:val="18"/>
          <w:szCs w:val="18"/>
          <w:lang w:val="en-US"/>
        </w:rPr>
        <w:t>Flowers per shootlet, Lemon, Plant growth regulator, Reproductive characters.</w:t>
      </w:r>
    </w:p>
    <w:p w:rsidR="002328C5" w:rsidRPr="002328C5" w:rsidRDefault="002328C5" w:rsidP="002328C5">
      <w:pPr>
        <w:jc w:val="both"/>
        <w:rPr>
          <w:rFonts w:ascii="Times New Roman" w:hAnsi="Times New Roman" w:cs="Times New Roman"/>
          <w:b/>
          <w:sz w:val="20"/>
          <w:szCs w:val="20"/>
          <w:lang w:val="en-US"/>
        </w:rPr>
      </w:pPr>
      <w:r w:rsidRPr="002328C5">
        <w:rPr>
          <w:rFonts w:ascii="Times New Roman" w:hAnsi="Times New Roman" w:cs="Times New Roman"/>
          <w:b/>
          <w:sz w:val="20"/>
          <w:szCs w:val="20"/>
          <w:lang w:val="en-US"/>
        </w:rPr>
        <w:t>Introduction:</w:t>
      </w:r>
    </w:p>
    <w:p w:rsidR="00D50A85" w:rsidRDefault="004B3727" w:rsidP="002328C5">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Citrus is the world’s most important fruit tree crop and as such has a huge economic, social and cultural impact on our society. Citrus crop belonging to the family Rutaceae; it can thrive in both tropical and subtropical areas as well as some temperate sections of the world due to its high tolerance to a variety of environmental conditions. The third-largest worldwide fruit industry is the citrus industry, occupying about 6% of the total area under fruit production. Lemon is generally utilized as a fresh fruit, which belongs to the class of acid fruits (Bhatt </w:t>
      </w:r>
      <w:r>
        <w:rPr>
          <w:rFonts w:ascii="Times New Roman" w:hAnsi="Times New Roman" w:cs="Times New Roman"/>
          <w:i/>
          <w:iCs/>
          <w:sz w:val="20"/>
          <w:szCs w:val="20"/>
          <w:lang w:val="en-US"/>
        </w:rPr>
        <w:t>et al</w:t>
      </w:r>
      <w:r>
        <w:rPr>
          <w:rFonts w:ascii="Times New Roman" w:hAnsi="Times New Roman" w:cs="Times New Roman"/>
          <w:sz w:val="20"/>
          <w:szCs w:val="20"/>
          <w:lang w:val="en-US"/>
        </w:rPr>
        <w:t>., 2016). India ranks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position in lemon production (3,717.00 MT) (Anon, 2022). Due to their high vitamin-C content and decent levels of vitamins A and B, as well as minerals like phosphorus, calcium and iron, lemon fruits have both significant therapeutic value and industrial utility (Khehra and Bal, 2014). Lemons are used to make a variety of products and byproducts, including squash, pickles, jam, candies, jelly and marmalades, all of which are sold at a premium price (Ahmed </w:t>
      </w:r>
      <w:r>
        <w:rPr>
          <w:rFonts w:ascii="Times New Roman" w:hAnsi="Times New Roman" w:cs="Times New Roman"/>
          <w:i/>
          <w:iCs/>
          <w:sz w:val="20"/>
          <w:szCs w:val="20"/>
          <w:lang w:val="en-US"/>
        </w:rPr>
        <w:t>et al</w:t>
      </w:r>
      <w:r>
        <w:rPr>
          <w:rFonts w:ascii="Times New Roman" w:hAnsi="Times New Roman" w:cs="Times New Roman"/>
          <w:sz w:val="20"/>
          <w:szCs w:val="20"/>
          <w:lang w:val="en-US"/>
        </w:rPr>
        <w:t>., 2007). Citric acid, that is utilized in medicines and aerated liquids, is found in lemons, which are a good supply of this substance. Lemons are becoming more and more popular in India due to their many uses, year-round production and resistance to citrus decline as well as other citrus disorders. Its production must be multiplied many times over to fulfil the demands of the growing population. The main constraint in lemon cultivation is the peak and lean production in the same year, farmers don’t get the high return in the time of peak production due to high availability of fruits and the time of lean production due to low quality fruits and disease infestations, less production of the fruits farmers again faced loss economical condition. Lemons also experience a very serious issue with fruit cracking in the summer, which significantly reduces the amount of marketable produce and results in a significant financial loss for the grower each year.</w:t>
      </w:r>
    </w:p>
    <w:p w:rsidR="00D50A85" w:rsidRDefault="004B3727">
      <w:pPr>
        <w:ind w:firstLine="340"/>
        <w:jc w:val="both"/>
        <w:rPr>
          <w:rFonts w:ascii="Times New Roman" w:hAnsi="Times New Roman" w:cs="Times New Roman"/>
          <w:sz w:val="20"/>
          <w:szCs w:val="20"/>
          <w:lang w:val="en-US"/>
        </w:rPr>
      </w:pPr>
      <w:r>
        <w:rPr>
          <w:rFonts w:ascii="Times New Roman" w:hAnsi="Times New Roman" w:cs="Times New Roman"/>
          <w:sz w:val="20"/>
          <w:szCs w:val="20"/>
          <w:lang w:val="en-US"/>
        </w:rPr>
        <w:t>Plant growth regulators, also known as phytohormones, are organic compounds made naturally in higher plants that regulate growth as well as additional physiological activities at a location far from the plant’s source and are only minutely active. They have pronounced effects on the growth and development phenomena in citrus cultivation (Huchche, 2008). Citrus biology places a high value on plant growth regulators, which can influence flowering, fruit setting, fruit drop control, fruit size and fruit shape in addition to playing a significant part in the increased production of high-quality fruits (Berhow, 2000).</w:t>
      </w:r>
    </w:p>
    <w:p w:rsidR="00D50A85" w:rsidRDefault="004B3727">
      <w:pPr>
        <w:ind w:firstLine="340"/>
        <w:jc w:val="both"/>
        <w:rPr>
          <w:rFonts w:ascii="Times New Roman" w:hAnsi="Times New Roman" w:cs="Times New Roman"/>
          <w:sz w:val="20"/>
          <w:szCs w:val="20"/>
          <w:lang w:val="en-US"/>
        </w:rPr>
      </w:pPr>
      <w:r>
        <w:rPr>
          <w:rFonts w:ascii="Times New Roman" w:hAnsi="Times New Roman" w:cs="Times New Roman"/>
          <w:sz w:val="20"/>
          <w:szCs w:val="20"/>
          <w:lang w:val="en-US"/>
        </w:rPr>
        <w:t>Lemons, however, are a crop with a rather high nutritional requirement, and nutrient excess or deficit can result in fruits of lower quality. Through optimal nourishment and upholding internal hormonal balance, yield must be increased. To increase fruit yield as well as quality, a good combination of chemical and growth regulators can reduce excessive fruit drop. Usually, the foliar application is considered economical than soil application because the efficiency is more and absorption through foliage is easier and effective and the phenomenon of antagonism is avoided. Hence, keeping in view of the above, the present research programme was undertaken to study the influence of foliar spraying of chemical and growth regulators on flowering, fruit set, fruit quality as well as yield attributing characters in lemon.</w:t>
      </w:r>
    </w:p>
    <w:p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MATERIALS AND METHODS</w:t>
      </w:r>
    </w:p>
    <w:p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Location of research site and treatment details:</w:t>
      </w:r>
    </w:p>
    <w:p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The current research was undertaken at Horticultural Research Station, Mondouri, Department of Fruit Science, Bidhan Chandra Krishi Viswavidyalaya, Nadia, West Bengal during the period from 2021-2022. The site of the experiment is located at 23.5° North latitude and 89° East longitude. These trees are uniform in height and of 3.5 years old. A Randomised Block Design (RBD) was used to set up the experiment and it was replicated thrice with eleven treatments such as T</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 xml:space="preserve"> - </w:t>
      </w: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hAnsi="Times New Roman" w:cs="Times New Roman"/>
          <w:sz w:val="20"/>
          <w:szCs w:val="20"/>
          <w:lang w:val="en-US"/>
        </w:rPr>
        <w:t xml:space="preserve"> 1%, T</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 xml:space="preserve"> - </w:t>
      </w: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hAnsi="Times New Roman" w:cs="Times New Roman"/>
          <w:sz w:val="20"/>
          <w:szCs w:val="20"/>
          <w:lang w:val="en-US"/>
        </w:rPr>
        <w:t xml:space="preserve"> 2%, T</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 xml:space="preserve"> - Ethephon 250 ppm, T</w:t>
      </w:r>
      <w:r>
        <w:rPr>
          <w:rFonts w:ascii="Times New Roman" w:hAnsi="Times New Roman" w:cs="Times New Roman"/>
          <w:sz w:val="20"/>
          <w:szCs w:val="20"/>
          <w:vertAlign w:val="subscript"/>
          <w:lang w:val="en-US"/>
        </w:rPr>
        <w:t>4</w:t>
      </w:r>
      <w:r>
        <w:rPr>
          <w:rFonts w:ascii="Times New Roman" w:hAnsi="Times New Roman" w:cs="Times New Roman"/>
          <w:sz w:val="20"/>
          <w:szCs w:val="20"/>
          <w:lang w:val="en-US"/>
        </w:rPr>
        <w:t xml:space="preserve"> - Ethephon 500 ppm, T</w:t>
      </w:r>
      <w:r>
        <w:rPr>
          <w:rFonts w:ascii="Times New Roman" w:hAnsi="Times New Roman" w:cs="Times New Roman"/>
          <w:sz w:val="20"/>
          <w:szCs w:val="20"/>
          <w:vertAlign w:val="subscript"/>
          <w:lang w:val="en-US"/>
        </w:rPr>
        <w:t>5</w:t>
      </w:r>
      <w:r>
        <w:rPr>
          <w:rFonts w:ascii="Times New Roman" w:hAnsi="Times New Roman" w:cs="Times New Roman"/>
          <w:sz w:val="20"/>
          <w:szCs w:val="20"/>
          <w:lang w:val="en-US"/>
        </w:rPr>
        <w:t xml:space="preserve"> - Cycocel (CCC) 500 ppm, T</w:t>
      </w:r>
      <w:r>
        <w:rPr>
          <w:rFonts w:ascii="Times New Roman" w:hAnsi="Times New Roman" w:cs="Times New Roman"/>
          <w:sz w:val="20"/>
          <w:szCs w:val="20"/>
          <w:vertAlign w:val="subscript"/>
          <w:lang w:val="en-US"/>
        </w:rPr>
        <w:t>6</w:t>
      </w:r>
      <w:r>
        <w:rPr>
          <w:rFonts w:ascii="Times New Roman" w:hAnsi="Times New Roman" w:cs="Times New Roman"/>
          <w:sz w:val="20"/>
          <w:szCs w:val="20"/>
          <w:lang w:val="en-US"/>
        </w:rPr>
        <w:t xml:space="preserve"> - Cycocel (CCC) 1000 ppm, T</w:t>
      </w:r>
      <w:r>
        <w:rPr>
          <w:rFonts w:ascii="Times New Roman" w:hAnsi="Times New Roman" w:cs="Times New Roman"/>
          <w:sz w:val="20"/>
          <w:szCs w:val="20"/>
          <w:vertAlign w:val="subscript"/>
          <w:lang w:val="en-US"/>
        </w:rPr>
        <w:t>7</w:t>
      </w:r>
      <w:r>
        <w:rPr>
          <w:rFonts w:ascii="Times New Roman" w:hAnsi="Times New Roman" w:cs="Times New Roman"/>
          <w:sz w:val="20"/>
          <w:szCs w:val="20"/>
          <w:lang w:val="en-US"/>
        </w:rPr>
        <w:t xml:space="preserve"> - Paclobutrazol 500 ppm, T</w:t>
      </w:r>
      <w:r>
        <w:rPr>
          <w:rFonts w:ascii="Times New Roman" w:hAnsi="Times New Roman" w:cs="Times New Roman"/>
          <w:sz w:val="20"/>
          <w:szCs w:val="20"/>
          <w:vertAlign w:val="subscript"/>
          <w:lang w:val="en-US"/>
        </w:rPr>
        <w:t>8</w:t>
      </w:r>
      <w:r>
        <w:rPr>
          <w:rFonts w:ascii="Times New Roman" w:hAnsi="Times New Roman" w:cs="Times New Roman"/>
          <w:sz w:val="20"/>
          <w:szCs w:val="20"/>
          <w:lang w:val="en-US"/>
        </w:rPr>
        <w:t xml:space="preserve"> - Paclobutrazol 1000 ppm, T</w:t>
      </w:r>
      <w:r>
        <w:rPr>
          <w:rFonts w:ascii="Times New Roman" w:hAnsi="Times New Roman" w:cs="Times New Roman"/>
          <w:sz w:val="20"/>
          <w:szCs w:val="20"/>
          <w:vertAlign w:val="subscript"/>
          <w:lang w:val="en-US"/>
        </w:rPr>
        <w:t>9</w:t>
      </w:r>
      <w:r>
        <w:rPr>
          <w:rFonts w:ascii="Times New Roman" w:hAnsi="Times New Roman" w:cs="Times New Roman"/>
          <w:sz w:val="20"/>
          <w:szCs w:val="20"/>
          <w:lang w:val="en-US"/>
        </w:rPr>
        <w:t xml:space="preserve"> – Benzyladenine (BA) 50 ppm, T</w:t>
      </w:r>
      <w:r>
        <w:rPr>
          <w:rFonts w:ascii="Times New Roman" w:hAnsi="Times New Roman" w:cs="Times New Roman"/>
          <w:sz w:val="20"/>
          <w:szCs w:val="20"/>
          <w:vertAlign w:val="subscript"/>
          <w:lang w:val="en-US"/>
        </w:rPr>
        <w:t>10</w:t>
      </w:r>
      <w:r>
        <w:rPr>
          <w:rFonts w:ascii="Times New Roman" w:hAnsi="Times New Roman" w:cs="Times New Roman"/>
          <w:sz w:val="20"/>
          <w:szCs w:val="20"/>
          <w:lang w:val="en-US"/>
        </w:rPr>
        <w:t xml:space="preserve"> - Benzyladenine (BA) 100 ppm, T</w:t>
      </w:r>
      <w:r>
        <w:rPr>
          <w:rFonts w:ascii="Times New Roman" w:hAnsi="Times New Roman" w:cs="Times New Roman"/>
          <w:sz w:val="20"/>
          <w:szCs w:val="20"/>
          <w:vertAlign w:val="subscript"/>
          <w:lang w:val="en-US"/>
        </w:rPr>
        <w:t>11</w:t>
      </w:r>
      <w:r>
        <w:rPr>
          <w:rFonts w:ascii="Times New Roman" w:hAnsi="Times New Roman" w:cs="Times New Roman"/>
          <w:sz w:val="20"/>
          <w:szCs w:val="20"/>
          <w:lang w:val="en-US"/>
        </w:rPr>
        <w:t xml:space="preserve"> - Control (Water spray).</w:t>
      </w:r>
    </w:p>
    <w:p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Method and time adopted for spraying:</w:t>
      </w:r>
    </w:p>
    <w:p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The plant growth regulators and chemical, as per the treatments were implemented as a foliar spray with the assistance of hand sprayer. The spraying was carried out during calm and sunny day in the morning time on 4</w:t>
      </w:r>
      <w:r>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week of December, 2021.</w:t>
      </w:r>
    </w:p>
    <w:p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Recommended package of practices:</w:t>
      </w:r>
    </w:p>
    <w:p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To keep the plot free from weed, weeding was done twice. Irrigation was applied during flowering stage to maturity stage. Proper care for plant protection measures were taken such as monocrotophos (0.05%) and phosphamedon (0.02%) were sprayed for the control of aphid, leaf minor and white fly and carbaryl (0.2%) solution was sprayed for the control of lemon butterfly.</w:t>
      </w:r>
    </w:p>
    <w:p w:rsidR="00D50A85" w:rsidRDefault="004B3727">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Measurement of plant reproductive parameters:</w:t>
      </w:r>
    </w:p>
    <w:p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The duration of flowering was noted through the average calculated duration value of three replication of the same particular treatment.</w:t>
      </w:r>
    </w:p>
    <w:p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Flowering duration = Date of start of flowering – End of flowering</w:t>
      </w:r>
    </w:p>
    <w:p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Percentage of fruit set was </w:t>
      </w:r>
      <w:r>
        <w:rPr>
          <w:rFonts w:ascii="Times New Roman" w:eastAsiaTheme="minorEastAsia" w:hAnsi="Times New Roman" w:cs="Times New Roman"/>
          <w:sz w:val="20"/>
          <w:szCs w:val="20"/>
          <w:lang w:val="en-US"/>
        </w:rPr>
        <w:t>calculated by using the following formula:</w:t>
      </w:r>
    </w:p>
    <w:p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Fruit set (%) =</w:t>
      </w:r>
      <w:r>
        <w:rPr>
          <w:rFonts w:ascii="Times New Roman" w:hAnsi="Times New Roman" w:cs="Times New Roman"/>
          <w:sz w:val="20"/>
          <w:szCs w:val="20"/>
          <w:lang w:val="en-US"/>
        </w:rPr>
        <w:tab/>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set fruits</m:t>
            </m:r>
          </m:num>
          <m:den>
            <m:r>
              <m:rPr>
                <m:sty m:val="p"/>
              </m:rPr>
              <w:rPr>
                <w:rFonts w:ascii="Cambria Math" w:hAnsi="Cambria Math" w:cs="Times New Roman"/>
                <w:sz w:val="20"/>
                <w:szCs w:val="20"/>
              </w:rPr>
              <m:t>Totalnumber offlowers</m:t>
            </m:r>
          </m:den>
        </m:f>
      </m:oMath>
      <w:r>
        <w:rPr>
          <w:rFonts w:ascii="Times New Roman" w:hAnsi="Times New Roman" w:cs="Times New Roman"/>
          <w:sz w:val="20"/>
          <w:szCs w:val="20"/>
          <w:lang w:val="en-US"/>
        </w:rPr>
        <w:t>×100</w:t>
      </w:r>
    </w:p>
    <w:p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Percentage of fruit drop was </w:t>
      </w:r>
      <w:r>
        <w:rPr>
          <w:rFonts w:ascii="Times New Roman" w:eastAsiaTheme="minorEastAsia" w:hAnsi="Times New Roman" w:cs="Times New Roman"/>
          <w:sz w:val="20"/>
          <w:szCs w:val="20"/>
          <w:lang w:val="en-US"/>
        </w:rPr>
        <w:t>calculated by using the following formula:</w:t>
      </w:r>
    </w:p>
    <w:p w:rsidR="00D50A85" w:rsidRDefault="004B3727">
      <w:pPr>
        <w:jc w:val="both"/>
        <w:rPr>
          <w:rFonts w:ascii="Times New Roman" w:eastAsiaTheme="minorEastAsia" w:hAnsi="Times New Roman" w:cs="Times New Roman"/>
          <w:sz w:val="20"/>
          <w:szCs w:val="20"/>
        </w:rPr>
      </w:pPr>
      <w:r>
        <w:rPr>
          <w:rFonts w:ascii="Times New Roman" w:hAnsi="Times New Roman" w:cs="Times New Roman"/>
          <w:sz w:val="20"/>
          <w:szCs w:val="20"/>
          <w:lang w:val="en-US"/>
        </w:rPr>
        <w:t xml:space="preserve">Fruit drop (%)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fruits set-No. of fruits set at harvest time)</m:t>
            </m:r>
          </m:num>
          <m:den>
            <m:r>
              <m:rPr>
                <m:sty m:val="p"/>
              </m:rPr>
              <w:rPr>
                <w:rFonts w:ascii="Cambria Math" w:hAnsi="Cambria Math" w:cs="Times New Roman"/>
                <w:sz w:val="20"/>
                <w:szCs w:val="20"/>
                <w:lang w:val="en-US"/>
              </w:rPr>
              <m:t>No. of fruits</m:t>
            </m:r>
          </m:den>
        </m:f>
        <m:r>
          <m:rPr>
            <m:sty m:val="p"/>
          </m:rPr>
          <w:rPr>
            <w:rFonts w:ascii="Cambria Math" w:hAnsi="Cambria Math" w:cs="Times New Roman"/>
            <w:sz w:val="20"/>
            <w:szCs w:val="20"/>
          </w:rPr>
          <m:t>×100</m:t>
        </m:r>
      </m:oMath>
    </w:p>
    <w:p w:rsidR="00D50A85" w:rsidRDefault="004B372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percentage of fruit retention was </w:t>
      </w:r>
      <w:r>
        <w:rPr>
          <w:rFonts w:ascii="Times New Roman" w:eastAsiaTheme="minorEastAsia" w:hAnsi="Times New Roman" w:cs="Times New Roman"/>
          <w:sz w:val="20"/>
          <w:szCs w:val="20"/>
          <w:lang w:val="en-US"/>
        </w:rPr>
        <w:t>calculated by using the following formula:</w:t>
      </w:r>
    </w:p>
    <w:p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sz w:val="20"/>
          <w:szCs w:val="20"/>
          <w:lang w:val="en-US"/>
        </w:rPr>
        <w:t xml:space="preserve">Fruit retention (%)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lang w:val="en-US"/>
              </w:rPr>
              <m:t>Number of fruits at harvest</m:t>
            </m:r>
          </m:num>
          <m:den>
            <m:r>
              <m:rPr>
                <m:sty m:val="p"/>
              </m:rPr>
              <w:rPr>
                <w:rFonts w:ascii="Cambria Math" w:hAnsi="Cambria Math" w:cs="Times New Roman"/>
                <w:sz w:val="20"/>
                <w:szCs w:val="20"/>
              </w:rPr>
              <m:t>Initialnumberoffruit set</m:t>
            </m:r>
          </m:den>
        </m:f>
        <m:r>
          <m:rPr>
            <m:sty m:val="p"/>
          </m:rPr>
          <w:rPr>
            <w:rFonts w:ascii="Cambria Math" w:hAnsi="Cambria Math" w:cs="Times New Roman"/>
            <w:sz w:val="20"/>
            <w:szCs w:val="20"/>
            <w:lang w:val="en-US"/>
          </w:rPr>
          <m:t>×100</m:t>
        </m:r>
      </m:oMath>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Calculation of fruit physical parameters:</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fruit weight as well as peel weight were recorded using an electronic scale, the length and diameter of the fruits were measured using digital Vernier Calipers. Peel (%) was measured by utilizing the following formula:</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Peel (%) = </w:t>
      </w:r>
      <m:oMath>
        <m:f>
          <m:fPr>
            <m:ctrlPr>
              <w:rPr>
                <w:rFonts w:ascii="Cambria Math" w:eastAsiaTheme="minorEastAsia" w:hAnsi="Cambria Math" w:cs="Times New Roman"/>
                <w:i/>
                <w:sz w:val="20"/>
                <w:szCs w:val="20"/>
                <w:lang w:val="en-US"/>
              </w:rPr>
            </m:ctrlPr>
          </m:fPr>
          <m:num>
            <m:r>
              <m:rPr>
                <m:sty m:val="p"/>
              </m:rPr>
              <w:rPr>
                <w:rFonts w:ascii="Cambria Math" w:eastAsiaTheme="minorEastAsia" w:hAnsi="Cambria Math" w:cs="Times New Roman"/>
                <w:sz w:val="20"/>
                <w:szCs w:val="20"/>
                <w:lang w:val="en-US"/>
              </w:rPr>
              <m:t>Peel weight per fruit</m:t>
            </m:r>
          </m:num>
          <m:den>
            <m:r>
              <m:rPr>
                <m:sty m:val="p"/>
              </m:rPr>
              <w:rPr>
                <w:rFonts w:ascii="Cambria Math" w:eastAsiaTheme="minorEastAsia" w:hAnsi="Cambria Math" w:cs="Times New Roman"/>
                <w:sz w:val="20"/>
                <w:szCs w:val="20"/>
                <w:lang w:val="en-US"/>
              </w:rPr>
              <m:t>Fruit weight</m:t>
            </m:r>
          </m:den>
        </m:f>
      </m:oMath>
      <w:r>
        <w:rPr>
          <w:rFonts w:ascii="Times New Roman" w:eastAsiaTheme="minorEastAsia" w:hAnsi="Times New Roman" w:cs="Times New Roman"/>
          <w:sz w:val="20"/>
          <w:szCs w:val="20"/>
          <w:lang w:val="en-US"/>
        </w:rPr>
        <w:t xml:space="preserve"> ×100</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Juice was measured using digital electronic balance. The percentage of juice content was measured by utilizing the following formula:</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Juice (%) = </w:t>
      </w:r>
      <m:oMath>
        <m:f>
          <m:fPr>
            <m:ctrlPr>
              <w:rPr>
                <w:rFonts w:ascii="Cambria Math" w:eastAsiaTheme="minorEastAsia" w:hAnsi="Cambria Math" w:cs="Times New Roman"/>
                <w:i/>
                <w:sz w:val="20"/>
                <w:szCs w:val="20"/>
                <w:lang w:val="en-US"/>
              </w:rPr>
            </m:ctrlPr>
          </m:fPr>
          <m:num>
            <m:r>
              <m:rPr>
                <m:sty m:val="p"/>
              </m:rPr>
              <w:rPr>
                <w:rFonts w:ascii="Cambria Math" w:eastAsiaTheme="minorEastAsia" w:hAnsi="Cambria Math" w:cs="Times New Roman"/>
                <w:sz w:val="20"/>
                <w:szCs w:val="20"/>
                <w:lang w:val="en-US"/>
              </w:rPr>
              <m:t>Juice weight</m:t>
            </m:r>
          </m:num>
          <m:den>
            <m:r>
              <m:rPr>
                <m:sty m:val="p"/>
              </m:rPr>
              <w:rPr>
                <w:rFonts w:ascii="Cambria Math" w:eastAsiaTheme="minorEastAsia" w:hAnsi="Cambria Math" w:cs="Times New Roman"/>
                <w:sz w:val="20"/>
                <w:szCs w:val="20"/>
                <w:lang w:val="en-US"/>
              </w:rPr>
              <m:t>Fruit weight</m:t>
            </m:r>
          </m:den>
        </m:f>
      </m:oMath>
      <w:r>
        <w:rPr>
          <w:rFonts w:ascii="Times New Roman" w:eastAsiaTheme="minorEastAsia" w:hAnsi="Times New Roman" w:cs="Times New Roman"/>
          <w:sz w:val="20"/>
          <w:szCs w:val="20"/>
          <w:lang w:val="en-US"/>
        </w:rPr>
        <w:t>×100</w:t>
      </w: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Measurement of fruit bio-chemical parameters:</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Among the bio-chemical parameters, TSS was evaluated by utilizing Hand Refractometer, titratable acidity, total sugar and reducing sugar were measured by the method described in A.O.A.C. (1980) and lastly, ascorbic acid content was measured by Assay method given by Ranganna (1977).</w:t>
      </w: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lastRenderedPageBreak/>
        <w:t>Statistical analysis:</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data were analyzed statistically following the analysis of variance (ANOVA) technique as suggested by Panse and Sukhathme (1985).</w:t>
      </w: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RESULTS AND DISCUSSION</w:t>
      </w: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reproductive parameters of lemon</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date of start of flowering as evidence from Table 1 varied from 16</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2022 to 24</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2022 among different treatments, being earliest (16</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in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followed by CCC 1000 ppm (17</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February). The end of flowering was early in Paclobutrazol 1000 ppm (11</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March) followed by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(12</w:t>
      </w:r>
      <w:r>
        <w:rPr>
          <w:rFonts w:ascii="Times New Roman" w:eastAsiaTheme="minorEastAsia" w:hAnsi="Times New Roman" w:cs="Times New Roman"/>
          <w:sz w:val="20"/>
          <w:szCs w:val="20"/>
          <w:vertAlign w:val="superscript"/>
          <w:lang w:val="en-US"/>
        </w:rPr>
        <w:t>th</w:t>
      </w:r>
      <w:r>
        <w:rPr>
          <w:rFonts w:ascii="Times New Roman" w:eastAsiaTheme="minorEastAsia" w:hAnsi="Times New Roman" w:cs="Times New Roman"/>
          <w:sz w:val="20"/>
          <w:szCs w:val="20"/>
          <w:lang w:val="en-US"/>
        </w:rPr>
        <w:t xml:space="preserve"> March). Highest (24.3) duration of flowering was obtained in CCC 1000 ppm, while it was lowest (18.3) in Control. Increased zeatin or zeatin riboside concentrations, which are flower induction promoters present in potassium nitrate, may be the cause of the increase in the percentage of trees treated with it that flower. Because it encourages vigorous flowering in mature shoots, potassium nitrate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produced better results than other treatments in this study’s case of early flowering. Similar results were obtained by Gurjar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(2015) in Kinnow mandarin, Bhati</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(2016), Rai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(2018) in acid lime and Dheeraj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(2016) in mango cv. Banganpalli.</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highest number (17.7) of flowers per shootlet, fruit set percentage (65.1) were recorded in the CCC 1000 ppm, while lowest were recorded in Control. It was observed that CCC 1000 ppm recorded the minimum percentage of fruit drop (46.9%), while the maximum (53.1%) was recorded in Control.</w:t>
      </w:r>
      <w:r w:rsidR="002E1580">
        <w:rPr>
          <w:rFonts w:ascii="Times New Roman" w:eastAsiaTheme="minorEastAsia" w:hAnsi="Times New Roman" w:cs="Times New Roman"/>
          <w:b/>
          <w:sz w:val="20"/>
          <w:szCs w:val="20"/>
          <w:lang w:val="en-US"/>
        </w:rPr>
        <w:t xml:space="preserve"> (</w:t>
      </w:r>
      <w:r w:rsidR="002E1580" w:rsidRPr="002E1580">
        <w:rPr>
          <w:rFonts w:ascii="Times New Roman" w:eastAsiaTheme="minorEastAsia" w:hAnsi="Times New Roman" w:cs="Times New Roman"/>
          <w:b/>
          <w:sz w:val="20"/>
          <w:szCs w:val="20"/>
          <w:highlight w:val="yellow"/>
          <w:lang w:val="en-US"/>
        </w:rPr>
        <w:t>Table 2</w:t>
      </w:r>
      <w:r w:rsidR="002E1580">
        <w:rPr>
          <w:rFonts w:ascii="Times New Roman" w:eastAsiaTheme="minorEastAsia" w:hAnsi="Times New Roman" w:cs="Times New Roman"/>
          <w:b/>
          <w:sz w:val="20"/>
          <w:szCs w:val="20"/>
          <w:lang w:val="en-US"/>
        </w:rPr>
        <w:t>)</w:t>
      </w:r>
      <w:r>
        <w:rPr>
          <w:rFonts w:ascii="Times New Roman" w:eastAsiaTheme="minorEastAsia" w:hAnsi="Times New Roman" w:cs="Times New Roman"/>
          <w:sz w:val="20"/>
          <w:szCs w:val="20"/>
          <w:lang w:val="en-US"/>
        </w:rPr>
        <w:t xml:space="preserve"> The fruit retention percentage varied from 46.9% to 53.1%. Growth inhibitor Cycocel (CCC) works as an anti-gibberellin substance, preventing the development of vegetative buds, nucleic acid synthesis as well as protein metabolism through particular antimetabolites that promote flower formation. Identical results were also observed by Debbarma and Hazarika (2016) in acid lime.</w:t>
      </w: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1: Effect of chemical and growth regulators on date of start of flowering, end of flowering and duration of flowering in lemon</w:t>
      </w:r>
    </w:p>
    <w:tbl>
      <w:tblPr>
        <w:tblStyle w:val="TableGrid"/>
        <w:tblW w:w="0" w:type="auto"/>
        <w:tblLook w:val="04A0"/>
      </w:tblPr>
      <w:tblGrid>
        <w:gridCol w:w="2547"/>
        <w:gridCol w:w="1961"/>
        <w:gridCol w:w="2254"/>
        <w:gridCol w:w="2254"/>
      </w:tblGrid>
      <w:tr w:rsidR="00D50A85">
        <w:tc>
          <w:tcPr>
            <w:tcW w:w="2547" w:type="dxa"/>
          </w:tcPr>
          <w:p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961"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Start of flowering</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(date)</w:t>
            </w:r>
          </w:p>
        </w:tc>
        <w:tc>
          <w:tcPr>
            <w:tcW w:w="2254"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End of flowering</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(date)</w:t>
            </w:r>
          </w:p>
        </w:tc>
        <w:tc>
          <w:tcPr>
            <w:tcW w:w="2254"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Duration of flowering</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(days)</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23.7</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24.0</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22.7</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21.3</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17.02.2022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24.3</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20.7</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19.02.2022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22.3</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20.3</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16.03.2022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21.7</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24.02.2022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14.03.2022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18.3</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0.73</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961"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w w:val="99"/>
                <w:sz w:val="20"/>
                <w:szCs w:val="20"/>
              </w:rPr>
              <w:t>-</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2.16</w:t>
            </w:r>
          </w:p>
        </w:tc>
      </w:tr>
    </w:tbl>
    <w:p w:rsidR="00D50A85" w:rsidRDefault="00D50A85">
      <w:pPr>
        <w:jc w:val="both"/>
        <w:rPr>
          <w:rFonts w:ascii="Times New Roman" w:eastAsiaTheme="minorEastAsia" w:hAnsi="Times New Roman" w:cs="Times New Roman"/>
          <w:b/>
          <w:bCs/>
          <w:sz w:val="20"/>
          <w:szCs w:val="20"/>
          <w:lang w:val="en-US"/>
        </w:rPr>
      </w:pP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2: Effect of chemical and growth regulators on no. of flowers/shootlet, fruit set, fruit drop and fruit retention of lemon</w:t>
      </w:r>
    </w:p>
    <w:tbl>
      <w:tblPr>
        <w:tblStyle w:val="TableGrid"/>
        <w:tblW w:w="9015" w:type="dxa"/>
        <w:tblLayout w:type="fixed"/>
        <w:tblLook w:val="04A0"/>
      </w:tblPr>
      <w:tblGrid>
        <w:gridCol w:w="1980"/>
        <w:gridCol w:w="1582"/>
        <w:gridCol w:w="1800"/>
        <w:gridCol w:w="1863"/>
        <w:gridCol w:w="1790"/>
      </w:tblGrid>
      <w:tr w:rsidR="00D50A85">
        <w:tc>
          <w:tcPr>
            <w:tcW w:w="1980" w:type="dxa"/>
          </w:tcPr>
          <w:p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582" w:type="dxa"/>
          </w:tcPr>
          <w:p w:rsidR="00D50A85" w:rsidRDefault="004B3727">
            <w:pPr>
              <w:spacing w:after="0" w:line="240" w:lineRule="auto"/>
              <w:jc w:val="center"/>
              <w:rPr>
                <w:rFonts w:ascii="Times New Roman" w:eastAsiaTheme="minorEastAsia" w:hAnsi="Times New Roman" w:cs="Times New Roman"/>
                <w:b/>
                <w:bCs/>
                <w:sz w:val="20"/>
                <w:szCs w:val="20"/>
                <w:vertAlign w:val="superscript"/>
                <w:lang w:val="en-US"/>
              </w:rPr>
            </w:pPr>
            <w:r>
              <w:rPr>
                <w:rFonts w:ascii="Times New Roman" w:eastAsiaTheme="minorEastAsia" w:hAnsi="Times New Roman" w:cs="Times New Roman"/>
                <w:b/>
                <w:bCs/>
                <w:sz w:val="20"/>
                <w:szCs w:val="20"/>
                <w:lang w:val="en-US"/>
              </w:rPr>
              <w:t>Flowers shootlet</w:t>
            </w:r>
            <w:r>
              <w:rPr>
                <w:rFonts w:ascii="Times New Roman" w:eastAsiaTheme="minorEastAsia" w:hAnsi="Times New Roman" w:cs="Times New Roman"/>
                <w:b/>
                <w:bCs/>
                <w:sz w:val="20"/>
                <w:szCs w:val="20"/>
                <w:vertAlign w:val="superscript"/>
                <w:lang w:val="en-US"/>
              </w:rPr>
              <w:t>-1</w:t>
            </w:r>
          </w:p>
        </w:tc>
        <w:tc>
          <w:tcPr>
            <w:tcW w:w="1800"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set (%)</w:t>
            </w:r>
          </w:p>
        </w:tc>
        <w:tc>
          <w:tcPr>
            <w:tcW w:w="1863"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drop (%)</w:t>
            </w:r>
          </w:p>
        </w:tc>
        <w:tc>
          <w:tcPr>
            <w:tcW w:w="1790"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retention (%)</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12.7</w:t>
            </w:r>
          </w:p>
        </w:tc>
        <w:tc>
          <w:tcPr>
            <w:tcW w:w="1800" w:type="dxa"/>
          </w:tcPr>
          <w:p w:rsidR="00D50A85" w:rsidRDefault="004B3727">
            <w:pPr>
              <w:pStyle w:val="TableParagraph"/>
              <w:spacing w:before="1"/>
              <w:ind w:left="536" w:right="667"/>
              <w:rPr>
                <w:sz w:val="20"/>
                <w:szCs w:val="20"/>
              </w:rPr>
            </w:pPr>
            <w:r>
              <w:rPr>
                <w:sz w:val="20"/>
                <w:szCs w:val="20"/>
              </w:rPr>
              <w:t>64.3</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(53.2)</w:t>
            </w:r>
          </w:p>
        </w:tc>
        <w:tc>
          <w:tcPr>
            <w:tcW w:w="1863" w:type="dxa"/>
          </w:tcPr>
          <w:p w:rsidR="00D50A85" w:rsidRDefault="004B3727">
            <w:pPr>
              <w:pStyle w:val="TableParagraph"/>
              <w:spacing w:line="275" w:lineRule="exact"/>
              <w:ind w:left="667" w:right="588"/>
              <w:rPr>
                <w:sz w:val="20"/>
                <w:szCs w:val="20"/>
              </w:rPr>
            </w:pPr>
            <w:r>
              <w:rPr>
                <w:sz w:val="20"/>
                <w:szCs w:val="20"/>
              </w:rPr>
              <w:t>47.8</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(43.7)</w:t>
            </w:r>
          </w:p>
        </w:tc>
        <w:tc>
          <w:tcPr>
            <w:tcW w:w="1790" w:type="dxa"/>
          </w:tcPr>
          <w:p w:rsidR="00D50A85" w:rsidRDefault="004B3727">
            <w:pPr>
              <w:pStyle w:val="TableParagraph"/>
              <w:spacing w:line="275" w:lineRule="exact"/>
              <w:ind w:left="591" w:right="617"/>
              <w:rPr>
                <w:sz w:val="20"/>
                <w:szCs w:val="20"/>
              </w:rPr>
            </w:pPr>
            <w:r>
              <w:rPr>
                <w:sz w:val="20"/>
                <w:szCs w:val="20"/>
              </w:rPr>
              <w:t>52.2</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(46.2)</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11.3</w:t>
            </w:r>
          </w:p>
        </w:tc>
        <w:tc>
          <w:tcPr>
            <w:tcW w:w="1800" w:type="dxa"/>
          </w:tcPr>
          <w:p w:rsidR="00D50A85" w:rsidRDefault="004B3727">
            <w:pPr>
              <w:pStyle w:val="TableParagraph"/>
              <w:spacing w:before="28"/>
              <w:ind w:left="536" w:right="667"/>
              <w:rPr>
                <w:sz w:val="20"/>
                <w:szCs w:val="20"/>
              </w:rPr>
            </w:pPr>
            <w:r>
              <w:rPr>
                <w:sz w:val="20"/>
                <w:szCs w:val="20"/>
              </w:rPr>
              <w:t>63.0</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(52.5)</w:t>
            </w:r>
          </w:p>
        </w:tc>
        <w:tc>
          <w:tcPr>
            <w:tcW w:w="1863" w:type="dxa"/>
          </w:tcPr>
          <w:p w:rsidR="00D50A85" w:rsidRDefault="004B3727">
            <w:pPr>
              <w:pStyle w:val="TableParagraph"/>
              <w:spacing w:before="28"/>
              <w:ind w:left="667" w:right="588"/>
              <w:rPr>
                <w:sz w:val="20"/>
                <w:szCs w:val="20"/>
              </w:rPr>
            </w:pPr>
            <w:r>
              <w:rPr>
                <w:sz w:val="20"/>
                <w:szCs w:val="20"/>
              </w:rPr>
              <w:t>48.7</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(44.2)</w:t>
            </w:r>
          </w:p>
        </w:tc>
        <w:tc>
          <w:tcPr>
            <w:tcW w:w="1790" w:type="dxa"/>
          </w:tcPr>
          <w:p w:rsidR="00D50A85" w:rsidRDefault="004B3727">
            <w:pPr>
              <w:pStyle w:val="TableParagraph"/>
              <w:spacing w:before="28"/>
              <w:ind w:left="591" w:right="617"/>
              <w:rPr>
                <w:sz w:val="20"/>
                <w:szCs w:val="20"/>
              </w:rPr>
            </w:pPr>
            <w:r>
              <w:rPr>
                <w:sz w:val="20"/>
                <w:szCs w:val="20"/>
              </w:rPr>
              <w:t>51.3</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15.7</w:t>
            </w:r>
          </w:p>
        </w:tc>
        <w:tc>
          <w:tcPr>
            <w:tcW w:w="1800" w:type="dxa"/>
          </w:tcPr>
          <w:p w:rsidR="00D50A85" w:rsidRDefault="004B3727">
            <w:pPr>
              <w:pStyle w:val="TableParagraph"/>
              <w:spacing w:before="28"/>
              <w:ind w:left="536" w:right="667"/>
              <w:rPr>
                <w:sz w:val="20"/>
                <w:szCs w:val="20"/>
              </w:rPr>
            </w:pPr>
            <w:r>
              <w:rPr>
                <w:sz w:val="20"/>
                <w:szCs w:val="20"/>
              </w:rPr>
              <w:t>58.7</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(50.0)</w:t>
            </w:r>
          </w:p>
        </w:tc>
        <w:tc>
          <w:tcPr>
            <w:tcW w:w="1863" w:type="dxa"/>
          </w:tcPr>
          <w:p w:rsidR="00D50A85" w:rsidRDefault="004B3727">
            <w:pPr>
              <w:pStyle w:val="TableParagraph"/>
              <w:spacing w:before="29"/>
              <w:ind w:left="667" w:right="588"/>
              <w:rPr>
                <w:sz w:val="20"/>
                <w:szCs w:val="20"/>
              </w:rPr>
            </w:pPr>
            <w:r>
              <w:rPr>
                <w:sz w:val="20"/>
                <w:szCs w:val="20"/>
              </w:rPr>
              <w:t>52.1</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(46.0)</w:t>
            </w:r>
          </w:p>
        </w:tc>
        <w:tc>
          <w:tcPr>
            <w:tcW w:w="1790" w:type="dxa"/>
          </w:tcPr>
          <w:p w:rsidR="00D50A85" w:rsidRDefault="004B3727">
            <w:pPr>
              <w:pStyle w:val="TableParagraph"/>
              <w:spacing w:before="29"/>
              <w:ind w:left="591" w:right="617"/>
              <w:rPr>
                <w:sz w:val="20"/>
                <w:szCs w:val="20"/>
              </w:rPr>
            </w:pPr>
            <w:r>
              <w:rPr>
                <w:sz w:val="20"/>
                <w:szCs w:val="20"/>
              </w:rPr>
              <w:t>47.9</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(43.8)</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Ethephon 500 ppm</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14.3</w:t>
            </w:r>
          </w:p>
        </w:tc>
        <w:tc>
          <w:tcPr>
            <w:tcW w:w="1800" w:type="dxa"/>
          </w:tcPr>
          <w:p w:rsidR="00D50A85" w:rsidRDefault="004B3727">
            <w:pPr>
              <w:pStyle w:val="TableParagraph"/>
              <w:spacing w:before="30"/>
              <w:ind w:left="536" w:right="667"/>
              <w:rPr>
                <w:sz w:val="20"/>
                <w:szCs w:val="20"/>
              </w:rPr>
            </w:pPr>
            <w:r>
              <w:rPr>
                <w:sz w:val="20"/>
                <w:szCs w:val="20"/>
              </w:rPr>
              <w:t>61.5</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(51.7)</w:t>
            </w:r>
          </w:p>
        </w:tc>
        <w:tc>
          <w:tcPr>
            <w:tcW w:w="1863" w:type="dxa"/>
          </w:tcPr>
          <w:p w:rsidR="00D50A85" w:rsidRDefault="004B3727">
            <w:pPr>
              <w:pStyle w:val="TableParagraph"/>
              <w:spacing w:before="28"/>
              <w:ind w:left="667" w:right="588"/>
              <w:rPr>
                <w:sz w:val="20"/>
                <w:szCs w:val="20"/>
              </w:rPr>
            </w:pPr>
            <w:r>
              <w:rPr>
                <w:sz w:val="20"/>
                <w:szCs w:val="20"/>
              </w:rPr>
              <w:t>49.9</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(45.0)</w:t>
            </w:r>
          </w:p>
        </w:tc>
        <w:tc>
          <w:tcPr>
            <w:tcW w:w="1790" w:type="dxa"/>
          </w:tcPr>
          <w:p w:rsidR="00D50A85" w:rsidRDefault="004B3727">
            <w:pPr>
              <w:pStyle w:val="TableParagraph"/>
              <w:spacing w:before="28"/>
              <w:ind w:left="591" w:right="617"/>
              <w:rPr>
                <w:sz w:val="20"/>
                <w:szCs w:val="20"/>
              </w:rPr>
            </w:pPr>
            <w:r>
              <w:rPr>
                <w:sz w:val="20"/>
                <w:szCs w:val="20"/>
              </w:rPr>
              <w:t>50.1</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(45.1)</w:t>
            </w:r>
          </w:p>
        </w:tc>
      </w:tr>
      <w:tr w:rsidR="00D50A85">
        <w:trPr>
          <w:trHeight w:val="522"/>
        </w:trPr>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15.3</w:t>
            </w:r>
          </w:p>
        </w:tc>
        <w:tc>
          <w:tcPr>
            <w:tcW w:w="1800" w:type="dxa"/>
          </w:tcPr>
          <w:p w:rsidR="00D50A85" w:rsidRDefault="004B3727">
            <w:pPr>
              <w:pStyle w:val="TableParagraph"/>
              <w:spacing w:before="28"/>
              <w:ind w:left="536" w:right="667"/>
              <w:rPr>
                <w:sz w:val="20"/>
                <w:szCs w:val="20"/>
              </w:rPr>
            </w:pPr>
            <w:r>
              <w:rPr>
                <w:sz w:val="20"/>
                <w:szCs w:val="20"/>
              </w:rPr>
              <w:t>63.3</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(52.7)</w:t>
            </w:r>
          </w:p>
        </w:tc>
        <w:tc>
          <w:tcPr>
            <w:tcW w:w="1863" w:type="dxa"/>
          </w:tcPr>
          <w:p w:rsidR="00D50A85" w:rsidRDefault="004B3727">
            <w:pPr>
              <w:pStyle w:val="TableParagraph"/>
              <w:spacing w:before="28"/>
              <w:ind w:left="667" w:right="588"/>
              <w:rPr>
                <w:sz w:val="20"/>
                <w:szCs w:val="20"/>
              </w:rPr>
            </w:pPr>
            <w:r>
              <w:rPr>
                <w:sz w:val="20"/>
                <w:szCs w:val="20"/>
              </w:rPr>
              <w:t>48.1</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(43.9)</w:t>
            </w:r>
          </w:p>
        </w:tc>
        <w:tc>
          <w:tcPr>
            <w:tcW w:w="1790" w:type="dxa"/>
          </w:tcPr>
          <w:p w:rsidR="00D50A85" w:rsidRDefault="004B3727">
            <w:pPr>
              <w:pStyle w:val="TableParagraph"/>
              <w:spacing w:before="28"/>
              <w:ind w:left="591" w:right="617"/>
              <w:rPr>
                <w:sz w:val="20"/>
                <w:szCs w:val="20"/>
              </w:rPr>
            </w:pPr>
            <w:r>
              <w:rPr>
                <w:sz w:val="20"/>
                <w:szCs w:val="20"/>
              </w:rPr>
              <w:t>51.9</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(46.1)</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17.7</w:t>
            </w:r>
          </w:p>
        </w:tc>
        <w:tc>
          <w:tcPr>
            <w:tcW w:w="1800" w:type="dxa"/>
          </w:tcPr>
          <w:p w:rsidR="00D50A85" w:rsidRDefault="004B3727">
            <w:pPr>
              <w:pStyle w:val="TableParagraph"/>
              <w:spacing w:before="28"/>
              <w:ind w:left="536" w:right="667"/>
              <w:rPr>
                <w:sz w:val="20"/>
                <w:szCs w:val="20"/>
              </w:rPr>
            </w:pPr>
            <w:r>
              <w:rPr>
                <w:sz w:val="20"/>
                <w:szCs w:val="20"/>
              </w:rPr>
              <w:t>65.1</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(53.8)</w:t>
            </w:r>
          </w:p>
        </w:tc>
        <w:tc>
          <w:tcPr>
            <w:tcW w:w="1863" w:type="dxa"/>
          </w:tcPr>
          <w:p w:rsidR="00D50A85" w:rsidRDefault="004B3727">
            <w:pPr>
              <w:pStyle w:val="TableParagraph"/>
              <w:spacing w:before="27"/>
              <w:ind w:left="667" w:right="588"/>
              <w:rPr>
                <w:sz w:val="20"/>
                <w:szCs w:val="20"/>
              </w:rPr>
            </w:pPr>
            <w:r>
              <w:rPr>
                <w:sz w:val="20"/>
                <w:szCs w:val="20"/>
              </w:rPr>
              <w:t>46.9</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(43.2)</w:t>
            </w:r>
          </w:p>
        </w:tc>
        <w:tc>
          <w:tcPr>
            <w:tcW w:w="1790" w:type="dxa"/>
          </w:tcPr>
          <w:p w:rsidR="00D50A85" w:rsidRDefault="004B3727">
            <w:pPr>
              <w:pStyle w:val="TableParagraph"/>
              <w:spacing w:before="27"/>
              <w:ind w:left="591" w:right="617"/>
              <w:rPr>
                <w:sz w:val="20"/>
                <w:szCs w:val="20"/>
              </w:rPr>
            </w:pPr>
            <w:r>
              <w:rPr>
                <w:sz w:val="20"/>
                <w:szCs w:val="20"/>
              </w:rPr>
              <w:t>53.1</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(46.7)</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13.3</w:t>
            </w:r>
          </w:p>
        </w:tc>
        <w:tc>
          <w:tcPr>
            <w:tcW w:w="1800" w:type="dxa"/>
          </w:tcPr>
          <w:p w:rsidR="00D50A85" w:rsidRDefault="004B3727">
            <w:pPr>
              <w:pStyle w:val="TableParagraph"/>
              <w:spacing w:before="28"/>
              <w:ind w:left="536" w:right="667"/>
              <w:rPr>
                <w:sz w:val="20"/>
                <w:szCs w:val="20"/>
              </w:rPr>
            </w:pPr>
            <w:r>
              <w:rPr>
                <w:sz w:val="20"/>
                <w:szCs w:val="20"/>
              </w:rPr>
              <w:t>62.1</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(52.0)</w:t>
            </w:r>
          </w:p>
        </w:tc>
        <w:tc>
          <w:tcPr>
            <w:tcW w:w="1863" w:type="dxa"/>
          </w:tcPr>
          <w:p w:rsidR="00D50A85" w:rsidRDefault="004B3727">
            <w:pPr>
              <w:pStyle w:val="TableParagraph"/>
              <w:spacing w:before="28"/>
              <w:ind w:left="667" w:right="588"/>
              <w:rPr>
                <w:sz w:val="20"/>
                <w:szCs w:val="20"/>
              </w:rPr>
            </w:pPr>
            <w:r>
              <w:rPr>
                <w:sz w:val="20"/>
                <w:szCs w:val="20"/>
              </w:rPr>
              <w:t>49.1</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(44.5)</w:t>
            </w:r>
          </w:p>
        </w:tc>
        <w:tc>
          <w:tcPr>
            <w:tcW w:w="1790" w:type="dxa"/>
          </w:tcPr>
          <w:p w:rsidR="00D50A85" w:rsidRDefault="004B3727">
            <w:pPr>
              <w:pStyle w:val="TableParagraph"/>
              <w:spacing w:before="28"/>
              <w:ind w:left="591" w:right="617"/>
              <w:rPr>
                <w:sz w:val="20"/>
                <w:szCs w:val="20"/>
              </w:rPr>
            </w:pPr>
            <w:r>
              <w:rPr>
                <w:sz w:val="20"/>
                <w:szCs w:val="20"/>
              </w:rPr>
              <w:t>50.9</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(45.5)</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11.7</w:t>
            </w:r>
          </w:p>
        </w:tc>
        <w:tc>
          <w:tcPr>
            <w:tcW w:w="1800" w:type="dxa"/>
          </w:tcPr>
          <w:p w:rsidR="00D50A85" w:rsidRDefault="004B3727">
            <w:pPr>
              <w:pStyle w:val="TableParagraph"/>
              <w:spacing w:before="29"/>
              <w:ind w:left="536" w:right="667"/>
              <w:rPr>
                <w:sz w:val="20"/>
                <w:szCs w:val="20"/>
              </w:rPr>
            </w:pPr>
            <w:r>
              <w:rPr>
                <w:sz w:val="20"/>
                <w:szCs w:val="20"/>
              </w:rPr>
              <w:t>59.3</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(50.3)</w:t>
            </w:r>
          </w:p>
        </w:tc>
        <w:tc>
          <w:tcPr>
            <w:tcW w:w="1863" w:type="dxa"/>
          </w:tcPr>
          <w:p w:rsidR="00D50A85" w:rsidRDefault="004B3727">
            <w:pPr>
              <w:pStyle w:val="TableParagraph"/>
              <w:spacing w:before="28"/>
              <w:ind w:left="667" w:right="588"/>
              <w:rPr>
                <w:sz w:val="20"/>
                <w:szCs w:val="20"/>
              </w:rPr>
            </w:pPr>
            <w:r>
              <w:rPr>
                <w:sz w:val="20"/>
                <w:szCs w:val="20"/>
              </w:rPr>
              <w:t>51.3</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c>
          <w:tcPr>
            <w:tcW w:w="1790" w:type="dxa"/>
          </w:tcPr>
          <w:p w:rsidR="00D50A85" w:rsidRDefault="004B3727">
            <w:pPr>
              <w:pStyle w:val="TableParagraph"/>
              <w:spacing w:before="28"/>
              <w:ind w:left="591" w:right="617"/>
              <w:rPr>
                <w:sz w:val="20"/>
                <w:szCs w:val="20"/>
              </w:rPr>
            </w:pPr>
            <w:r>
              <w:rPr>
                <w:sz w:val="20"/>
                <w:szCs w:val="20"/>
              </w:rPr>
              <w:t>48.7</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(44.3)</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10.3</w:t>
            </w:r>
          </w:p>
        </w:tc>
        <w:tc>
          <w:tcPr>
            <w:tcW w:w="1800" w:type="dxa"/>
          </w:tcPr>
          <w:p w:rsidR="00D50A85" w:rsidRDefault="004B3727">
            <w:pPr>
              <w:pStyle w:val="TableParagraph"/>
              <w:spacing w:before="28"/>
              <w:ind w:left="536" w:right="667"/>
              <w:rPr>
                <w:sz w:val="20"/>
                <w:szCs w:val="20"/>
              </w:rPr>
            </w:pPr>
            <w:r>
              <w:rPr>
                <w:sz w:val="20"/>
                <w:szCs w:val="20"/>
              </w:rPr>
              <w:t>60.2</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(50.9)</w:t>
            </w:r>
          </w:p>
        </w:tc>
        <w:tc>
          <w:tcPr>
            <w:tcW w:w="1863" w:type="dxa"/>
          </w:tcPr>
          <w:p w:rsidR="00D50A85" w:rsidRDefault="004B3727">
            <w:pPr>
              <w:pStyle w:val="TableParagraph"/>
              <w:spacing w:before="28"/>
              <w:ind w:left="667" w:right="588"/>
              <w:rPr>
                <w:sz w:val="20"/>
                <w:szCs w:val="20"/>
              </w:rPr>
            </w:pPr>
            <w:r>
              <w:rPr>
                <w:sz w:val="20"/>
                <w:szCs w:val="20"/>
              </w:rPr>
              <w:t>50.8</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(45.4)</w:t>
            </w:r>
          </w:p>
        </w:tc>
        <w:tc>
          <w:tcPr>
            <w:tcW w:w="1790" w:type="dxa"/>
          </w:tcPr>
          <w:p w:rsidR="00D50A85" w:rsidRDefault="004B3727">
            <w:pPr>
              <w:pStyle w:val="TableParagraph"/>
              <w:spacing w:before="28"/>
              <w:ind w:left="591" w:right="617"/>
              <w:rPr>
                <w:sz w:val="20"/>
                <w:szCs w:val="20"/>
              </w:rPr>
            </w:pPr>
            <w:r>
              <w:rPr>
                <w:sz w:val="20"/>
                <w:szCs w:val="20"/>
              </w:rPr>
              <w:t>49.2</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(44.5)</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10.7</w:t>
            </w:r>
          </w:p>
        </w:tc>
        <w:tc>
          <w:tcPr>
            <w:tcW w:w="1800" w:type="dxa"/>
          </w:tcPr>
          <w:p w:rsidR="00D50A85" w:rsidRDefault="004B3727">
            <w:pPr>
              <w:pStyle w:val="TableParagraph"/>
              <w:spacing w:before="28"/>
              <w:ind w:left="536" w:right="667"/>
              <w:rPr>
                <w:sz w:val="20"/>
                <w:szCs w:val="20"/>
              </w:rPr>
            </w:pPr>
            <w:r>
              <w:rPr>
                <w:sz w:val="20"/>
                <w:szCs w:val="20"/>
              </w:rPr>
              <w:t>59.0</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(50.2)</w:t>
            </w:r>
          </w:p>
        </w:tc>
        <w:tc>
          <w:tcPr>
            <w:tcW w:w="1863" w:type="dxa"/>
          </w:tcPr>
          <w:p w:rsidR="00D50A85" w:rsidRDefault="004B3727">
            <w:pPr>
              <w:pStyle w:val="TableParagraph"/>
              <w:spacing w:before="28"/>
              <w:ind w:left="667" w:right="588"/>
              <w:rPr>
                <w:sz w:val="20"/>
                <w:szCs w:val="20"/>
              </w:rPr>
            </w:pPr>
            <w:r>
              <w:rPr>
                <w:sz w:val="20"/>
                <w:szCs w:val="20"/>
              </w:rPr>
              <w:t>52.7</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(46.6)</w:t>
            </w:r>
          </w:p>
        </w:tc>
        <w:tc>
          <w:tcPr>
            <w:tcW w:w="1790" w:type="dxa"/>
          </w:tcPr>
          <w:p w:rsidR="00D50A85" w:rsidRDefault="004B3727">
            <w:pPr>
              <w:pStyle w:val="TableParagraph"/>
              <w:spacing w:before="28"/>
              <w:ind w:left="591" w:right="617"/>
              <w:rPr>
                <w:sz w:val="20"/>
                <w:szCs w:val="20"/>
              </w:rPr>
            </w:pPr>
            <w:r>
              <w:rPr>
                <w:sz w:val="20"/>
                <w:szCs w:val="20"/>
              </w:rPr>
              <w:t>47.3</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(43.4)</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9.3</w:t>
            </w:r>
          </w:p>
        </w:tc>
        <w:tc>
          <w:tcPr>
            <w:tcW w:w="1800" w:type="dxa"/>
          </w:tcPr>
          <w:p w:rsidR="00D50A85" w:rsidRDefault="004B3727">
            <w:pPr>
              <w:pStyle w:val="TableParagraph"/>
              <w:spacing w:before="28"/>
              <w:ind w:left="536" w:right="667"/>
              <w:rPr>
                <w:sz w:val="20"/>
                <w:szCs w:val="20"/>
              </w:rPr>
            </w:pPr>
            <w:r>
              <w:rPr>
                <w:sz w:val="20"/>
                <w:szCs w:val="20"/>
              </w:rPr>
              <w:t>57.8</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(49.5)</w:t>
            </w:r>
          </w:p>
        </w:tc>
        <w:tc>
          <w:tcPr>
            <w:tcW w:w="1863" w:type="dxa"/>
          </w:tcPr>
          <w:p w:rsidR="00D50A85" w:rsidRDefault="004B3727">
            <w:pPr>
              <w:pStyle w:val="TableParagraph"/>
              <w:spacing w:before="28"/>
              <w:ind w:left="667" w:right="588"/>
              <w:rPr>
                <w:sz w:val="20"/>
                <w:szCs w:val="20"/>
              </w:rPr>
            </w:pPr>
            <w:r>
              <w:rPr>
                <w:sz w:val="20"/>
                <w:szCs w:val="20"/>
              </w:rPr>
              <w:t>53.1</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(46.7)</w:t>
            </w:r>
          </w:p>
        </w:tc>
        <w:tc>
          <w:tcPr>
            <w:tcW w:w="1790" w:type="dxa"/>
          </w:tcPr>
          <w:p w:rsidR="00D50A85" w:rsidRDefault="004B3727">
            <w:pPr>
              <w:pStyle w:val="TableParagraph"/>
              <w:spacing w:before="28"/>
              <w:ind w:left="591" w:right="617"/>
              <w:rPr>
                <w:sz w:val="20"/>
                <w:szCs w:val="20"/>
              </w:rPr>
            </w:pPr>
            <w:r>
              <w:rPr>
                <w:sz w:val="20"/>
                <w:szCs w:val="20"/>
              </w:rPr>
              <w:t>46.9</w:t>
            </w:r>
          </w:p>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(43.2)</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0.86</w:t>
            </w:r>
          </w:p>
        </w:tc>
        <w:tc>
          <w:tcPr>
            <w:tcW w:w="1800"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0.52</w:t>
            </w:r>
          </w:p>
        </w:tc>
        <w:tc>
          <w:tcPr>
            <w:tcW w:w="186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0.34</w:t>
            </w:r>
          </w:p>
        </w:tc>
        <w:tc>
          <w:tcPr>
            <w:tcW w:w="1790"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0.29</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582"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2.56</w:t>
            </w:r>
          </w:p>
        </w:tc>
        <w:tc>
          <w:tcPr>
            <w:tcW w:w="1800"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1.53</w:t>
            </w:r>
          </w:p>
        </w:tc>
        <w:tc>
          <w:tcPr>
            <w:tcW w:w="186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1.01</w:t>
            </w:r>
          </w:p>
        </w:tc>
        <w:tc>
          <w:tcPr>
            <w:tcW w:w="1790"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0.86</w:t>
            </w:r>
          </w:p>
        </w:tc>
      </w:tr>
    </w:tbl>
    <w:p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sz w:val="20"/>
          <w:szCs w:val="20"/>
        </w:rPr>
        <w:t>*Dataintheparenthesisareangulartransformedvalue</w:t>
      </w: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yield parameters of lemon</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Control had the lowest number fruits per plant (68.7), while CCC 1000 ppm had the most (79.7). Highest yield (8.33 kg) was obtained by CCC 1000 ppm, whereas the lowest (6.75 kg) was recorded with Control (Table 3). All the treatments of chemical and growth regulators significantly increased the percentage of ‘fruit yield/plant (kg)’ over Control treatment (Fig. 1). It varied widely from 4.7% to 23.5%. The increased yield may be the result of better flowering, fruit set and the translocation of additional metabolites to the sink, or fruits, as well as the inhibition of vegetative growth. Similar favorable effect of CCC on number of fruit/shoot and thereby yield was also observed in acid lime (Lakshmi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2014; Prabhu </w:t>
      </w:r>
      <w:r>
        <w:rPr>
          <w:rFonts w:ascii="Times New Roman" w:eastAsiaTheme="minorEastAsia" w:hAnsi="Times New Roman" w:cs="Times New Roman"/>
          <w:i/>
          <w:iCs/>
          <w:sz w:val="20"/>
          <w:szCs w:val="20"/>
          <w:lang w:val="en-US"/>
        </w:rPr>
        <w:t>et al</w:t>
      </w:r>
      <w:r>
        <w:rPr>
          <w:rFonts w:ascii="Times New Roman" w:eastAsiaTheme="minorEastAsia" w:hAnsi="Times New Roman" w:cs="Times New Roman"/>
          <w:sz w:val="20"/>
          <w:szCs w:val="20"/>
          <w:lang w:val="en-US"/>
        </w:rPr>
        <w:t>., 2017).</w:t>
      </w: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3: Effect of chemical and growth regulators on fruit yield of lemon</w:t>
      </w:r>
    </w:p>
    <w:tbl>
      <w:tblPr>
        <w:tblStyle w:val="TableGrid"/>
        <w:tblW w:w="9015" w:type="dxa"/>
        <w:tblLook w:val="04A0"/>
      </w:tblPr>
      <w:tblGrid>
        <w:gridCol w:w="3005"/>
        <w:gridCol w:w="3005"/>
        <w:gridCol w:w="3005"/>
      </w:tblGrid>
      <w:tr w:rsidR="00D50A85">
        <w:tc>
          <w:tcPr>
            <w:tcW w:w="3005" w:type="dxa"/>
          </w:tcPr>
          <w:p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3005" w:type="dxa"/>
          </w:tcPr>
          <w:p w:rsidR="00D50A85" w:rsidRDefault="004B3727">
            <w:pPr>
              <w:spacing w:after="0" w:line="240" w:lineRule="auto"/>
              <w:jc w:val="center"/>
              <w:rPr>
                <w:rFonts w:ascii="Times New Roman" w:eastAsiaTheme="minorEastAsia" w:hAnsi="Times New Roman" w:cs="Times New Roman"/>
                <w:b/>
                <w:bCs/>
                <w:sz w:val="20"/>
                <w:szCs w:val="20"/>
                <w:vertAlign w:val="superscript"/>
                <w:lang w:val="en-US"/>
              </w:rPr>
            </w:pPr>
            <w:r>
              <w:rPr>
                <w:rFonts w:ascii="Times New Roman" w:eastAsiaTheme="minorEastAsia" w:hAnsi="Times New Roman" w:cs="Times New Roman"/>
                <w:b/>
                <w:bCs/>
                <w:sz w:val="20"/>
                <w:szCs w:val="20"/>
                <w:lang w:val="en-US"/>
              </w:rPr>
              <w:t>Number of fruits plant</w:t>
            </w:r>
            <w:r>
              <w:rPr>
                <w:rFonts w:ascii="Times New Roman" w:eastAsiaTheme="minorEastAsia" w:hAnsi="Times New Roman" w:cs="Times New Roman"/>
                <w:b/>
                <w:bCs/>
                <w:sz w:val="20"/>
                <w:szCs w:val="20"/>
                <w:vertAlign w:val="superscript"/>
                <w:lang w:val="en-US"/>
              </w:rPr>
              <w:t>-1</w:t>
            </w:r>
          </w:p>
        </w:tc>
        <w:tc>
          <w:tcPr>
            <w:tcW w:w="3005"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Yield/plant (kg)</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78.3</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8.03</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76.7</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7.68</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72.3</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7.36</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77.3</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7.98</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79.7</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8.33</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75.7</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73.7</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7.31</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7.35</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70.0</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7.07</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68.7</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6.75</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1.26</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0.13</w:t>
            </w:r>
          </w:p>
        </w:tc>
      </w:tr>
      <w:tr w:rsidR="00D50A85">
        <w:tc>
          <w:tcPr>
            <w:tcW w:w="3005"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3.75</w:t>
            </w:r>
          </w:p>
        </w:tc>
        <w:tc>
          <w:tcPr>
            <w:tcW w:w="300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0.38</w:t>
            </w:r>
          </w:p>
        </w:tc>
      </w:tr>
    </w:tbl>
    <w:p w:rsidR="00D50A85" w:rsidRDefault="004B3727">
      <w:pPr>
        <w:jc w:val="both"/>
        <w:rPr>
          <w:rFonts w:ascii="Times New Roman" w:eastAsiaTheme="minorEastAsia" w:hAnsi="Times New Roman" w:cs="Times New Roman"/>
          <w:sz w:val="20"/>
          <w:szCs w:val="20"/>
          <w:lang w:val="en-US"/>
        </w:rPr>
      </w:pPr>
      <w:r>
        <w:rPr>
          <w:rFonts w:ascii="Times New Roman" w:hAnsi="Times New Roman" w:cs="Times New Roman"/>
          <w:noProof/>
          <w:sz w:val="20"/>
          <w:szCs w:val="20"/>
          <w:lang w:val="en-US"/>
        </w:rPr>
        <w:drawing>
          <wp:anchor distT="0" distB="0" distL="114300" distR="114300" simplePos="0" relativeHeight="251659264" behindDoc="0" locked="0" layoutInCell="1" allowOverlap="1">
            <wp:simplePos x="0" y="0"/>
            <wp:positionH relativeFrom="margin">
              <wp:align>left</wp:align>
            </wp:positionH>
            <wp:positionV relativeFrom="paragraph">
              <wp:posOffset>259080</wp:posOffset>
            </wp:positionV>
            <wp:extent cx="5463540" cy="2529840"/>
            <wp:effectExtent l="0" t="0" r="3810" b="381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D50A85" w:rsidRDefault="00D50A85">
      <w:pPr>
        <w:jc w:val="both"/>
        <w:rPr>
          <w:rFonts w:ascii="Times New Roman" w:eastAsiaTheme="minorEastAsia" w:hAnsi="Times New Roman" w:cs="Times New Roman"/>
          <w:sz w:val="20"/>
          <w:szCs w:val="20"/>
          <w:lang w:val="en-US"/>
        </w:rPr>
      </w:pPr>
    </w:p>
    <w:p w:rsidR="00D50A85" w:rsidRDefault="00D50A85">
      <w:pPr>
        <w:jc w:val="both"/>
        <w:rPr>
          <w:rFonts w:ascii="Times New Roman" w:eastAsiaTheme="minorEastAsia" w:hAnsi="Times New Roman" w:cs="Times New Roman"/>
          <w:sz w:val="20"/>
          <w:szCs w:val="20"/>
          <w:lang w:val="en-US"/>
        </w:rPr>
      </w:pPr>
    </w:p>
    <w:p w:rsidR="00D50A85" w:rsidRDefault="00D50A85">
      <w:pPr>
        <w:jc w:val="both"/>
        <w:rPr>
          <w:rFonts w:ascii="Times New Roman" w:eastAsiaTheme="minorEastAsia" w:hAnsi="Times New Roman" w:cs="Times New Roman"/>
          <w:sz w:val="20"/>
          <w:szCs w:val="20"/>
          <w:lang w:val="en-US"/>
        </w:rPr>
      </w:pPr>
    </w:p>
    <w:p w:rsidR="00D50A85" w:rsidRDefault="00D50A85">
      <w:pPr>
        <w:jc w:val="both"/>
        <w:rPr>
          <w:rFonts w:ascii="Times New Roman" w:eastAsiaTheme="minorEastAsia" w:hAnsi="Times New Roman" w:cs="Times New Roman"/>
          <w:sz w:val="20"/>
          <w:szCs w:val="20"/>
          <w:lang w:val="en-US"/>
        </w:rPr>
      </w:pPr>
    </w:p>
    <w:p w:rsidR="00D50A85" w:rsidRDefault="00D50A85">
      <w:pPr>
        <w:jc w:val="both"/>
        <w:rPr>
          <w:rFonts w:ascii="Times New Roman" w:eastAsiaTheme="minorEastAsia" w:hAnsi="Times New Roman" w:cs="Times New Roman"/>
          <w:sz w:val="20"/>
          <w:szCs w:val="20"/>
          <w:lang w:val="en-US"/>
        </w:rPr>
      </w:pPr>
    </w:p>
    <w:p w:rsidR="00D50A85" w:rsidRDefault="00D50A85">
      <w:pPr>
        <w:jc w:val="both"/>
        <w:rPr>
          <w:rFonts w:ascii="Times New Roman" w:eastAsiaTheme="minorEastAsia" w:hAnsi="Times New Roman" w:cs="Times New Roman"/>
          <w:sz w:val="20"/>
          <w:szCs w:val="20"/>
          <w:lang w:val="en-US"/>
        </w:rPr>
      </w:pPr>
    </w:p>
    <w:p w:rsidR="00D50A85" w:rsidRDefault="00D50A85">
      <w:pPr>
        <w:jc w:val="both"/>
        <w:rPr>
          <w:rFonts w:ascii="Times New Roman" w:eastAsiaTheme="minorEastAsia" w:hAnsi="Times New Roman" w:cs="Times New Roman"/>
          <w:sz w:val="20"/>
          <w:szCs w:val="20"/>
          <w:lang w:val="en-US"/>
        </w:rPr>
      </w:pPr>
    </w:p>
    <w:p w:rsidR="00D50A85" w:rsidRDefault="00D50A85">
      <w:pPr>
        <w:jc w:val="both"/>
        <w:rPr>
          <w:rFonts w:ascii="Times New Roman" w:eastAsiaTheme="minorEastAsia" w:hAnsi="Times New Roman" w:cs="Times New Roman"/>
          <w:sz w:val="20"/>
          <w:szCs w:val="20"/>
          <w:lang w:val="en-US"/>
        </w:rPr>
      </w:pPr>
    </w:p>
    <w:p w:rsidR="00D50A85" w:rsidRDefault="00D50A85">
      <w:pPr>
        <w:jc w:val="both"/>
        <w:rPr>
          <w:rFonts w:ascii="Times New Roman" w:eastAsiaTheme="minorEastAsia" w:hAnsi="Times New Roman" w:cs="Times New Roman"/>
          <w:sz w:val="20"/>
          <w:szCs w:val="20"/>
          <w:lang w:val="en-US"/>
        </w:rPr>
      </w:pPr>
    </w:p>
    <w:p w:rsidR="00E80A1E" w:rsidRDefault="00E80A1E">
      <w:pPr>
        <w:jc w:val="both"/>
        <w:rPr>
          <w:rFonts w:ascii="Times New Roman" w:eastAsiaTheme="minorEastAsia" w:hAnsi="Times New Roman" w:cs="Times New Roman"/>
          <w:sz w:val="20"/>
          <w:szCs w:val="20"/>
          <w:lang w:val="en-US"/>
        </w:rPr>
      </w:pPr>
    </w:p>
    <w:p w:rsidR="00E80A1E" w:rsidRDefault="00E80A1E">
      <w:pPr>
        <w:jc w:val="both"/>
        <w:rPr>
          <w:rFonts w:ascii="Times New Roman" w:eastAsiaTheme="minorEastAsia" w:hAnsi="Times New Roman" w:cs="Times New Roman"/>
          <w:sz w:val="20"/>
          <w:szCs w:val="20"/>
          <w:lang w:val="en-US"/>
        </w:rPr>
      </w:pP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Fig 1: Effect of chemical and growth regulators on increase of yield/plant (kg) over control (%) of lemon</w:t>
      </w:r>
    </w:p>
    <w:p w:rsidR="00E80A1E" w:rsidRDefault="00E80A1E">
      <w:pPr>
        <w:jc w:val="both"/>
        <w:rPr>
          <w:rFonts w:ascii="Times New Roman" w:eastAsiaTheme="minorEastAsia" w:hAnsi="Times New Roman" w:cs="Times New Roman"/>
          <w:b/>
          <w:bCs/>
          <w:sz w:val="20"/>
          <w:szCs w:val="20"/>
          <w:lang w:val="en-US"/>
        </w:rPr>
      </w:pP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physical parameters of lemon</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The plant treated with CCC 1000 ppm produced the largest average fruit weight (104.6 g), whereas the minimum (98.3 g) was recorded in Control. Fruit length and diameter of lemon were found to be in significant range of 7.03 to 7.86 cm and 5.06 to 5.81 cm, respectively. The maximum fruit length and diameter were observed in CCC 1000 ppm and minimum in Control (Table 4). The highest peel weight (33.0 g) and maximum weight of juice (30.8 g) were recorded with CCC 1000 ppm, whereas the lowest were observed with Control (Table 5). The use of Cycocel resulted in an increase in physical parameters, which may be explained by an increase in assimilate accumulation as well as its distribution and better partitioning towards reproductive growth. The findings are close in agreement in case of physical parameters in Cycocel with the results reported by Nath and Baruah (2001) in Assam lemon, Ahalle</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(2010), Pawar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xml:space="preserve">. (2016), Prabhu </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(2017) in acid lime.</w:t>
      </w: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4: Effect of chemical and growth regulators on fruit weight, fruit length and diameter of lemon</w:t>
      </w:r>
    </w:p>
    <w:tbl>
      <w:tblPr>
        <w:tblStyle w:val="TableGrid"/>
        <w:tblW w:w="9016" w:type="dxa"/>
        <w:tblLook w:val="04A0"/>
      </w:tblPr>
      <w:tblGrid>
        <w:gridCol w:w="2547"/>
        <w:gridCol w:w="2126"/>
        <w:gridCol w:w="2268"/>
        <w:gridCol w:w="2075"/>
      </w:tblGrid>
      <w:tr w:rsidR="00D50A85">
        <w:tc>
          <w:tcPr>
            <w:tcW w:w="2547" w:type="dxa"/>
          </w:tcPr>
          <w:p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126"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weight (g)</w:t>
            </w:r>
          </w:p>
        </w:tc>
        <w:tc>
          <w:tcPr>
            <w:tcW w:w="2268"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length (cm)</w:t>
            </w:r>
          </w:p>
        </w:tc>
        <w:tc>
          <w:tcPr>
            <w:tcW w:w="2075"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fruit diameter (cm)</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102.5</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7.58</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5.44</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100.2</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7.71</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5.62</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101.8</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7.38</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5.39</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99.9</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7.36</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5.30</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103.2</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7.76</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5.69</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104.6</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7.86</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5.81</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98.7</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7.52</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99.3</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7.45</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5.12</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98.5</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7.25</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100.9</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7.31</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5.19</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98.3</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7.03</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5.06</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0.61</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0.08</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0.07</w:t>
            </w:r>
          </w:p>
        </w:tc>
      </w:tr>
      <w:tr w:rsidR="00D50A85">
        <w:tc>
          <w:tcPr>
            <w:tcW w:w="2547"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1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1.82</w:t>
            </w:r>
          </w:p>
        </w:tc>
        <w:tc>
          <w:tcPr>
            <w:tcW w:w="2268"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0.22</w:t>
            </w:r>
          </w:p>
        </w:tc>
        <w:tc>
          <w:tcPr>
            <w:tcW w:w="2075"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0.20</w:t>
            </w:r>
          </w:p>
        </w:tc>
      </w:tr>
    </w:tbl>
    <w:p w:rsidR="00D50A85" w:rsidRDefault="00D50A85">
      <w:pPr>
        <w:jc w:val="both"/>
        <w:rPr>
          <w:rFonts w:ascii="Times New Roman" w:eastAsiaTheme="minorEastAsia" w:hAnsi="Times New Roman" w:cs="Times New Roman"/>
          <w:sz w:val="20"/>
          <w:szCs w:val="20"/>
          <w:lang w:val="en-US"/>
        </w:rPr>
      </w:pP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5: Effect of chemical and growth regulators on peel weight and juice weight of lemon</w:t>
      </w:r>
    </w:p>
    <w:tbl>
      <w:tblPr>
        <w:tblStyle w:val="TableGrid"/>
        <w:tblW w:w="9015" w:type="dxa"/>
        <w:tblLook w:val="04A0"/>
      </w:tblPr>
      <w:tblGrid>
        <w:gridCol w:w="1980"/>
        <w:gridCol w:w="1626"/>
        <w:gridCol w:w="1803"/>
        <w:gridCol w:w="1803"/>
        <w:gridCol w:w="1803"/>
      </w:tblGrid>
      <w:tr w:rsidR="00D50A85">
        <w:tc>
          <w:tcPr>
            <w:tcW w:w="1980" w:type="dxa"/>
          </w:tcPr>
          <w:p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1626"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Peel weight</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(g)</w:t>
            </w:r>
          </w:p>
        </w:tc>
        <w:tc>
          <w:tcPr>
            <w:tcW w:w="1803"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Peel</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1803"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Juice weight</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(g)</w:t>
            </w:r>
          </w:p>
        </w:tc>
        <w:tc>
          <w:tcPr>
            <w:tcW w:w="1803"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Juice</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27.3</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26.7</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25.7</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25.1</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27.5</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27.4</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27.8</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27.8</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28.5</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28.0</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23.5</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23.1</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32.2</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31.2</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29.2</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28.3</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33.0</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31.5</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30.8</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29.5</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30.3</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30.7</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24.8</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25.1</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29.5</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29.7</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26.2</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26.4</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27.0</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27.4</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24.5</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24.9</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26.9</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26.6</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25.5</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25.3</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Control</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26.0</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26.5</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22.5</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22.9</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0.33</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0.43</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0.20</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0.27</w:t>
            </w:r>
          </w:p>
        </w:tc>
      </w:tr>
      <w:tr w:rsidR="00D50A85">
        <w:tc>
          <w:tcPr>
            <w:tcW w:w="1980"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1626"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0.98</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1.28</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0.61</w:t>
            </w:r>
          </w:p>
        </w:tc>
        <w:tc>
          <w:tcPr>
            <w:tcW w:w="1803"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0.79</w:t>
            </w:r>
          </w:p>
        </w:tc>
      </w:tr>
    </w:tbl>
    <w:p w:rsidR="00D50A85" w:rsidRDefault="00D50A85">
      <w:pPr>
        <w:jc w:val="both"/>
        <w:rPr>
          <w:rFonts w:ascii="Times New Roman" w:eastAsiaTheme="minorEastAsia" w:hAnsi="Times New Roman" w:cs="Times New Roman"/>
          <w:sz w:val="20"/>
          <w:szCs w:val="20"/>
          <w:lang w:val="en-US"/>
        </w:rPr>
      </w:pP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Impact of chemical and growth regulators on bio-chemical parameters of lemon</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All chemical and growth regulator treatments significantly increased the TSS, titratable acidity and TSS: acid ratio in fruits of lemon compared to the control (Table 6). Control had the lowest TSS (6.87°Brix), while CCC 1000 ppm had the highest TSS (8.20°Brix). The application of Cycocel stimulates the activity of several enzymes involved in physiological processes, which most likely contributed to an increase in TSS in the treatment. The findings are close in agreement with the results of Parthiben</w:t>
      </w:r>
      <w:r>
        <w:rPr>
          <w:rFonts w:ascii="Times New Roman" w:hAnsi="Times New Roman" w:cs="Times New Roman"/>
          <w:i/>
          <w:iCs/>
          <w:sz w:val="20"/>
          <w:szCs w:val="20"/>
          <w:lang w:val="en-US"/>
        </w:rPr>
        <w:t>et al</w:t>
      </w:r>
      <w:r>
        <w:rPr>
          <w:rFonts w:ascii="Times New Roman" w:eastAsiaTheme="minorEastAsia" w:hAnsi="Times New Roman" w:cs="Times New Roman"/>
          <w:sz w:val="20"/>
          <w:szCs w:val="20"/>
          <w:lang w:val="en-US"/>
        </w:rPr>
        <w:t>. (2010) in acid lime. Highest titratable acidity (5.53%), total sugar (3.17%), reducing sugar (1.39%) and ascorbic acid content (47.6 mg/100 ml juice) were noticed in CCC 1000 ppm whereas, the lowest were shown in Control. Increases in both total sugar as well as reducing sugar levels may have resulted from fruits becoming riper, which is linked to significant metabolic changes in the fruit that cause the conversion of complex polysaccharides into simple sugars. Cycocel (CCC) may have speed up fruit ripening and hydrolytic enzyme activity, raising the sugar content of the fruit as a result. The growth regulators’ catalytic effect on ascorbic acid biosynthesis from its precursor glucose-6-phosphate or inhibition of ascorbic acid oxidase’s conservation to de-hydro ascorbic acid enzyme, or both, may be to blame for the rise in ascorbic acid content.</w:t>
      </w:r>
      <w:r w:rsidR="002E1580">
        <w:rPr>
          <w:rFonts w:ascii="Times New Roman" w:eastAsiaTheme="minorEastAsia" w:hAnsi="Times New Roman" w:cs="Times New Roman"/>
          <w:sz w:val="20"/>
          <w:szCs w:val="20"/>
          <w:lang w:val="en-US"/>
        </w:rPr>
        <w:t xml:space="preserve"> (</w:t>
      </w:r>
      <w:r w:rsidR="002E1580" w:rsidRPr="002E1580">
        <w:rPr>
          <w:rFonts w:ascii="Times New Roman" w:eastAsiaTheme="minorEastAsia" w:hAnsi="Times New Roman" w:cs="Times New Roman"/>
          <w:b/>
          <w:sz w:val="20"/>
          <w:szCs w:val="20"/>
          <w:highlight w:val="yellow"/>
          <w:lang w:val="en-US"/>
        </w:rPr>
        <w:t>Table 7</w:t>
      </w:r>
      <w:r w:rsidR="002E1580">
        <w:rPr>
          <w:rFonts w:ascii="Times New Roman" w:eastAsiaTheme="minorEastAsia" w:hAnsi="Times New Roman" w:cs="Times New Roman"/>
          <w:b/>
          <w:sz w:val="20"/>
          <w:szCs w:val="20"/>
          <w:lang w:val="en-US"/>
        </w:rPr>
        <w:t>)</w:t>
      </w:r>
      <w:r>
        <w:rPr>
          <w:rFonts w:ascii="Times New Roman" w:eastAsiaTheme="minorEastAsia" w:hAnsi="Times New Roman" w:cs="Times New Roman"/>
          <w:sz w:val="20"/>
          <w:szCs w:val="20"/>
          <w:lang w:val="en-US"/>
        </w:rPr>
        <w:t xml:space="preserve"> These observations are in close agreement with the findings reported by Brahmachari and Rubby (2001) in Litchi.</w:t>
      </w: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6: Effect of chemical and growth regulators on TSS, acidity and TSS: acid ratio of lemon</w:t>
      </w:r>
    </w:p>
    <w:tbl>
      <w:tblPr>
        <w:tblStyle w:val="TableGrid"/>
        <w:tblW w:w="9016" w:type="dxa"/>
        <w:tblLook w:val="04A0"/>
      </w:tblPr>
      <w:tblGrid>
        <w:gridCol w:w="2254"/>
        <w:gridCol w:w="2254"/>
        <w:gridCol w:w="2254"/>
        <w:gridCol w:w="2254"/>
      </w:tblGrid>
      <w:tr w:rsidR="00D50A85">
        <w:tc>
          <w:tcPr>
            <w:tcW w:w="2254" w:type="dxa"/>
          </w:tcPr>
          <w:p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254"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TSS</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(°Brix)</w:t>
            </w:r>
          </w:p>
        </w:tc>
        <w:tc>
          <w:tcPr>
            <w:tcW w:w="2254"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Titratable acidity</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TSS: acid</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7.93</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5.41</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1.47</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7.60</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5.34</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7.30</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5.18</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1.41</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7.47</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5.20</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1.44</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7.83</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5.38</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1.46</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8.20</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5.53</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1.48</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7.53</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5.29</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7.43</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5.23</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1.42</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7.27</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5.31</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1.37</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7.10</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5.22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1.36</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6.87</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4.96</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1.38</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0.09</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0.03</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0.02</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0.27</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0.08</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0.05</w:t>
            </w:r>
          </w:p>
        </w:tc>
      </w:tr>
    </w:tbl>
    <w:p w:rsidR="00D50A85" w:rsidRDefault="00D50A85">
      <w:pPr>
        <w:jc w:val="both"/>
        <w:rPr>
          <w:rFonts w:ascii="Times New Roman" w:eastAsiaTheme="minorEastAsia" w:hAnsi="Times New Roman" w:cs="Times New Roman"/>
          <w:sz w:val="20"/>
          <w:szCs w:val="20"/>
          <w:lang w:val="en-US"/>
        </w:rPr>
      </w:pP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Table 7: Effect of chemical and growth regulators on total sugar, reducing sugar and ascorbic acid content of lemon</w:t>
      </w:r>
    </w:p>
    <w:tbl>
      <w:tblPr>
        <w:tblStyle w:val="TableGrid"/>
        <w:tblW w:w="9016" w:type="dxa"/>
        <w:tblLook w:val="04A0"/>
      </w:tblPr>
      <w:tblGrid>
        <w:gridCol w:w="2254"/>
        <w:gridCol w:w="2254"/>
        <w:gridCol w:w="2254"/>
        <w:gridCol w:w="2254"/>
      </w:tblGrid>
      <w:tr w:rsidR="00D50A85">
        <w:tc>
          <w:tcPr>
            <w:tcW w:w="2254" w:type="dxa"/>
          </w:tcPr>
          <w:p w:rsidR="00D50A85" w:rsidRDefault="004B3727">
            <w:pPr>
              <w:spacing w:after="0"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Treatment</w:t>
            </w:r>
          </w:p>
        </w:tc>
        <w:tc>
          <w:tcPr>
            <w:tcW w:w="2254"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Total sugar</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Reducing sugar</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p>
        </w:tc>
        <w:tc>
          <w:tcPr>
            <w:tcW w:w="2254" w:type="dxa"/>
          </w:tcPr>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Ascorbic acid</w:t>
            </w:r>
          </w:p>
          <w:p w:rsidR="00D50A85" w:rsidRDefault="004B3727">
            <w:pPr>
              <w:spacing w:after="0" w:line="240"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(mg 100</w:t>
            </w:r>
            <w:r>
              <w:rPr>
                <w:rFonts w:ascii="Times New Roman" w:eastAsiaTheme="minorEastAsia" w:hAnsi="Times New Roman" w:cs="Times New Roman"/>
                <w:b/>
                <w:bCs/>
                <w:sz w:val="20"/>
                <w:szCs w:val="20"/>
                <w:vertAlign w:val="superscript"/>
                <w:lang w:val="en-US"/>
              </w:rPr>
              <w:t>-1</w:t>
            </w:r>
            <w:r>
              <w:rPr>
                <w:rFonts w:ascii="Times New Roman" w:eastAsiaTheme="minorEastAsia" w:hAnsi="Times New Roman" w:cs="Times New Roman"/>
                <w:b/>
                <w:bCs/>
                <w:sz w:val="20"/>
                <w:szCs w:val="20"/>
                <w:lang w:val="en-US"/>
              </w:rPr>
              <w:t xml:space="preserve"> ml juice)</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1%</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3.00</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1.26</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43.9</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2.84</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1.34</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44.1</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250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2.76</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40.1</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Ethephon 500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2.79</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1.21</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40.4</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500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2.90</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1.21</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45.7</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CCC 1000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3.17</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1.39</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47.6</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500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2.75</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1.24</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41.7</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Paclobutrazol 1000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2.86</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1.19</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40.9</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50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2.91</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1.33</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42.2</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BA 100 ppm</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2.93</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1.28</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42.7</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Control</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2.47</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1.04</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39.1</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SE(m) ±</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0.02</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0.04</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0.50</w:t>
            </w:r>
          </w:p>
        </w:tc>
      </w:tr>
      <w:tr w:rsidR="00D50A85">
        <w:tc>
          <w:tcPr>
            <w:tcW w:w="2254" w:type="dxa"/>
          </w:tcPr>
          <w:p w:rsidR="00D50A85" w:rsidRDefault="004B3727">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LSD (0.05)</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0.07</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0.01</w:t>
            </w:r>
          </w:p>
        </w:tc>
        <w:tc>
          <w:tcPr>
            <w:tcW w:w="2254" w:type="dxa"/>
          </w:tcPr>
          <w:p w:rsidR="00D50A85" w:rsidRDefault="004B3727">
            <w:pPr>
              <w:spacing w:after="0" w:line="240" w:lineRule="auto"/>
              <w:jc w:val="center"/>
              <w:rPr>
                <w:rFonts w:ascii="Times New Roman" w:eastAsiaTheme="minorEastAsia" w:hAnsi="Times New Roman" w:cs="Times New Roman"/>
                <w:sz w:val="20"/>
                <w:szCs w:val="20"/>
                <w:lang w:val="en-US"/>
              </w:rPr>
            </w:pPr>
            <w:r>
              <w:rPr>
                <w:rFonts w:ascii="Times New Roman" w:hAnsi="Times New Roman" w:cs="Times New Roman"/>
                <w:sz w:val="20"/>
                <w:szCs w:val="20"/>
              </w:rPr>
              <w:t>1.49</w:t>
            </w:r>
          </w:p>
        </w:tc>
      </w:tr>
    </w:tbl>
    <w:p w:rsidR="00D50A85" w:rsidRDefault="00D50A85">
      <w:pPr>
        <w:jc w:val="both"/>
        <w:rPr>
          <w:rFonts w:ascii="Times New Roman" w:eastAsiaTheme="minorEastAsia" w:hAnsi="Times New Roman" w:cs="Times New Roman"/>
          <w:sz w:val="20"/>
          <w:szCs w:val="20"/>
          <w:lang w:val="en-US"/>
        </w:rPr>
      </w:pPr>
    </w:p>
    <w:p w:rsidR="00D50A85" w:rsidRDefault="004B3727">
      <w:pPr>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CONCLUSION</w:t>
      </w:r>
    </w:p>
    <w:p w:rsidR="00D50A85" w:rsidRDefault="004B3727">
      <w:pPr>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In the present investigation, chemical and plant growth regulators were sprayed to study the reproductive </w:t>
      </w:r>
      <w:bookmarkStart w:id="0" w:name="_GoBack"/>
      <w:bookmarkEnd w:id="0"/>
      <w:r>
        <w:rPr>
          <w:rFonts w:ascii="Times New Roman" w:eastAsiaTheme="minorEastAsia" w:hAnsi="Times New Roman" w:cs="Times New Roman"/>
          <w:sz w:val="20"/>
          <w:szCs w:val="20"/>
          <w:lang w:val="en-US"/>
        </w:rPr>
        <w:t>behavior, yield, physical and chemical characters of lemon. There were eleven treatments with different dose of chemical and plant growth regulators. Among different treatments, KNO</w:t>
      </w:r>
      <w:r>
        <w:rPr>
          <w:rFonts w:ascii="Times New Roman" w:eastAsiaTheme="minorEastAsia" w:hAnsi="Times New Roman" w:cs="Times New Roman"/>
          <w:sz w:val="20"/>
          <w:szCs w:val="20"/>
          <w:vertAlign w:val="subscript"/>
          <w:lang w:val="en-US"/>
        </w:rPr>
        <w:t>3</w:t>
      </w:r>
      <w:r>
        <w:rPr>
          <w:rFonts w:ascii="Times New Roman" w:eastAsiaTheme="minorEastAsia" w:hAnsi="Times New Roman" w:cs="Times New Roman"/>
          <w:sz w:val="20"/>
          <w:szCs w:val="20"/>
          <w:lang w:val="en-US"/>
        </w:rPr>
        <w:t xml:space="preserve"> 2% was most effective for early flowering in lemon. The reproductive characters except the start of flowering and the physiochemical parameters were maximum in CCC 1000 ppm. This knowledge of reproductive and physiochemical characters will be useful for producing the quality fruits. Considering the maximum number of matured fruits plant</w:t>
      </w:r>
      <w:r>
        <w:rPr>
          <w:rFonts w:ascii="Times New Roman" w:eastAsiaTheme="minorEastAsia" w:hAnsi="Times New Roman" w:cs="Times New Roman"/>
          <w:sz w:val="20"/>
          <w:szCs w:val="20"/>
          <w:vertAlign w:val="superscript"/>
          <w:lang w:val="en-US"/>
        </w:rPr>
        <w:t>-1</w:t>
      </w:r>
      <w:r>
        <w:rPr>
          <w:rFonts w:ascii="Times New Roman" w:eastAsiaTheme="minorEastAsia" w:hAnsi="Times New Roman" w:cs="Times New Roman"/>
          <w:sz w:val="20"/>
          <w:szCs w:val="20"/>
          <w:lang w:val="en-US"/>
        </w:rPr>
        <w:t>, highest yield/plant and maximum increase percentage of yield over Control, CCC 1000 ppm may be utilized for spraying in lemon. Among different treatments, CCC 1000 ppm most effective in increasing fruit production with better fruit quality that ultimately leading to better consumer acceptance and gives higher return to the growers.</w:t>
      </w:r>
    </w:p>
    <w:p w:rsidR="00D50A85" w:rsidRDefault="00D50A85">
      <w:pPr>
        <w:jc w:val="both"/>
        <w:rPr>
          <w:rFonts w:ascii="Times New Roman" w:eastAsiaTheme="minorEastAsia" w:hAnsi="Times New Roman" w:cs="Times New Roman"/>
          <w:sz w:val="20"/>
          <w:szCs w:val="20"/>
          <w:lang w:val="en-US"/>
        </w:rPr>
      </w:pPr>
    </w:p>
    <w:p w:rsidR="009C50C7" w:rsidRPr="00013212" w:rsidRDefault="004B3727">
      <w:pPr>
        <w:jc w:val="both"/>
        <w:rPr>
          <w:rFonts w:ascii="Times New Roman" w:eastAsiaTheme="minorEastAsia" w:hAnsi="Times New Roman" w:cs="Times New Roman"/>
          <w:b/>
          <w:bCs/>
          <w:sz w:val="18"/>
          <w:szCs w:val="18"/>
          <w:lang w:val="en-US"/>
        </w:rPr>
      </w:pPr>
      <w:r>
        <w:rPr>
          <w:rFonts w:ascii="Times New Roman" w:eastAsiaTheme="minorEastAsia" w:hAnsi="Times New Roman" w:cs="Times New Roman"/>
          <w:b/>
          <w:bCs/>
          <w:sz w:val="18"/>
          <w:szCs w:val="18"/>
          <w:lang w:val="en-US"/>
        </w:rPr>
        <w:t>REFERENCES</w:t>
      </w:r>
    </w:p>
    <w:p w:rsidR="009C50C7" w:rsidRPr="002E1580" w:rsidRDefault="004B3727" w:rsidP="00013212">
      <w:pPr>
        <w:pStyle w:val="BodyText"/>
        <w:spacing w:line="360" w:lineRule="auto"/>
        <w:ind w:left="720" w:hanging="720"/>
        <w:jc w:val="both"/>
        <w:rPr>
          <w:highlight w:val="yellow"/>
        </w:rPr>
      </w:pPr>
      <w:r w:rsidRPr="002E1580">
        <w:rPr>
          <w:highlight w:val="yellow"/>
        </w:rPr>
        <w:t>A.O.A.C.</w:t>
      </w:r>
      <w:r w:rsidR="009C50C7" w:rsidRPr="002E1580">
        <w:rPr>
          <w:highlight w:val="yellow"/>
        </w:rPr>
        <w:t>(</w:t>
      </w:r>
      <w:r w:rsidRPr="002E1580">
        <w:rPr>
          <w:highlight w:val="yellow"/>
        </w:rPr>
        <w:t>1980</w:t>
      </w:r>
      <w:r w:rsidR="009C50C7" w:rsidRPr="002E1580">
        <w:rPr>
          <w:highlight w:val="yellow"/>
        </w:rPr>
        <w:t>)</w:t>
      </w:r>
      <w:r w:rsidRPr="002E1580">
        <w:rPr>
          <w:highlight w:val="yellow"/>
        </w:rPr>
        <w:t>.</w:t>
      </w:r>
      <w:r w:rsidRPr="002E1580">
        <w:rPr>
          <w:i/>
          <w:highlight w:val="yellow"/>
        </w:rPr>
        <w:t>OfficialMethodsofAnalysis.</w:t>
      </w:r>
      <w:r w:rsidRPr="002E1580">
        <w:rPr>
          <w:highlight w:val="yellow"/>
        </w:rPr>
        <w:t>AssociationoftheOfficialAnalyticalChemists, Washington D.C. 13</w:t>
      </w:r>
      <w:r w:rsidRPr="002E1580">
        <w:rPr>
          <w:highlight w:val="yellow"/>
          <w:vertAlign w:val="superscript"/>
        </w:rPr>
        <w:t>th</w:t>
      </w:r>
      <w:r w:rsidRPr="002E1580">
        <w:rPr>
          <w:highlight w:val="yellow"/>
        </w:rPr>
        <w:t>Edn.</w:t>
      </w:r>
    </w:p>
    <w:p w:rsidR="00D50A85" w:rsidRPr="002E1580" w:rsidRDefault="004B3727">
      <w:pPr>
        <w:pStyle w:val="BodyText"/>
        <w:spacing w:line="360" w:lineRule="auto"/>
        <w:ind w:left="720" w:hanging="720"/>
        <w:jc w:val="both"/>
        <w:rPr>
          <w:highlight w:val="yellow"/>
        </w:rPr>
      </w:pPr>
      <w:r w:rsidRPr="002E1580">
        <w:rPr>
          <w:highlight w:val="yellow"/>
        </w:rPr>
        <w:t>Ahalle, M., Ingle, S. S.</w:t>
      </w:r>
      <w:r w:rsidR="00435346" w:rsidRPr="002E1580">
        <w:rPr>
          <w:highlight w:val="yellow"/>
        </w:rPr>
        <w:t>,</w:t>
      </w:r>
      <w:r w:rsidR="00435346" w:rsidRPr="002E1580">
        <w:rPr>
          <w:highlight w:val="yellow"/>
          <w:shd w:val="clear" w:color="auto" w:fill="FFFFFF"/>
        </w:rPr>
        <w:t>&amp;</w:t>
      </w:r>
      <w:r w:rsidRPr="002E1580">
        <w:rPr>
          <w:highlight w:val="yellow"/>
        </w:rPr>
        <w:t xml:space="preserve"> Sable, P. B. </w:t>
      </w:r>
      <w:r w:rsidR="00435346" w:rsidRPr="002E1580">
        <w:rPr>
          <w:highlight w:val="yellow"/>
        </w:rPr>
        <w:t>(</w:t>
      </w:r>
      <w:r w:rsidRPr="002E1580">
        <w:rPr>
          <w:highlight w:val="yellow"/>
        </w:rPr>
        <w:t>2010</w:t>
      </w:r>
      <w:r w:rsidR="00435346" w:rsidRPr="002E1580">
        <w:rPr>
          <w:highlight w:val="yellow"/>
        </w:rPr>
        <w:t>)</w:t>
      </w:r>
      <w:r w:rsidRPr="002E1580">
        <w:rPr>
          <w:highlight w:val="yellow"/>
        </w:rPr>
        <w:t xml:space="preserve">. Influence of plant growth regulators andchemicals on yield and quality of Hasta bahar in acid lime. </w:t>
      </w:r>
      <w:r w:rsidRPr="002E1580">
        <w:rPr>
          <w:i/>
          <w:highlight w:val="yellow"/>
        </w:rPr>
        <w:t>Green Farming</w:t>
      </w:r>
      <w:r w:rsidRPr="002E1580">
        <w:rPr>
          <w:highlight w:val="yellow"/>
        </w:rPr>
        <w:t xml:space="preserve">, </w:t>
      </w:r>
      <w:r w:rsidRPr="002E1580">
        <w:rPr>
          <w:b/>
          <w:bCs/>
          <w:i/>
          <w:highlight w:val="yellow"/>
        </w:rPr>
        <w:t>1</w:t>
      </w:r>
      <w:r w:rsidRPr="002E1580">
        <w:rPr>
          <w:highlight w:val="yellow"/>
        </w:rPr>
        <w:t>(3):285-287.</w:t>
      </w:r>
    </w:p>
    <w:p w:rsidR="00D50A85" w:rsidRPr="005D5F6A" w:rsidRDefault="004B3727">
      <w:pPr>
        <w:pStyle w:val="BodyText"/>
        <w:spacing w:line="360" w:lineRule="auto"/>
        <w:ind w:left="720" w:hanging="720"/>
        <w:jc w:val="both"/>
      </w:pPr>
      <w:r w:rsidRPr="002E1580">
        <w:rPr>
          <w:highlight w:val="yellow"/>
        </w:rPr>
        <w:t>Ahmed, W., Ziaf, K., Nawaz, M. A., Saleem, B. A.</w:t>
      </w:r>
      <w:r w:rsidR="00080C47" w:rsidRPr="002E1580">
        <w:rPr>
          <w:highlight w:val="yellow"/>
        </w:rPr>
        <w:t>,</w:t>
      </w:r>
      <w:r w:rsidR="00080C47" w:rsidRPr="002E1580">
        <w:rPr>
          <w:highlight w:val="yellow"/>
          <w:shd w:val="clear" w:color="auto" w:fill="FFFFFF"/>
        </w:rPr>
        <w:t>&amp;</w:t>
      </w:r>
      <w:r w:rsidRPr="002E1580">
        <w:rPr>
          <w:highlight w:val="yellow"/>
        </w:rPr>
        <w:t xml:space="preserve"> Ayub, C. M. </w:t>
      </w:r>
      <w:r w:rsidR="00080C47" w:rsidRPr="002E1580">
        <w:rPr>
          <w:highlight w:val="yellow"/>
        </w:rPr>
        <w:t>(</w:t>
      </w:r>
      <w:r w:rsidRPr="002E1580">
        <w:rPr>
          <w:highlight w:val="yellow"/>
        </w:rPr>
        <w:t>2007</w:t>
      </w:r>
      <w:r w:rsidR="00080C47" w:rsidRPr="002E1580">
        <w:rPr>
          <w:highlight w:val="yellow"/>
        </w:rPr>
        <w:t>)</w:t>
      </w:r>
      <w:r w:rsidRPr="002E1580">
        <w:rPr>
          <w:highlight w:val="yellow"/>
        </w:rPr>
        <w:t>. Studies ofcombiningabilitiesofcitrushybridswithindigenouscommercialcultivars.</w:t>
      </w:r>
      <w:r w:rsidRPr="002E1580">
        <w:rPr>
          <w:i/>
          <w:highlight w:val="yellow"/>
        </w:rPr>
        <w:t>Pak. J. Bot.</w:t>
      </w:r>
      <w:r w:rsidRPr="002E1580">
        <w:rPr>
          <w:highlight w:val="yellow"/>
        </w:rPr>
        <w:t>,</w:t>
      </w:r>
      <w:r w:rsidRPr="002E1580">
        <w:rPr>
          <w:b/>
          <w:bCs/>
          <w:i/>
          <w:highlight w:val="yellow"/>
        </w:rPr>
        <w:t>39</w:t>
      </w:r>
      <w:r w:rsidRPr="002E1580">
        <w:rPr>
          <w:highlight w:val="yellow"/>
        </w:rPr>
        <w:t>(1): 47-55.</w:t>
      </w:r>
    </w:p>
    <w:p w:rsidR="00D50A85" w:rsidRPr="005D5F6A" w:rsidRDefault="004B3727">
      <w:pPr>
        <w:spacing w:line="360" w:lineRule="auto"/>
        <w:ind w:left="720" w:hanging="720"/>
        <w:jc w:val="both"/>
        <w:rPr>
          <w:rFonts w:ascii="Times New Roman" w:hAnsi="Times New Roman" w:cs="Times New Roman"/>
          <w:sz w:val="24"/>
          <w:szCs w:val="24"/>
          <w:u w:val="single"/>
        </w:rPr>
      </w:pPr>
      <w:r w:rsidRPr="005D5F6A">
        <w:rPr>
          <w:rFonts w:ascii="Times New Roman" w:hAnsi="Times New Roman" w:cs="Times New Roman"/>
          <w:sz w:val="24"/>
          <w:szCs w:val="24"/>
        </w:rPr>
        <w:t xml:space="preserve">Anonymous. </w:t>
      </w:r>
      <w:r w:rsidR="005C4E62" w:rsidRPr="005D5F6A">
        <w:rPr>
          <w:rFonts w:ascii="Times New Roman" w:hAnsi="Times New Roman" w:cs="Times New Roman"/>
          <w:sz w:val="24"/>
          <w:szCs w:val="24"/>
        </w:rPr>
        <w:t>(</w:t>
      </w:r>
      <w:r w:rsidRPr="005D5F6A">
        <w:rPr>
          <w:rFonts w:ascii="Times New Roman" w:hAnsi="Times New Roman" w:cs="Times New Roman"/>
          <w:sz w:val="24"/>
          <w:szCs w:val="24"/>
        </w:rPr>
        <w:t>2022</w:t>
      </w:r>
      <w:r w:rsidR="005C4E62" w:rsidRPr="005D5F6A">
        <w:rPr>
          <w:rFonts w:ascii="Times New Roman" w:hAnsi="Times New Roman" w:cs="Times New Roman"/>
          <w:sz w:val="24"/>
          <w:szCs w:val="24"/>
        </w:rPr>
        <w:t>)</w:t>
      </w:r>
      <w:r w:rsidRPr="005D5F6A">
        <w:rPr>
          <w:rFonts w:ascii="Times New Roman" w:hAnsi="Times New Roman" w:cs="Times New Roman"/>
          <w:sz w:val="24"/>
          <w:szCs w:val="24"/>
        </w:rPr>
        <w:t xml:space="preserve">. Area Production Statistics. National Horticulture </w:t>
      </w:r>
      <w:r w:rsidRPr="005D5F6A">
        <w:rPr>
          <w:rFonts w:ascii="Times New Roman" w:hAnsi="Times New Roman" w:cs="Times New Roman"/>
          <w:spacing w:val="-2"/>
          <w:sz w:val="24"/>
          <w:szCs w:val="24"/>
        </w:rPr>
        <w:t xml:space="preserve">Board. </w:t>
      </w:r>
      <w:hyperlink r:id="rId8" w:history="1">
        <w:r w:rsidRPr="005D5F6A">
          <w:rPr>
            <w:rStyle w:val="Hyperlink"/>
            <w:rFonts w:ascii="Times New Roman" w:hAnsi="Times New Roman" w:cs="Times New Roman"/>
            <w:color w:val="auto"/>
            <w:sz w:val="24"/>
            <w:szCs w:val="24"/>
          </w:rPr>
          <w:t>http://nhb.gov.in</w:t>
        </w:r>
      </w:hyperlink>
    </w:p>
    <w:p w:rsidR="00D50A85" w:rsidRPr="005D5F6A" w:rsidRDefault="004B3727">
      <w:pPr>
        <w:pStyle w:val="BodyText"/>
        <w:spacing w:line="360" w:lineRule="auto"/>
        <w:ind w:left="720" w:hanging="720"/>
        <w:jc w:val="both"/>
      </w:pPr>
      <w:r w:rsidRPr="002E1580">
        <w:rPr>
          <w:spacing w:val="-1"/>
          <w:highlight w:val="yellow"/>
        </w:rPr>
        <w:t>Berhow,M.A.</w:t>
      </w:r>
      <w:r w:rsidR="00465975" w:rsidRPr="002E1580">
        <w:rPr>
          <w:spacing w:val="-1"/>
          <w:highlight w:val="yellow"/>
        </w:rPr>
        <w:t>(</w:t>
      </w:r>
      <w:r w:rsidRPr="002E1580">
        <w:rPr>
          <w:spacing w:val="-1"/>
          <w:highlight w:val="yellow"/>
        </w:rPr>
        <w:t>2000</w:t>
      </w:r>
      <w:r w:rsidR="00465975" w:rsidRPr="002E1580">
        <w:rPr>
          <w:spacing w:val="-1"/>
          <w:highlight w:val="yellow"/>
        </w:rPr>
        <w:t>)</w:t>
      </w:r>
      <w:r w:rsidRPr="002E1580">
        <w:rPr>
          <w:spacing w:val="-1"/>
          <w:highlight w:val="yellow"/>
        </w:rPr>
        <w:t>.</w:t>
      </w:r>
      <w:r w:rsidRPr="002E1580">
        <w:rPr>
          <w:highlight w:val="yellow"/>
        </w:rPr>
        <w:t>Effectofearlyplantgrowthregulatortreatmentsonflavonoidlevelsingrapefruit (</w:t>
      </w:r>
      <w:r w:rsidRPr="002E1580">
        <w:rPr>
          <w:i/>
          <w:highlight w:val="yellow"/>
        </w:rPr>
        <w:t>Citrus paradisi</w:t>
      </w:r>
      <w:r w:rsidRPr="002E1580">
        <w:rPr>
          <w:highlight w:val="yellow"/>
        </w:rPr>
        <w:t>).</w:t>
      </w:r>
      <w:r w:rsidRPr="002E1580">
        <w:rPr>
          <w:i/>
          <w:highlight w:val="yellow"/>
        </w:rPr>
        <w:t>Plant Growth Regul.</w:t>
      </w:r>
      <w:r w:rsidRPr="002E1580">
        <w:rPr>
          <w:highlight w:val="yellow"/>
        </w:rPr>
        <w:t>,</w:t>
      </w:r>
      <w:r w:rsidRPr="002E1580">
        <w:rPr>
          <w:i/>
          <w:highlight w:val="yellow"/>
        </w:rPr>
        <w:t>30</w:t>
      </w:r>
      <w:r w:rsidRPr="002E1580">
        <w:rPr>
          <w:highlight w:val="yellow"/>
        </w:rPr>
        <w:t>: 225-232.</w:t>
      </w:r>
    </w:p>
    <w:p w:rsidR="00D50A85" w:rsidRPr="005D5F6A" w:rsidRDefault="004B3727">
      <w:pPr>
        <w:pStyle w:val="BodyText"/>
        <w:spacing w:line="360" w:lineRule="auto"/>
        <w:ind w:left="720" w:hanging="720"/>
        <w:jc w:val="both"/>
      </w:pPr>
      <w:r w:rsidRPr="005D5F6A">
        <w:t>Bhati, A. S., Kanwar, J., Naruka, I. S., Tiwari, R., Gallani, R.</w:t>
      </w:r>
      <w:r w:rsidR="00465975" w:rsidRPr="005D5F6A">
        <w:t>,</w:t>
      </w:r>
      <w:r w:rsidR="00465975" w:rsidRPr="005D5F6A">
        <w:rPr>
          <w:shd w:val="clear" w:color="auto" w:fill="FFFFFF"/>
        </w:rPr>
        <w:t>&amp;</w:t>
      </w:r>
      <w:r w:rsidRPr="005D5F6A">
        <w:t xml:space="preserve"> Singh</w:t>
      </w:r>
      <w:r w:rsidR="00465975" w:rsidRPr="005D5F6A">
        <w:t>,</w:t>
      </w:r>
      <w:r w:rsidRPr="005D5F6A">
        <w:t xml:space="preserve"> O. </w:t>
      </w:r>
      <w:r w:rsidR="00465975" w:rsidRPr="005D5F6A">
        <w:t>(</w:t>
      </w:r>
      <w:r w:rsidRPr="005D5F6A">
        <w:t>2016</w:t>
      </w:r>
      <w:r w:rsidR="00465975" w:rsidRPr="005D5F6A">
        <w:t>)</w:t>
      </w:r>
      <w:r w:rsidRPr="005D5F6A">
        <w:t>. Effectof plant growth regulators and zinc on fruiting and yield parameters of acid lime(</w:t>
      </w:r>
      <w:r w:rsidRPr="005D5F6A">
        <w:rPr>
          <w:i/>
        </w:rPr>
        <w:t>Citrus aurantifolia</w:t>
      </w:r>
      <w:r w:rsidRPr="005D5F6A">
        <w:t xml:space="preserve">Swingle) under malwa plateau conditions. </w:t>
      </w:r>
      <w:r w:rsidRPr="005D5F6A">
        <w:rPr>
          <w:i/>
        </w:rPr>
        <w:t>Int. J. Life Sci.</w:t>
      </w:r>
      <w:r w:rsidRPr="005D5F6A">
        <w:t>,</w:t>
      </w:r>
      <w:r w:rsidRPr="005D5F6A">
        <w:rPr>
          <w:b/>
          <w:bCs/>
          <w:i/>
        </w:rPr>
        <w:t>11</w:t>
      </w:r>
      <w:r w:rsidRPr="005D5F6A">
        <w:t>(4): 2665-2668.</w:t>
      </w:r>
    </w:p>
    <w:p w:rsidR="00D50A85" w:rsidRPr="005D5F6A" w:rsidRDefault="004B3727">
      <w:pPr>
        <w:spacing w:line="360" w:lineRule="auto"/>
        <w:ind w:left="720" w:hanging="720"/>
        <w:jc w:val="both"/>
        <w:rPr>
          <w:rFonts w:ascii="Times New Roman" w:hAnsi="Times New Roman" w:cs="Times New Roman"/>
          <w:sz w:val="24"/>
          <w:szCs w:val="24"/>
        </w:rPr>
      </w:pPr>
      <w:r w:rsidRPr="005D5F6A">
        <w:rPr>
          <w:rFonts w:ascii="Times New Roman" w:hAnsi="Times New Roman" w:cs="Times New Roman"/>
          <w:sz w:val="24"/>
          <w:szCs w:val="24"/>
        </w:rPr>
        <w:t>Bhatt, B. B., Rawat, S. S., Naithani D. C., Kumar, D.</w:t>
      </w:r>
      <w:r w:rsidR="00915D8C" w:rsidRPr="005D5F6A">
        <w:rPr>
          <w:rFonts w:ascii="Times New Roman" w:hAnsi="Times New Roman" w:cs="Times New Roman"/>
          <w:sz w:val="24"/>
          <w:szCs w:val="24"/>
        </w:rPr>
        <w:t>,</w:t>
      </w:r>
      <w:r w:rsidR="00D444E1" w:rsidRPr="005D5F6A">
        <w:rPr>
          <w:sz w:val="24"/>
          <w:szCs w:val="24"/>
          <w:shd w:val="clear" w:color="auto" w:fill="FFFFFF"/>
        </w:rPr>
        <w:t>&amp;</w:t>
      </w:r>
      <w:r w:rsidRPr="005D5F6A">
        <w:rPr>
          <w:rFonts w:ascii="Times New Roman" w:hAnsi="Times New Roman" w:cs="Times New Roman"/>
          <w:sz w:val="24"/>
          <w:szCs w:val="24"/>
        </w:rPr>
        <w:t xml:space="preserve"> Singh, K. K. </w:t>
      </w:r>
      <w:r w:rsidR="00D444E1" w:rsidRPr="005D5F6A">
        <w:rPr>
          <w:rFonts w:ascii="Times New Roman" w:hAnsi="Times New Roman" w:cs="Times New Roman"/>
          <w:sz w:val="24"/>
          <w:szCs w:val="24"/>
        </w:rPr>
        <w:t>(</w:t>
      </w:r>
      <w:r w:rsidRPr="005D5F6A">
        <w:rPr>
          <w:rFonts w:ascii="Times New Roman" w:hAnsi="Times New Roman" w:cs="Times New Roman"/>
          <w:sz w:val="24"/>
          <w:szCs w:val="24"/>
        </w:rPr>
        <w:t>2016</w:t>
      </w:r>
      <w:r w:rsidR="00D444E1" w:rsidRPr="005D5F6A">
        <w:rPr>
          <w:rFonts w:ascii="Times New Roman" w:hAnsi="Times New Roman" w:cs="Times New Roman"/>
          <w:sz w:val="24"/>
          <w:szCs w:val="24"/>
        </w:rPr>
        <w:t>)</w:t>
      </w:r>
      <w:r w:rsidRPr="005D5F6A">
        <w:rPr>
          <w:rFonts w:ascii="Times New Roman" w:hAnsi="Times New Roman" w:cs="Times New Roman"/>
          <w:sz w:val="24"/>
          <w:szCs w:val="24"/>
        </w:rPr>
        <w:t>. Effect offoliar application of bioregulators and nutrients on growth and yield characters oflemon (</w:t>
      </w:r>
      <w:r w:rsidRPr="005D5F6A">
        <w:rPr>
          <w:rFonts w:ascii="Times New Roman" w:hAnsi="Times New Roman" w:cs="Times New Roman"/>
          <w:i/>
          <w:sz w:val="24"/>
          <w:szCs w:val="24"/>
        </w:rPr>
        <w:t>Citrus limon</w:t>
      </w:r>
      <w:r w:rsidRPr="005D5F6A">
        <w:rPr>
          <w:rFonts w:ascii="Times New Roman" w:hAnsi="Times New Roman" w:cs="Times New Roman"/>
          <w:sz w:val="24"/>
          <w:szCs w:val="24"/>
        </w:rPr>
        <w:t>Burma.) cv. ‘Pant Lemon-1’ under subtropical condition ofgarhwalregion.</w:t>
      </w:r>
      <w:r w:rsidRPr="005D5F6A">
        <w:rPr>
          <w:rFonts w:ascii="Times New Roman" w:hAnsi="Times New Roman" w:cs="Times New Roman"/>
          <w:i/>
          <w:sz w:val="24"/>
          <w:szCs w:val="24"/>
        </w:rPr>
        <w:t>Plant Arch.</w:t>
      </w:r>
      <w:r w:rsidRPr="005D5F6A">
        <w:rPr>
          <w:rFonts w:ascii="Times New Roman" w:hAnsi="Times New Roman" w:cs="Times New Roman"/>
          <w:sz w:val="24"/>
          <w:szCs w:val="24"/>
        </w:rPr>
        <w:t xml:space="preserve">, </w:t>
      </w:r>
      <w:r w:rsidRPr="005D5F6A">
        <w:rPr>
          <w:rFonts w:ascii="Times New Roman" w:hAnsi="Times New Roman" w:cs="Times New Roman"/>
          <w:b/>
          <w:bCs/>
          <w:i/>
          <w:sz w:val="24"/>
          <w:szCs w:val="24"/>
        </w:rPr>
        <w:t>16</w:t>
      </w:r>
      <w:r w:rsidRPr="005D5F6A">
        <w:rPr>
          <w:rFonts w:ascii="Times New Roman" w:hAnsi="Times New Roman" w:cs="Times New Roman"/>
          <w:sz w:val="24"/>
          <w:szCs w:val="24"/>
        </w:rPr>
        <w:t>(2): 821-825.</w:t>
      </w:r>
    </w:p>
    <w:p w:rsidR="0070603F" w:rsidRPr="005D5F6A" w:rsidRDefault="004B3727" w:rsidP="0070603F">
      <w:pPr>
        <w:pStyle w:val="BodyText"/>
        <w:spacing w:line="360" w:lineRule="auto"/>
        <w:ind w:left="720" w:hanging="720"/>
        <w:jc w:val="both"/>
      </w:pPr>
      <w:r w:rsidRPr="005D5F6A">
        <w:t>Brahmachari, V. S.</w:t>
      </w:r>
      <w:r w:rsidR="00915D8C" w:rsidRPr="005D5F6A">
        <w:t>,</w:t>
      </w:r>
      <w:r w:rsidRPr="005D5F6A">
        <w:t xml:space="preserve"> and Rubby, R. </w:t>
      </w:r>
      <w:r w:rsidR="00915D8C" w:rsidRPr="005D5F6A">
        <w:t>(</w:t>
      </w:r>
      <w:r w:rsidRPr="005D5F6A">
        <w:t>2001</w:t>
      </w:r>
      <w:r w:rsidR="00915D8C" w:rsidRPr="005D5F6A">
        <w:t>)</w:t>
      </w:r>
      <w:r w:rsidRPr="005D5F6A">
        <w:t>. Effect of growth substances on productivity,cracking,ripeningand qualityoffruits in litchi.</w:t>
      </w:r>
      <w:r w:rsidRPr="005D5F6A">
        <w:rPr>
          <w:i/>
        </w:rPr>
        <w:t>Orissa J. Hortic.</w:t>
      </w:r>
      <w:r w:rsidRPr="005D5F6A">
        <w:t xml:space="preserve">, </w:t>
      </w:r>
      <w:r w:rsidRPr="005D5F6A">
        <w:rPr>
          <w:b/>
          <w:bCs/>
          <w:i/>
        </w:rPr>
        <w:t>29</w:t>
      </w:r>
      <w:r w:rsidRPr="005D5F6A">
        <w:t>(1): 41-</w:t>
      </w:r>
      <w:r w:rsidRPr="005D5F6A">
        <w:lastRenderedPageBreak/>
        <w:t>45.</w:t>
      </w:r>
    </w:p>
    <w:p w:rsidR="00D50A85" w:rsidRPr="005D5F6A" w:rsidRDefault="004B3727" w:rsidP="0070603F">
      <w:pPr>
        <w:pStyle w:val="BodyText"/>
        <w:spacing w:line="360" w:lineRule="auto"/>
        <w:ind w:left="720" w:hanging="720"/>
        <w:jc w:val="both"/>
      </w:pPr>
      <w:r w:rsidRPr="005D5F6A">
        <w:t>Debbarma,N.</w:t>
      </w:r>
      <w:r w:rsidR="0070603F" w:rsidRPr="005D5F6A">
        <w:t>,</w:t>
      </w:r>
      <w:r w:rsidR="0070603F" w:rsidRPr="005D5F6A">
        <w:rPr>
          <w:shd w:val="clear" w:color="auto" w:fill="FFFFFF"/>
        </w:rPr>
        <w:t>&amp;</w:t>
      </w:r>
      <w:r w:rsidRPr="005D5F6A">
        <w:t>Hazarika,B.N.</w:t>
      </w:r>
      <w:r w:rsidR="0070603F" w:rsidRPr="005D5F6A">
        <w:t>(</w:t>
      </w:r>
      <w:r w:rsidRPr="005D5F6A">
        <w:t>2016</w:t>
      </w:r>
      <w:r w:rsidR="0070603F" w:rsidRPr="005D5F6A">
        <w:t>)</w:t>
      </w:r>
      <w:r w:rsidRPr="005D5F6A">
        <w:t>.Effectofplantgrowthregulatorsandchemicalsonyieldandqualityofacidlime(</w:t>
      </w:r>
      <w:r w:rsidRPr="005D5F6A">
        <w:rPr>
          <w:i/>
        </w:rPr>
        <w:t>Citrusaurantifolia</w:t>
      </w:r>
      <w:r w:rsidRPr="005D5F6A">
        <w:t>S.)underfoothillconditionofArunachalPradesh.</w:t>
      </w:r>
      <w:r w:rsidRPr="005D5F6A">
        <w:rPr>
          <w:i/>
        </w:rPr>
        <w:t>Int. J. Agric. Environ. Biotechnol.</w:t>
      </w:r>
      <w:r w:rsidRPr="005D5F6A">
        <w:t xml:space="preserve">, </w:t>
      </w:r>
      <w:r w:rsidRPr="005D5F6A">
        <w:rPr>
          <w:b/>
          <w:bCs/>
          <w:i/>
        </w:rPr>
        <w:t>9</w:t>
      </w:r>
      <w:r w:rsidRPr="005D5F6A">
        <w:t>(2):231-236.</w:t>
      </w:r>
    </w:p>
    <w:p w:rsidR="00D50A85" w:rsidRPr="005D5F6A" w:rsidRDefault="004B3727">
      <w:pPr>
        <w:pStyle w:val="BodyText"/>
        <w:spacing w:line="360" w:lineRule="auto"/>
        <w:ind w:left="720" w:hanging="720"/>
        <w:jc w:val="both"/>
      </w:pPr>
      <w:r w:rsidRPr="005D5F6A">
        <w:t>Dheeraj,G.,Bhagwan,A.,Kumar,M.R.</w:t>
      </w:r>
      <w:r w:rsidR="005F5C54" w:rsidRPr="005D5F6A">
        <w:t>,</w:t>
      </w:r>
      <w:r w:rsidR="005F5C54" w:rsidRPr="005D5F6A">
        <w:rPr>
          <w:shd w:val="clear" w:color="auto" w:fill="FFFFFF"/>
        </w:rPr>
        <w:t>&amp;</w:t>
      </w:r>
      <w:r w:rsidRPr="005D5F6A">
        <w:t>Venkatlaxmi,A.</w:t>
      </w:r>
      <w:r w:rsidR="005F5C54" w:rsidRPr="005D5F6A">
        <w:t>(</w:t>
      </w:r>
      <w:r w:rsidRPr="005D5F6A">
        <w:t>2016</w:t>
      </w:r>
      <w:r w:rsidR="005F5C54" w:rsidRPr="005D5F6A">
        <w:t>)</w:t>
      </w:r>
      <w:r w:rsidRPr="005D5F6A">
        <w:t>.Studiesontheeffectofbioregulatorsonfloweringandyieldofmango(</w:t>
      </w:r>
      <w:r w:rsidRPr="005D5F6A">
        <w:rPr>
          <w:i/>
        </w:rPr>
        <w:t>Mangiferaindica</w:t>
      </w:r>
      <w:r w:rsidRPr="005D5F6A">
        <w:t xml:space="preserve">L.)cv.Banganpalli. </w:t>
      </w:r>
      <w:r w:rsidRPr="005D5F6A">
        <w:rPr>
          <w:i/>
        </w:rPr>
        <w:t>Int. J. Agric. Sci. Res.</w:t>
      </w:r>
      <w:r w:rsidRPr="005D5F6A">
        <w:t xml:space="preserve">, </w:t>
      </w:r>
      <w:r w:rsidRPr="005D5F6A">
        <w:rPr>
          <w:b/>
          <w:bCs/>
          <w:i/>
        </w:rPr>
        <w:t>6</w:t>
      </w:r>
      <w:r w:rsidRPr="005D5F6A">
        <w:t>(3): 55-64.</w:t>
      </w:r>
    </w:p>
    <w:p w:rsidR="00D50A85" w:rsidRPr="005D5F6A" w:rsidRDefault="004B3727">
      <w:pPr>
        <w:pStyle w:val="BodyText"/>
        <w:spacing w:line="360" w:lineRule="auto"/>
        <w:ind w:left="720" w:hanging="720"/>
        <w:jc w:val="both"/>
      </w:pPr>
      <w:r w:rsidRPr="005D5F6A">
        <w:t>Gurjar, M. K., Kaushik, R. A.</w:t>
      </w:r>
      <w:r w:rsidR="00E22422" w:rsidRPr="005D5F6A">
        <w:t>,</w:t>
      </w:r>
      <w:r w:rsidR="00E22422" w:rsidRPr="005D5F6A">
        <w:rPr>
          <w:shd w:val="clear" w:color="auto" w:fill="FFFFFF"/>
        </w:rPr>
        <w:t>&amp;</w:t>
      </w:r>
      <w:r w:rsidRPr="005D5F6A">
        <w:t xml:space="preserve">Baraily, P. </w:t>
      </w:r>
      <w:r w:rsidR="00E22422" w:rsidRPr="005D5F6A">
        <w:t>(</w:t>
      </w:r>
      <w:r w:rsidRPr="005D5F6A">
        <w:t>2015</w:t>
      </w:r>
      <w:r w:rsidR="00E22422" w:rsidRPr="005D5F6A">
        <w:t>)</w:t>
      </w:r>
      <w:r w:rsidRPr="005D5F6A">
        <w:t xml:space="preserve">. Effect of zinc and boron on thegrowthandyieldofKinnow mandarin. </w:t>
      </w:r>
      <w:r w:rsidRPr="005D5F6A">
        <w:rPr>
          <w:i/>
        </w:rPr>
        <w:t>Int. J. Sci. Res.</w:t>
      </w:r>
      <w:r w:rsidRPr="005D5F6A">
        <w:t xml:space="preserve">, </w:t>
      </w:r>
      <w:r w:rsidRPr="005D5F6A">
        <w:rPr>
          <w:b/>
          <w:bCs/>
          <w:i/>
        </w:rPr>
        <w:t>4</w:t>
      </w:r>
      <w:r w:rsidRPr="005D5F6A">
        <w:t>(4):207-208.</w:t>
      </w:r>
    </w:p>
    <w:p w:rsidR="00D50A85" w:rsidRPr="005D5F6A" w:rsidRDefault="004B3727">
      <w:pPr>
        <w:pStyle w:val="BodyText"/>
        <w:spacing w:line="360" w:lineRule="auto"/>
        <w:ind w:left="720" w:hanging="720"/>
        <w:jc w:val="both"/>
      </w:pPr>
      <w:r w:rsidRPr="005D5F6A">
        <w:t xml:space="preserve">Huchche, A. </w:t>
      </w:r>
      <w:r w:rsidR="00E22422" w:rsidRPr="005D5F6A">
        <w:t>(</w:t>
      </w:r>
      <w:r w:rsidRPr="005D5F6A">
        <w:t>2008</w:t>
      </w:r>
      <w:r w:rsidR="00E22422" w:rsidRPr="005D5F6A">
        <w:t>)</w:t>
      </w:r>
      <w:r w:rsidRPr="005D5F6A">
        <w:t xml:space="preserve">. Use of growth regulators in acid lime cultivation. </w:t>
      </w:r>
      <w:r w:rsidRPr="005D5F6A">
        <w:rPr>
          <w:i/>
        </w:rPr>
        <w:t>National seminaron Recent Trends in Production Technology and Value Addition in Acid lime</w:t>
      </w:r>
      <w:r w:rsidRPr="005D5F6A">
        <w:t xml:space="preserve">. pp.37-43. </w:t>
      </w:r>
    </w:p>
    <w:p w:rsidR="00D50A85" w:rsidRPr="005D5F6A" w:rsidRDefault="004B3727">
      <w:pPr>
        <w:pStyle w:val="BodyText"/>
        <w:spacing w:line="360" w:lineRule="auto"/>
        <w:ind w:left="720" w:hanging="720"/>
        <w:jc w:val="both"/>
      </w:pPr>
      <w:r w:rsidRPr="005D5F6A">
        <w:t>Khehra,S.</w:t>
      </w:r>
      <w:r w:rsidR="00CF307E" w:rsidRPr="005D5F6A">
        <w:t xml:space="preserve">, </w:t>
      </w:r>
      <w:r w:rsidR="00CF307E" w:rsidRPr="005D5F6A">
        <w:rPr>
          <w:shd w:val="clear" w:color="auto" w:fill="FFFFFF"/>
        </w:rPr>
        <w:t>&amp;</w:t>
      </w:r>
      <w:r w:rsidRPr="005D5F6A">
        <w:t xml:space="preserve">Bal,J.S. </w:t>
      </w:r>
      <w:r w:rsidR="00CF307E" w:rsidRPr="005D5F6A">
        <w:t>(</w:t>
      </w:r>
      <w:r w:rsidRPr="005D5F6A">
        <w:t>2014</w:t>
      </w:r>
      <w:r w:rsidR="00CF307E" w:rsidRPr="005D5F6A">
        <w:t>)</w:t>
      </w:r>
      <w:r w:rsidRPr="005D5F6A">
        <w:t>.Influenceof foliarspraysonfruitcrackinginlemon.</w:t>
      </w:r>
      <w:r w:rsidRPr="005D5F6A">
        <w:rPr>
          <w:i/>
        </w:rPr>
        <w:t>Int. J. Plant Animal Env. Sci.</w:t>
      </w:r>
      <w:r w:rsidRPr="005D5F6A">
        <w:t>,</w:t>
      </w:r>
      <w:r w:rsidRPr="005D5F6A">
        <w:rPr>
          <w:b/>
          <w:bCs/>
          <w:i/>
        </w:rPr>
        <w:t>4</w:t>
      </w:r>
      <w:r w:rsidRPr="005D5F6A">
        <w:t>(4):124-128.</w:t>
      </w:r>
    </w:p>
    <w:p w:rsidR="00D50A85" w:rsidRPr="005D5F6A" w:rsidRDefault="004B3727">
      <w:pPr>
        <w:pStyle w:val="BodyText"/>
        <w:spacing w:line="360" w:lineRule="auto"/>
        <w:ind w:left="720" w:hanging="720"/>
        <w:jc w:val="both"/>
      </w:pPr>
      <w:r w:rsidRPr="005D5F6A">
        <w:t>Lakshmi, M. L., Ramana, K. T. V., Krishna, V. S., Yuvaraj, K., Lakshmi, T. N., Sarada,G., Sankar, T. G., Gopi, V.</w:t>
      </w:r>
      <w:r w:rsidR="008E1609" w:rsidRPr="005D5F6A">
        <w:t>,</w:t>
      </w:r>
      <w:r w:rsidR="008E1609" w:rsidRPr="005D5F6A">
        <w:rPr>
          <w:shd w:val="clear" w:color="auto" w:fill="FFFFFF"/>
        </w:rPr>
        <w:t>&amp;</w:t>
      </w:r>
      <w:r w:rsidRPr="005D5F6A">
        <w:t xml:space="preserve"> Gopal, K. </w:t>
      </w:r>
      <w:r w:rsidR="008E1609" w:rsidRPr="005D5F6A">
        <w:t>(</w:t>
      </w:r>
      <w:r w:rsidRPr="005D5F6A">
        <w:t>2014</w:t>
      </w:r>
      <w:r w:rsidR="008E1609" w:rsidRPr="005D5F6A">
        <w:t>)</w:t>
      </w:r>
      <w:r w:rsidRPr="005D5F6A">
        <w:t>. Effect of growth regulators andchemicals on fruit yield and quality of Hasta Bahar flowering in acid lime (</w:t>
      </w:r>
      <w:r w:rsidRPr="005D5F6A">
        <w:rPr>
          <w:i/>
        </w:rPr>
        <w:t>Citrusaurantifolia</w:t>
      </w:r>
      <w:r w:rsidRPr="005D5F6A">
        <w:t>Swingle)cv.Balaji.</w:t>
      </w:r>
      <w:r w:rsidRPr="005D5F6A">
        <w:rPr>
          <w:i/>
        </w:rPr>
        <w:t>Res. and Reviews: J. Agric. Applied Sci.</w:t>
      </w:r>
      <w:r w:rsidRPr="005D5F6A">
        <w:t>,</w:t>
      </w:r>
      <w:r w:rsidRPr="005D5F6A">
        <w:rPr>
          <w:b/>
          <w:bCs/>
          <w:i/>
        </w:rPr>
        <w:t>3</w:t>
      </w:r>
      <w:r w:rsidRPr="005D5F6A">
        <w:t>(3):11-13.</w:t>
      </w:r>
    </w:p>
    <w:p w:rsidR="00D50A85" w:rsidRPr="005D5F6A" w:rsidRDefault="004B3727">
      <w:pPr>
        <w:pStyle w:val="BodyText"/>
        <w:spacing w:line="360" w:lineRule="auto"/>
        <w:ind w:left="720" w:hanging="720"/>
        <w:jc w:val="both"/>
      </w:pPr>
      <w:r w:rsidRPr="002E1580">
        <w:rPr>
          <w:highlight w:val="yellow"/>
        </w:rPr>
        <w:t>Nath, J. C.</w:t>
      </w:r>
      <w:r w:rsidR="008A2571" w:rsidRPr="002E1580">
        <w:rPr>
          <w:highlight w:val="yellow"/>
        </w:rPr>
        <w:t>,</w:t>
      </w:r>
      <w:r w:rsidR="008A2571" w:rsidRPr="002E1580">
        <w:rPr>
          <w:highlight w:val="yellow"/>
          <w:shd w:val="clear" w:color="auto" w:fill="FFFFFF"/>
        </w:rPr>
        <w:t>&amp;</w:t>
      </w:r>
      <w:r w:rsidRPr="002E1580">
        <w:rPr>
          <w:highlight w:val="yellow"/>
        </w:rPr>
        <w:t xml:space="preserve">Baruah, K. </w:t>
      </w:r>
      <w:r w:rsidR="008A2571" w:rsidRPr="002E1580">
        <w:rPr>
          <w:highlight w:val="yellow"/>
        </w:rPr>
        <w:t>(</w:t>
      </w:r>
      <w:r w:rsidRPr="002E1580">
        <w:rPr>
          <w:highlight w:val="yellow"/>
        </w:rPr>
        <w:t>2001</w:t>
      </w:r>
      <w:r w:rsidR="008A2571" w:rsidRPr="002E1580">
        <w:rPr>
          <w:highlight w:val="yellow"/>
        </w:rPr>
        <w:t>)</w:t>
      </w:r>
      <w:r w:rsidRPr="002E1580">
        <w:rPr>
          <w:highlight w:val="yellow"/>
        </w:rPr>
        <w:t>. Effect ofpruning andgrowthregulators on sexexpression, fruit set, size, drop and yield in Assam lemon (</w:t>
      </w:r>
      <w:r w:rsidRPr="002E1580">
        <w:rPr>
          <w:i/>
          <w:highlight w:val="yellow"/>
        </w:rPr>
        <w:t xml:space="preserve">Citrus limon </w:t>
      </w:r>
      <w:r w:rsidRPr="002E1580">
        <w:rPr>
          <w:highlight w:val="yellow"/>
        </w:rPr>
        <w:t>Brum).</w:t>
      </w:r>
      <w:r w:rsidRPr="002E1580">
        <w:rPr>
          <w:i/>
          <w:highlight w:val="yellow"/>
        </w:rPr>
        <w:t xml:space="preserve">Hort. J., </w:t>
      </w:r>
      <w:r w:rsidRPr="002E1580">
        <w:rPr>
          <w:b/>
          <w:bCs/>
          <w:i/>
          <w:highlight w:val="yellow"/>
        </w:rPr>
        <w:t>4</w:t>
      </w:r>
      <w:r w:rsidRPr="002E1580">
        <w:rPr>
          <w:highlight w:val="yellow"/>
        </w:rPr>
        <w:t>(2): 127-133.</w:t>
      </w:r>
    </w:p>
    <w:p w:rsidR="00D50A85" w:rsidRPr="005D5F6A" w:rsidRDefault="004B3727">
      <w:pPr>
        <w:spacing w:before="74" w:line="360" w:lineRule="auto"/>
        <w:ind w:left="720" w:hanging="720"/>
        <w:jc w:val="both"/>
        <w:rPr>
          <w:rFonts w:ascii="Times New Roman" w:hAnsi="Times New Roman" w:cs="Times New Roman"/>
          <w:sz w:val="24"/>
          <w:szCs w:val="24"/>
        </w:rPr>
      </w:pPr>
      <w:r w:rsidRPr="005D5F6A">
        <w:rPr>
          <w:rFonts w:ascii="Times New Roman" w:hAnsi="Times New Roman" w:cs="Times New Roman"/>
          <w:sz w:val="24"/>
          <w:szCs w:val="24"/>
        </w:rPr>
        <w:t>Panse,V.G.</w:t>
      </w:r>
      <w:r w:rsidR="008A2571" w:rsidRPr="005D5F6A">
        <w:rPr>
          <w:rFonts w:ascii="Times New Roman" w:hAnsi="Times New Roman" w:cs="Times New Roman"/>
          <w:sz w:val="24"/>
          <w:szCs w:val="24"/>
        </w:rPr>
        <w:t>,</w:t>
      </w:r>
      <w:r w:rsidR="008A2571" w:rsidRPr="005D5F6A">
        <w:rPr>
          <w:sz w:val="24"/>
          <w:szCs w:val="24"/>
          <w:shd w:val="clear" w:color="auto" w:fill="FFFFFF"/>
        </w:rPr>
        <w:t>&amp;</w:t>
      </w:r>
      <w:r w:rsidRPr="005D5F6A">
        <w:rPr>
          <w:rFonts w:ascii="Times New Roman" w:hAnsi="Times New Roman" w:cs="Times New Roman"/>
          <w:sz w:val="24"/>
          <w:szCs w:val="24"/>
        </w:rPr>
        <w:t>SukhatmeP.V.</w:t>
      </w:r>
      <w:r w:rsidR="008A2571" w:rsidRPr="005D5F6A">
        <w:rPr>
          <w:rFonts w:ascii="Times New Roman" w:hAnsi="Times New Roman" w:cs="Times New Roman"/>
          <w:sz w:val="24"/>
          <w:szCs w:val="24"/>
        </w:rPr>
        <w:t>(</w:t>
      </w:r>
      <w:r w:rsidRPr="005D5F6A">
        <w:rPr>
          <w:rFonts w:ascii="Times New Roman" w:hAnsi="Times New Roman" w:cs="Times New Roman"/>
          <w:sz w:val="24"/>
          <w:szCs w:val="24"/>
        </w:rPr>
        <w:t>1985</w:t>
      </w:r>
      <w:r w:rsidR="008A2571" w:rsidRPr="005D5F6A">
        <w:rPr>
          <w:rFonts w:ascii="Times New Roman" w:hAnsi="Times New Roman" w:cs="Times New Roman"/>
          <w:sz w:val="24"/>
          <w:szCs w:val="24"/>
        </w:rPr>
        <w:t>)</w:t>
      </w:r>
      <w:r w:rsidRPr="005D5F6A">
        <w:rPr>
          <w:rFonts w:ascii="Times New Roman" w:hAnsi="Times New Roman" w:cs="Times New Roman"/>
          <w:sz w:val="24"/>
          <w:szCs w:val="24"/>
        </w:rPr>
        <w:t>.</w:t>
      </w:r>
      <w:r w:rsidRPr="005D5F6A">
        <w:rPr>
          <w:rFonts w:ascii="Times New Roman" w:hAnsi="Times New Roman" w:cs="Times New Roman"/>
          <w:i/>
          <w:sz w:val="24"/>
          <w:szCs w:val="24"/>
        </w:rPr>
        <w:t>Statisticalmethodsforagriculturalworkers</w:t>
      </w:r>
      <w:r w:rsidRPr="005D5F6A">
        <w:rPr>
          <w:rFonts w:ascii="Times New Roman" w:hAnsi="Times New Roman" w:cs="Times New Roman"/>
          <w:sz w:val="24"/>
          <w:szCs w:val="24"/>
        </w:rPr>
        <w:t>. I.C.A.R.NewDelhi.4th ed.l. C.A. R.New Delhi.pp:131-143.</w:t>
      </w:r>
    </w:p>
    <w:p w:rsidR="00D50A85" w:rsidRPr="005D5F6A" w:rsidRDefault="004B3727">
      <w:pPr>
        <w:pStyle w:val="BodyText"/>
        <w:spacing w:line="360" w:lineRule="auto"/>
        <w:ind w:left="720" w:hanging="720"/>
        <w:jc w:val="both"/>
      </w:pPr>
      <w:r w:rsidRPr="005D5F6A">
        <w:t>Parthiben, S., Saraswathy, S., Indra, N., Chamundeeswari, A. V., Usha Rani, B.</w:t>
      </w:r>
      <w:r w:rsidR="00EF5C45" w:rsidRPr="005D5F6A">
        <w:t>,</w:t>
      </w:r>
      <w:r w:rsidR="00EF5C45" w:rsidRPr="005D5F6A">
        <w:rPr>
          <w:shd w:val="clear" w:color="auto" w:fill="FFFFFF"/>
        </w:rPr>
        <w:t>&amp;</w:t>
      </w:r>
      <w:r w:rsidRPr="005D5F6A">
        <w:t>Selvarajan,M.</w:t>
      </w:r>
      <w:r w:rsidR="00EF5C45" w:rsidRPr="005D5F6A">
        <w:t>(</w:t>
      </w:r>
      <w:r w:rsidRPr="005D5F6A">
        <w:t>2010</w:t>
      </w:r>
      <w:r w:rsidR="00EF5C45" w:rsidRPr="005D5F6A">
        <w:t>)</w:t>
      </w:r>
      <w:r w:rsidRPr="005D5F6A">
        <w:t>.Regulationoffloweringinacidlime(</w:t>
      </w:r>
      <w:r w:rsidRPr="005D5F6A">
        <w:rPr>
          <w:i/>
        </w:rPr>
        <w:t>Citrusaurantifolia</w:t>
      </w:r>
      <w:r w:rsidRPr="005D5F6A">
        <w:t xml:space="preserve">S.) cv. PKM- 1. </w:t>
      </w:r>
      <w:r w:rsidRPr="005D5F6A">
        <w:rPr>
          <w:i/>
        </w:rPr>
        <w:t>Citrus bio-diversity proceeding of nation seminar on citrus bio-diversityfor livelihood and nutritional security</w:t>
      </w:r>
      <w:r w:rsidRPr="005D5F6A">
        <w:t>.pp. 239-241.</w:t>
      </w:r>
    </w:p>
    <w:p w:rsidR="00D50A85" w:rsidRPr="002E1580" w:rsidRDefault="004B3727">
      <w:pPr>
        <w:pStyle w:val="BodyText"/>
        <w:spacing w:line="360" w:lineRule="auto"/>
        <w:ind w:left="720" w:hanging="720"/>
        <w:jc w:val="both"/>
        <w:rPr>
          <w:highlight w:val="yellow"/>
        </w:rPr>
      </w:pPr>
      <w:r w:rsidRPr="002E1580">
        <w:rPr>
          <w:highlight w:val="yellow"/>
        </w:rPr>
        <w:t>Pawar, P. S., Jagtap, D. D.</w:t>
      </w:r>
      <w:r w:rsidR="00EF5C45" w:rsidRPr="002E1580">
        <w:rPr>
          <w:highlight w:val="yellow"/>
        </w:rPr>
        <w:t>,</w:t>
      </w:r>
      <w:r w:rsidR="00EF5C45" w:rsidRPr="002E1580">
        <w:rPr>
          <w:highlight w:val="yellow"/>
          <w:shd w:val="clear" w:color="auto" w:fill="FFFFFF"/>
        </w:rPr>
        <w:t>&amp;</w:t>
      </w:r>
      <w:r w:rsidRPr="002E1580">
        <w:rPr>
          <w:highlight w:val="yellow"/>
        </w:rPr>
        <w:t xml:space="preserve"> Patil, D. D. </w:t>
      </w:r>
      <w:r w:rsidR="00EF5C45" w:rsidRPr="002E1580">
        <w:rPr>
          <w:highlight w:val="yellow"/>
        </w:rPr>
        <w:t>(</w:t>
      </w:r>
      <w:r w:rsidRPr="002E1580">
        <w:rPr>
          <w:highlight w:val="yellow"/>
        </w:rPr>
        <w:t>2016</w:t>
      </w:r>
      <w:r w:rsidR="00EF5C45" w:rsidRPr="002E1580">
        <w:rPr>
          <w:highlight w:val="yellow"/>
        </w:rPr>
        <w:t>)</w:t>
      </w:r>
      <w:r w:rsidRPr="002E1580">
        <w:rPr>
          <w:highlight w:val="yellow"/>
        </w:rPr>
        <w:t>. Effect of plant growth regulators andchemicals on yield of acid lime (</w:t>
      </w:r>
      <w:r w:rsidRPr="002E1580">
        <w:rPr>
          <w:i/>
          <w:highlight w:val="yellow"/>
        </w:rPr>
        <w:t xml:space="preserve">Citrus aurantifolia </w:t>
      </w:r>
      <w:r w:rsidRPr="002E1580">
        <w:rPr>
          <w:highlight w:val="yellow"/>
        </w:rPr>
        <w:t>Swingle) during hasta bahar.</w:t>
      </w:r>
      <w:r w:rsidRPr="002E1580">
        <w:rPr>
          <w:i/>
          <w:highlight w:val="yellow"/>
        </w:rPr>
        <w:t>Bioinfolet</w:t>
      </w:r>
      <w:r w:rsidRPr="002E1580">
        <w:rPr>
          <w:highlight w:val="yellow"/>
        </w:rPr>
        <w:t>,</w:t>
      </w:r>
      <w:r w:rsidRPr="002E1580">
        <w:rPr>
          <w:b/>
          <w:bCs/>
          <w:i/>
          <w:highlight w:val="yellow"/>
        </w:rPr>
        <w:t>13</w:t>
      </w:r>
      <w:r w:rsidRPr="002E1580">
        <w:rPr>
          <w:highlight w:val="yellow"/>
        </w:rPr>
        <w:t>(4): 176-178.</w:t>
      </w:r>
    </w:p>
    <w:p w:rsidR="00D50A85" w:rsidRPr="002E1580" w:rsidRDefault="004B3727">
      <w:pPr>
        <w:pStyle w:val="BodyText"/>
        <w:spacing w:line="360" w:lineRule="auto"/>
        <w:ind w:left="720" w:hanging="720"/>
        <w:jc w:val="both"/>
        <w:rPr>
          <w:highlight w:val="yellow"/>
        </w:rPr>
      </w:pPr>
      <w:r w:rsidRPr="002E1580">
        <w:rPr>
          <w:highlight w:val="yellow"/>
        </w:rPr>
        <w:t>Prabhu,M.,Parthiban,S.,Kumar,A.R.,Rani,B.U.</w:t>
      </w:r>
      <w:r w:rsidR="00CD479F" w:rsidRPr="002E1580">
        <w:rPr>
          <w:highlight w:val="yellow"/>
        </w:rPr>
        <w:t>,</w:t>
      </w:r>
      <w:r w:rsidR="00CD479F" w:rsidRPr="002E1580">
        <w:rPr>
          <w:highlight w:val="yellow"/>
          <w:shd w:val="clear" w:color="auto" w:fill="FFFFFF"/>
        </w:rPr>
        <w:t>&amp;</w:t>
      </w:r>
      <w:r w:rsidRPr="002E1580">
        <w:rPr>
          <w:highlight w:val="yellow"/>
        </w:rPr>
        <w:t>Vijayasamundeeswari,A.</w:t>
      </w:r>
      <w:r w:rsidR="00CD479F" w:rsidRPr="002E1580">
        <w:rPr>
          <w:highlight w:val="yellow"/>
        </w:rPr>
        <w:t>(</w:t>
      </w:r>
      <w:r w:rsidRPr="002E1580">
        <w:rPr>
          <w:highlight w:val="yellow"/>
        </w:rPr>
        <w:t>2017</w:t>
      </w:r>
      <w:r w:rsidR="00CD479F" w:rsidRPr="002E1580">
        <w:rPr>
          <w:highlight w:val="yellow"/>
        </w:rPr>
        <w:t>)</w:t>
      </w:r>
      <w:r w:rsidRPr="002E1580">
        <w:rPr>
          <w:highlight w:val="yellow"/>
        </w:rPr>
        <w:t>.Regulationoffloweringinacidlime(</w:t>
      </w:r>
      <w:r w:rsidRPr="002E1580">
        <w:rPr>
          <w:i/>
          <w:highlight w:val="yellow"/>
        </w:rPr>
        <w:t>Citrusaurantifolia</w:t>
      </w:r>
      <w:r w:rsidRPr="002E1580">
        <w:rPr>
          <w:highlight w:val="yellow"/>
        </w:rPr>
        <w:t>Swingle).</w:t>
      </w:r>
      <w:r w:rsidRPr="002E1580">
        <w:rPr>
          <w:i/>
          <w:highlight w:val="yellow"/>
        </w:rPr>
        <w:t>Indian J. Agric. Res.</w:t>
      </w:r>
      <w:r w:rsidRPr="002E1580">
        <w:rPr>
          <w:highlight w:val="yellow"/>
        </w:rPr>
        <w:t>,</w:t>
      </w:r>
      <w:r w:rsidRPr="002E1580">
        <w:rPr>
          <w:b/>
          <w:bCs/>
          <w:i/>
          <w:highlight w:val="yellow"/>
        </w:rPr>
        <w:t>51</w:t>
      </w:r>
      <w:r w:rsidRPr="002E1580">
        <w:rPr>
          <w:highlight w:val="yellow"/>
        </w:rPr>
        <w:t>(4): 384-387.</w:t>
      </w:r>
    </w:p>
    <w:p w:rsidR="00D50A85" w:rsidRPr="002E1580" w:rsidRDefault="004B3727">
      <w:pPr>
        <w:pStyle w:val="BodyText"/>
        <w:spacing w:line="360" w:lineRule="auto"/>
        <w:ind w:left="720" w:hanging="720"/>
        <w:jc w:val="both"/>
        <w:rPr>
          <w:highlight w:val="yellow"/>
        </w:rPr>
      </w:pPr>
      <w:r w:rsidRPr="002E1580">
        <w:rPr>
          <w:highlight w:val="yellow"/>
        </w:rPr>
        <w:t>Rai,O.,Patil,S.N.,Patil,D.R.,Venkatshalu,Awati</w:t>
      </w:r>
      <w:r w:rsidR="0097050B" w:rsidRPr="002E1580">
        <w:rPr>
          <w:highlight w:val="yellow"/>
        </w:rPr>
        <w:t xml:space="preserve">, </w:t>
      </w:r>
      <w:r w:rsidRPr="002E1580">
        <w:rPr>
          <w:highlight w:val="yellow"/>
        </w:rPr>
        <w:t>M.</w:t>
      </w:r>
      <w:r w:rsidR="0097050B" w:rsidRPr="002E1580">
        <w:rPr>
          <w:highlight w:val="yellow"/>
        </w:rPr>
        <w:t xml:space="preserve">, </w:t>
      </w:r>
      <w:r w:rsidR="0097050B" w:rsidRPr="002E1580">
        <w:rPr>
          <w:highlight w:val="yellow"/>
          <w:shd w:val="clear" w:color="auto" w:fill="FFFFFF"/>
        </w:rPr>
        <w:t>&amp;</w:t>
      </w:r>
      <w:r w:rsidRPr="002E1580">
        <w:rPr>
          <w:highlight w:val="yellow"/>
        </w:rPr>
        <w:t>Kiran,K.C.</w:t>
      </w:r>
      <w:r w:rsidR="0097050B" w:rsidRPr="002E1580">
        <w:rPr>
          <w:highlight w:val="yellow"/>
        </w:rPr>
        <w:t>(</w:t>
      </w:r>
      <w:r w:rsidRPr="002E1580">
        <w:rPr>
          <w:highlight w:val="yellow"/>
        </w:rPr>
        <w:t>2018</w:t>
      </w:r>
      <w:r w:rsidR="0097050B" w:rsidRPr="002E1580">
        <w:rPr>
          <w:highlight w:val="yellow"/>
        </w:rPr>
        <w:t>)</w:t>
      </w:r>
      <w:r w:rsidRPr="002E1580">
        <w:rPr>
          <w:highlight w:val="yellow"/>
        </w:rPr>
        <w:t xml:space="preserve">.Effectofplant growth </w:t>
      </w:r>
      <w:r w:rsidRPr="002E1580">
        <w:rPr>
          <w:highlight w:val="yellow"/>
        </w:rPr>
        <w:lastRenderedPageBreak/>
        <w:t>regulators and chemical on vegetative and reproductive parametersduringhastabaharinacidlime(</w:t>
      </w:r>
      <w:r w:rsidRPr="002E1580">
        <w:rPr>
          <w:i/>
          <w:highlight w:val="yellow"/>
        </w:rPr>
        <w:t>Citrusaurantifolia</w:t>
      </w:r>
      <w:r w:rsidRPr="002E1580">
        <w:rPr>
          <w:highlight w:val="yellow"/>
        </w:rPr>
        <w:t>Swingle).</w:t>
      </w:r>
      <w:r w:rsidRPr="002E1580">
        <w:rPr>
          <w:i/>
          <w:highlight w:val="yellow"/>
        </w:rPr>
        <w:t>Int. J. Curr. Microbiol. Appl. Sci.,</w:t>
      </w:r>
      <w:r w:rsidRPr="002E1580">
        <w:rPr>
          <w:b/>
          <w:bCs/>
          <w:i/>
          <w:highlight w:val="yellow"/>
        </w:rPr>
        <w:t>7</w:t>
      </w:r>
      <w:r w:rsidRPr="002E1580">
        <w:rPr>
          <w:highlight w:val="yellow"/>
        </w:rPr>
        <w:t>(9): 2640-2650.</w:t>
      </w:r>
    </w:p>
    <w:p w:rsidR="00D50A85" w:rsidRPr="005D5F6A" w:rsidRDefault="004B3727">
      <w:pPr>
        <w:pStyle w:val="BodyText"/>
        <w:spacing w:line="360" w:lineRule="auto"/>
        <w:ind w:left="720" w:hanging="720"/>
        <w:jc w:val="both"/>
      </w:pPr>
      <w:r w:rsidRPr="002E1580">
        <w:rPr>
          <w:highlight w:val="yellow"/>
        </w:rPr>
        <w:t xml:space="preserve">Ranganna, S. </w:t>
      </w:r>
      <w:r w:rsidR="0097050B" w:rsidRPr="002E1580">
        <w:rPr>
          <w:highlight w:val="yellow"/>
        </w:rPr>
        <w:t>(</w:t>
      </w:r>
      <w:r w:rsidRPr="002E1580">
        <w:rPr>
          <w:highlight w:val="yellow"/>
        </w:rPr>
        <w:t>1977</w:t>
      </w:r>
      <w:r w:rsidR="0097050B" w:rsidRPr="002E1580">
        <w:rPr>
          <w:highlight w:val="yellow"/>
        </w:rPr>
        <w:t>)</w:t>
      </w:r>
      <w:r w:rsidRPr="002E1580">
        <w:rPr>
          <w:highlight w:val="yellow"/>
        </w:rPr>
        <w:t xml:space="preserve">. </w:t>
      </w:r>
      <w:r w:rsidRPr="002E1580">
        <w:rPr>
          <w:i/>
          <w:highlight w:val="yellow"/>
        </w:rPr>
        <w:t>Manual of analysis of fruit and vegetable products</w:t>
      </w:r>
      <w:r w:rsidRPr="002E1580">
        <w:rPr>
          <w:highlight w:val="yellow"/>
        </w:rPr>
        <w:t>. Tata McGrawHillPublishin Com. Ltd.,NewDelhi.pp 9-15.</w:t>
      </w:r>
    </w:p>
    <w:p w:rsidR="00D50A85" w:rsidRPr="0097050B" w:rsidRDefault="00D50A85">
      <w:pPr>
        <w:jc w:val="both"/>
        <w:rPr>
          <w:rFonts w:ascii="Times New Roman" w:hAnsi="Times New Roman" w:cs="Times New Roman"/>
          <w:color w:val="0000FF"/>
          <w:sz w:val="24"/>
          <w:szCs w:val="24"/>
          <w:lang w:val="en-US"/>
        </w:rPr>
      </w:pPr>
    </w:p>
    <w:sectPr w:rsidR="00D50A85" w:rsidRPr="0097050B" w:rsidSect="00D50A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26A" w:rsidRDefault="0099426A">
      <w:pPr>
        <w:spacing w:line="240" w:lineRule="auto"/>
      </w:pPr>
      <w:r>
        <w:separator/>
      </w:r>
    </w:p>
  </w:endnote>
  <w:endnote w:type="continuationSeparator" w:id="1">
    <w:p w:rsidR="0099426A" w:rsidRDefault="009942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Siyam Rupali"/>
    <w:charset w:val="00"/>
    <w:family w:val="auto"/>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71B" w:rsidRDefault="00CF47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71B" w:rsidRDefault="00CF47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71B" w:rsidRDefault="00CF47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26A" w:rsidRDefault="0099426A">
      <w:pPr>
        <w:spacing w:after="0"/>
      </w:pPr>
      <w:r>
        <w:separator/>
      </w:r>
    </w:p>
  </w:footnote>
  <w:footnote w:type="continuationSeparator" w:id="1">
    <w:p w:rsidR="0099426A" w:rsidRDefault="0099426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71B" w:rsidRDefault="00154AB2">
    <w:pPr>
      <w:pStyle w:val="Header"/>
    </w:pPr>
    <w:r w:rsidRPr="00154A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71B" w:rsidRDefault="00154AB2">
    <w:pPr>
      <w:pStyle w:val="Header"/>
    </w:pPr>
    <w:r w:rsidRPr="00154A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71B" w:rsidRDefault="00154AB2">
    <w:pPr>
      <w:pStyle w:val="Header"/>
    </w:pPr>
    <w:r w:rsidRPr="00154A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7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9C20C2"/>
    <w:rsid w:val="00013212"/>
    <w:rsid w:val="000216F3"/>
    <w:rsid w:val="00021ECE"/>
    <w:rsid w:val="00022903"/>
    <w:rsid w:val="00027099"/>
    <w:rsid w:val="00032BFB"/>
    <w:rsid w:val="0004571C"/>
    <w:rsid w:val="00064A7A"/>
    <w:rsid w:val="000736D3"/>
    <w:rsid w:val="00080C47"/>
    <w:rsid w:val="00093008"/>
    <w:rsid w:val="0009740A"/>
    <w:rsid w:val="00097A6E"/>
    <w:rsid w:val="000A46C2"/>
    <w:rsid w:val="000B0C1F"/>
    <w:rsid w:val="000E3A18"/>
    <w:rsid w:val="00133462"/>
    <w:rsid w:val="00134313"/>
    <w:rsid w:val="001400C0"/>
    <w:rsid w:val="00154AB2"/>
    <w:rsid w:val="00184110"/>
    <w:rsid w:val="001920DC"/>
    <w:rsid w:val="001A691D"/>
    <w:rsid w:val="001B307D"/>
    <w:rsid w:val="001C0848"/>
    <w:rsid w:val="001C5C75"/>
    <w:rsid w:val="001D422D"/>
    <w:rsid w:val="001D498C"/>
    <w:rsid w:val="001D69FE"/>
    <w:rsid w:val="002007CB"/>
    <w:rsid w:val="00210486"/>
    <w:rsid w:val="00217C3F"/>
    <w:rsid w:val="002328C5"/>
    <w:rsid w:val="002349B1"/>
    <w:rsid w:val="00234BAC"/>
    <w:rsid w:val="002556BC"/>
    <w:rsid w:val="002B21AA"/>
    <w:rsid w:val="002C6BD3"/>
    <w:rsid w:val="002E1580"/>
    <w:rsid w:val="002F5AEE"/>
    <w:rsid w:val="00330636"/>
    <w:rsid w:val="0035689E"/>
    <w:rsid w:val="00382314"/>
    <w:rsid w:val="003870FB"/>
    <w:rsid w:val="003A5FCA"/>
    <w:rsid w:val="003C1684"/>
    <w:rsid w:val="003C2616"/>
    <w:rsid w:val="004006D0"/>
    <w:rsid w:val="00435346"/>
    <w:rsid w:val="004353CD"/>
    <w:rsid w:val="00443D63"/>
    <w:rsid w:val="00465975"/>
    <w:rsid w:val="0047438E"/>
    <w:rsid w:val="004B1227"/>
    <w:rsid w:val="004B3727"/>
    <w:rsid w:val="004C7BF5"/>
    <w:rsid w:val="004F2BA7"/>
    <w:rsid w:val="00536C3D"/>
    <w:rsid w:val="00543E32"/>
    <w:rsid w:val="00551DC1"/>
    <w:rsid w:val="00586474"/>
    <w:rsid w:val="005935A1"/>
    <w:rsid w:val="005A3D2D"/>
    <w:rsid w:val="005C24F0"/>
    <w:rsid w:val="005C4E62"/>
    <w:rsid w:val="005D20FF"/>
    <w:rsid w:val="005D589C"/>
    <w:rsid w:val="005D5F6A"/>
    <w:rsid w:val="005D6CCD"/>
    <w:rsid w:val="005F245C"/>
    <w:rsid w:val="005F5C54"/>
    <w:rsid w:val="005F66ED"/>
    <w:rsid w:val="00617D44"/>
    <w:rsid w:val="00633E4A"/>
    <w:rsid w:val="00634709"/>
    <w:rsid w:val="00635135"/>
    <w:rsid w:val="0063584D"/>
    <w:rsid w:val="0066363A"/>
    <w:rsid w:val="0069201E"/>
    <w:rsid w:val="006930E2"/>
    <w:rsid w:val="006C731D"/>
    <w:rsid w:val="006D05DD"/>
    <w:rsid w:val="006D7381"/>
    <w:rsid w:val="006F0C5B"/>
    <w:rsid w:val="0070603F"/>
    <w:rsid w:val="0073591D"/>
    <w:rsid w:val="00736B86"/>
    <w:rsid w:val="00737A12"/>
    <w:rsid w:val="00746C3D"/>
    <w:rsid w:val="00752112"/>
    <w:rsid w:val="007661AC"/>
    <w:rsid w:val="00780646"/>
    <w:rsid w:val="00784FC9"/>
    <w:rsid w:val="007C3345"/>
    <w:rsid w:val="007D152A"/>
    <w:rsid w:val="007D7B66"/>
    <w:rsid w:val="007F26B5"/>
    <w:rsid w:val="007F6C94"/>
    <w:rsid w:val="00802583"/>
    <w:rsid w:val="0080693B"/>
    <w:rsid w:val="008123CB"/>
    <w:rsid w:val="00814DFA"/>
    <w:rsid w:val="008514FF"/>
    <w:rsid w:val="0086299A"/>
    <w:rsid w:val="008A2571"/>
    <w:rsid w:val="008A5070"/>
    <w:rsid w:val="008C5B28"/>
    <w:rsid w:val="008E1609"/>
    <w:rsid w:val="00915D8C"/>
    <w:rsid w:val="0092103D"/>
    <w:rsid w:val="00922928"/>
    <w:rsid w:val="00942B62"/>
    <w:rsid w:val="00953268"/>
    <w:rsid w:val="00957794"/>
    <w:rsid w:val="00957FD6"/>
    <w:rsid w:val="009673BC"/>
    <w:rsid w:val="0097050B"/>
    <w:rsid w:val="00977AD2"/>
    <w:rsid w:val="00984272"/>
    <w:rsid w:val="009844A6"/>
    <w:rsid w:val="0099426A"/>
    <w:rsid w:val="009C20C2"/>
    <w:rsid w:val="009C50C7"/>
    <w:rsid w:val="009D2DC1"/>
    <w:rsid w:val="009E0205"/>
    <w:rsid w:val="009E471E"/>
    <w:rsid w:val="00A13221"/>
    <w:rsid w:val="00A31F48"/>
    <w:rsid w:val="00A868F5"/>
    <w:rsid w:val="00AA49DE"/>
    <w:rsid w:val="00AC1788"/>
    <w:rsid w:val="00AD2057"/>
    <w:rsid w:val="00AF4144"/>
    <w:rsid w:val="00B06311"/>
    <w:rsid w:val="00B16065"/>
    <w:rsid w:val="00B4298B"/>
    <w:rsid w:val="00B4587C"/>
    <w:rsid w:val="00B57A87"/>
    <w:rsid w:val="00B61516"/>
    <w:rsid w:val="00B92B4C"/>
    <w:rsid w:val="00B92ED9"/>
    <w:rsid w:val="00BF4572"/>
    <w:rsid w:val="00C00AE5"/>
    <w:rsid w:val="00C00F0C"/>
    <w:rsid w:val="00C03C94"/>
    <w:rsid w:val="00C07D6A"/>
    <w:rsid w:val="00C24795"/>
    <w:rsid w:val="00C378BB"/>
    <w:rsid w:val="00C451A3"/>
    <w:rsid w:val="00C4670D"/>
    <w:rsid w:val="00C61FED"/>
    <w:rsid w:val="00C73C33"/>
    <w:rsid w:val="00C93B60"/>
    <w:rsid w:val="00CA382F"/>
    <w:rsid w:val="00CD0471"/>
    <w:rsid w:val="00CD479F"/>
    <w:rsid w:val="00CD55EB"/>
    <w:rsid w:val="00CF307E"/>
    <w:rsid w:val="00CF471B"/>
    <w:rsid w:val="00D05C10"/>
    <w:rsid w:val="00D1577B"/>
    <w:rsid w:val="00D31D7C"/>
    <w:rsid w:val="00D32833"/>
    <w:rsid w:val="00D444E1"/>
    <w:rsid w:val="00D50A85"/>
    <w:rsid w:val="00D50AB7"/>
    <w:rsid w:val="00D52E72"/>
    <w:rsid w:val="00D90CD9"/>
    <w:rsid w:val="00DE16E7"/>
    <w:rsid w:val="00E03DD2"/>
    <w:rsid w:val="00E22422"/>
    <w:rsid w:val="00E258B2"/>
    <w:rsid w:val="00E33592"/>
    <w:rsid w:val="00E57DAA"/>
    <w:rsid w:val="00E80A1E"/>
    <w:rsid w:val="00E81F5B"/>
    <w:rsid w:val="00E82172"/>
    <w:rsid w:val="00E91E88"/>
    <w:rsid w:val="00EA4E9B"/>
    <w:rsid w:val="00ED4420"/>
    <w:rsid w:val="00EE399B"/>
    <w:rsid w:val="00EE59F3"/>
    <w:rsid w:val="00EF5C45"/>
    <w:rsid w:val="00F04458"/>
    <w:rsid w:val="00F117B4"/>
    <w:rsid w:val="00F53A52"/>
    <w:rsid w:val="00F57150"/>
    <w:rsid w:val="00F66EA7"/>
    <w:rsid w:val="00F707EF"/>
    <w:rsid w:val="00F74A74"/>
    <w:rsid w:val="00F92C17"/>
    <w:rsid w:val="00FB371C"/>
    <w:rsid w:val="00FC23CE"/>
    <w:rsid w:val="00FE4FF7"/>
    <w:rsid w:val="4E292342"/>
    <w:rsid w:val="5FF806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85"/>
    <w:pPr>
      <w:spacing w:after="160" w:line="259" w:lineRule="auto"/>
    </w:pPr>
    <w:rPr>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A85"/>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qFormat/>
    <w:rsid w:val="00D50A85"/>
    <w:rPr>
      <w:color w:val="0563C1" w:themeColor="hyperlink"/>
      <w:u w:val="single"/>
    </w:rPr>
  </w:style>
  <w:style w:type="table" w:styleId="TableGrid">
    <w:name w:val="Table Grid"/>
    <w:basedOn w:val="TableNormal"/>
    <w:uiPriority w:val="39"/>
    <w:qFormat/>
    <w:rsid w:val="00D50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qFormat/>
    <w:rsid w:val="00D50A85"/>
    <w:rPr>
      <w:color w:val="808080"/>
    </w:rPr>
  </w:style>
  <w:style w:type="paragraph" w:customStyle="1" w:styleId="TableParagraph">
    <w:name w:val="Table Paragraph"/>
    <w:basedOn w:val="Normal"/>
    <w:uiPriority w:val="1"/>
    <w:qFormat/>
    <w:rsid w:val="00D50A85"/>
    <w:pPr>
      <w:widowControl w:val="0"/>
      <w:autoSpaceDE w:val="0"/>
      <w:autoSpaceDN w:val="0"/>
      <w:spacing w:after="0" w:line="240" w:lineRule="auto"/>
      <w:jc w:val="center"/>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qFormat/>
    <w:rsid w:val="00D50A85"/>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23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8C5"/>
    <w:rPr>
      <w:rFonts w:ascii="Tahoma" w:hAnsi="Tahoma" w:cs="Tahoma"/>
      <w:kern w:val="2"/>
      <w:sz w:val="16"/>
      <w:szCs w:val="16"/>
      <w:lang w:val="en-IN"/>
    </w:rPr>
  </w:style>
  <w:style w:type="character" w:customStyle="1" w:styleId="UnresolvedMention">
    <w:name w:val="Unresolved Mention"/>
    <w:basedOn w:val="DefaultParagraphFont"/>
    <w:uiPriority w:val="99"/>
    <w:semiHidden/>
    <w:unhideWhenUsed/>
    <w:rsid w:val="00E80A1E"/>
    <w:rPr>
      <w:color w:val="605E5C"/>
      <w:shd w:val="clear" w:color="auto" w:fill="E1DFDD"/>
    </w:rPr>
  </w:style>
  <w:style w:type="paragraph" w:styleId="Header">
    <w:name w:val="header"/>
    <w:basedOn w:val="Normal"/>
    <w:link w:val="HeaderChar"/>
    <w:uiPriority w:val="99"/>
    <w:unhideWhenUsed/>
    <w:rsid w:val="00CF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71B"/>
    <w:rPr>
      <w:kern w:val="2"/>
      <w:sz w:val="22"/>
      <w:szCs w:val="22"/>
      <w:lang w:val="en-IN"/>
    </w:rPr>
  </w:style>
  <w:style w:type="paragraph" w:styleId="Footer">
    <w:name w:val="footer"/>
    <w:basedOn w:val="Normal"/>
    <w:link w:val="FooterChar"/>
    <w:uiPriority w:val="99"/>
    <w:unhideWhenUsed/>
    <w:rsid w:val="00CF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71B"/>
    <w:rPr>
      <w:kern w:val="2"/>
      <w:sz w:val="22"/>
      <w:szCs w:val="22"/>
      <w:lang w:val="en-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nhb.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6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sz="1000"/>
              <a:t>Increase of yield/plant (kg) over control (%)</a:t>
            </a:r>
          </a:p>
        </c:rich>
      </c:tx>
      <c:spPr>
        <a:noFill/>
        <a:ln>
          <a:noFill/>
        </a:ln>
        <a:effectLst/>
      </c:spPr>
    </c:title>
    <c:plotArea>
      <c:layout>
        <c:manualLayout>
          <c:layoutTarget val="inner"/>
          <c:xMode val="edge"/>
          <c:yMode val="edge"/>
          <c:x val="4.6485690705092508E-2"/>
          <c:y val="0.12757475083056488"/>
          <c:w val="0.93651714215609649"/>
          <c:h val="0.59330290109085115"/>
        </c:manualLayout>
      </c:layout>
      <c:barChart>
        <c:barDir val="col"/>
        <c:grouping val="clustered"/>
        <c:ser>
          <c:idx val="0"/>
          <c:order val="0"/>
          <c:tx>
            <c:strRef>
              <c:f>Sheet1!$B$1</c:f>
              <c:strCache>
                <c:ptCount val="1"/>
                <c:pt idx="0">
                  <c:v>KNO₃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0"/>
              <c:layout>
                <c:manualLayout>
                  <c:x val="-5.6657223796034214E-3"/>
                  <c:y val="-2.990033222591378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Sheet1!$B$2</c:f>
              <c:numCache>
                <c:formatCode>General</c:formatCode>
                <c:ptCount val="1"/>
                <c:pt idx="0">
                  <c:v>19.100000000000001</c:v>
                </c:pt>
              </c:numCache>
            </c:numRef>
          </c:val>
          <c:extLst xmlns:c16r2="http://schemas.microsoft.com/office/drawing/2015/06/chart">
            <c:ext xmlns:c16="http://schemas.microsoft.com/office/drawing/2014/chart" uri="{C3380CC4-5D6E-409C-BE32-E72D297353CC}">
              <c16:uniqueId val="{00000001-D954-4181-B36A-D180530CF6FD}"/>
            </c:ext>
          </c:extLst>
        </c:ser>
        <c:ser>
          <c:idx val="1"/>
          <c:order val="1"/>
          <c:tx>
            <c:strRef>
              <c:f>Sheet1!$C$1</c:f>
              <c:strCache>
                <c:ptCount val="1"/>
                <c:pt idx="0">
                  <c:v>KNO₃ 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0"/>
              <c:layout>
                <c:manualLayout>
                  <c:x val="-3.4623459013312429E-17"/>
                  <c:y val="-3.9867109634551562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Sheet1!$C$2</c:f>
              <c:numCache>
                <c:formatCode>General</c:formatCode>
                <c:ptCount val="1"/>
                <c:pt idx="0">
                  <c:v>14.1</c:v>
                </c:pt>
              </c:numCache>
            </c:numRef>
          </c:val>
          <c:extLst xmlns:c16r2="http://schemas.microsoft.com/office/drawing/2015/06/chart">
            <c:ext xmlns:c16="http://schemas.microsoft.com/office/drawing/2014/chart" uri="{C3380CC4-5D6E-409C-BE32-E72D297353CC}">
              <c16:uniqueId val="{00000003-D954-4181-B36A-D180530CF6FD}"/>
            </c:ext>
          </c:extLst>
        </c:ser>
        <c:ser>
          <c:idx val="2"/>
          <c:order val="2"/>
          <c:tx>
            <c:strRef>
              <c:f>Sheet1!$D$1</c:f>
              <c:strCache>
                <c:ptCount val="1"/>
                <c:pt idx="0">
                  <c:v>Ethephon 250 ppm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0"/>
              <c:layout>
                <c:manualLayout>
                  <c:x val="1.8885741265344336E-3"/>
                  <c:y val="-3.986710963455163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Sheet1!$D$2</c:f>
              <c:numCache>
                <c:formatCode>General</c:formatCode>
                <c:ptCount val="1"/>
                <c:pt idx="0">
                  <c:v>9.3000000000000007</c:v>
                </c:pt>
              </c:numCache>
            </c:numRef>
          </c:val>
          <c:extLst xmlns:c16r2="http://schemas.microsoft.com/office/drawing/2015/06/chart">
            <c:ext xmlns:c16="http://schemas.microsoft.com/office/drawing/2014/chart" uri="{C3380CC4-5D6E-409C-BE32-E72D297353CC}">
              <c16:uniqueId val="{00000005-D954-4181-B36A-D180530CF6FD}"/>
            </c:ext>
          </c:extLst>
        </c:ser>
        <c:ser>
          <c:idx val="3"/>
          <c:order val="3"/>
          <c:tx>
            <c:strRef>
              <c:f>Sheet1!$E$1</c:f>
              <c:strCache>
                <c:ptCount val="1"/>
                <c:pt idx="0">
                  <c:v>Ethephon 500 ppm</c:v>
                </c:pt>
              </c:strCache>
            </c:strRef>
          </c:tx>
          <c:spPr>
            <a:solidFill>
              <a:srgbClr val="7030A0"/>
            </a:solidFill>
            <a:ln>
              <a:noFill/>
            </a:ln>
            <a:effectLst>
              <a:outerShdw blurRad="57150" dist="19050" dir="5400000" algn="ctr" rotWithShape="0">
                <a:srgbClr val="000000">
                  <a:alpha val="63000"/>
                </a:srgbClr>
              </a:outerShdw>
            </a:effectLst>
            <a:sp3d/>
          </c:spPr>
          <c:dLbls>
            <c:dLbl>
              <c:idx val="0"/>
              <c:layout>
                <c:manualLayout>
                  <c:x val="-5.6657223796034006E-3"/>
                  <c:y val="-6.9767441860465351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Sheet1!$E$2</c:f>
              <c:numCache>
                <c:formatCode>General</c:formatCode>
                <c:ptCount val="1"/>
                <c:pt idx="0">
                  <c:v>11.7</c:v>
                </c:pt>
              </c:numCache>
            </c:numRef>
          </c:val>
          <c:extLst xmlns:c16r2="http://schemas.microsoft.com/office/drawing/2015/06/chart">
            <c:ext xmlns:c16="http://schemas.microsoft.com/office/drawing/2014/chart" uri="{C3380CC4-5D6E-409C-BE32-E72D297353CC}">
              <c16:uniqueId val="{00000007-D954-4181-B36A-D180530CF6FD}"/>
            </c:ext>
          </c:extLst>
        </c:ser>
        <c:ser>
          <c:idx val="4"/>
          <c:order val="4"/>
          <c:tx>
            <c:strRef>
              <c:f>Sheet1!$F$1</c:f>
              <c:strCache>
                <c:ptCount val="1"/>
                <c:pt idx="0">
                  <c:v>CCC 500 ppm</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0"/>
              <c:layout>
                <c:manualLayout>
                  <c:x val="-1.4850960008486304E-2"/>
                  <c:y val="-1.4435221941537311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Sheet1!$F$2</c:f>
              <c:numCache>
                <c:formatCode>General</c:formatCode>
                <c:ptCount val="1"/>
                <c:pt idx="0">
                  <c:v>18.5</c:v>
                </c:pt>
              </c:numCache>
            </c:numRef>
          </c:val>
          <c:extLst xmlns:c16r2="http://schemas.microsoft.com/office/drawing/2015/06/chart">
            <c:ext xmlns:c16="http://schemas.microsoft.com/office/drawing/2014/chart" uri="{C3380CC4-5D6E-409C-BE32-E72D297353CC}">
              <c16:uniqueId val="{00000009-D954-4181-B36A-D180530CF6FD}"/>
            </c:ext>
          </c:extLst>
        </c:ser>
        <c:ser>
          <c:idx val="5"/>
          <c:order val="5"/>
          <c:tx>
            <c:strRef>
              <c:f>Sheet1!$G$1</c:f>
              <c:strCache>
                <c:ptCount val="1"/>
                <c:pt idx="0">
                  <c:v>CCC 1000 ppm</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0"/>
              <c:layout>
                <c:manualLayout>
                  <c:x val="-6.9246918026624821E-17"/>
                  <c:y val="-2.325581395348840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Sheet1!$G$2</c:f>
              <c:numCache>
                <c:formatCode>General</c:formatCode>
                <c:ptCount val="1"/>
                <c:pt idx="0">
                  <c:v>23.5</c:v>
                </c:pt>
              </c:numCache>
            </c:numRef>
          </c:val>
          <c:extLst xmlns:c16r2="http://schemas.microsoft.com/office/drawing/2015/06/chart">
            <c:ext xmlns:c16="http://schemas.microsoft.com/office/drawing/2014/chart" uri="{C3380CC4-5D6E-409C-BE32-E72D297353CC}">
              <c16:uniqueId val="{0000000B-D954-4181-B36A-D180530CF6FD}"/>
            </c:ext>
          </c:extLst>
        </c:ser>
        <c:ser>
          <c:idx val="6"/>
          <c:order val="6"/>
          <c:tx>
            <c:strRef>
              <c:f>Sheet1!$H$1</c:f>
              <c:strCache>
                <c:ptCount val="1"/>
                <c:pt idx="0">
                  <c:v>Paclobutrazol 500 ppm</c:v>
                </c:pt>
              </c:strCache>
            </c:strRef>
          </c:tx>
          <c:spPr>
            <a:solidFill>
              <a:srgbClr val="00B0F0"/>
            </a:solidFill>
            <a:ln>
              <a:noFill/>
            </a:ln>
            <a:effectLst>
              <a:outerShdw blurRad="57150" dist="19050" dir="5400000" algn="ctr" rotWithShape="0">
                <a:srgbClr val="000000">
                  <a:alpha val="63000"/>
                </a:srgbClr>
              </a:outerShdw>
            </a:effectLst>
            <a:sp3d/>
          </c:spPr>
          <c:dLbls>
            <c:dLbl>
              <c:idx val="0"/>
              <c:layout>
                <c:manualLayout>
                  <c:x val="1.8628182244165643E-2"/>
                  <c:y val="-3.9580639753123641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Sheet1!$H$2</c:f>
              <c:numCache>
                <c:formatCode>General</c:formatCode>
                <c:ptCount val="1"/>
                <c:pt idx="0">
                  <c:v>10.8</c:v>
                </c:pt>
              </c:numCache>
            </c:numRef>
          </c:val>
          <c:extLst xmlns:c16r2="http://schemas.microsoft.com/office/drawing/2015/06/chart">
            <c:ext xmlns:c16="http://schemas.microsoft.com/office/drawing/2014/chart" uri="{C3380CC4-5D6E-409C-BE32-E72D297353CC}">
              <c16:uniqueId val="{0000000D-D954-4181-B36A-D180530CF6FD}"/>
            </c:ext>
          </c:extLst>
        </c:ser>
        <c:ser>
          <c:idx val="7"/>
          <c:order val="7"/>
          <c:tx>
            <c:strRef>
              <c:f>Sheet1!$I$1</c:f>
              <c:strCache>
                <c:ptCount val="1"/>
                <c:pt idx="0">
                  <c:v>Paclobutrazol 1000 ppm</c:v>
                </c:pt>
              </c:strCache>
            </c:strRef>
          </c:tx>
          <c:spPr>
            <a:solidFill>
              <a:schemeClr val="accent5">
                <a:lumMod val="60000"/>
                <a:lumOff val="40000"/>
              </a:schemeClr>
            </a:solidFill>
            <a:ln>
              <a:noFill/>
            </a:ln>
            <a:effectLst>
              <a:outerShdw blurRad="57150" dist="19050" dir="5400000" algn="ctr" rotWithShape="0">
                <a:srgbClr val="000000">
                  <a:alpha val="63000"/>
                </a:srgbClr>
              </a:outerShdw>
            </a:effectLst>
            <a:sp3d/>
          </c:spPr>
          <c:dLbls>
            <c:dLbl>
              <c:idx val="0"/>
              <c:layout>
                <c:manualLayout>
                  <c:x val="7.5542965061378775E-3"/>
                  <c:y val="-3.3222591362126207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Sheet1!$I$2</c:f>
              <c:numCache>
                <c:formatCode>General</c:formatCode>
                <c:ptCount val="1"/>
                <c:pt idx="0">
                  <c:v>8.4</c:v>
                </c:pt>
              </c:numCache>
            </c:numRef>
          </c:val>
          <c:extLst xmlns:c16r2="http://schemas.microsoft.com/office/drawing/2015/06/chart">
            <c:ext xmlns:c16="http://schemas.microsoft.com/office/drawing/2014/chart" uri="{C3380CC4-5D6E-409C-BE32-E72D297353CC}">
              <c16:uniqueId val="{0000000F-D954-4181-B36A-D180530CF6FD}"/>
            </c:ext>
          </c:extLst>
        </c:ser>
        <c:ser>
          <c:idx val="8"/>
          <c:order val="8"/>
          <c:tx>
            <c:strRef>
              <c:f>Sheet1!$J$1</c:f>
              <c:strCache>
                <c:ptCount val="1"/>
                <c:pt idx="0">
                  <c:v>BA 50 ppm</c:v>
                </c:pt>
              </c:strCache>
            </c:strRef>
          </c:tx>
          <c:spPr>
            <a:solidFill>
              <a:schemeClr val="accent4">
                <a:lumMod val="40000"/>
                <a:lumOff val="60000"/>
              </a:schemeClr>
            </a:solidFill>
            <a:ln>
              <a:noFill/>
            </a:ln>
            <a:effectLst>
              <a:outerShdw blurRad="57150" dist="19050" dir="5400000" algn="ctr" rotWithShape="0">
                <a:srgbClr val="000000">
                  <a:alpha val="63000"/>
                </a:srgbClr>
              </a:outerShdw>
            </a:effectLst>
            <a:sp3d/>
          </c:spPr>
          <c:dLbls>
            <c:dLbl>
              <c:idx val="0"/>
              <c:layout>
                <c:manualLayout>
                  <c:x val="5.665722379603267E-3"/>
                  <c:y val="-3.654485049833891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Sheet1!$J$2</c:f>
              <c:numCache>
                <c:formatCode>General</c:formatCode>
                <c:ptCount val="1"/>
                <c:pt idx="0">
                  <c:v>9</c:v>
                </c:pt>
              </c:numCache>
            </c:numRef>
          </c:val>
          <c:extLst xmlns:c16r2="http://schemas.microsoft.com/office/drawing/2015/06/chart">
            <c:ext xmlns:c16="http://schemas.microsoft.com/office/drawing/2014/chart" uri="{C3380CC4-5D6E-409C-BE32-E72D297353CC}">
              <c16:uniqueId val="{00000011-D954-4181-B36A-D180530CF6FD}"/>
            </c:ext>
          </c:extLst>
        </c:ser>
        <c:ser>
          <c:idx val="9"/>
          <c:order val="9"/>
          <c:tx>
            <c:strRef>
              <c:f>Sheet1!$K$1</c:f>
              <c:strCache>
                <c:ptCount val="1"/>
                <c:pt idx="0">
                  <c:v>BA 100 ppm</c:v>
                </c:pt>
              </c:strCache>
            </c:strRef>
          </c:tx>
          <c:spPr>
            <a:solidFill>
              <a:srgbClr val="C00000"/>
            </a:solidFill>
            <a:ln>
              <a:noFill/>
            </a:ln>
            <a:effectLst>
              <a:outerShdw blurRad="57150" dist="19050" dir="5400000" algn="ctr" rotWithShape="0">
                <a:srgbClr val="000000">
                  <a:alpha val="63000"/>
                </a:srgbClr>
              </a:outerShdw>
            </a:effectLst>
            <a:sp3d/>
          </c:spPr>
          <c:dLbls>
            <c:dLbl>
              <c:idx val="0"/>
              <c:layout>
                <c:manualLayout>
                  <c:x val="1.8885741265344723E-2"/>
                  <c:y val="-1.6611295681063131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D954-4181-B36A-D180530CF6FD}"/>
                </c:ext>
              </c:extLst>
            </c:dLbl>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Sheet1!$K$2</c:f>
              <c:numCache>
                <c:formatCode>General</c:formatCode>
                <c:ptCount val="1"/>
                <c:pt idx="0">
                  <c:v>4.7</c:v>
                </c:pt>
              </c:numCache>
            </c:numRef>
          </c:val>
          <c:extLst xmlns:c16r2="http://schemas.microsoft.com/office/drawing/2015/06/chart">
            <c:ext xmlns:c16="http://schemas.microsoft.com/office/drawing/2014/chart" uri="{C3380CC4-5D6E-409C-BE32-E72D297353CC}">
              <c16:uniqueId val="{00000013-D954-4181-B36A-D180530CF6FD}"/>
            </c:ext>
          </c:extLst>
        </c:ser>
        <c:ser>
          <c:idx val="10"/>
          <c:order val="10"/>
          <c:tx>
            <c:strRef>
              <c:f>Sheet1!$L$1</c:f>
              <c:strCache>
                <c:ptCount val="1"/>
                <c:pt idx="0">
                  <c:v>Control</c:v>
                </c:pt>
              </c:strCache>
            </c:strRef>
          </c:tx>
          <c:spPr>
            <a:solidFill>
              <a:srgbClr val="00FF00"/>
            </a:soli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lIns="38100" tIns="19050" rIns="38100" bIns="19050" anchor="ctr" anchorCtr="1">
                <a:spAutoFit/>
              </a:bodyPr>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c:f>
              <c:strCache>
                <c:ptCount val="1"/>
                <c:pt idx="0">
                  <c:v>Increase of yield/plant over control</c:v>
                </c:pt>
              </c:strCache>
            </c:strRef>
          </c:cat>
          <c:val>
            <c:numRef>
              <c:f>Sheet1!$L$2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14-D954-4181-B36A-D180530CF6FD}"/>
            </c:ext>
          </c:extLst>
        </c:ser>
        <c:dLbls>
          <c:showVal val="1"/>
        </c:dLbls>
        <c:axId val="73130752"/>
        <c:axId val="73132672"/>
      </c:barChart>
      <c:catAx>
        <c:axId val="73130752"/>
        <c:scaling>
          <c:orientation val="minMax"/>
        </c:scaling>
        <c:delete val="1"/>
        <c:axPos val="b"/>
        <c:title>
          <c:tx>
            <c:rich>
              <a:bodyPr rot="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a:t>Treatments</a:t>
                </a:r>
              </a:p>
            </c:rich>
          </c:tx>
          <c:layout>
            <c:manualLayout>
              <c:xMode val="edge"/>
              <c:yMode val="edge"/>
              <c:x val="0.44336314901147322"/>
              <c:y val="0.69863578099249257"/>
            </c:manualLayout>
          </c:layout>
          <c:spPr>
            <a:noFill/>
            <a:ln>
              <a:noFill/>
            </a:ln>
            <a:effectLst/>
          </c:spPr>
        </c:title>
        <c:numFmt formatCode="General" sourceLinked="1"/>
        <c:majorTickMark val="none"/>
        <c:tickLblPos val="nextTo"/>
        <c:crossAx val="73132672"/>
        <c:crosses val="autoZero"/>
        <c:auto val="1"/>
        <c:lblAlgn val="ctr"/>
        <c:lblOffset val="100"/>
      </c:catAx>
      <c:valAx>
        <c:axId val="73132672"/>
        <c:scaling>
          <c:orientation val="minMax"/>
        </c:scaling>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r>
                  <a:rPr lang="en-US"/>
                  <a:t>Percentage (%)</a:t>
                </a:r>
              </a:p>
            </c:rich>
          </c:tx>
          <c:layout>
            <c:manualLayout>
              <c:xMode val="edge"/>
              <c:yMode val="edge"/>
              <c:x val="1.6173927267590125E-2"/>
              <c:y val="0.33196405681847957"/>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105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crossAx val="73130752"/>
        <c:crosses val="autoZero"/>
        <c:crossBetween val="between"/>
      </c:valAx>
      <c:spPr>
        <a:noFill/>
        <a:ln>
          <a:noFill/>
        </a:ln>
        <a:effectLst/>
      </c:spPr>
    </c:plotArea>
    <c:legend>
      <c:legendPos val="b"/>
      <c:layout>
        <c:manualLayout>
          <c:xMode val="edge"/>
          <c:yMode val="edge"/>
          <c:x val="1.3836110429539115E-2"/>
          <c:y val="0.76038088262223003"/>
          <c:w val="0.97043920501438841"/>
          <c:h val="0.21968556256049432"/>
        </c:manualLayout>
      </c:layout>
      <c:spPr>
        <a:solidFill>
          <a:schemeClr val="bg1"/>
        </a:solidFill>
        <a:ln>
          <a:solidFill>
            <a:schemeClr val="tx1"/>
          </a:solidFill>
        </a:ln>
        <a:effectLst/>
      </c:spPr>
      <c:txPr>
        <a:bodyPr rot="0" spcFirstLastPara="1" vertOverflow="ellipsis" vert="horz" wrap="square" anchor="ctr" anchorCtr="1"/>
        <a:lstStyle/>
        <a:p>
          <a:pPr>
            <a:defRPr lang="en-US" sz="1100" b="1"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charset="0"/>
              <a:ea typeface="+mn-ea"/>
              <a:cs typeface="Times New Roman" panose="02020603050405020304" charset="0"/>
            </a:defRPr>
          </a:pPr>
          <a:endParaRPr lang="en-US"/>
        </a:p>
      </c:txPr>
    </c:legend>
    <c:plotVisOnly val="1"/>
    <c:dispBlanksAs val="gap"/>
    <c:extLst xmlns:c16r2="http://schemas.microsoft.com/office/drawing/2015/06/chart">
      <c:ext uri="{0b15fc19-7d7d-44ad-8c2d-2c3a37ce22c3}">
        <chartProps xmlns="https://web.wps.cn/et/2018/main" chartId="{868e5951-554d-4f4d-9f74-774a8db2edc2}"/>
      </c:ext>
    </c:extLst>
  </c:chart>
  <c:spPr>
    <a:solidFill>
      <a:schemeClr val="bg2"/>
    </a:solidFill>
    <a:ln>
      <a:solidFill>
        <a:schemeClr val="tx1">
          <a:lumMod val="95000"/>
          <a:lumOff val="5000"/>
        </a:schemeClr>
      </a:solidFill>
    </a:ln>
    <a:effectLst/>
  </c:spPr>
  <c:txPr>
    <a:bodyPr/>
    <a:lstStyle/>
    <a:p>
      <a:pPr>
        <a:defRPr lang="en-US" sz="1050" b="1" cap="none" spc="0">
          <a:ln w="0"/>
          <a:solidFill>
            <a:schemeClr val="tx1"/>
          </a:solidFill>
          <a:effectLst>
            <a:outerShdw blurRad="38100" dist="19050" dir="2700000" algn="tl" rotWithShape="0">
              <a:schemeClr val="dk1">
                <a:alpha val="40000"/>
              </a:schemeClr>
            </a:outerShdw>
          </a:effectLst>
          <a:latin typeface="Times New Roman" panose="02020603050405020304" charset="0"/>
          <a:cs typeface="Times New Roman" panose="0202060305040502030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3AAC1-7725-4417-9553-09C99D74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3361</Words>
  <Characters>19163</Characters>
  <Application>Microsoft Office Word</Application>
  <DocSecurity>0</DocSecurity>
  <Lines>159</Lines>
  <Paragraphs>44</Paragraphs>
  <ScaleCrop>false</ScaleCrop>
  <Company>HP</Company>
  <LinksUpToDate>false</LinksUpToDate>
  <CharactersWithSpaces>22480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Ouddhav Datta</dc:creator>
  <cp:lastModifiedBy>PC</cp:lastModifiedBy>
  <cp:revision>2</cp:revision>
  <dcterms:created xsi:type="dcterms:W3CDTF">2025-05-08T07:35:00Z</dcterms:created>
  <dcterms:modified xsi:type="dcterms:W3CDTF">2025-05-08T07:35:00Z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169907ACC707496CB65C65FCF5BE26C1_12</vt:lpwstr>
  </property>
</Properties>
</file>