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webextensions/taskpanes.xml" ContentType="application/vnd.ms-office.webextensiontaskpan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D3A" w:rsidRDefault="00851D3A" w:rsidP="00277DE4">
      <w:pPr>
        <w:spacing w:after="0" w:line="360" w:lineRule="auto"/>
        <w:jc w:val="center"/>
        <w:rPr>
          <w:rFonts w:ascii="Times New Roman" w:hAnsi="Times New Roman" w:cs="Times New Roman"/>
          <w:b/>
          <w:bCs/>
          <w:sz w:val="28"/>
          <w:szCs w:val="28"/>
        </w:rPr>
      </w:pPr>
      <w:r w:rsidRPr="00851D3A">
        <w:rPr>
          <w:rFonts w:ascii="Times New Roman" w:hAnsi="Times New Roman" w:cs="Times New Roman"/>
          <w:b/>
          <w:bCs/>
          <w:i/>
          <w:iCs/>
          <w:sz w:val="28"/>
          <w:szCs w:val="28"/>
          <w:u w:val="single"/>
          <w:lang w:val="en-US"/>
        </w:rPr>
        <w:t>Original Research Article</w:t>
      </w:r>
    </w:p>
    <w:p w:rsidR="008E0635" w:rsidRDefault="008E0635" w:rsidP="00277DE4">
      <w:pPr>
        <w:spacing w:after="0" w:line="360" w:lineRule="auto"/>
        <w:jc w:val="center"/>
        <w:rPr>
          <w:rFonts w:ascii="Times New Roman" w:hAnsi="Times New Roman" w:cs="Times New Roman"/>
          <w:b/>
          <w:bCs/>
          <w:sz w:val="28"/>
          <w:szCs w:val="28"/>
        </w:rPr>
      </w:pPr>
      <w:commentRangeStart w:id="0"/>
      <w:r w:rsidRPr="008E0635">
        <w:rPr>
          <w:rFonts w:ascii="Times New Roman" w:hAnsi="Times New Roman" w:cs="Times New Roman"/>
          <w:b/>
          <w:bCs/>
          <w:sz w:val="28"/>
          <w:szCs w:val="28"/>
        </w:rPr>
        <w:t xml:space="preserve">Variations in Urea Dosages and Their Impact on Nitrogen Distribution, Soil </w:t>
      </w:r>
      <w:r w:rsidR="003B7C49" w:rsidRPr="008E0635">
        <w:rPr>
          <w:rFonts w:ascii="Times New Roman" w:hAnsi="Times New Roman" w:cs="Times New Roman"/>
          <w:b/>
          <w:bCs/>
          <w:sz w:val="28"/>
          <w:szCs w:val="28"/>
        </w:rPr>
        <w:t>Dynamics</w:t>
      </w:r>
      <w:r w:rsidRPr="008E0635">
        <w:rPr>
          <w:rFonts w:ascii="Times New Roman" w:hAnsi="Times New Roman" w:cs="Times New Roman"/>
          <w:b/>
          <w:bCs/>
          <w:sz w:val="28"/>
          <w:szCs w:val="28"/>
        </w:rPr>
        <w:t>and Seed Yield in Onion Crop</w:t>
      </w:r>
      <w:commentRangeEnd w:id="0"/>
      <w:r w:rsidR="0030057C">
        <w:rPr>
          <w:rStyle w:val="CommentReference"/>
        </w:rPr>
        <w:commentReference w:id="0"/>
      </w:r>
    </w:p>
    <w:p w:rsidR="00F0698D" w:rsidRDefault="00F0698D" w:rsidP="00BD40EA">
      <w:pPr>
        <w:spacing w:after="0" w:line="360" w:lineRule="auto"/>
        <w:jc w:val="both"/>
        <w:rPr>
          <w:rFonts w:ascii="Times New Roman" w:hAnsi="Times New Roman" w:cs="Times New Roman"/>
          <w:b/>
          <w:bCs/>
        </w:rPr>
      </w:pPr>
    </w:p>
    <w:p w:rsidR="009C5C3B" w:rsidRDefault="00CC5579" w:rsidP="00BD40EA">
      <w:pPr>
        <w:spacing w:after="0" w:line="360" w:lineRule="auto"/>
        <w:jc w:val="both"/>
        <w:rPr>
          <w:rFonts w:ascii="Times New Roman" w:hAnsi="Times New Roman" w:cs="Times New Roman"/>
          <w:b/>
          <w:bCs/>
        </w:rPr>
      </w:pPr>
      <w:r>
        <w:rPr>
          <w:rFonts w:ascii="Times New Roman" w:hAnsi="Times New Roman" w:cs="Times New Roman"/>
          <w:b/>
          <w:bCs/>
        </w:rPr>
        <w:t xml:space="preserve">Abstract </w:t>
      </w:r>
    </w:p>
    <w:p w:rsidR="009C5C3B" w:rsidRDefault="00C2651C" w:rsidP="00BD40EA">
      <w:pPr>
        <w:spacing w:after="0" w:line="360" w:lineRule="auto"/>
        <w:jc w:val="both"/>
        <w:rPr>
          <w:rFonts w:ascii="Times New Roman" w:hAnsi="Times New Roman" w:cs="Times New Roman"/>
        </w:rPr>
      </w:pPr>
      <w:r w:rsidRPr="00C2651C">
        <w:rPr>
          <w:rFonts w:ascii="Times New Roman" w:hAnsi="Times New Roman" w:cs="Times New Roman"/>
        </w:rPr>
        <w:t>This study examined nitrogen (N) uptake and distribution patterns in onion seed crops (</w:t>
      </w:r>
      <w:r w:rsidRPr="00C2651C">
        <w:rPr>
          <w:rFonts w:ascii="Times New Roman" w:hAnsi="Times New Roman" w:cs="Times New Roman"/>
          <w:i/>
          <w:iCs/>
        </w:rPr>
        <w:t>Allium cepa</w:t>
      </w:r>
      <w:r w:rsidRPr="00C2651C">
        <w:rPr>
          <w:rFonts w:ascii="Times New Roman" w:hAnsi="Times New Roman" w:cs="Times New Roman"/>
        </w:rPr>
        <w:t xml:space="preserve"> L.) under varying urea application rates (0, 50, 100, and 150 kg N/ha) over two growing seasons. Employing a </w:t>
      </w:r>
      <w:commentRangeStart w:id="1"/>
      <w:r w:rsidRPr="00C2651C">
        <w:rPr>
          <w:rFonts w:ascii="Times New Roman" w:hAnsi="Times New Roman" w:cs="Times New Roman"/>
        </w:rPr>
        <w:t>randomized complete block design</w:t>
      </w:r>
      <w:commentRangeEnd w:id="1"/>
      <w:r w:rsidR="00E85A9E">
        <w:rPr>
          <w:rStyle w:val="CommentReference"/>
        </w:rPr>
        <w:commentReference w:id="1"/>
      </w:r>
      <w:r w:rsidRPr="00C2651C">
        <w:rPr>
          <w:rFonts w:ascii="Times New Roman" w:hAnsi="Times New Roman" w:cs="Times New Roman"/>
        </w:rPr>
        <w:t xml:space="preserve">, the research assessed total nitrogen content in leaves, stems, and bulbs at 30 and 60 days after planting, along with soil nitrogen levels before and after harvest. Results demonstrated that </w:t>
      </w:r>
      <w:commentRangeStart w:id="2"/>
      <w:r w:rsidRPr="00C2651C">
        <w:rPr>
          <w:rFonts w:ascii="Times New Roman" w:hAnsi="Times New Roman" w:cs="Times New Roman"/>
        </w:rPr>
        <w:t xml:space="preserve">higher nitrogen </w:t>
      </w:r>
      <w:commentRangeEnd w:id="2"/>
      <w:r w:rsidR="003B2CC4">
        <w:rPr>
          <w:rStyle w:val="CommentReference"/>
        </w:rPr>
        <w:commentReference w:id="2"/>
      </w:r>
      <w:r w:rsidRPr="00C2651C">
        <w:rPr>
          <w:rFonts w:ascii="Times New Roman" w:hAnsi="Times New Roman" w:cs="Times New Roman"/>
        </w:rPr>
        <w:t xml:space="preserve">application significantly enhanced nitrogen accumulation across all plant parts. At 60 days after planting, the 150 kg N/ha treatment recorded the highest nitrogen content in leaf (6.23% and 6.18%), stem (5.70% and 5.61%), and bulb (4.25% and 4.25%) during 2020–21 and 2021–22, respectively. This improved uptake corresponded with the maximum seed yield of </w:t>
      </w:r>
      <w:commentRangeStart w:id="3"/>
      <w:r w:rsidRPr="00C2651C">
        <w:rPr>
          <w:rFonts w:ascii="Times New Roman" w:hAnsi="Times New Roman" w:cs="Times New Roman"/>
          <w:b/>
          <w:bCs/>
        </w:rPr>
        <w:t>774.67 g/plot and 1368.33 g/plot</w:t>
      </w:r>
      <w:commentRangeEnd w:id="3"/>
      <w:r w:rsidR="00E26196">
        <w:rPr>
          <w:rStyle w:val="CommentReference"/>
        </w:rPr>
        <w:commentReference w:id="3"/>
      </w:r>
      <w:r w:rsidRPr="00C2651C">
        <w:rPr>
          <w:rFonts w:ascii="Times New Roman" w:hAnsi="Times New Roman" w:cs="Times New Roman"/>
        </w:rPr>
        <w:t xml:space="preserve"> in the respective years. Post-harvest soil nitrogen levels were also highest at this treatment, reaching </w:t>
      </w:r>
      <w:commentRangeStart w:id="4"/>
      <w:r w:rsidRPr="00C2651C">
        <w:rPr>
          <w:rFonts w:ascii="Times New Roman" w:hAnsi="Times New Roman" w:cs="Times New Roman"/>
          <w:b/>
          <w:bCs/>
        </w:rPr>
        <w:t>172.51 and 162.28 kg/ha</w:t>
      </w:r>
      <w:r w:rsidRPr="00C2651C">
        <w:rPr>
          <w:rFonts w:ascii="Times New Roman" w:hAnsi="Times New Roman" w:cs="Times New Roman"/>
        </w:rPr>
        <w:t xml:space="preserve"> </w:t>
      </w:r>
      <w:commentRangeEnd w:id="4"/>
      <w:r w:rsidR="00E26196">
        <w:rPr>
          <w:rStyle w:val="CommentReference"/>
        </w:rPr>
        <w:commentReference w:id="4"/>
      </w:r>
      <w:r w:rsidRPr="00C2651C">
        <w:rPr>
          <w:rFonts w:ascii="Times New Roman" w:hAnsi="Times New Roman" w:cs="Times New Roman"/>
        </w:rPr>
        <w:t xml:space="preserve">in 2020–21 and 2021–22, respectively, indicating effective nitrogen retention. These findings underscore the importance of tailored nitrogen management strategies, including split applications, to optimize nutrient uptake during critical growth stages. By aligning nitrogen application with the physiological needs of the crop, this research provides valuable insights for enhancing onion seed yield </w:t>
      </w:r>
      <w:r w:rsidR="00DE6381">
        <w:rPr>
          <w:rFonts w:ascii="Times New Roman" w:hAnsi="Times New Roman" w:cs="Times New Roman"/>
        </w:rPr>
        <w:t>and contributing</w:t>
      </w:r>
      <w:r w:rsidR="009C5C3B" w:rsidRPr="009C5C3B">
        <w:rPr>
          <w:rFonts w:ascii="Times New Roman" w:hAnsi="Times New Roman" w:cs="Times New Roman"/>
        </w:rPr>
        <w:t xml:space="preserve"> to improved crop productivity and soil health in onion seed production.</w:t>
      </w:r>
    </w:p>
    <w:p w:rsidR="002F7E6B" w:rsidRPr="009C5C3B" w:rsidRDefault="00351AB2" w:rsidP="002F7E6B">
      <w:pPr>
        <w:spacing w:after="0" w:line="360" w:lineRule="auto"/>
        <w:jc w:val="both"/>
        <w:rPr>
          <w:rFonts w:ascii="Times New Roman" w:hAnsi="Times New Roman" w:cs="Times New Roman"/>
        </w:rPr>
      </w:pPr>
      <w:r w:rsidRPr="00ED7271">
        <w:rPr>
          <w:rFonts w:ascii="Times New Roman" w:hAnsi="Times New Roman" w:cs="Times New Roman"/>
          <w:b/>
          <w:bCs/>
        </w:rPr>
        <w:t>K</w:t>
      </w:r>
      <w:r w:rsidR="00ED7271" w:rsidRPr="00ED7271">
        <w:rPr>
          <w:rFonts w:ascii="Times New Roman" w:hAnsi="Times New Roman" w:cs="Times New Roman"/>
          <w:b/>
          <w:bCs/>
        </w:rPr>
        <w:t>eyword</w:t>
      </w:r>
      <w:r w:rsidR="004A5D11">
        <w:rPr>
          <w:rFonts w:ascii="Times New Roman" w:hAnsi="Times New Roman" w:cs="Times New Roman"/>
          <w:b/>
          <w:bCs/>
        </w:rPr>
        <w:t>s</w:t>
      </w:r>
      <w:r w:rsidRPr="00351AB2">
        <w:rPr>
          <w:rFonts w:ascii="Times New Roman" w:hAnsi="Times New Roman" w:cs="Times New Roman"/>
          <w:b/>
          <w:bCs/>
        </w:rPr>
        <w:t>:</w:t>
      </w:r>
      <w:r w:rsidR="00E26196">
        <w:rPr>
          <w:rFonts w:ascii="Times New Roman" w:hAnsi="Times New Roman" w:cs="Times New Roman"/>
          <w:b/>
          <w:bCs/>
        </w:rPr>
        <w:t xml:space="preserve"> </w:t>
      </w:r>
      <w:r w:rsidR="002F7E6B" w:rsidRPr="002F7E6B">
        <w:rPr>
          <w:rFonts w:ascii="Times New Roman" w:hAnsi="Times New Roman" w:cs="Times New Roman"/>
        </w:rPr>
        <w:t>Nitrogen</w:t>
      </w:r>
      <w:r w:rsidR="002F7E6B">
        <w:rPr>
          <w:rFonts w:ascii="Times New Roman" w:hAnsi="Times New Roman" w:cs="Times New Roman"/>
        </w:rPr>
        <w:t xml:space="preserve">, </w:t>
      </w:r>
      <w:r w:rsidR="002F7E6B" w:rsidRPr="002F7E6B">
        <w:rPr>
          <w:rFonts w:ascii="Times New Roman" w:hAnsi="Times New Roman" w:cs="Times New Roman"/>
        </w:rPr>
        <w:t>Onion</w:t>
      </w:r>
      <w:r w:rsidR="0004222A">
        <w:rPr>
          <w:rFonts w:ascii="Times New Roman" w:hAnsi="Times New Roman" w:cs="Times New Roman"/>
        </w:rPr>
        <w:t>,</w:t>
      </w:r>
      <w:r w:rsidR="00E26196">
        <w:rPr>
          <w:rFonts w:ascii="Times New Roman" w:hAnsi="Times New Roman" w:cs="Times New Roman"/>
        </w:rPr>
        <w:t xml:space="preserve"> </w:t>
      </w:r>
      <w:r w:rsidR="002F7E6B" w:rsidRPr="002F7E6B">
        <w:rPr>
          <w:rFonts w:ascii="Times New Roman" w:hAnsi="Times New Roman" w:cs="Times New Roman"/>
        </w:rPr>
        <w:t>Seed</w:t>
      </w:r>
      <w:r w:rsidR="0004222A">
        <w:rPr>
          <w:rFonts w:ascii="Times New Roman" w:hAnsi="Times New Roman" w:cs="Times New Roman"/>
        </w:rPr>
        <w:t xml:space="preserve">, </w:t>
      </w:r>
      <w:r w:rsidR="002F7E6B" w:rsidRPr="002F7E6B">
        <w:rPr>
          <w:rFonts w:ascii="Times New Roman" w:hAnsi="Times New Roman" w:cs="Times New Roman"/>
        </w:rPr>
        <w:t>yield</w:t>
      </w:r>
      <w:r w:rsidR="0004222A">
        <w:rPr>
          <w:rFonts w:ascii="Times New Roman" w:hAnsi="Times New Roman" w:cs="Times New Roman"/>
        </w:rPr>
        <w:t xml:space="preserve">, </w:t>
      </w:r>
      <w:r w:rsidR="008E67BB">
        <w:rPr>
          <w:rFonts w:ascii="Times New Roman" w:hAnsi="Times New Roman" w:cs="Times New Roman"/>
        </w:rPr>
        <w:t xml:space="preserve">Leaves, Stem, Bulb, </w:t>
      </w:r>
      <w:r w:rsidR="002F7E6B" w:rsidRPr="002F7E6B">
        <w:rPr>
          <w:rFonts w:ascii="Times New Roman" w:hAnsi="Times New Roman" w:cs="Times New Roman"/>
        </w:rPr>
        <w:t>Nutrient uptake</w:t>
      </w:r>
      <w:r w:rsidR="0004222A">
        <w:rPr>
          <w:rFonts w:ascii="Times New Roman" w:hAnsi="Times New Roman" w:cs="Times New Roman"/>
        </w:rPr>
        <w:t xml:space="preserve">, </w:t>
      </w:r>
      <w:r w:rsidR="00C2651C">
        <w:rPr>
          <w:rFonts w:ascii="Times New Roman" w:hAnsi="Times New Roman" w:cs="Times New Roman"/>
        </w:rPr>
        <w:t xml:space="preserve">Urea, </w:t>
      </w:r>
      <w:r w:rsidR="002F7E6B" w:rsidRPr="002F7E6B">
        <w:rPr>
          <w:rFonts w:ascii="Times New Roman" w:hAnsi="Times New Roman" w:cs="Times New Roman"/>
        </w:rPr>
        <w:t>productivity</w:t>
      </w:r>
      <w:r w:rsidR="0004222A">
        <w:rPr>
          <w:rFonts w:ascii="Times New Roman" w:hAnsi="Times New Roman" w:cs="Times New Roman"/>
        </w:rPr>
        <w:t xml:space="preserve">, </w:t>
      </w:r>
      <w:r w:rsidR="002F7E6B" w:rsidRPr="002F7E6B">
        <w:rPr>
          <w:rFonts w:ascii="Times New Roman" w:hAnsi="Times New Roman" w:cs="Times New Roman"/>
        </w:rPr>
        <w:t>Soil health</w:t>
      </w:r>
      <w:r w:rsidR="00ED7271">
        <w:rPr>
          <w:rFonts w:ascii="Times New Roman" w:hAnsi="Times New Roman" w:cs="Times New Roman"/>
        </w:rPr>
        <w:t>.</w:t>
      </w:r>
    </w:p>
    <w:p w:rsidR="006C1735" w:rsidRPr="00CE206D" w:rsidRDefault="006C1735" w:rsidP="00BD40EA">
      <w:pPr>
        <w:spacing w:after="0" w:line="360" w:lineRule="auto"/>
        <w:jc w:val="center"/>
        <w:rPr>
          <w:rFonts w:ascii="Times New Roman" w:hAnsi="Times New Roman" w:cs="Times New Roman"/>
          <w:b/>
          <w:bCs/>
        </w:rPr>
      </w:pPr>
    </w:p>
    <w:p w:rsidR="00D56CA4" w:rsidRPr="008D329A" w:rsidRDefault="00D56CA4" w:rsidP="00BD40EA">
      <w:pPr>
        <w:pStyle w:val="ListParagraph"/>
        <w:numPr>
          <w:ilvl w:val="0"/>
          <w:numId w:val="11"/>
        </w:numPr>
        <w:spacing w:after="0" w:line="360" w:lineRule="auto"/>
        <w:ind w:left="360"/>
        <w:rPr>
          <w:rFonts w:ascii="Times New Roman" w:hAnsi="Times New Roman" w:cs="Times New Roman"/>
          <w:b/>
          <w:bCs/>
        </w:rPr>
      </w:pPr>
      <w:r w:rsidRPr="008D329A">
        <w:rPr>
          <w:rFonts w:ascii="Times New Roman" w:hAnsi="Times New Roman" w:cs="Times New Roman"/>
          <w:b/>
          <w:bCs/>
        </w:rPr>
        <w:t>Introduction</w:t>
      </w:r>
    </w:p>
    <w:p w:rsidR="00D56CA4" w:rsidRPr="00CE206D" w:rsidRDefault="00214A39" w:rsidP="0002175D">
      <w:pPr>
        <w:spacing w:line="360" w:lineRule="auto"/>
        <w:jc w:val="both"/>
        <w:rPr>
          <w:rFonts w:ascii="Times New Roman" w:hAnsi="Times New Roman" w:cs="Times New Roman"/>
        </w:rPr>
      </w:pPr>
      <w:r w:rsidRPr="00214A39">
        <w:rPr>
          <w:rFonts w:ascii="Times New Roman" w:hAnsi="Times New Roman" w:cs="Times New Roman"/>
        </w:rPr>
        <w:t>Nitrogen is an essential macronutrient for plant growth and seed development, playing a crucial role in various physiological processes, including amino acid synthesis, protein formation, and chlorophyll production. Onions (</w:t>
      </w:r>
      <w:r w:rsidRPr="00214A39">
        <w:rPr>
          <w:rFonts w:ascii="Times New Roman" w:hAnsi="Times New Roman" w:cs="Times New Roman"/>
          <w:i/>
          <w:iCs/>
        </w:rPr>
        <w:t>Allium cepa</w:t>
      </w:r>
      <w:r w:rsidRPr="00214A39">
        <w:rPr>
          <w:rFonts w:ascii="Times New Roman" w:hAnsi="Times New Roman" w:cs="Times New Roman"/>
        </w:rPr>
        <w:t xml:space="preserve"> L.), a widely cultivated vegetable, exhibit distinct nitrogen uptake patterns, where nitrogen is primarily absorbed and accumulated in the leaves during early growth stages, followed by gradual translocation to the stem and bulb as the plant matures. This dynamic distribution significantly influences vegetative growth, bulb development, and seed formation. Understanding these patterns can </w:t>
      </w:r>
      <w:r w:rsidRPr="00214A39">
        <w:rPr>
          <w:rFonts w:ascii="Times New Roman" w:hAnsi="Times New Roman" w:cs="Times New Roman"/>
        </w:rPr>
        <w:lastRenderedPageBreak/>
        <w:t xml:space="preserve">aid in optimizing fertilization strategies and improving crop productivity. Studies have shown that optimal nitrogen levels can increase the number of seeds per umbel and enhance germination rates, ultimately resulting in higher seed </w:t>
      </w:r>
      <w:commentRangeStart w:id="5"/>
      <w:r w:rsidRPr="00214A39">
        <w:rPr>
          <w:rFonts w:ascii="Times New Roman" w:hAnsi="Times New Roman" w:cs="Times New Roman"/>
        </w:rPr>
        <w:t>yields</w:t>
      </w:r>
      <w:r w:rsidR="00D56CA4" w:rsidRPr="00CE206D">
        <w:rPr>
          <w:rFonts w:ascii="Times New Roman" w:hAnsi="Times New Roman" w:cs="Times New Roman"/>
        </w:rPr>
        <w:t>(</w:t>
      </w:r>
      <w:commentRangeEnd w:id="5"/>
      <w:r w:rsidR="00770F1E">
        <w:rPr>
          <w:rStyle w:val="CommentReference"/>
        </w:rPr>
        <w:commentReference w:id="5"/>
      </w:r>
      <w:r w:rsidR="00D56CA4" w:rsidRPr="00CE206D">
        <w:rPr>
          <w:rFonts w:ascii="Times New Roman" w:hAnsi="Times New Roman" w:cs="Times New Roman"/>
        </w:rPr>
        <w:t xml:space="preserve">Mandal </w:t>
      </w:r>
      <w:r w:rsidR="00D56CA4" w:rsidRPr="00C47929">
        <w:rPr>
          <w:rFonts w:ascii="Times New Roman" w:hAnsi="Times New Roman" w:cs="Times New Roman"/>
          <w:i/>
          <w:iCs/>
        </w:rPr>
        <w:t>et al.,</w:t>
      </w:r>
      <w:r w:rsidR="00D56CA4" w:rsidRPr="00CE206D">
        <w:rPr>
          <w:rFonts w:ascii="Times New Roman" w:hAnsi="Times New Roman" w:cs="Times New Roman"/>
        </w:rPr>
        <w:t xml:space="preserve"> 2016).</w:t>
      </w:r>
      <w:r w:rsidR="00770F1E">
        <w:rPr>
          <w:rFonts w:ascii="Times New Roman" w:hAnsi="Times New Roman" w:cs="Times New Roman"/>
        </w:rPr>
        <w:t xml:space="preserve"> </w:t>
      </w:r>
      <w:r w:rsidR="00D56CA4" w:rsidRPr="00CE206D">
        <w:rPr>
          <w:rFonts w:ascii="Times New Roman" w:hAnsi="Times New Roman" w:cs="Times New Roman"/>
        </w:rPr>
        <w:t xml:space="preserve">The nitrogen uptake in onions occurs predominantly through their roots, but it also involves translocation to various aerial parts, including leaves, stems, and bulbs. Research indicates that nitrogen uptake varies with the growth stage of the plant, with active absorption occurring primarily during the early vegetative stage, leading to increased biomass and leaf area (Moges </w:t>
      </w:r>
      <w:r w:rsidR="00D56CA4" w:rsidRPr="00DC5842">
        <w:rPr>
          <w:rFonts w:ascii="Times New Roman" w:hAnsi="Times New Roman" w:cs="Times New Roman"/>
          <w:i/>
          <w:iCs/>
        </w:rPr>
        <w:t>et al.,</w:t>
      </w:r>
      <w:r w:rsidR="00D56CA4" w:rsidRPr="00CE206D">
        <w:rPr>
          <w:rFonts w:ascii="Times New Roman" w:hAnsi="Times New Roman" w:cs="Times New Roman"/>
        </w:rPr>
        <w:t xml:space="preserve"> 2018). As the plant matures, nitrogen is remobilized from the leaves to the developing bulbs, emphasizing the need for timely nitrogen application to support bulb formation (Brewster, 1994).</w:t>
      </w:r>
    </w:p>
    <w:p w:rsidR="00D56CA4" w:rsidRPr="00CE206D" w:rsidRDefault="00D56CA4" w:rsidP="00EA6A1E">
      <w:pPr>
        <w:spacing w:line="360" w:lineRule="auto"/>
        <w:jc w:val="both"/>
        <w:rPr>
          <w:rFonts w:ascii="Times New Roman" w:hAnsi="Times New Roman" w:cs="Times New Roman"/>
        </w:rPr>
      </w:pPr>
      <w:r w:rsidRPr="00CE206D">
        <w:rPr>
          <w:rFonts w:ascii="Times New Roman" w:hAnsi="Times New Roman" w:cs="Times New Roman"/>
        </w:rPr>
        <w:t xml:space="preserve">Studies show that different onion cultivars exhibit varying nitrogen uptake efficiencies and distribution patterns. For instance, higher nitrogen concentrations have been observed in the leaves compared to bulbs during early growth stages, while later in the season, a shift occurs as nitrogen accumulates more in the bulb (Ali </w:t>
      </w:r>
      <w:r w:rsidRPr="00A53986">
        <w:rPr>
          <w:rFonts w:ascii="Times New Roman" w:hAnsi="Times New Roman" w:cs="Times New Roman"/>
          <w:i/>
          <w:iCs/>
        </w:rPr>
        <w:t>et al</w:t>
      </w:r>
      <w:r w:rsidRPr="00CE206D">
        <w:rPr>
          <w:rFonts w:ascii="Times New Roman" w:hAnsi="Times New Roman" w:cs="Times New Roman"/>
        </w:rPr>
        <w:t xml:space="preserve">., 2020). This translocation process is critical, as it affects both the quality and storage characteristics of the </w:t>
      </w:r>
      <w:r w:rsidR="00315BC3" w:rsidRPr="00CE206D">
        <w:rPr>
          <w:rFonts w:ascii="Times New Roman" w:hAnsi="Times New Roman" w:cs="Times New Roman"/>
        </w:rPr>
        <w:t xml:space="preserve">seed. </w:t>
      </w:r>
    </w:p>
    <w:p w:rsidR="00D56CA4" w:rsidRPr="00CE206D" w:rsidRDefault="00D56CA4" w:rsidP="00EA6A1E">
      <w:pPr>
        <w:spacing w:line="360" w:lineRule="auto"/>
        <w:jc w:val="both"/>
        <w:rPr>
          <w:rFonts w:ascii="Times New Roman" w:hAnsi="Times New Roman" w:cs="Times New Roman"/>
        </w:rPr>
      </w:pPr>
      <w:r w:rsidRPr="00CE206D">
        <w:rPr>
          <w:rFonts w:ascii="Times New Roman" w:hAnsi="Times New Roman" w:cs="Times New Roman"/>
        </w:rPr>
        <w:t xml:space="preserve">Furthermore, environmental factors such as soil type, moisture, and temperature can influence nitrogen uptake patterns. For instance, well-drained, nutrient-rich soils promote optimal nitrogen absorption, while excessive moisture may lead to nitrogen leaching, negatively impacting onion growth (Hao </w:t>
      </w:r>
      <w:r w:rsidRPr="004B0858">
        <w:rPr>
          <w:rFonts w:ascii="Times New Roman" w:hAnsi="Times New Roman" w:cs="Times New Roman"/>
          <w:i/>
          <w:iCs/>
        </w:rPr>
        <w:t>et al</w:t>
      </w:r>
      <w:r w:rsidRPr="00CE206D">
        <w:rPr>
          <w:rFonts w:ascii="Times New Roman" w:hAnsi="Times New Roman" w:cs="Times New Roman"/>
        </w:rPr>
        <w:t>., 2015).</w:t>
      </w:r>
    </w:p>
    <w:p w:rsidR="00D56CA4" w:rsidRPr="00CE206D" w:rsidRDefault="00D56CA4" w:rsidP="00BD40EA">
      <w:pPr>
        <w:spacing w:after="0" w:line="360" w:lineRule="auto"/>
        <w:jc w:val="both"/>
        <w:rPr>
          <w:rFonts w:ascii="Times New Roman" w:hAnsi="Times New Roman" w:cs="Times New Roman"/>
        </w:rPr>
      </w:pPr>
      <w:r w:rsidRPr="00CE206D">
        <w:rPr>
          <w:rFonts w:ascii="Times New Roman" w:hAnsi="Times New Roman" w:cs="Times New Roman"/>
        </w:rPr>
        <w:t xml:space="preserve">The timing and method of nitrogen application also play a vital role in the nitrogen uptake dynamics of onions. Split applications, where nitrogen is applied at various growth stages, can enhance uptake efficiency and yield (Zhou </w:t>
      </w:r>
      <w:r w:rsidRPr="004B0858">
        <w:rPr>
          <w:rFonts w:ascii="Times New Roman" w:hAnsi="Times New Roman" w:cs="Times New Roman"/>
          <w:i/>
          <w:iCs/>
        </w:rPr>
        <w:t>et al</w:t>
      </w:r>
      <w:r w:rsidRPr="00CE206D">
        <w:rPr>
          <w:rFonts w:ascii="Times New Roman" w:hAnsi="Times New Roman" w:cs="Times New Roman"/>
        </w:rPr>
        <w:t>., 2017). Consequently, understanding the nitrogen uptake pattern in different parts of the onion plant is essential for developing effective fertilization strategies that align with the plant's physiological needs and growth stages.</w:t>
      </w:r>
    </w:p>
    <w:p w:rsidR="00D56CA4" w:rsidRPr="00CE206D" w:rsidRDefault="00D56CA4" w:rsidP="00EA6A1E">
      <w:pPr>
        <w:spacing w:before="240" w:after="0" w:line="360" w:lineRule="auto"/>
        <w:jc w:val="both"/>
        <w:rPr>
          <w:rFonts w:ascii="Times New Roman" w:hAnsi="Times New Roman" w:cs="Times New Roman"/>
        </w:rPr>
      </w:pPr>
      <w:r w:rsidRPr="00CE206D">
        <w:rPr>
          <w:rFonts w:ascii="Times New Roman" w:hAnsi="Times New Roman" w:cs="Times New Roman"/>
        </w:rPr>
        <w:t>In summary, the nitrogen uptake pattern in onions varies significantly across different plant parts and growth stages, influenced by cultivar characteristics and environmental conditions. This knowledge is critical for improving fertilization practices, ensuring optimal growth</w:t>
      </w:r>
      <w:r w:rsidR="00635D19" w:rsidRPr="00CE206D">
        <w:rPr>
          <w:rFonts w:ascii="Times New Roman" w:hAnsi="Times New Roman" w:cs="Times New Roman"/>
        </w:rPr>
        <w:t>,</w:t>
      </w:r>
      <w:r w:rsidRPr="00CE206D">
        <w:rPr>
          <w:rFonts w:ascii="Times New Roman" w:hAnsi="Times New Roman" w:cs="Times New Roman"/>
        </w:rPr>
        <w:t xml:space="preserve"> and maximizing yield.</w:t>
      </w:r>
    </w:p>
    <w:p w:rsidR="00EA6A1E" w:rsidRDefault="00D56CA4" w:rsidP="00EA6A1E">
      <w:pPr>
        <w:spacing w:before="240" w:after="0" w:line="360" w:lineRule="auto"/>
        <w:jc w:val="both"/>
        <w:rPr>
          <w:rFonts w:ascii="Times New Roman" w:hAnsi="Times New Roman" w:cs="Times New Roman"/>
        </w:rPr>
      </w:pPr>
      <w:r w:rsidRPr="00CE206D">
        <w:rPr>
          <w:rFonts w:ascii="Times New Roman" w:hAnsi="Times New Roman" w:cs="Times New Roman"/>
        </w:rPr>
        <w:t xml:space="preserve">This research aims to assess nitrogen uptake and distribution in onion seed crops under varying urea application rates, determining how different levels influence plant growth and </w:t>
      </w:r>
      <w:r w:rsidRPr="00CE206D">
        <w:rPr>
          <w:rFonts w:ascii="Times New Roman" w:hAnsi="Times New Roman" w:cs="Times New Roman"/>
        </w:rPr>
        <w:lastRenderedPageBreak/>
        <w:t xml:space="preserve">seed yield. Additionally, the study will evaluate the effect of different urea doses on available soil nitrogen, comparing soil nitrogen levels before planting and after harvesting, to identify optimal fertilization strategies for sustainable onion seed </w:t>
      </w:r>
      <w:commentRangeStart w:id="6"/>
      <w:r w:rsidRPr="00CE206D">
        <w:rPr>
          <w:rFonts w:ascii="Times New Roman" w:hAnsi="Times New Roman" w:cs="Times New Roman"/>
        </w:rPr>
        <w:t>production</w:t>
      </w:r>
      <w:commentRangeEnd w:id="6"/>
      <w:r w:rsidR="00770F1E">
        <w:rPr>
          <w:rStyle w:val="CommentReference"/>
        </w:rPr>
        <w:commentReference w:id="6"/>
      </w:r>
      <w:r w:rsidRPr="00CE206D">
        <w:rPr>
          <w:rFonts w:ascii="Times New Roman" w:hAnsi="Times New Roman" w:cs="Times New Roman"/>
        </w:rPr>
        <w:t>.</w:t>
      </w:r>
    </w:p>
    <w:p w:rsidR="009D24D8" w:rsidRDefault="00C51FC0" w:rsidP="009D24D8">
      <w:pPr>
        <w:pStyle w:val="ListParagraph"/>
        <w:numPr>
          <w:ilvl w:val="0"/>
          <w:numId w:val="11"/>
        </w:numPr>
        <w:spacing w:before="240" w:after="0" w:line="360" w:lineRule="auto"/>
        <w:ind w:left="360"/>
        <w:jc w:val="both"/>
        <w:rPr>
          <w:rFonts w:ascii="Times New Roman" w:hAnsi="Times New Roman" w:cs="Times New Roman"/>
          <w:b/>
          <w:bCs/>
        </w:rPr>
      </w:pPr>
      <w:r w:rsidRPr="00F00C0A">
        <w:rPr>
          <w:rFonts w:ascii="Times New Roman" w:hAnsi="Times New Roman" w:cs="Times New Roman"/>
          <w:b/>
          <w:bCs/>
        </w:rPr>
        <w:t>Materials and Methods</w:t>
      </w:r>
    </w:p>
    <w:p w:rsidR="00C51FC0" w:rsidRPr="009E418C" w:rsidRDefault="00C51FC0" w:rsidP="00677EE3">
      <w:pPr>
        <w:pStyle w:val="ListParagraph"/>
        <w:numPr>
          <w:ilvl w:val="0"/>
          <w:numId w:val="13"/>
        </w:numPr>
        <w:spacing w:after="0" w:line="360" w:lineRule="auto"/>
        <w:ind w:left="450"/>
        <w:jc w:val="both"/>
        <w:rPr>
          <w:rFonts w:ascii="Times New Roman" w:hAnsi="Times New Roman" w:cs="Times New Roman"/>
          <w:b/>
          <w:bCs/>
          <w:i/>
          <w:iCs/>
        </w:rPr>
      </w:pPr>
      <w:r w:rsidRPr="009E418C">
        <w:rPr>
          <w:rFonts w:ascii="Times New Roman" w:hAnsi="Times New Roman" w:cs="Times New Roman"/>
          <w:b/>
          <w:bCs/>
          <w:i/>
          <w:iCs/>
        </w:rPr>
        <w:t>Study Area</w:t>
      </w:r>
    </w:p>
    <w:p w:rsidR="00765BBD" w:rsidRDefault="00C51FC0" w:rsidP="00677EE3">
      <w:pPr>
        <w:spacing w:after="0" w:line="360" w:lineRule="auto"/>
        <w:jc w:val="both"/>
        <w:rPr>
          <w:rFonts w:ascii="Times New Roman" w:hAnsi="Times New Roman" w:cs="Times New Roman"/>
        </w:rPr>
      </w:pPr>
      <w:r w:rsidRPr="00CE206D">
        <w:rPr>
          <w:rFonts w:ascii="Times New Roman" w:hAnsi="Times New Roman" w:cs="Times New Roman"/>
        </w:rPr>
        <w:t xml:space="preserve">The experiment was conducted at the ICAR - Directorate of Onion and Garlic Research (DOGR), Rajgurunagar, Pune, Maharashtra, India, over two growing </w:t>
      </w:r>
      <w:commentRangeStart w:id="7"/>
      <w:r w:rsidRPr="00CE206D">
        <w:rPr>
          <w:rFonts w:ascii="Times New Roman" w:hAnsi="Times New Roman" w:cs="Times New Roman"/>
        </w:rPr>
        <w:t>seasons,</w:t>
      </w:r>
      <w:commentRangeEnd w:id="7"/>
      <w:r w:rsidR="00B12823">
        <w:rPr>
          <w:rStyle w:val="CommentReference"/>
        </w:rPr>
        <w:commentReference w:id="7"/>
      </w:r>
      <w:r w:rsidRPr="00CE206D">
        <w:rPr>
          <w:rFonts w:ascii="Times New Roman" w:hAnsi="Times New Roman" w:cs="Times New Roman"/>
        </w:rPr>
        <w:t xml:space="preserve"> in 2020 and 2021</w:t>
      </w:r>
      <w:r w:rsidRPr="00365054">
        <w:rPr>
          <w:rFonts w:ascii="Times New Roman" w:hAnsi="Times New Roman" w:cs="Times New Roman"/>
        </w:rPr>
        <w:t xml:space="preserve">. </w:t>
      </w:r>
      <w:r w:rsidR="0007736E" w:rsidRPr="00365054">
        <w:rPr>
          <w:rFonts w:ascii="Times New Roman" w:eastAsia="Times New Roman" w:hAnsi="Times New Roman" w:cs="Times New Roman"/>
        </w:rPr>
        <w:t>The nitrogen content in the experimental field varied from 184.90 kg/ha in 2020–21 to 164.25 kg/ha in 2021–</w:t>
      </w:r>
      <w:commentRangeStart w:id="8"/>
      <w:r w:rsidR="0007736E" w:rsidRPr="00365054">
        <w:rPr>
          <w:rFonts w:ascii="Times New Roman" w:eastAsia="Times New Roman" w:hAnsi="Times New Roman" w:cs="Times New Roman"/>
        </w:rPr>
        <w:t>22</w:t>
      </w:r>
      <w:r w:rsidRPr="00CE206D">
        <w:rPr>
          <w:rFonts w:ascii="Times New Roman" w:hAnsi="Times New Roman" w:cs="Times New Roman"/>
        </w:rPr>
        <w:t>was</w:t>
      </w:r>
      <w:commentRangeEnd w:id="8"/>
      <w:r w:rsidR="00E72576">
        <w:rPr>
          <w:rStyle w:val="CommentReference"/>
        </w:rPr>
        <w:commentReference w:id="8"/>
      </w:r>
      <w:r w:rsidRPr="00CE206D">
        <w:rPr>
          <w:rFonts w:ascii="Times New Roman" w:hAnsi="Times New Roman" w:cs="Times New Roman"/>
        </w:rPr>
        <w:t xml:space="preserve"> classified as clay loam, with a pH of 7.9, indicating an alkaline nature, which is typical for onion cultivation.</w:t>
      </w:r>
    </w:p>
    <w:p w:rsidR="00C51FC0" w:rsidRPr="005B2F22" w:rsidRDefault="00C51FC0" w:rsidP="005B2F22">
      <w:pPr>
        <w:pStyle w:val="ListParagraph"/>
        <w:numPr>
          <w:ilvl w:val="0"/>
          <w:numId w:val="14"/>
        </w:numPr>
        <w:spacing w:before="240" w:after="0" w:line="360" w:lineRule="auto"/>
        <w:ind w:left="90" w:firstLine="52"/>
        <w:jc w:val="both"/>
        <w:rPr>
          <w:rFonts w:ascii="Times New Roman" w:hAnsi="Times New Roman" w:cs="Times New Roman"/>
          <w:i/>
          <w:iCs/>
        </w:rPr>
      </w:pPr>
      <w:r w:rsidRPr="005B2F22">
        <w:rPr>
          <w:rFonts w:ascii="Times New Roman" w:hAnsi="Times New Roman" w:cs="Times New Roman"/>
          <w:b/>
          <w:bCs/>
          <w:i/>
          <w:iCs/>
        </w:rPr>
        <w:t>Experimental Design</w:t>
      </w:r>
    </w:p>
    <w:p w:rsidR="00677EE3" w:rsidRDefault="00F62C8D" w:rsidP="00677EE3">
      <w:pPr>
        <w:spacing w:line="360" w:lineRule="auto"/>
        <w:jc w:val="both"/>
        <w:rPr>
          <w:rFonts w:ascii="Times New Roman" w:hAnsi="Times New Roman" w:cs="Times New Roman"/>
        </w:rPr>
      </w:pPr>
      <w:r w:rsidRPr="00CE206D">
        <w:rPr>
          <w:rFonts w:ascii="Times New Roman" w:hAnsi="Times New Roman" w:cs="Times New Roman"/>
        </w:rPr>
        <w:t xml:space="preserve">A </w:t>
      </w:r>
      <w:commentRangeStart w:id="9"/>
      <w:r w:rsidRPr="00CE206D">
        <w:rPr>
          <w:rFonts w:ascii="Times New Roman" w:hAnsi="Times New Roman" w:cs="Times New Roman"/>
        </w:rPr>
        <w:t xml:space="preserve">randomized complete block design (RCBD) </w:t>
      </w:r>
      <w:commentRangeEnd w:id="9"/>
      <w:r w:rsidR="00087F24">
        <w:rPr>
          <w:rStyle w:val="CommentReference"/>
        </w:rPr>
        <w:commentReference w:id="9"/>
      </w:r>
      <w:r w:rsidRPr="00CE206D">
        <w:rPr>
          <w:rFonts w:ascii="Times New Roman" w:hAnsi="Times New Roman" w:cs="Times New Roman"/>
        </w:rPr>
        <w:t xml:space="preserve">was employed with four treatments: control (no additional urea), 50 kg N/ha, 100 kg N/ha, and 150 kg N/ha. Each treatment was replicated </w:t>
      </w:r>
      <w:r w:rsidR="0090120A">
        <w:rPr>
          <w:rFonts w:ascii="Times New Roman" w:hAnsi="Times New Roman" w:cs="Times New Roman"/>
        </w:rPr>
        <w:t>five</w:t>
      </w:r>
      <w:r w:rsidRPr="00CE206D">
        <w:rPr>
          <w:rFonts w:ascii="Times New Roman" w:hAnsi="Times New Roman" w:cs="Times New Roman"/>
        </w:rPr>
        <w:t xml:space="preserve"> times, resulting in a total of </w:t>
      </w:r>
      <w:r w:rsidR="00E275CB">
        <w:rPr>
          <w:rFonts w:ascii="Times New Roman" w:hAnsi="Times New Roman" w:cs="Times New Roman"/>
        </w:rPr>
        <w:t>20</w:t>
      </w:r>
      <w:r w:rsidRPr="00CE206D">
        <w:rPr>
          <w:rFonts w:ascii="Times New Roman" w:hAnsi="Times New Roman" w:cs="Times New Roman"/>
        </w:rPr>
        <w:t xml:space="preserve"> plots. Bulbs were planted for seed production using the ridges and furrows method, with a distance of 60 cm between rows and 20 cm between plants, resulting in a total of </w:t>
      </w:r>
      <w:r w:rsidR="00CF6745">
        <w:rPr>
          <w:rFonts w:ascii="Times New Roman" w:hAnsi="Times New Roman" w:cs="Times New Roman"/>
        </w:rPr>
        <w:t>195</w:t>
      </w:r>
      <w:r w:rsidRPr="00CE206D">
        <w:rPr>
          <w:rFonts w:ascii="Times New Roman" w:hAnsi="Times New Roman" w:cs="Times New Roman"/>
        </w:rPr>
        <w:t xml:space="preserve"> bulbs planted</w:t>
      </w:r>
      <w:r w:rsidR="00677740" w:rsidRPr="00677740">
        <w:rPr>
          <w:rFonts w:ascii="Times New Roman" w:eastAsia="Times New Roman" w:hAnsi="Times New Roman" w:cs="Times New Roman"/>
        </w:rPr>
        <w:t xml:space="preserve">within an area of 27.3 square </w:t>
      </w:r>
      <w:r w:rsidR="0070313B">
        <w:rPr>
          <w:rFonts w:ascii="Times New Roman" w:eastAsia="Times New Roman" w:hAnsi="Times New Roman" w:cs="Times New Roman"/>
        </w:rPr>
        <w:t>meter</w:t>
      </w:r>
      <w:r w:rsidR="00CF6745" w:rsidRPr="00677740">
        <w:rPr>
          <w:rFonts w:ascii="Times New Roman" w:hAnsi="Times New Roman" w:cs="Times New Roman"/>
        </w:rPr>
        <w:t>plot</w:t>
      </w:r>
      <w:r w:rsidRPr="00CE206D">
        <w:rPr>
          <w:rFonts w:ascii="Times New Roman" w:hAnsi="Times New Roman" w:cs="Times New Roman"/>
        </w:rPr>
        <w:t>.</w:t>
      </w:r>
    </w:p>
    <w:p w:rsidR="00C51FC0" w:rsidRPr="00677EE3" w:rsidRDefault="00C51FC0" w:rsidP="00677EE3">
      <w:pPr>
        <w:pStyle w:val="ListParagraph"/>
        <w:numPr>
          <w:ilvl w:val="0"/>
          <w:numId w:val="15"/>
        </w:numPr>
        <w:spacing w:after="0" w:line="360" w:lineRule="auto"/>
        <w:jc w:val="both"/>
        <w:rPr>
          <w:rFonts w:ascii="Times New Roman" w:hAnsi="Times New Roman" w:cs="Times New Roman"/>
          <w:b/>
          <w:bCs/>
          <w:i/>
          <w:iCs/>
        </w:rPr>
      </w:pPr>
      <w:r w:rsidRPr="00677EE3">
        <w:rPr>
          <w:rFonts w:ascii="Times New Roman" w:hAnsi="Times New Roman" w:cs="Times New Roman"/>
          <w:b/>
          <w:bCs/>
          <w:i/>
          <w:iCs/>
        </w:rPr>
        <w:t>Plant Material</w:t>
      </w:r>
    </w:p>
    <w:p w:rsidR="00677EE3" w:rsidRDefault="00C51FC0" w:rsidP="00A4303C">
      <w:pPr>
        <w:spacing w:line="360" w:lineRule="auto"/>
        <w:jc w:val="both"/>
        <w:rPr>
          <w:rFonts w:ascii="Times New Roman" w:hAnsi="Times New Roman" w:cs="Times New Roman"/>
        </w:rPr>
      </w:pPr>
      <w:r w:rsidRPr="00CE206D">
        <w:rPr>
          <w:rFonts w:ascii="Times New Roman" w:hAnsi="Times New Roman" w:cs="Times New Roman"/>
        </w:rPr>
        <w:t>Onion bulbs of Bhima Shakti, with a diameter of 45</w:t>
      </w:r>
      <w:r w:rsidR="0023022F" w:rsidRPr="0023022F">
        <w:rPr>
          <w:rFonts w:ascii="Times New Roman" w:hAnsi="Times New Roman" w:cs="Times New Roman"/>
          <w:i/>
          <w:iCs/>
        </w:rPr>
        <w:t>–</w:t>
      </w:r>
      <w:r w:rsidRPr="00CE206D">
        <w:rPr>
          <w:rFonts w:ascii="Times New Roman" w:hAnsi="Times New Roman" w:cs="Times New Roman"/>
        </w:rPr>
        <w:t xml:space="preserve">60 mm, were sourced from </w:t>
      </w:r>
      <w:r w:rsidR="00332208" w:rsidRPr="00CE206D">
        <w:rPr>
          <w:rFonts w:ascii="Times New Roman" w:hAnsi="Times New Roman" w:cs="Times New Roman"/>
        </w:rPr>
        <w:t>the </w:t>
      </w:r>
      <w:commentRangeStart w:id="10"/>
      <w:r w:rsidR="00865A88" w:rsidRPr="00CE206D">
        <w:rPr>
          <w:rFonts w:ascii="Times New Roman" w:hAnsi="Times New Roman" w:cs="Times New Roman"/>
        </w:rPr>
        <w:t>Seed</w:t>
      </w:r>
      <w:r w:rsidR="00332208" w:rsidRPr="00CE206D">
        <w:rPr>
          <w:rFonts w:ascii="Times New Roman" w:hAnsi="Times New Roman" w:cs="Times New Roman"/>
        </w:rPr>
        <w:t>U</w:t>
      </w:r>
      <w:r w:rsidR="00865A88" w:rsidRPr="00CE206D">
        <w:rPr>
          <w:rFonts w:ascii="Times New Roman" w:hAnsi="Times New Roman" w:cs="Times New Roman"/>
        </w:rPr>
        <w:t>nit</w:t>
      </w:r>
      <w:commentRangeEnd w:id="10"/>
      <w:r w:rsidR="00B17544">
        <w:rPr>
          <w:rStyle w:val="CommentReference"/>
        </w:rPr>
        <w:commentReference w:id="10"/>
      </w:r>
      <w:r w:rsidR="00865A88" w:rsidRPr="00CE206D">
        <w:rPr>
          <w:rFonts w:ascii="Times New Roman" w:hAnsi="Times New Roman" w:cs="Times New Roman"/>
        </w:rPr>
        <w:t xml:space="preserve"> </w:t>
      </w:r>
      <w:r w:rsidR="00911254" w:rsidRPr="00CE206D">
        <w:rPr>
          <w:rFonts w:ascii="Times New Roman" w:hAnsi="Times New Roman" w:cs="Times New Roman"/>
        </w:rPr>
        <w:t xml:space="preserve">of ICAR- </w:t>
      </w:r>
      <w:r w:rsidR="002A294A" w:rsidRPr="00CE206D">
        <w:rPr>
          <w:rFonts w:ascii="Times New Roman" w:hAnsi="Times New Roman" w:cs="Times New Roman"/>
        </w:rPr>
        <w:t xml:space="preserve">Directorate of Onion and Garlic Research, Pune, India </w:t>
      </w:r>
      <w:r w:rsidRPr="00CE206D">
        <w:rPr>
          <w:rFonts w:ascii="Times New Roman" w:hAnsi="Times New Roman" w:cs="Times New Roman"/>
        </w:rPr>
        <w:t>and selected for uniformity in size and quality.</w:t>
      </w:r>
    </w:p>
    <w:p w:rsidR="00C51FC0" w:rsidRPr="00A4303C" w:rsidRDefault="00C51FC0" w:rsidP="00A4303C">
      <w:pPr>
        <w:pStyle w:val="ListParagraph"/>
        <w:numPr>
          <w:ilvl w:val="0"/>
          <w:numId w:val="16"/>
        </w:numPr>
        <w:spacing w:after="0" w:line="360" w:lineRule="auto"/>
        <w:jc w:val="both"/>
        <w:rPr>
          <w:rFonts w:ascii="Times New Roman" w:hAnsi="Times New Roman" w:cs="Times New Roman"/>
          <w:b/>
          <w:bCs/>
          <w:i/>
          <w:iCs/>
        </w:rPr>
      </w:pPr>
      <w:r w:rsidRPr="00A4303C">
        <w:rPr>
          <w:rFonts w:ascii="Times New Roman" w:hAnsi="Times New Roman" w:cs="Times New Roman"/>
          <w:b/>
          <w:bCs/>
          <w:i/>
          <w:iCs/>
        </w:rPr>
        <w:t>Fertilization Regimen</w:t>
      </w:r>
    </w:p>
    <w:p w:rsidR="002A3478" w:rsidRDefault="00C51FC0" w:rsidP="002A3478">
      <w:pPr>
        <w:spacing w:line="360" w:lineRule="auto"/>
        <w:jc w:val="both"/>
        <w:rPr>
          <w:rFonts w:ascii="Times New Roman" w:hAnsi="Times New Roman" w:cs="Times New Roman"/>
        </w:rPr>
      </w:pPr>
      <w:r w:rsidRPr="00CE206D">
        <w:rPr>
          <w:rFonts w:ascii="Times New Roman" w:hAnsi="Times New Roman" w:cs="Times New Roman"/>
        </w:rPr>
        <w:t>Urea was used as the source of nitrogen</w:t>
      </w:r>
      <w:r w:rsidR="0066250A" w:rsidRPr="00CE206D">
        <w:rPr>
          <w:rFonts w:ascii="Times New Roman" w:hAnsi="Times New Roman" w:cs="Times New Roman"/>
        </w:rPr>
        <w:t xml:space="preserve"> with treatment-wise additional </w:t>
      </w:r>
      <w:r w:rsidR="00D27D19">
        <w:rPr>
          <w:rFonts w:ascii="Times New Roman" w:hAnsi="Times New Roman" w:cs="Times New Roman"/>
        </w:rPr>
        <w:t>u</w:t>
      </w:r>
      <w:r w:rsidR="00D27D19" w:rsidRPr="00CE206D">
        <w:rPr>
          <w:rFonts w:ascii="Times New Roman" w:hAnsi="Times New Roman" w:cs="Times New Roman"/>
        </w:rPr>
        <w:t xml:space="preserve">rea </w:t>
      </w:r>
      <w:r w:rsidR="0066250A" w:rsidRPr="00CE206D">
        <w:rPr>
          <w:rFonts w:ascii="Times New Roman" w:hAnsi="Times New Roman" w:cs="Times New Roman"/>
        </w:rPr>
        <w:t xml:space="preserve">application </w:t>
      </w:r>
      <w:r w:rsidR="00D27D19" w:rsidRPr="00CE206D">
        <w:rPr>
          <w:rFonts w:ascii="Times New Roman" w:hAnsi="Times New Roman" w:cs="Times New Roman"/>
        </w:rPr>
        <w:t>i.e.</w:t>
      </w:r>
      <w:r w:rsidR="0066250A" w:rsidRPr="00CE206D">
        <w:rPr>
          <w:rFonts w:ascii="Times New Roman" w:hAnsi="Times New Roman" w:cs="Times New Roman"/>
        </w:rPr>
        <w:t xml:space="preserve"> 82gm (</w:t>
      </w:r>
      <w:r w:rsidR="00AB2C9B" w:rsidRPr="00CE206D">
        <w:rPr>
          <w:rFonts w:ascii="Times New Roman" w:hAnsi="Times New Roman" w:cs="Times New Roman"/>
        </w:rPr>
        <w:t>50</w:t>
      </w:r>
      <w:r w:rsidR="007A1172" w:rsidRPr="00CE206D">
        <w:rPr>
          <w:rFonts w:ascii="Times New Roman" w:hAnsi="Times New Roman" w:cs="Times New Roman"/>
        </w:rPr>
        <w:t xml:space="preserve"> kg/ha</w:t>
      </w:r>
      <w:r w:rsidR="0066250A" w:rsidRPr="00CE206D">
        <w:rPr>
          <w:rFonts w:ascii="Times New Roman" w:hAnsi="Times New Roman" w:cs="Times New Roman"/>
        </w:rPr>
        <w:t>), 163gm (</w:t>
      </w:r>
      <w:r w:rsidR="007A1172" w:rsidRPr="00CE206D">
        <w:rPr>
          <w:rFonts w:ascii="Times New Roman" w:hAnsi="Times New Roman" w:cs="Times New Roman"/>
        </w:rPr>
        <w:t>100 kg/ha</w:t>
      </w:r>
      <w:r w:rsidR="0066250A" w:rsidRPr="00CE206D">
        <w:rPr>
          <w:rFonts w:ascii="Times New Roman" w:hAnsi="Times New Roman" w:cs="Times New Roman"/>
        </w:rPr>
        <w:t>) and 245gm (</w:t>
      </w:r>
      <w:r w:rsidR="007A1172" w:rsidRPr="00CE206D">
        <w:rPr>
          <w:rFonts w:ascii="Times New Roman" w:hAnsi="Times New Roman" w:cs="Times New Roman"/>
        </w:rPr>
        <w:t>150 kg/ha</w:t>
      </w:r>
      <w:r w:rsidR="0066250A" w:rsidRPr="00CE206D">
        <w:rPr>
          <w:rFonts w:ascii="Times New Roman" w:hAnsi="Times New Roman" w:cs="Times New Roman"/>
        </w:rPr>
        <w:t>) respectively</w:t>
      </w:r>
      <w:r w:rsidR="00D27D19">
        <w:rPr>
          <w:rFonts w:ascii="Times New Roman" w:hAnsi="Times New Roman" w:cs="Times New Roman"/>
        </w:rPr>
        <w:t xml:space="preserve"> per plot</w:t>
      </w:r>
      <w:r w:rsidRPr="00CE206D">
        <w:rPr>
          <w:rFonts w:ascii="Times New Roman" w:hAnsi="Times New Roman" w:cs="Times New Roman"/>
        </w:rPr>
        <w:t xml:space="preserve">, applied in two split doses at 30 and 45 days after bulb planting, along with a basal dose comprising 530 g of NPK and 91 g of urea. In the control </w:t>
      </w:r>
      <w:r w:rsidR="00671E40" w:rsidRPr="00CE206D">
        <w:rPr>
          <w:rFonts w:ascii="Times New Roman" w:hAnsi="Times New Roman" w:cs="Times New Roman"/>
        </w:rPr>
        <w:t xml:space="preserve">(0 </w:t>
      </w:r>
      <w:r w:rsidR="00D27D19">
        <w:rPr>
          <w:rFonts w:ascii="Times New Roman" w:hAnsi="Times New Roman" w:cs="Times New Roman"/>
        </w:rPr>
        <w:t xml:space="preserve">N </w:t>
      </w:r>
      <w:r w:rsidR="00671E40" w:rsidRPr="00CE206D">
        <w:rPr>
          <w:rFonts w:ascii="Times New Roman" w:hAnsi="Times New Roman" w:cs="Times New Roman"/>
        </w:rPr>
        <w:t>kg</w:t>
      </w:r>
      <w:r w:rsidR="00CA1894" w:rsidRPr="00CE206D">
        <w:rPr>
          <w:rFonts w:ascii="Times New Roman" w:hAnsi="Times New Roman" w:cs="Times New Roman"/>
        </w:rPr>
        <w:t>/ha</w:t>
      </w:r>
      <w:r w:rsidR="00671E40" w:rsidRPr="00CE206D">
        <w:rPr>
          <w:rFonts w:ascii="Times New Roman" w:hAnsi="Times New Roman" w:cs="Times New Roman"/>
        </w:rPr>
        <w:t>)</w:t>
      </w:r>
      <w:r w:rsidR="00D27D19">
        <w:rPr>
          <w:rFonts w:ascii="Times New Roman" w:hAnsi="Times New Roman" w:cs="Times New Roman"/>
        </w:rPr>
        <w:t>,</w:t>
      </w:r>
      <w:r w:rsidRPr="00CE206D">
        <w:rPr>
          <w:rFonts w:ascii="Times New Roman" w:hAnsi="Times New Roman" w:cs="Times New Roman"/>
        </w:rPr>
        <w:t xml:space="preserve">only the basal dose </w:t>
      </w:r>
      <w:r w:rsidR="00941A60" w:rsidRPr="00CE206D">
        <w:rPr>
          <w:rFonts w:ascii="Times New Roman" w:hAnsi="Times New Roman" w:cs="Times New Roman"/>
        </w:rPr>
        <w:t xml:space="preserve">of SSP </w:t>
      </w:r>
      <w:commentRangeStart w:id="11"/>
      <w:r w:rsidR="00941A60" w:rsidRPr="00CE206D">
        <w:rPr>
          <w:rFonts w:ascii="Times New Roman" w:hAnsi="Times New Roman" w:cs="Times New Roman"/>
        </w:rPr>
        <w:t>(855gm), MOP (228gm) and Sulphur (91gm)</w:t>
      </w:r>
      <w:commentRangeEnd w:id="11"/>
      <w:r w:rsidR="00B17544">
        <w:rPr>
          <w:rStyle w:val="CommentReference"/>
        </w:rPr>
        <w:commentReference w:id="11"/>
      </w:r>
      <w:r w:rsidR="00941A60" w:rsidRPr="00CE206D">
        <w:rPr>
          <w:rFonts w:ascii="Times New Roman" w:hAnsi="Times New Roman" w:cs="Times New Roman"/>
        </w:rPr>
        <w:t xml:space="preserve"> were applied.</w:t>
      </w:r>
    </w:p>
    <w:p w:rsidR="00704082" w:rsidRPr="00944359" w:rsidRDefault="00615429" w:rsidP="00944359">
      <w:pPr>
        <w:pStyle w:val="ListParagraph"/>
        <w:numPr>
          <w:ilvl w:val="0"/>
          <w:numId w:val="30"/>
        </w:numPr>
        <w:spacing w:after="0" w:line="360" w:lineRule="auto"/>
        <w:jc w:val="both"/>
        <w:rPr>
          <w:rFonts w:ascii="Times New Roman" w:hAnsi="Times New Roman" w:cs="Times New Roman"/>
          <w:i/>
          <w:iCs/>
        </w:rPr>
      </w:pPr>
      <w:r w:rsidRPr="00944359">
        <w:rPr>
          <w:rFonts w:ascii="Times New Roman" w:hAnsi="Times New Roman" w:cs="Times New Roman"/>
          <w:b/>
          <w:bCs/>
          <w:i/>
          <w:iCs/>
        </w:rPr>
        <w:t xml:space="preserve">Observations Recorded </w:t>
      </w:r>
    </w:p>
    <w:p w:rsidR="00C51FC0" w:rsidRPr="00CE206D" w:rsidRDefault="00C51FC0" w:rsidP="00944359">
      <w:pPr>
        <w:spacing w:line="360" w:lineRule="auto"/>
        <w:jc w:val="both"/>
        <w:rPr>
          <w:rFonts w:ascii="Times New Roman" w:hAnsi="Times New Roman" w:cs="Times New Roman"/>
        </w:rPr>
      </w:pPr>
      <w:r w:rsidRPr="00CE206D">
        <w:rPr>
          <w:rFonts w:ascii="Times New Roman" w:hAnsi="Times New Roman" w:cs="Times New Roman"/>
        </w:rPr>
        <w:t xml:space="preserve">Observations were recorded on total nitrogen percentage in leaf samples, stem samples, and planted bulbs, </w:t>
      </w:r>
      <w:r w:rsidR="00940088" w:rsidRPr="00CE206D">
        <w:rPr>
          <w:rFonts w:ascii="Times New Roman" w:hAnsi="Times New Roman" w:cs="Times New Roman"/>
        </w:rPr>
        <w:t>analyzed</w:t>
      </w:r>
      <w:r w:rsidRPr="00CE206D">
        <w:rPr>
          <w:rFonts w:ascii="Times New Roman" w:hAnsi="Times New Roman" w:cs="Times New Roman"/>
        </w:rPr>
        <w:t xml:space="preserve"> at 30 and 60 days after planting. Additionally, available soil nitrogen </w:t>
      </w:r>
      <w:r w:rsidRPr="00CE206D">
        <w:rPr>
          <w:rFonts w:ascii="Times New Roman" w:hAnsi="Times New Roman" w:cs="Times New Roman"/>
        </w:rPr>
        <w:lastRenderedPageBreak/>
        <w:t>levels were assessed before planting and harvesting, reported in kg/ha.</w:t>
      </w:r>
      <w:r w:rsidR="00DA1B5B">
        <w:rPr>
          <w:rFonts w:ascii="Times New Roman" w:hAnsi="Times New Roman" w:cs="Times New Roman"/>
        </w:rPr>
        <w:t xml:space="preserve"> And Seed yield </w:t>
      </w:r>
      <w:r w:rsidR="00255CD4">
        <w:rPr>
          <w:rFonts w:ascii="Times New Roman" w:hAnsi="Times New Roman" w:cs="Times New Roman"/>
        </w:rPr>
        <w:t>is </w:t>
      </w:r>
      <w:r w:rsidR="00C72E9D">
        <w:rPr>
          <w:rFonts w:ascii="Times New Roman" w:hAnsi="Times New Roman" w:cs="Times New Roman"/>
        </w:rPr>
        <w:t xml:space="preserve">calculated at </w:t>
      </w:r>
      <w:r w:rsidR="00D27D19">
        <w:rPr>
          <w:rFonts w:ascii="Times New Roman" w:hAnsi="Times New Roman" w:cs="Times New Roman"/>
        </w:rPr>
        <w:t>harvesting</w:t>
      </w:r>
      <w:r w:rsidR="00C72E9D">
        <w:rPr>
          <w:rFonts w:ascii="Times New Roman" w:hAnsi="Times New Roman" w:cs="Times New Roman"/>
        </w:rPr>
        <w:t>.</w:t>
      </w:r>
    </w:p>
    <w:p w:rsidR="00AA30A0" w:rsidRPr="00F55CBC" w:rsidRDefault="00AA30A0" w:rsidP="00944359">
      <w:pPr>
        <w:pStyle w:val="ListParagraph"/>
        <w:numPr>
          <w:ilvl w:val="0"/>
          <w:numId w:val="18"/>
        </w:numPr>
        <w:spacing w:after="0" w:line="360" w:lineRule="auto"/>
        <w:jc w:val="both"/>
        <w:rPr>
          <w:rFonts w:ascii="Times New Roman" w:hAnsi="Times New Roman" w:cs="Times New Roman"/>
          <w:i/>
          <w:iCs/>
        </w:rPr>
      </w:pPr>
      <w:r w:rsidRPr="00F55CBC">
        <w:rPr>
          <w:rFonts w:ascii="Times New Roman" w:hAnsi="Times New Roman" w:cs="Times New Roman"/>
          <w:b/>
          <w:bCs/>
          <w:i/>
          <w:iCs/>
        </w:rPr>
        <w:t>Nitrogen Uptake and Distribution</w:t>
      </w:r>
    </w:p>
    <w:p w:rsidR="00AA30A0" w:rsidRPr="00CE206D" w:rsidRDefault="00AA30A0" w:rsidP="00944359">
      <w:pPr>
        <w:spacing w:after="0" w:line="360" w:lineRule="auto"/>
        <w:jc w:val="both"/>
        <w:rPr>
          <w:rFonts w:ascii="Times New Roman" w:hAnsi="Times New Roman" w:cs="Times New Roman"/>
        </w:rPr>
      </w:pPr>
      <w:r w:rsidRPr="00CE206D">
        <w:rPr>
          <w:rFonts w:ascii="Times New Roman" w:hAnsi="Times New Roman" w:cs="Times New Roman"/>
        </w:rPr>
        <w:t xml:space="preserve">Total nitrogen content in the samples was measured using the Kjeldahl method, which involves two main steps: </w:t>
      </w:r>
      <w:commentRangeStart w:id="12"/>
      <w:r w:rsidRPr="00F55CBC">
        <w:rPr>
          <w:rFonts w:ascii="Times New Roman" w:hAnsi="Times New Roman" w:cs="Times New Roman"/>
          <w:b/>
          <w:bCs/>
        </w:rPr>
        <w:t>digestion and distillation.</w:t>
      </w:r>
      <w:commentRangeEnd w:id="12"/>
      <w:r w:rsidR="00687FEE">
        <w:rPr>
          <w:rStyle w:val="CommentReference"/>
        </w:rPr>
        <w:commentReference w:id="12"/>
      </w:r>
    </w:p>
    <w:p w:rsidR="00C4410D" w:rsidRPr="00C4410D" w:rsidRDefault="00C4410D" w:rsidP="00BD40EA">
      <w:pPr>
        <w:spacing w:after="0" w:line="360" w:lineRule="auto"/>
        <w:jc w:val="both"/>
        <w:rPr>
          <w:rFonts w:ascii="Times New Roman" w:hAnsi="Times New Roman" w:cs="Times New Roman"/>
        </w:rPr>
      </w:pPr>
      <w:r w:rsidRPr="00C4410D">
        <w:rPr>
          <w:rFonts w:ascii="Times New Roman" w:hAnsi="Times New Roman" w:cs="Times New Roman"/>
        </w:rPr>
        <w:t xml:space="preserve">The total nitrogen content in the samples was measured using the Kjeldahl method, which consists of two main steps: digestion and distillation. For the Kjeldahl digestion, approximately 0.5 g of dried and finely ground samples (leaves, stems, or bulbs) were accurately weighed and placed in a digestion flask. To each flask, 10 mL of concentrated sulfuric acid </w:t>
      </w:r>
      <w:commentRangeStart w:id="13"/>
      <w:r w:rsidRPr="00C4410D">
        <w:rPr>
          <w:rFonts w:ascii="Times New Roman" w:hAnsi="Times New Roman" w:cs="Times New Roman"/>
        </w:rPr>
        <w:t>(H₂SO₄)</w:t>
      </w:r>
      <w:commentRangeEnd w:id="13"/>
      <w:r w:rsidR="00687FEE">
        <w:rPr>
          <w:rStyle w:val="CommentReference"/>
        </w:rPr>
        <w:commentReference w:id="13"/>
      </w:r>
      <w:r w:rsidRPr="00C4410D">
        <w:rPr>
          <w:rFonts w:ascii="Times New Roman" w:hAnsi="Times New Roman" w:cs="Times New Roman"/>
        </w:rPr>
        <w:t xml:space="preserve"> was added, along with a catalyst mixture composed of 1 g of potassium sulfate </w:t>
      </w:r>
      <w:r w:rsidRPr="004C1A6E">
        <w:rPr>
          <w:rFonts w:ascii="Times New Roman" w:hAnsi="Times New Roman" w:cs="Times New Roman"/>
          <w:color w:val="FF0000"/>
        </w:rPr>
        <w:t>(K₂SO₄)</w:t>
      </w:r>
      <w:r w:rsidRPr="00C4410D">
        <w:rPr>
          <w:rFonts w:ascii="Times New Roman" w:hAnsi="Times New Roman" w:cs="Times New Roman"/>
        </w:rPr>
        <w:t xml:space="preserve"> and a small amount of copper sulfate </w:t>
      </w:r>
      <w:r w:rsidRPr="004C1A6E">
        <w:rPr>
          <w:rFonts w:ascii="Times New Roman" w:hAnsi="Times New Roman" w:cs="Times New Roman"/>
          <w:color w:val="FF0000"/>
        </w:rPr>
        <w:t>(CuSO₄)</w:t>
      </w:r>
      <w:r w:rsidRPr="00C4410D">
        <w:rPr>
          <w:rFonts w:ascii="Times New Roman" w:hAnsi="Times New Roman" w:cs="Times New Roman"/>
        </w:rPr>
        <w:t xml:space="preserve"> to enhance the digestion process (Bremner &amp; Mulvaney, 1982). The flasks were then heated gently on a digestion block or hot plate until a clear solution was obtained, typically requiring heating at around 350°C for 2</w:t>
      </w:r>
      <w:r w:rsidR="0023022F" w:rsidRPr="0023022F">
        <w:rPr>
          <w:rFonts w:ascii="Times New Roman" w:hAnsi="Times New Roman" w:cs="Times New Roman"/>
          <w:i/>
          <w:iCs/>
        </w:rPr>
        <w:t>–</w:t>
      </w:r>
      <w:r w:rsidRPr="00C4410D">
        <w:rPr>
          <w:rFonts w:ascii="Times New Roman" w:hAnsi="Times New Roman" w:cs="Times New Roman"/>
        </w:rPr>
        <w:t>3 hours, while preventing excessive frothing and spillage. After digestion, the flasks were allowed to cool, and the digest was diluted with distilled water to a final volume of 100 mL.</w:t>
      </w:r>
    </w:p>
    <w:p w:rsidR="00C4410D" w:rsidRPr="00C4410D" w:rsidRDefault="00C4410D" w:rsidP="00BD40EA">
      <w:pPr>
        <w:spacing w:after="0" w:line="360" w:lineRule="auto"/>
        <w:jc w:val="both"/>
        <w:rPr>
          <w:rFonts w:ascii="Times New Roman" w:hAnsi="Times New Roman" w:cs="Times New Roman"/>
        </w:rPr>
      </w:pPr>
      <w:r w:rsidRPr="00C4410D">
        <w:rPr>
          <w:rFonts w:ascii="Times New Roman" w:hAnsi="Times New Roman" w:cs="Times New Roman"/>
        </w:rPr>
        <w:t>For the distillation phase, the digested solution was neutralized with 50 mL of 2 N sodium hydroxide (NaOH) to raise the pH to approximately 10</w:t>
      </w:r>
      <w:r w:rsidR="0023022F" w:rsidRPr="0023022F">
        <w:rPr>
          <w:rFonts w:ascii="Times New Roman" w:hAnsi="Times New Roman" w:cs="Times New Roman"/>
          <w:i/>
          <w:iCs/>
        </w:rPr>
        <w:t>–</w:t>
      </w:r>
      <w:r w:rsidRPr="00C4410D">
        <w:rPr>
          <w:rFonts w:ascii="Times New Roman" w:hAnsi="Times New Roman" w:cs="Times New Roman"/>
        </w:rPr>
        <w:t xml:space="preserve">11. The neutralized solution was then transferred to a distillation apparatus, where a specific volume of distilled water (usually 25 mL)was added to the receiving flask to collect the distilled ammonia </w:t>
      </w:r>
      <w:r w:rsidRPr="004C1A6E">
        <w:rPr>
          <w:rFonts w:ascii="Times New Roman" w:hAnsi="Times New Roman" w:cs="Times New Roman"/>
          <w:color w:val="FF0000"/>
        </w:rPr>
        <w:t>(NH₃)</w:t>
      </w:r>
      <w:r w:rsidRPr="00C4410D">
        <w:rPr>
          <w:rFonts w:ascii="Times New Roman" w:hAnsi="Times New Roman" w:cs="Times New Roman"/>
        </w:rPr>
        <w:t xml:space="preserve"> gas. The apparatus was assembled, and steam was passed through the solution to </w:t>
      </w:r>
      <w:r w:rsidR="00AD6247" w:rsidRPr="00C4410D">
        <w:rPr>
          <w:rFonts w:ascii="Times New Roman" w:hAnsi="Times New Roman" w:cs="Times New Roman"/>
        </w:rPr>
        <w:t>distil</w:t>
      </w:r>
      <w:r w:rsidRPr="00C4410D">
        <w:rPr>
          <w:rFonts w:ascii="Times New Roman" w:hAnsi="Times New Roman" w:cs="Times New Roman"/>
        </w:rPr>
        <w:t xml:space="preserve"> off ammonia, which was absorbed in the receiving flask containing boric acid </w:t>
      </w:r>
      <w:r w:rsidRPr="004C1A6E">
        <w:rPr>
          <w:rFonts w:ascii="Times New Roman" w:hAnsi="Times New Roman" w:cs="Times New Roman"/>
          <w:color w:val="FF0000"/>
        </w:rPr>
        <w:t>(H₃BO₃)</w:t>
      </w:r>
      <w:r w:rsidRPr="00C4410D">
        <w:rPr>
          <w:rFonts w:ascii="Times New Roman" w:hAnsi="Times New Roman" w:cs="Times New Roman"/>
        </w:rPr>
        <w:t xml:space="preserve"> solution. The amount of ammonia absorbed was quantified by titrating the solution in the receiving flask with a standard hydrochloric acid (HCl) solution, with the endpoint indicated using a suitable indicator such as methyl red or bromocresol green. Total nitrogen content was then calculated using the formula:</w:t>
      </w:r>
    </w:p>
    <w:p w:rsidR="00AA30A0" w:rsidRPr="00CE206D" w:rsidRDefault="00AA30A0" w:rsidP="00BD40EA">
      <w:pPr>
        <w:spacing w:after="0" w:line="360" w:lineRule="auto"/>
        <w:jc w:val="both"/>
        <w:rPr>
          <w:rFonts w:ascii="Times New Roman" w:hAnsi="Times New Roman" w:cs="Times New Roman"/>
          <w:noProof/>
        </w:rPr>
      </w:pPr>
      <w:r w:rsidRPr="00CE206D">
        <w:rPr>
          <w:rFonts w:ascii="Times New Roman" w:hAnsi="Times New Roman" w:cs="Times New Roman"/>
          <w:noProof/>
          <w:lang w:val="en-US" w:bidi="hi-IN"/>
        </w:rPr>
        <w:drawing>
          <wp:inline distT="0" distB="0" distL="0" distR="0">
            <wp:extent cx="3702347" cy="502920"/>
            <wp:effectExtent l="0" t="0" r="0" b="0"/>
            <wp:docPr id="151217217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172170" name="Picture 1" descr="A screenshot of a computer&#10;&#10;Description automatically generated"/>
                    <pic:cNvPicPr/>
                  </pic:nvPicPr>
                  <pic:blipFill rotWithShape="1">
                    <a:blip r:embed="rId9"/>
                    <a:srcRect l="30578" t="48454" r="23421" b="40437"/>
                    <a:stretch/>
                  </pic:blipFill>
                  <pic:spPr bwMode="auto">
                    <a:xfrm>
                      <a:off x="0" y="0"/>
                      <a:ext cx="3703467" cy="503072"/>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1B69B5" w:rsidRPr="00F55CBC" w:rsidRDefault="0058483C" w:rsidP="00F55CBC">
      <w:pPr>
        <w:spacing w:line="360" w:lineRule="auto"/>
        <w:jc w:val="both"/>
        <w:rPr>
          <w:rFonts w:ascii="Times New Roman" w:hAnsi="Times New Roman" w:cs="Times New Roman"/>
        </w:rPr>
      </w:pPr>
      <w:r w:rsidRPr="00CE206D">
        <w:rPr>
          <w:rFonts w:ascii="Times New Roman" w:hAnsi="Times New Roman" w:cs="Times New Roman"/>
        </w:rPr>
        <w:t>This methodology is widely accepted for assessing nitrogen content in various plant tissues (Anderson, 2005).</w:t>
      </w:r>
    </w:p>
    <w:p w:rsidR="003B3E97" w:rsidRPr="00F55CBC" w:rsidRDefault="003B3E97" w:rsidP="00F55CBC">
      <w:pPr>
        <w:pStyle w:val="ListParagraph"/>
        <w:numPr>
          <w:ilvl w:val="0"/>
          <w:numId w:val="19"/>
        </w:numPr>
        <w:spacing w:after="0" w:line="360" w:lineRule="auto"/>
        <w:jc w:val="both"/>
        <w:rPr>
          <w:rFonts w:ascii="Times New Roman" w:hAnsi="Times New Roman" w:cs="Times New Roman"/>
          <w:b/>
          <w:bCs/>
          <w:i/>
          <w:iCs/>
        </w:rPr>
      </w:pPr>
      <w:r w:rsidRPr="00F55CBC">
        <w:rPr>
          <w:rFonts w:ascii="Times New Roman" w:hAnsi="Times New Roman" w:cs="Times New Roman"/>
          <w:b/>
          <w:bCs/>
          <w:i/>
          <w:iCs/>
        </w:rPr>
        <w:t>Soil Nitrogen Assessment</w:t>
      </w:r>
    </w:p>
    <w:p w:rsidR="003B3E97" w:rsidRPr="003B3E97" w:rsidRDefault="003B3E97" w:rsidP="00BD40EA">
      <w:pPr>
        <w:spacing w:after="0" w:line="360" w:lineRule="auto"/>
        <w:jc w:val="both"/>
        <w:rPr>
          <w:rFonts w:ascii="Times New Roman" w:hAnsi="Times New Roman" w:cs="Times New Roman"/>
        </w:rPr>
      </w:pPr>
      <w:r w:rsidRPr="003B3E97">
        <w:rPr>
          <w:rFonts w:ascii="Times New Roman" w:hAnsi="Times New Roman" w:cs="Times New Roman"/>
        </w:rPr>
        <w:t xml:space="preserve">Soil samples were collected from each plot using a soil auger, ensuring a depth of approximately 15 cm to capture the active root zone. To enhance representativeness, samples </w:t>
      </w:r>
      <w:r w:rsidRPr="003B3E97">
        <w:rPr>
          <w:rFonts w:ascii="Times New Roman" w:hAnsi="Times New Roman" w:cs="Times New Roman"/>
        </w:rPr>
        <w:lastRenderedPageBreak/>
        <w:t>were taken from multiple locations within each plot and combined into a composite sample for analysis. This approach minimizes variability due to localized differences in soil composition and nutrient availability. Following collection, the soil samples were air-dried and sieved through a 2 mm mesh to remove stones, roots, and debris, which is essential for ensuring uniformity in subsequent analyses.</w:t>
      </w:r>
    </w:p>
    <w:p w:rsidR="00722C21" w:rsidRDefault="00C06FA3" w:rsidP="00722C21">
      <w:pPr>
        <w:spacing w:line="360" w:lineRule="auto"/>
        <w:jc w:val="both"/>
        <w:rPr>
          <w:rFonts w:ascii="Times New Roman" w:hAnsi="Times New Roman" w:cs="Times New Roman"/>
        </w:rPr>
      </w:pPr>
      <w:r w:rsidRPr="00C06FA3">
        <w:rPr>
          <w:rFonts w:ascii="Times New Roman" w:hAnsi="Times New Roman" w:cs="Times New Roman"/>
        </w:rPr>
        <w:t xml:space="preserve">The Available nitrogen content was determined using the alkaline potassium permanganate method, as outlined in Page </w:t>
      </w:r>
      <w:r w:rsidRPr="00C06FA3">
        <w:rPr>
          <w:rFonts w:ascii="Times New Roman" w:hAnsi="Times New Roman" w:cs="Times New Roman"/>
          <w:i/>
          <w:iCs/>
        </w:rPr>
        <w:t>et al.</w:t>
      </w:r>
      <w:r w:rsidRPr="00C06FA3">
        <w:rPr>
          <w:rFonts w:ascii="Times New Roman" w:hAnsi="Times New Roman" w:cs="Times New Roman"/>
        </w:rPr>
        <w:t xml:space="preserve"> (1982). In this method, 20 g of sieved soil was mixed with 20 mL of 2.5% </w:t>
      </w:r>
      <w:r w:rsidRPr="00E3260A">
        <w:rPr>
          <w:rFonts w:ascii="Times New Roman" w:hAnsi="Times New Roman" w:cs="Times New Roman"/>
          <w:color w:val="FF0000"/>
        </w:rPr>
        <w:t>KMnO₄</w:t>
      </w:r>
      <w:r w:rsidRPr="00C06FA3">
        <w:rPr>
          <w:rFonts w:ascii="Times New Roman" w:hAnsi="Times New Roman" w:cs="Times New Roman"/>
        </w:rPr>
        <w:t xml:space="preserve"> and 100 mL of 0.32% NaOH in a Kjeldahl flask. The mixture was distilled, and the released ammonia was absorbed in a boric acid solution containing mixed indicators, followed by titration with 0.02 N sulfuric acid. The available nitrogen content was calculated based on the volume of acid consumed and expressed in kilograms per hectare (kg/ha). </w:t>
      </w:r>
      <w:r w:rsidR="00722C21" w:rsidRPr="003B3E97">
        <w:rPr>
          <w:rFonts w:ascii="Times New Roman" w:hAnsi="Times New Roman" w:cs="Times New Roman"/>
        </w:rPr>
        <w:t xml:space="preserve">This methodology aligns with established soil testing protocols, ensuring accurate and </w:t>
      </w:r>
    </w:p>
    <w:p w:rsidR="00C51FC0" w:rsidRPr="00125394" w:rsidRDefault="00C51FC0" w:rsidP="00722C21">
      <w:pPr>
        <w:spacing w:line="360" w:lineRule="auto"/>
        <w:jc w:val="both"/>
        <w:rPr>
          <w:rFonts w:ascii="Times New Roman" w:hAnsi="Times New Roman" w:cs="Times New Roman"/>
          <w:b/>
          <w:bCs/>
          <w:i/>
          <w:iCs/>
        </w:rPr>
      </w:pPr>
      <w:r w:rsidRPr="00125394">
        <w:rPr>
          <w:rFonts w:ascii="Times New Roman" w:hAnsi="Times New Roman" w:cs="Times New Roman"/>
          <w:b/>
          <w:bCs/>
          <w:i/>
          <w:iCs/>
        </w:rPr>
        <w:t>Statistical Analysis</w:t>
      </w:r>
    </w:p>
    <w:p w:rsidR="001C7C40" w:rsidRDefault="00C51FC0" w:rsidP="001C7C40">
      <w:pPr>
        <w:spacing w:before="240" w:after="0" w:line="360" w:lineRule="auto"/>
        <w:jc w:val="both"/>
        <w:rPr>
          <w:rFonts w:ascii="Times New Roman" w:eastAsia="Times New Roman" w:hAnsi="Times New Roman" w:cs="Times New Roman"/>
        </w:rPr>
      </w:pPr>
      <w:r w:rsidRPr="00CE206D">
        <w:rPr>
          <w:rFonts w:ascii="Times New Roman" w:hAnsi="Times New Roman" w:cs="Times New Roman"/>
        </w:rPr>
        <w:t xml:space="preserve">Data were </w:t>
      </w:r>
      <w:r w:rsidR="00FF74AF" w:rsidRPr="00CE206D">
        <w:rPr>
          <w:rFonts w:ascii="Times New Roman" w:hAnsi="Times New Roman" w:cs="Times New Roman"/>
        </w:rPr>
        <w:t>analysed</w:t>
      </w:r>
      <w:r w:rsidRPr="00CE206D">
        <w:rPr>
          <w:rFonts w:ascii="Times New Roman" w:hAnsi="Times New Roman" w:cs="Times New Roman"/>
        </w:rPr>
        <w:t xml:space="preserve"> using </w:t>
      </w:r>
      <w:commentRangeStart w:id="14"/>
      <w:r w:rsidR="00272BB2" w:rsidRPr="00CE206D">
        <w:rPr>
          <w:rFonts w:ascii="Times New Roman" w:hAnsi="Times New Roman" w:cs="Times New Roman"/>
          <w:b/>
          <w:bCs/>
        </w:rPr>
        <w:t>WASP</w:t>
      </w:r>
      <w:commentRangeEnd w:id="14"/>
      <w:r w:rsidR="00E3260A">
        <w:rPr>
          <w:rStyle w:val="CommentReference"/>
        </w:rPr>
        <w:commentReference w:id="14"/>
      </w:r>
      <w:r w:rsidRPr="00CE206D">
        <w:rPr>
          <w:rFonts w:ascii="Times New Roman" w:hAnsi="Times New Roman" w:cs="Times New Roman"/>
        </w:rPr>
        <w:t xml:space="preserve">, applying </w:t>
      </w:r>
      <w:r w:rsidR="00FF11C2">
        <w:rPr>
          <w:rFonts w:ascii="Times New Roman" w:hAnsi="Times New Roman" w:cs="Times New Roman"/>
        </w:rPr>
        <w:t>two-way</w:t>
      </w:r>
      <w:r w:rsidRPr="00CE206D">
        <w:rPr>
          <w:rFonts w:ascii="Times New Roman" w:hAnsi="Times New Roman" w:cs="Times New Roman"/>
        </w:rPr>
        <w:t xml:space="preserve">analysis of variance (ANOVA) to determine the effects of different urea application rates on nitrogen uptake, distribution, and soil nitrogen levels. </w:t>
      </w:r>
      <w:r w:rsidR="001C7C40" w:rsidRPr="00BE6E0D">
        <w:rPr>
          <w:rFonts w:ascii="Times New Roman" w:eastAsia="Times New Roman" w:hAnsi="Times New Roman" w:cs="Times New Roman"/>
        </w:rPr>
        <w:t xml:space="preserve">Differences between treatments were considered significant when </w:t>
      </w:r>
      <w:r w:rsidR="001C7C40" w:rsidRPr="00BE6E0D">
        <w:rPr>
          <w:rFonts w:ascii="Times New Roman" w:eastAsia="Times New Roman" w:hAnsi="Times New Roman" w:cs="Times New Roman"/>
          <w:i/>
        </w:rPr>
        <w:t>p</w:t>
      </w:r>
      <w:r w:rsidR="001C7C40" w:rsidRPr="00BE6E0D">
        <w:rPr>
          <w:rFonts w:ascii="Times New Roman" w:eastAsia="Times New Roman" w:hAnsi="Times New Roman" w:cs="Times New Roman"/>
        </w:rPr>
        <w:t xml:space="preserve"> value was ≤ 0.05. </w:t>
      </w:r>
    </w:p>
    <w:p w:rsidR="009239D7" w:rsidRPr="0046453A" w:rsidRDefault="009239D7" w:rsidP="001C7C40">
      <w:pPr>
        <w:spacing w:before="240" w:after="0" w:line="360" w:lineRule="auto"/>
        <w:jc w:val="both"/>
        <w:rPr>
          <w:rFonts w:ascii="Times New Roman" w:hAnsi="Times New Roman" w:cs="Times New Roman"/>
          <w:b/>
          <w:bCs/>
        </w:rPr>
      </w:pPr>
      <w:commentRangeStart w:id="15"/>
      <w:r w:rsidRPr="0046453A">
        <w:rPr>
          <w:rFonts w:ascii="Times New Roman" w:hAnsi="Times New Roman" w:cs="Times New Roman"/>
          <w:b/>
          <w:bCs/>
        </w:rPr>
        <w:t>Result</w:t>
      </w:r>
      <w:commentRangeEnd w:id="15"/>
      <w:r w:rsidR="00E3260A">
        <w:rPr>
          <w:rStyle w:val="CommentReference"/>
        </w:rPr>
        <w:commentReference w:id="15"/>
      </w:r>
      <w:r w:rsidRPr="0046453A">
        <w:rPr>
          <w:rFonts w:ascii="Times New Roman" w:hAnsi="Times New Roman" w:cs="Times New Roman"/>
          <w:b/>
          <w:bCs/>
        </w:rPr>
        <w:t xml:space="preserve"> </w:t>
      </w:r>
    </w:p>
    <w:p w:rsidR="0046453A" w:rsidRPr="00E6299A" w:rsidRDefault="009239D7" w:rsidP="0046453A">
      <w:pPr>
        <w:pStyle w:val="ListParagraph"/>
        <w:numPr>
          <w:ilvl w:val="0"/>
          <w:numId w:val="21"/>
        </w:numPr>
        <w:spacing w:after="0" w:line="360" w:lineRule="auto"/>
        <w:jc w:val="both"/>
        <w:rPr>
          <w:rFonts w:ascii="Times New Roman" w:hAnsi="Times New Roman" w:cs="Times New Roman"/>
          <w:b/>
          <w:bCs/>
          <w:i/>
          <w:iCs/>
        </w:rPr>
      </w:pPr>
      <w:r w:rsidRPr="00E6299A">
        <w:rPr>
          <w:rFonts w:ascii="Times New Roman" w:hAnsi="Times New Roman" w:cs="Times New Roman"/>
          <w:b/>
          <w:bCs/>
          <w:i/>
          <w:iCs/>
        </w:rPr>
        <w:t>Total Nitrogen Content in Leaf Sample</w:t>
      </w:r>
    </w:p>
    <w:p w:rsidR="00B47BBE" w:rsidRPr="00CE206D" w:rsidRDefault="00D5508F" w:rsidP="00BD40EA">
      <w:pPr>
        <w:spacing w:after="0" w:line="360" w:lineRule="auto"/>
        <w:jc w:val="both"/>
        <w:rPr>
          <w:rFonts w:ascii="Times New Roman" w:hAnsi="Times New Roman" w:cs="Times New Roman"/>
          <w:b/>
          <w:bCs/>
        </w:rPr>
      </w:pPr>
      <w:r w:rsidRPr="0046453A">
        <w:rPr>
          <w:rFonts w:ascii="Times New Roman" w:hAnsi="Times New Roman" w:cs="Times New Roman"/>
        </w:rPr>
        <w:t>The total nitrogen content in leaf samples was assessed at 30 and 60 days after planting (DAP) for the growing seasons of 2020</w:t>
      </w:r>
      <w:r w:rsidR="0023022F" w:rsidRPr="0023022F">
        <w:rPr>
          <w:rFonts w:ascii="Times New Roman" w:hAnsi="Times New Roman" w:cs="Times New Roman"/>
          <w:i/>
          <w:iCs/>
        </w:rPr>
        <w:t>–</w:t>
      </w:r>
      <w:r w:rsidRPr="0046453A">
        <w:rPr>
          <w:rFonts w:ascii="Times New Roman" w:hAnsi="Times New Roman" w:cs="Times New Roman"/>
        </w:rPr>
        <w:t>21 and 2021</w:t>
      </w:r>
      <w:r w:rsidR="0023022F" w:rsidRPr="0023022F">
        <w:rPr>
          <w:rFonts w:ascii="Times New Roman" w:hAnsi="Times New Roman" w:cs="Times New Roman"/>
          <w:i/>
          <w:iCs/>
        </w:rPr>
        <w:t>–</w:t>
      </w:r>
      <w:r w:rsidRPr="0046453A">
        <w:rPr>
          <w:rFonts w:ascii="Times New Roman" w:hAnsi="Times New Roman" w:cs="Times New Roman"/>
        </w:rPr>
        <w:t>22. The control group, which received no additional nitrogen, displayed a nitrogen content of 4.04% in 2020</w:t>
      </w:r>
      <w:r w:rsidR="0023022F" w:rsidRPr="0023022F">
        <w:rPr>
          <w:rFonts w:ascii="Times New Roman" w:hAnsi="Times New Roman" w:cs="Times New Roman"/>
          <w:i/>
          <w:iCs/>
        </w:rPr>
        <w:t>–</w:t>
      </w:r>
      <w:r w:rsidRPr="0046453A">
        <w:rPr>
          <w:rFonts w:ascii="Times New Roman" w:hAnsi="Times New Roman" w:cs="Times New Roman"/>
        </w:rPr>
        <w:t>21 and slightly increased to 4.08% in 2021</w:t>
      </w:r>
      <w:r w:rsidR="0023022F" w:rsidRPr="0023022F">
        <w:rPr>
          <w:rFonts w:ascii="Times New Roman" w:hAnsi="Times New Roman" w:cs="Times New Roman"/>
          <w:i/>
          <w:iCs/>
        </w:rPr>
        <w:t>–</w:t>
      </w:r>
      <w:r w:rsidRPr="0046453A">
        <w:rPr>
          <w:rFonts w:ascii="Times New Roman" w:hAnsi="Times New Roman" w:cs="Times New Roman"/>
        </w:rPr>
        <w:t>22 at 30 DAP. In contrast, the application of 50 kg of nitrogen per hectare resulted in nitrogen contents of 4.55% and 4.46% for the respective years. As the nitrogen application rate increased, significant improvements were observed; the 100 kg/ha treatment yielded nitrogen contents of 5.26% and 5.36%, while the highest rate of 150 kg/ha reached 5.89% in 2020</w:t>
      </w:r>
      <w:r w:rsidR="0023022F" w:rsidRPr="0023022F">
        <w:rPr>
          <w:rFonts w:ascii="Times New Roman" w:hAnsi="Times New Roman" w:cs="Times New Roman"/>
          <w:i/>
          <w:iCs/>
        </w:rPr>
        <w:t>–</w:t>
      </w:r>
      <w:r w:rsidRPr="0046453A">
        <w:rPr>
          <w:rFonts w:ascii="Times New Roman" w:hAnsi="Times New Roman" w:cs="Times New Roman"/>
        </w:rPr>
        <w:t>21 and 5.88% in 2021</w:t>
      </w:r>
      <w:r w:rsidR="0023022F" w:rsidRPr="0023022F">
        <w:rPr>
          <w:rFonts w:ascii="Times New Roman" w:hAnsi="Times New Roman" w:cs="Times New Roman"/>
          <w:i/>
          <w:iCs/>
        </w:rPr>
        <w:t>–</w:t>
      </w:r>
      <w:r w:rsidRPr="0046453A">
        <w:rPr>
          <w:rFonts w:ascii="Times New Roman" w:hAnsi="Times New Roman" w:cs="Times New Roman"/>
        </w:rPr>
        <w:t>22. By 60 DAP, all treatments showed increased nitrogen content, with the control group at 4.20% in 2020</w:t>
      </w:r>
      <w:r w:rsidR="0023022F" w:rsidRPr="0023022F">
        <w:rPr>
          <w:rFonts w:ascii="Times New Roman" w:hAnsi="Times New Roman" w:cs="Times New Roman"/>
          <w:i/>
          <w:iCs/>
        </w:rPr>
        <w:t>–</w:t>
      </w:r>
      <w:r w:rsidRPr="0046453A">
        <w:rPr>
          <w:rFonts w:ascii="Times New Roman" w:hAnsi="Times New Roman" w:cs="Times New Roman"/>
        </w:rPr>
        <w:t>21 and 4.54% in 2021</w:t>
      </w:r>
      <w:r w:rsidR="0023022F" w:rsidRPr="0023022F">
        <w:rPr>
          <w:rFonts w:ascii="Times New Roman" w:hAnsi="Times New Roman" w:cs="Times New Roman"/>
          <w:i/>
          <w:iCs/>
        </w:rPr>
        <w:t>–</w:t>
      </w:r>
      <w:r w:rsidRPr="0046453A">
        <w:rPr>
          <w:rFonts w:ascii="Times New Roman" w:hAnsi="Times New Roman" w:cs="Times New Roman"/>
        </w:rPr>
        <w:t>22, while the highest treatment achieved a remarkable 6.23% in 2020</w:t>
      </w:r>
      <w:r w:rsidR="0023022F" w:rsidRPr="0023022F">
        <w:rPr>
          <w:rFonts w:ascii="Times New Roman" w:hAnsi="Times New Roman" w:cs="Times New Roman"/>
          <w:i/>
          <w:iCs/>
        </w:rPr>
        <w:t>–</w:t>
      </w:r>
      <w:r w:rsidRPr="0046453A">
        <w:rPr>
          <w:rFonts w:ascii="Times New Roman" w:hAnsi="Times New Roman" w:cs="Times New Roman"/>
        </w:rPr>
        <w:t>21 and 6.18% in 2021</w:t>
      </w:r>
      <w:r w:rsidR="0023022F" w:rsidRPr="0023022F">
        <w:rPr>
          <w:rFonts w:ascii="Times New Roman" w:hAnsi="Times New Roman" w:cs="Times New Roman"/>
          <w:i/>
          <w:iCs/>
        </w:rPr>
        <w:t>–</w:t>
      </w:r>
      <w:r w:rsidRPr="0046453A">
        <w:rPr>
          <w:rFonts w:ascii="Times New Roman" w:hAnsi="Times New Roman" w:cs="Times New Roman"/>
        </w:rPr>
        <w:t>22. These results demonstrate that higher nitrogen application rates significantly enhance nitrogen uptake in onion leaves throughout the growing season, as summarized in Table 1.</w:t>
      </w:r>
    </w:p>
    <w:p w:rsidR="009239D7" w:rsidRPr="00E6299A" w:rsidRDefault="009239D7" w:rsidP="00E6299A">
      <w:pPr>
        <w:pStyle w:val="ListParagraph"/>
        <w:numPr>
          <w:ilvl w:val="0"/>
          <w:numId w:val="22"/>
        </w:numPr>
        <w:spacing w:after="0" w:line="360" w:lineRule="auto"/>
        <w:jc w:val="both"/>
        <w:rPr>
          <w:rFonts w:ascii="Times New Roman" w:hAnsi="Times New Roman" w:cs="Times New Roman"/>
          <w:b/>
          <w:bCs/>
          <w:i/>
          <w:iCs/>
        </w:rPr>
      </w:pPr>
      <w:r w:rsidRPr="00E6299A">
        <w:rPr>
          <w:rFonts w:ascii="Times New Roman" w:hAnsi="Times New Roman" w:cs="Times New Roman"/>
          <w:b/>
          <w:bCs/>
          <w:i/>
          <w:iCs/>
        </w:rPr>
        <w:lastRenderedPageBreak/>
        <w:t>Total Nitrogen Content in Stem Samples</w:t>
      </w:r>
    </w:p>
    <w:p w:rsidR="00464097" w:rsidRPr="00646697" w:rsidRDefault="00D5508F" w:rsidP="00BD40EA">
      <w:pPr>
        <w:spacing w:after="0" w:line="360" w:lineRule="auto"/>
        <w:jc w:val="both"/>
        <w:rPr>
          <w:rFonts w:ascii="Times New Roman" w:hAnsi="Times New Roman" w:cs="Times New Roman"/>
        </w:rPr>
      </w:pPr>
      <w:r w:rsidRPr="00CE206D">
        <w:rPr>
          <w:rFonts w:ascii="Times New Roman" w:hAnsi="Times New Roman" w:cs="Times New Roman"/>
        </w:rPr>
        <w:t>The total nitrogen content in stem samples was measured at 30 and 60 DAP during the growing seasons of 2020</w:t>
      </w:r>
      <w:r w:rsidR="0023022F" w:rsidRPr="0023022F">
        <w:rPr>
          <w:rFonts w:ascii="Times New Roman" w:hAnsi="Times New Roman" w:cs="Times New Roman"/>
          <w:i/>
          <w:iCs/>
        </w:rPr>
        <w:t>–</w:t>
      </w:r>
      <w:r w:rsidRPr="00CE206D">
        <w:rPr>
          <w:rFonts w:ascii="Times New Roman" w:hAnsi="Times New Roman" w:cs="Times New Roman"/>
        </w:rPr>
        <w:t>21 and 2021</w:t>
      </w:r>
      <w:r w:rsidR="0023022F" w:rsidRPr="0023022F">
        <w:rPr>
          <w:rFonts w:ascii="Times New Roman" w:hAnsi="Times New Roman" w:cs="Times New Roman"/>
          <w:i/>
          <w:iCs/>
        </w:rPr>
        <w:t>–</w:t>
      </w:r>
      <w:r w:rsidRPr="00CE206D">
        <w:rPr>
          <w:rFonts w:ascii="Times New Roman" w:hAnsi="Times New Roman" w:cs="Times New Roman"/>
        </w:rPr>
        <w:t>22. The control treatment exhibited nitrogen levels of 3.74% in 2020</w:t>
      </w:r>
      <w:r w:rsidR="0023022F" w:rsidRPr="0023022F">
        <w:rPr>
          <w:rFonts w:ascii="Times New Roman" w:hAnsi="Times New Roman" w:cs="Times New Roman"/>
          <w:i/>
          <w:iCs/>
        </w:rPr>
        <w:t>–</w:t>
      </w:r>
      <w:r w:rsidRPr="00CE206D">
        <w:rPr>
          <w:rFonts w:ascii="Times New Roman" w:hAnsi="Times New Roman" w:cs="Times New Roman"/>
        </w:rPr>
        <w:t>21 and 3.62% in 2021</w:t>
      </w:r>
      <w:r w:rsidR="0023022F" w:rsidRPr="0023022F">
        <w:rPr>
          <w:rFonts w:ascii="Times New Roman" w:hAnsi="Times New Roman" w:cs="Times New Roman"/>
          <w:i/>
          <w:iCs/>
        </w:rPr>
        <w:t>–</w:t>
      </w:r>
      <w:r w:rsidRPr="00CE206D">
        <w:rPr>
          <w:rFonts w:ascii="Times New Roman" w:hAnsi="Times New Roman" w:cs="Times New Roman"/>
        </w:rPr>
        <w:t>22 at 30 DAP, indicating limited nitrogen uptake. Conversely, the application of 50 kg of nitrogen per hectare resulted in nitrogen contents of 4.05% and 4.19% for the respective years. With further increases in nitrogen application, the 100 kg/ha treatment recorded values of 4.66% in 2020</w:t>
      </w:r>
      <w:r w:rsidR="0023022F" w:rsidRPr="0023022F">
        <w:rPr>
          <w:rFonts w:ascii="Times New Roman" w:hAnsi="Times New Roman" w:cs="Times New Roman"/>
          <w:i/>
          <w:iCs/>
        </w:rPr>
        <w:t>–</w:t>
      </w:r>
      <w:r w:rsidRPr="00CE206D">
        <w:rPr>
          <w:rFonts w:ascii="Times New Roman" w:hAnsi="Times New Roman" w:cs="Times New Roman"/>
        </w:rPr>
        <w:t>21 and 4.61% in 2021</w:t>
      </w:r>
      <w:r w:rsidR="0023022F" w:rsidRPr="0023022F">
        <w:rPr>
          <w:rFonts w:ascii="Times New Roman" w:hAnsi="Times New Roman" w:cs="Times New Roman"/>
          <w:i/>
          <w:iCs/>
        </w:rPr>
        <w:t>–</w:t>
      </w:r>
      <w:r w:rsidRPr="00CE206D">
        <w:rPr>
          <w:rFonts w:ascii="Times New Roman" w:hAnsi="Times New Roman" w:cs="Times New Roman"/>
        </w:rPr>
        <w:t>22. Notably, the 150 kg/ha treatment reached 5.51% in 2020</w:t>
      </w:r>
      <w:r w:rsidR="0023022F" w:rsidRPr="0023022F">
        <w:rPr>
          <w:rFonts w:ascii="Times New Roman" w:hAnsi="Times New Roman" w:cs="Times New Roman"/>
          <w:i/>
          <w:iCs/>
        </w:rPr>
        <w:t>–</w:t>
      </w:r>
      <w:r w:rsidRPr="00CE206D">
        <w:rPr>
          <w:rFonts w:ascii="Times New Roman" w:hAnsi="Times New Roman" w:cs="Times New Roman"/>
        </w:rPr>
        <w:t>21 and 5.31% in 2021</w:t>
      </w:r>
      <w:r w:rsidR="0023022F" w:rsidRPr="0023022F">
        <w:rPr>
          <w:rFonts w:ascii="Times New Roman" w:hAnsi="Times New Roman" w:cs="Times New Roman"/>
          <w:i/>
          <w:iCs/>
        </w:rPr>
        <w:t>–</w:t>
      </w:r>
      <w:r w:rsidRPr="00CE206D">
        <w:rPr>
          <w:rFonts w:ascii="Times New Roman" w:hAnsi="Times New Roman" w:cs="Times New Roman"/>
        </w:rPr>
        <w:t>22 at 30 DAP. By 60 DAP, the control group showed slight increases in nitrogen content, reaching 3.79% in 2020</w:t>
      </w:r>
      <w:r w:rsidR="0023022F" w:rsidRPr="0023022F">
        <w:rPr>
          <w:rFonts w:ascii="Times New Roman" w:hAnsi="Times New Roman" w:cs="Times New Roman"/>
          <w:i/>
          <w:iCs/>
        </w:rPr>
        <w:t>–</w:t>
      </w:r>
      <w:r w:rsidRPr="00CE206D">
        <w:rPr>
          <w:rFonts w:ascii="Times New Roman" w:hAnsi="Times New Roman" w:cs="Times New Roman"/>
        </w:rPr>
        <w:t>21 and 3.80% in 2021</w:t>
      </w:r>
      <w:r w:rsidR="0023022F" w:rsidRPr="0023022F">
        <w:rPr>
          <w:rFonts w:ascii="Times New Roman" w:hAnsi="Times New Roman" w:cs="Times New Roman"/>
          <w:i/>
          <w:iCs/>
        </w:rPr>
        <w:t>–</w:t>
      </w:r>
      <w:r w:rsidRPr="00CE206D">
        <w:rPr>
          <w:rFonts w:ascii="Times New Roman" w:hAnsi="Times New Roman" w:cs="Times New Roman"/>
        </w:rPr>
        <w:t>22. In contrast, the highest treatment achieved nitrogen contents of 5.70% in 2020</w:t>
      </w:r>
      <w:r w:rsidR="0023022F" w:rsidRPr="0023022F">
        <w:rPr>
          <w:rFonts w:ascii="Times New Roman" w:hAnsi="Times New Roman" w:cs="Times New Roman"/>
          <w:i/>
          <w:iCs/>
        </w:rPr>
        <w:t>–</w:t>
      </w:r>
      <w:r w:rsidRPr="00CE206D">
        <w:rPr>
          <w:rFonts w:ascii="Times New Roman" w:hAnsi="Times New Roman" w:cs="Times New Roman"/>
        </w:rPr>
        <w:t>21 and 5.61% in 2021</w:t>
      </w:r>
      <w:r w:rsidR="0023022F" w:rsidRPr="0023022F">
        <w:rPr>
          <w:rFonts w:ascii="Times New Roman" w:hAnsi="Times New Roman" w:cs="Times New Roman"/>
          <w:i/>
          <w:iCs/>
        </w:rPr>
        <w:t>–</w:t>
      </w:r>
      <w:r w:rsidRPr="00CE206D">
        <w:rPr>
          <w:rFonts w:ascii="Times New Roman" w:hAnsi="Times New Roman" w:cs="Times New Roman"/>
        </w:rPr>
        <w:t xml:space="preserve">22. These findings indicate that increased nitrogen application enhances nitrogen accumulation in onion stems, reflecting the importance of adequate nitrogen for plant development, as detailed in Table </w:t>
      </w:r>
      <w:r w:rsidR="00646697">
        <w:rPr>
          <w:rFonts w:ascii="Times New Roman" w:hAnsi="Times New Roman" w:cs="Times New Roman"/>
        </w:rPr>
        <w:t>1</w:t>
      </w:r>
      <w:r w:rsidRPr="00CE206D">
        <w:rPr>
          <w:rFonts w:ascii="Times New Roman" w:hAnsi="Times New Roman" w:cs="Times New Roman"/>
        </w:rPr>
        <w:t>.</w:t>
      </w:r>
    </w:p>
    <w:p w:rsidR="009239D7" w:rsidRPr="0059768B" w:rsidRDefault="009239D7" w:rsidP="0059768B">
      <w:pPr>
        <w:pStyle w:val="ListParagraph"/>
        <w:numPr>
          <w:ilvl w:val="0"/>
          <w:numId w:val="23"/>
        </w:numPr>
        <w:spacing w:after="0" w:line="360" w:lineRule="auto"/>
        <w:jc w:val="both"/>
        <w:rPr>
          <w:rFonts w:ascii="Times New Roman" w:hAnsi="Times New Roman" w:cs="Times New Roman"/>
          <w:b/>
          <w:bCs/>
          <w:i/>
          <w:iCs/>
        </w:rPr>
      </w:pPr>
      <w:r w:rsidRPr="0059768B">
        <w:rPr>
          <w:rFonts w:ascii="Times New Roman" w:hAnsi="Times New Roman" w:cs="Times New Roman"/>
          <w:b/>
          <w:bCs/>
          <w:i/>
          <w:iCs/>
        </w:rPr>
        <w:t>Total Nitrogen Content in Bulb Sample</w:t>
      </w:r>
    </w:p>
    <w:p w:rsidR="00A86150" w:rsidRDefault="00A86150" w:rsidP="00BD40EA">
      <w:pPr>
        <w:spacing w:after="0" w:line="360" w:lineRule="auto"/>
        <w:jc w:val="both"/>
        <w:rPr>
          <w:rFonts w:ascii="Times New Roman" w:hAnsi="Times New Roman" w:cs="Times New Roman"/>
        </w:rPr>
      </w:pPr>
      <w:r w:rsidRPr="00CE206D">
        <w:rPr>
          <w:rFonts w:ascii="Times New Roman" w:hAnsi="Times New Roman" w:cs="Times New Roman"/>
        </w:rPr>
        <w:t>The total nitrogen content in bulb samples was analyzed at 30 and 60 DAP for the growing seasons of 2020</w:t>
      </w:r>
      <w:r w:rsidR="0023022F" w:rsidRPr="0023022F">
        <w:rPr>
          <w:rFonts w:ascii="Times New Roman" w:hAnsi="Times New Roman" w:cs="Times New Roman"/>
          <w:i/>
          <w:iCs/>
        </w:rPr>
        <w:t>–</w:t>
      </w:r>
      <w:r w:rsidRPr="00CE206D">
        <w:rPr>
          <w:rFonts w:ascii="Times New Roman" w:hAnsi="Times New Roman" w:cs="Times New Roman"/>
        </w:rPr>
        <w:t>21 and 2021</w:t>
      </w:r>
      <w:r w:rsidR="0023022F" w:rsidRPr="0023022F">
        <w:rPr>
          <w:rFonts w:ascii="Times New Roman" w:hAnsi="Times New Roman" w:cs="Times New Roman"/>
          <w:i/>
          <w:iCs/>
        </w:rPr>
        <w:t>–</w:t>
      </w:r>
      <w:r w:rsidRPr="00CE206D">
        <w:rPr>
          <w:rFonts w:ascii="Times New Roman" w:hAnsi="Times New Roman" w:cs="Times New Roman"/>
        </w:rPr>
        <w:t>22. In the control group, nitrogen content was recorded at 3.13% in 2020</w:t>
      </w:r>
      <w:r w:rsidR="0023022F" w:rsidRPr="0023022F">
        <w:rPr>
          <w:rFonts w:ascii="Times New Roman" w:hAnsi="Times New Roman" w:cs="Times New Roman"/>
          <w:i/>
          <w:iCs/>
        </w:rPr>
        <w:t>–</w:t>
      </w:r>
      <w:r w:rsidRPr="00CE206D">
        <w:rPr>
          <w:rFonts w:ascii="Times New Roman" w:hAnsi="Times New Roman" w:cs="Times New Roman"/>
        </w:rPr>
        <w:t>21 and slightly increased to 3.24% in 2021</w:t>
      </w:r>
      <w:r w:rsidR="0023022F" w:rsidRPr="0023022F">
        <w:rPr>
          <w:rFonts w:ascii="Times New Roman" w:hAnsi="Times New Roman" w:cs="Times New Roman"/>
          <w:i/>
          <w:iCs/>
        </w:rPr>
        <w:t>–</w:t>
      </w:r>
      <w:r w:rsidRPr="00CE206D">
        <w:rPr>
          <w:rFonts w:ascii="Times New Roman" w:hAnsi="Times New Roman" w:cs="Times New Roman"/>
        </w:rPr>
        <w:t>22 at 30 DAP, illustrating a limited nutrient status. With the application of 50 kg of nitrogen per hectare, the nitrogen content improved to 3.37% in 2020</w:t>
      </w:r>
      <w:r w:rsidR="0023022F" w:rsidRPr="0023022F">
        <w:rPr>
          <w:rFonts w:ascii="Times New Roman" w:hAnsi="Times New Roman" w:cs="Times New Roman"/>
          <w:i/>
          <w:iCs/>
        </w:rPr>
        <w:t>–</w:t>
      </w:r>
      <w:r w:rsidRPr="00CE206D">
        <w:rPr>
          <w:rFonts w:ascii="Times New Roman" w:hAnsi="Times New Roman" w:cs="Times New Roman"/>
        </w:rPr>
        <w:t>21 and 3.50% in 2021</w:t>
      </w:r>
      <w:r w:rsidR="0023022F" w:rsidRPr="0023022F">
        <w:rPr>
          <w:rFonts w:ascii="Times New Roman" w:hAnsi="Times New Roman" w:cs="Times New Roman"/>
          <w:i/>
          <w:iCs/>
        </w:rPr>
        <w:t>–</w:t>
      </w:r>
      <w:r w:rsidRPr="00CE206D">
        <w:rPr>
          <w:rFonts w:ascii="Times New Roman" w:hAnsi="Times New Roman" w:cs="Times New Roman"/>
        </w:rPr>
        <w:t>22. The trend continued with the 100 kg/ha treatment, which showed nitrogen levels of 3.82% in 2020</w:t>
      </w:r>
      <w:r w:rsidR="0023022F" w:rsidRPr="0023022F">
        <w:rPr>
          <w:rFonts w:ascii="Times New Roman" w:hAnsi="Times New Roman" w:cs="Times New Roman"/>
          <w:i/>
          <w:iCs/>
        </w:rPr>
        <w:t>–</w:t>
      </w:r>
      <w:r w:rsidRPr="00CE206D">
        <w:rPr>
          <w:rFonts w:ascii="Times New Roman" w:hAnsi="Times New Roman" w:cs="Times New Roman"/>
        </w:rPr>
        <w:t>21 and 3.80% in 2021</w:t>
      </w:r>
      <w:r w:rsidR="0023022F" w:rsidRPr="0023022F">
        <w:rPr>
          <w:rFonts w:ascii="Times New Roman" w:hAnsi="Times New Roman" w:cs="Times New Roman"/>
          <w:i/>
          <w:iCs/>
        </w:rPr>
        <w:t>–</w:t>
      </w:r>
      <w:r w:rsidRPr="00CE206D">
        <w:rPr>
          <w:rFonts w:ascii="Times New Roman" w:hAnsi="Times New Roman" w:cs="Times New Roman"/>
        </w:rPr>
        <w:t>22. The highest application rate of 150 kg/ha significantly boosted nitrogen levels, reaching 4.09% in 2020</w:t>
      </w:r>
      <w:r w:rsidR="0023022F" w:rsidRPr="0023022F">
        <w:rPr>
          <w:rFonts w:ascii="Times New Roman" w:hAnsi="Times New Roman" w:cs="Times New Roman"/>
          <w:i/>
          <w:iCs/>
        </w:rPr>
        <w:t>–</w:t>
      </w:r>
      <w:r w:rsidRPr="00CE206D">
        <w:rPr>
          <w:rFonts w:ascii="Times New Roman" w:hAnsi="Times New Roman" w:cs="Times New Roman"/>
        </w:rPr>
        <w:t>21 and 4.08% in 2021</w:t>
      </w:r>
      <w:r w:rsidR="0023022F" w:rsidRPr="0023022F">
        <w:rPr>
          <w:rFonts w:ascii="Times New Roman" w:hAnsi="Times New Roman" w:cs="Times New Roman"/>
          <w:i/>
          <w:iCs/>
        </w:rPr>
        <w:t>–</w:t>
      </w:r>
      <w:r w:rsidRPr="00CE206D">
        <w:rPr>
          <w:rFonts w:ascii="Times New Roman" w:hAnsi="Times New Roman" w:cs="Times New Roman"/>
        </w:rPr>
        <w:t>22. At 60 DAP, the control group's nitrogen content showed modest increases to 3.30% in 2020</w:t>
      </w:r>
      <w:r w:rsidR="0023022F" w:rsidRPr="0023022F">
        <w:rPr>
          <w:rFonts w:ascii="Times New Roman" w:hAnsi="Times New Roman" w:cs="Times New Roman"/>
          <w:i/>
          <w:iCs/>
        </w:rPr>
        <w:t>–</w:t>
      </w:r>
      <w:r w:rsidRPr="00CE206D">
        <w:rPr>
          <w:rFonts w:ascii="Times New Roman" w:hAnsi="Times New Roman" w:cs="Times New Roman"/>
        </w:rPr>
        <w:t>21 and 3.40% in 2021</w:t>
      </w:r>
      <w:r w:rsidR="0023022F" w:rsidRPr="0023022F">
        <w:rPr>
          <w:rFonts w:ascii="Times New Roman" w:hAnsi="Times New Roman" w:cs="Times New Roman"/>
          <w:i/>
          <w:iCs/>
        </w:rPr>
        <w:t>–</w:t>
      </w:r>
      <w:r w:rsidRPr="00CE206D">
        <w:rPr>
          <w:rFonts w:ascii="Times New Roman" w:hAnsi="Times New Roman" w:cs="Times New Roman"/>
        </w:rPr>
        <w:t xml:space="preserve">22. In contrast, the 150 kg/ha treatment consistently reached 4.25% in both years. These results highlight the critical role of nitrogen fertilization in enhancing nitrogen accumulation in onion bulbs, ultimately contributing to better growth and yield, as presented in Table </w:t>
      </w:r>
      <w:r w:rsidR="00326D39">
        <w:rPr>
          <w:rFonts w:ascii="Times New Roman" w:hAnsi="Times New Roman" w:cs="Times New Roman"/>
        </w:rPr>
        <w:t>1</w:t>
      </w:r>
    </w:p>
    <w:p w:rsidR="00326D39" w:rsidRDefault="00326D39" w:rsidP="00BD40EA">
      <w:pPr>
        <w:spacing w:after="0" w:line="360" w:lineRule="auto"/>
        <w:jc w:val="both"/>
        <w:rPr>
          <w:rFonts w:ascii="Times New Roman" w:hAnsi="Times New Roman" w:cs="Times New Roman"/>
        </w:rPr>
      </w:pPr>
    </w:p>
    <w:p w:rsidR="005403B6" w:rsidRDefault="005403B6" w:rsidP="00BD40EA">
      <w:pPr>
        <w:spacing w:after="0" w:line="360" w:lineRule="auto"/>
        <w:jc w:val="both"/>
        <w:rPr>
          <w:rFonts w:ascii="Times New Roman" w:hAnsi="Times New Roman" w:cs="Times New Roman"/>
        </w:rPr>
      </w:pPr>
    </w:p>
    <w:tbl>
      <w:tblPr>
        <w:tblW w:w="8078" w:type="dxa"/>
        <w:tblLook w:val="04A0"/>
      </w:tblPr>
      <w:tblGrid>
        <w:gridCol w:w="2587"/>
        <w:gridCol w:w="1372"/>
        <w:gridCol w:w="1373"/>
        <w:gridCol w:w="1372"/>
        <w:gridCol w:w="1374"/>
      </w:tblGrid>
      <w:tr w:rsidR="00326D39" w:rsidRPr="004E0EA8" w:rsidTr="00123AA6">
        <w:trPr>
          <w:trHeight w:val="346"/>
        </w:trPr>
        <w:tc>
          <w:tcPr>
            <w:tcW w:w="8078" w:type="dxa"/>
            <w:gridSpan w:val="5"/>
            <w:tcBorders>
              <w:top w:val="single" w:sz="4" w:space="0" w:color="auto"/>
            </w:tcBorders>
            <w:shd w:val="clear" w:color="auto" w:fill="auto"/>
            <w:noWrap/>
            <w:vAlign w:val="center"/>
            <w:hideMark/>
          </w:tcPr>
          <w:p w:rsidR="00326D39" w:rsidRPr="00442AE4"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rPr>
            </w:pPr>
            <w:r w:rsidRPr="00442AE4">
              <w:rPr>
                <w:rFonts w:ascii="Times New Roman" w:eastAsia="Times New Roman" w:hAnsi="Times New Roman" w:cs="Times New Roman"/>
                <w:b/>
                <w:bCs/>
                <w:color w:val="000000"/>
                <w:kern w:val="0"/>
                <w:sz w:val="20"/>
                <w:szCs w:val="20"/>
                <w:lang w:eastAsia="en-IN"/>
              </w:rPr>
              <w:t xml:space="preserve">Table. No. 1. Total </w:t>
            </w:r>
            <w:r w:rsidR="008E2B45">
              <w:rPr>
                <w:rFonts w:ascii="Times New Roman" w:eastAsia="Times New Roman" w:hAnsi="Times New Roman" w:cs="Times New Roman"/>
                <w:b/>
                <w:bCs/>
                <w:color w:val="000000"/>
                <w:kern w:val="0"/>
                <w:sz w:val="20"/>
                <w:szCs w:val="20"/>
                <w:lang w:eastAsia="en-IN"/>
              </w:rPr>
              <w:t xml:space="preserve">percent </w:t>
            </w:r>
            <w:commentRangeStart w:id="16"/>
            <w:r w:rsidR="008E2B45">
              <w:rPr>
                <w:rFonts w:ascii="Times New Roman" w:eastAsia="Times New Roman" w:hAnsi="Times New Roman" w:cs="Times New Roman"/>
                <w:b/>
                <w:bCs/>
                <w:color w:val="000000"/>
                <w:kern w:val="0"/>
                <w:sz w:val="20"/>
                <w:szCs w:val="20"/>
                <w:lang w:eastAsia="en-IN"/>
              </w:rPr>
              <w:t>n</w:t>
            </w:r>
            <w:r w:rsidRPr="00442AE4">
              <w:rPr>
                <w:rFonts w:ascii="Times New Roman" w:eastAsia="Times New Roman" w:hAnsi="Times New Roman" w:cs="Times New Roman"/>
                <w:b/>
                <w:bCs/>
                <w:color w:val="000000"/>
                <w:kern w:val="0"/>
                <w:sz w:val="20"/>
                <w:szCs w:val="20"/>
                <w:lang w:eastAsia="en-IN"/>
              </w:rPr>
              <w:t>itrogen</w:t>
            </w:r>
            <w:commentRangeEnd w:id="16"/>
            <w:r w:rsidR="00E3260A">
              <w:rPr>
                <w:rStyle w:val="CommentReference"/>
              </w:rPr>
              <w:commentReference w:id="16"/>
            </w:r>
            <w:r w:rsidRPr="00442AE4">
              <w:rPr>
                <w:rFonts w:ascii="Times New Roman" w:eastAsia="Times New Roman" w:hAnsi="Times New Roman" w:cs="Times New Roman"/>
                <w:b/>
                <w:bCs/>
                <w:color w:val="000000"/>
                <w:kern w:val="0"/>
                <w:sz w:val="20"/>
                <w:szCs w:val="20"/>
                <w:lang w:eastAsia="en-IN"/>
              </w:rPr>
              <w:t xml:space="preserve"> </w:t>
            </w:r>
            <w:r w:rsidR="008E2B45">
              <w:rPr>
                <w:rFonts w:ascii="Times New Roman" w:eastAsia="Times New Roman" w:hAnsi="Times New Roman" w:cs="Times New Roman"/>
                <w:b/>
                <w:bCs/>
                <w:color w:val="000000"/>
                <w:kern w:val="0"/>
                <w:sz w:val="20"/>
                <w:szCs w:val="20"/>
                <w:lang w:eastAsia="en-IN"/>
              </w:rPr>
              <w:t xml:space="preserve">in </w:t>
            </w:r>
            <w:r w:rsidRPr="00442AE4">
              <w:rPr>
                <w:rFonts w:ascii="Times New Roman" w:eastAsia="Times New Roman" w:hAnsi="Times New Roman" w:cs="Times New Roman"/>
                <w:b/>
                <w:bCs/>
                <w:color w:val="000000"/>
                <w:kern w:val="0"/>
                <w:sz w:val="20"/>
                <w:szCs w:val="20"/>
                <w:lang w:eastAsia="en-IN"/>
              </w:rPr>
              <w:t xml:space="preserve"> leaf, stem and bulb at 30 and 60 days after </w:t>
            </w:r>
            <w:r>
              <w:rPr>
                <w:rFonts w:ascii="Times New Roman" w:eastAsia="Times New Roman" w:hAnsi="Times New Roman" w:cs="Times New Roman"/>
                <w:b/>
                <w:bCs/>
                <w:color w:val="000000"/>
                <w:kern w:val="0"/>
                <w:sz w:val="20"/>
                <w:szCs w:val="20"/>
                <w:lang w:eastAsia="en-IN"/>
              </w:rPr>
              <w:t>planting</w:t>
            </w:r>
            <w:r w:rsidRPr="00442AE4">
              <w:rPr>
                <w:rFonts w:ascii="Times New Roman" w:eastAsia="Times New Roman" w:hAnsi="Times New Roman" w:cs="Times New Roman"/>
                <w:b/>
                <w:bCs/>
                <w:color w:val="000000"/>
                <w:kern w:val="0"/>
                <w:sz w:val="20"/>
                <w:szCs w:val="20"/>
                <w:lang w:eastAsia="en-IN"/>
              </w:rPr>
              <w:t>.</w:t>
            </w:r>
          </w:p>
        </w:tc>
      </w:tr>
      <w:tr w:rsidR="00326D39" w:rsidRPr="004E0EA8" w:rsidTr="00123AA6">
        <w:trPr>
          <w:trHeight w:val="346"/>
        </w:trPr>
        <w:tc>
          <w:tcPr>
            <w:tcW w:w="2587" w:type="dxa"/>
            <w:tcBorders>
              <w:top w:val="single" w:sz="4" w:space="0" w:color="auto"/>
              <w:bottom w:val="single" w:sz="4" w:space="0" w:color="auto"/>
            </w:tcBorders>
            <w:shd w:val="clear" w:color="auto" w:fill="auto"/>
            <w:noWrap/>
            <w:vAlign w:val="center"/>
            <w:hideMark/>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 </w:t>
            </w:r>
          </w:p>
        </w:tc>
        <w:tc>
          <w:tcPr>
            <w:tcW w:w="2745" w:type="dxa"/>
            <w:gridSpan w:val="2"/>
            <w:tcBorders>
              <w:top w:val="single" w:sz="4" w:space="0" w:color="auto"/>
            </w:tcBorders>
            <w:shd w:val="clear" w:color="000000" w:fill="FFFFFF"/>
            <w:vAlign w:val="center"/>
            <w:hideMark/>
          </w:tcPr>
          <w:p w:rsidR="00326D39" w:rsidRPr="004E0EA8"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rPr>
            </w:pPr>
            <w:r w:rsidRPr="004E0EA8">
              <w:rPr>
                <w:rFonts w:ascii="Times New Roman" w:eastAsia="Times New Roman" w:hAnsi="Times New Roman" w:cs="Times New Roman"/>
                <w:b/>
                <w:bCs/>
                <w:color w:val="000000"/>
                <w:kern w:val="0"/>
                <w:sz w:val="20"/>
                <w:szCs w:val="20"/>
                <w:lang w:eastAsia="en-IN"/>
              </w:rPr>
              <w:t xml:space="preserve">         Thirty days</w:t>
            </w:r>
          </w:p>
        </w:tc>
        <w:tc>
          <w:tcPr>
            <w:tcW w:w="2746" w:type="dxa"/>
            <w:gridSpan w:val="2"/>
            <w:tcBorders>
              <w:top w:val="single" w:sz="4" w:space="0" w:color="auto"/>
            </w:tcBorders>
            <w:shd w:val="clear" w:color="000000" w:fill="FFFFFF"/>
            <w:vAlign w:val="center"/>
            <w:hideMark/>
          </w:tcPr>
          <w:p w:rsidR="00326D39" w:rsidRPr="004E0EA8"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rPr>
            </w:pPr>
            <w:r w:rsidRPr="004E0EA8">
              <w:rPr>
                <w:rFonts w:ascii="Times New Roman" w:eastAsia="Times New Roman" w:hAnsi="Times New Roman" w:cs="Times New Roman"/>
                <w:b/>
                <w:bCs/>
                <w:color w:val="000000"/>
                <w:kern w:val="0"/>
                <w:sz w:val="20"/>
                <w:szCs w:val="20"/>
                <w:lang w:eastAsia="en-IN"/>
              </w:rPr>
              <w:t xml:space="preserve">          Sixty days</w:t>
            </w:r>
          </w:p>
        </w:tc>
      </w:tr>
      <w:tr w:rsidR="00326D39" w:rsidRPr="004E0EA8" w:rsidTr="00123AA6">
        <w:trPr>
          <w:trHeight w:val="346"/>
        </w:trPr>
        <w:tc>
          <w:tcPr>
            <w:tcW w:w="2587" w:type="dxa"/>
            <w:tcBorders>
              <w:top w:val="single" w:sz="4" w:space="0" w:color="auto"/>
            </w:tcBorders>
            <w:shd w:val="clear" w:color="auto" w:fill="auto"/>
            <w:noWrap/>
            <w:vAlign w:val="center"/>
            <w:hideMark/>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 </w:t>
            </w:r>
            <w:r w:rsidRPr="00D91C58">
              <w:rPr>
                <w:rFonts w:ascii="Times New Roman" w:eastAsia="Times New Roman" w:hAnsi="Times New Roman" w:cs="Times New Roman"/>
                <w:b/>
                <w:sz w:val="20"/>
                <w:szCs w:val="20"/>
              </w:rPr>
              <w:t>Treatment</w:t>
            </w:r>
            <w:r>
              <w:rPr>
                <w:rFonts w:ascii="Times New Roman" w:eastAsia="Times New Roman" w:hAnsi="Times New Roman" w:cs="Times New Roman"/>
                <w:b/>
                <w:sz w:val="20"/>
                <w:szCs w:val="20"/>
              </w:rPr>
              <w:t>s</w:t>
            </w:r>
          </w:p>
        </w:tc>
        <w:tc>
          <w:tcPr>
            <w:tcW w:w="1372" w:type="dxa"/>
            <w:tcBorders>
              <w:top w:val="single" w:sz="4" w:space="0" w:color="auto"/>
            </w:tcBorders>
            <w:shd w:val="clear" w:color="auto" w:fill="auto"/>
            <w:noWrap/>
            <w:vAlign w:val="center"/>
            <w:hideMark/>
          </w:tcPr>
          <w:p w:rsidR="00326D39" w:rsidRPr="004E0EA8"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rPr>
            </w:pPr>
            <w:r w:rsidRPr="004E0EA8">
              <w:rPr>
                <w:rFonts w:ascii="Times New Roman" w:eastAsia="Times New Roman" w:hAnsi="Times New Roman" w:cs="Times New Roman"/>
                <w:b/>
                <w:bCs/>
                <w:color w:val="000000"/>
                <w:kern w:val="0"/>
                <w:sz w:val="20"/>
                <w:szCs w:val="20"/>
                <w:lang w:eastAsia="en-IN"/>
              </w:rPr>
              <w:t>2020-21</w:t>
            </w:r>
          </w:p>
        </w:tc>
        <w:tc>
          <w:tcPr>
            <w:tcW w:w="1373" w:type="dxa"/>
            <w:tcBorders>
              <w:top w:val="single" w:sz="4" w:space="0" w:color="auto"/>
            </w:tcBorders>
            <w:shd w:val="clear" w:color="auto" w:fill="auto"/>
            <w:noWrap/>
            <w:vAlign w:val="center"/>
            <w:hideMark/>
          </w:tcPr>
          <w:p w:rsidR="00326D39" w:rsidRPr="004E0EA8"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rPr>
            </w:pPr>
            <w:r w:rsidRPr="004E0EA8">
              <w:rPr>
                <w:rFonts w:ascii="Times New Roman" w:eastAsia="Times New Roman" w:hAnsi="Times New Roman" w:cs="Times New Roman"/>
                <w:b/>
                <w:bCs/>
                <w:color w:val="000000"/>
                <w:kern w:val="0"/>
                <w:sz w:val="20"/>
                <w:szCs w:val="20"/>
                <w:lang w:eastAsia="en-IN"/>
              </w:rPr>
              <w:t>2021-22</w:t>
            </w:r>
          </w:p>
        </w:tc>
        <w:tc>
          <w:tcPr>
            <w:tcW w:w="1372" w:type="dxa"/>
            <w:tcBorders>
              <w:top w:val="single" w:sz="4" w:space="0" w:color="auto"/>
            </w:tcBorders>
            <w:shd w:val="clear" w:color="auto" w:fill="auto"/>
            <w:noWrap/>
            <w:vAlign w:val="center"/>
            <w:hideMark/>
          </w:tcPr>
          <w:p w:rsidR="00326D39" w:rsidRPr="004E0EA8"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rPr>
            </w:pPr>
            <w:r w:rsidRPr="004E0EA8">
              <w:rPr>
                <w:rFonts w:ascii="Times New Roman" w:eastAsia="Times New Roman" w:hAnsi="Times New Roman" w:cs="Times New Roman"/>
                <w:b/>
                <w:bCs/>
                <w:color w:val="000000"/>
                <w:kern w:val="0"/>
                <w:sz w:val="20"/>
                <w:szCs w:val="20"/>
                <w:lang w:eastAsia="en-IN"/>
              </w:rPr>
              <w:t>2020-21</w:t>
            </w:r>
          </w:p>
        </w:tc>
        <w:tc>
          <w:tcPr>
            <w:tcW w:w="1374" w:type="dxa"/>
            <w:tcBorders>
              <w:top w:val="single" w:sz="4" w:space="0" w:color="auto"/>
            </w:tcBorders>
            <w:shd w:val="clear" w:color="auto" w:fill="auto"/>
            <w:noWrap/>
            <w:vAlign w:val="center"/>
            <w:hideMark/>
          </w:tcPr>
          <w:p w:rsidR="00326D39" w:rsidRPr="004E0EA8"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rPr>
            </w:pPr>
            <w:r w:rsidRPr="004E0EA8">
              <w:rPr>
                <w:rFonts w:ascii="Times New Roman" w:eastAsia="Times New Roman" w:hAnsi="Times New Roman" w:cs="Times New Roman"/>
                <w:b/>
                <w:bCs/>
                <w:color w:val="000000"/>
                <w:kern w:val="0"/>
                <w:sz w:val="20"/>
                <w:szCs w:val="20"/>
                <w:lang w:eastAsia="en-IN"/>
              </w:rPr>
              <w:t>2021-22</w:t>
            </w:r>
          </w:p>
        </w:tc>
      </w:tr>
      <w:tr w:rsidR="00326D39" w:rsidRPr="004E0EA8" w:rsidTr="00123AA6">
        <w:trPr>
          <w:trHeight w:val="179"/>
        </w:trPr>
        <w:tc>
          <w:tcPr>
            <w:tcW w:w="2587" w:type="dxa"/>
            <w:tcBorders>
              <w:top w:val="single" w:sz="4" w:space="0" w:color="auto"/>
              <w:bottom w:val="single" w:sz="4" w:space="0" w:color="auto"/>
            </w:tcBorders>
            <w:shd w:val="clear" w:color="auto" w:fill="auto"/>
            <w:noWrap/>
            <w:vAlign w:val="center"/>
          </w:tcPr>
          <w:p w:rsidR="00326D39" w:rsidRPr="00E25F53"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rPr>
            </w:pPr>
            <w:r w:rsidRPr="00E25F53">
              <w:rPr>
                <w:rFonts w:ascii="Times New Roman" w:eastAsia="Times New Roman" w:hAnsi="Times New Roman" w:cs="Times New Roman"/>
                <w:b/>
                <w:bCs/>
                <w:color w:val="000000"/>
                <w:kern w:val="0"/>
                <w:sz w:val="20"/>
                <w:szCs w:val="20"/>
                <w:lang w:eastAsia="en-IN"/>
              </w:rPr>
              <w:t>Leaf</w:t>
            </w:r>
          </w:p>
        </w:tc>
        <w:tc>
          <w:tcPr>
            <w:tcW w:w="1372" w:type="dxa"/>
            <w:tcBorders>
              <w:top w:val="single" w:sz="4" w:space="0" w:color="auto"/>
              <w:bottom w:val="single" w:sz="4" w:space="0" w:color="auto"/>
            </w:tcBorders>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rPr>
            </w:pPr>
          </w:p>
        </w:tc>
        <w:tc>
          <w:tcPr>
            <w:tcW w:w="1373" w:type="dxa"/>
            <w:tcBorders>
              <w:top w:val="single" w:sz="4" w:space="0" w:color="auto"/>
              <w:bottom w:val="single" w:sz="4" w:space="0" w:color="auto"/>
            </w:tcBorders>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rPr>
            </w:pPr>
          </w:p>
        </w:tc>
        <w:tc>
          <w:tcPr>
            <w:tcW w:w="1372" w:type="dxa"/>
            <w:tcBorders>
              <w:top w:val="single" w:sz="4" w:space="0" w:color="auto"/>
              <w:bottom w:val="single" w:sz="4" w:space="0" w:color="auto"/>
            </w:tcBorders>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rPr>
            </w:pPr>
          </w:p>
        </w:tc>
        <w:tc>
          <w:tcPr>
            <w:tcW w:w="1374" w:type="dxa"/>
            <w:tcBorders>
              <w:top w:val="single" w:sz="4" w:space="0" w:color="auto"/>
              <w:bottom w:val="single" w:sz="4" w:space="0" w:color="auto"/>
            </w:tcBorders>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rPr>
            </w:pPr>
          </w:p>
        </w:tc>
      </w:tr>
      <w:tr w:rsidR="00326D39" w:rsidRPr="004E0EA8" w:rsidTr="00123AA6">
        <w:trPr>
          <w:trHeight w:val="269"/>
        </w:trPr>
        <w:tc>
          <w:tcPr>
            <w:tcW w:w="2587" w:type="dxa"/>
            <w:tcBorders>
              <w:top w:val="single" w:sz="4" w:space="0" w:color="auto"/>
            </w:tcBorders>
            <w:shd w:val="clear" w:color="auto" w:fill="auto"/>
            <w:noWrap/>
            <w:vAlign w:val="center"/>
            <w:hideMark/>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D91C58">
              <w:rPr>
                <w:rFonts w:ascii="Times New Roman" w:eastAsia="Times New Roman" w:hAnsi="Times New Roman" w:cs="Times New Roman"/>
                <w:b/>
                <w:sz w:val="20"/>
                <w:szCs w:val="20"/>
              </w:rPr>
              <w:t>Control (0 kg/ha)</w:t>
            </w:r>
          </w:p>
        </w:tc>
        <w:tc>
          <w:tcPr>
            <w:tcW w:w="1372" w:type="dxa"/>
            <w:tcBorders>
              <w:top w:val="single" w:sz="4" w:space="0" w:color="auto"/>
            </w:tcBorders>
            <w:shd w:val="clear" w:color="auto" w:fill="auto"/>
            <w:noWrap/>
            <w:vAlign w:val="center"/>
            <w:hideMark/>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4.04</w:t>
            </w:r>
          </w:p>
        </w:tc>
        <w:tc>
          <w:tcPr>
            <w:tcW w:w="1373" w:type="dxa"/>
            <w:tcBorders>
              <w:top w:val="single" w:sz="4" w:space="0" w:color="auto"/>
            </w:tcBorders>
            <w:shd w:val="clear" w:color="auto" w:fill="auto"/>
            <w:noWrap/>
            <w:vAlign w:val="center"/>
            <w:hideMark/>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4.08</w:t>
            </w:r>
          </w:p>
        </w:tc>
        <w:tc>
          <w:tcPr>
            <w:tcW w:w="1372" w:type="dxa"/>
            <w:tcBorders>
              <w:top w:val="single" w:sz="4" w:space="0" w:color="auto"/>
            </w:tcBorders>
            <w:shd w:val="clear" w:color="auto" w:fill="auto"/>
            <w:noWrap/>
            <w:vAlign w:val="center"/>
            <w:hideMark/>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4.2</w:t>
            </w:r>
            <w:r w:rsidR="00E53C0D">
              <w:rPr>
                <w:rFonts w:ascii="Times New Roman" w:eastAsia="Times New Roman" w:hAnsi="Times New Roman" w:cs="Times New Roman"/>
                <w:color w:val="000000"/>
                <w:kern w:val="0"/>
                <w:sz w:val="20"/>
                <w:szCs w:val="20"/>
                <w:lang w:eastAsia="en-IN"/>
              </w:rPr>
              <w:t>0</w:t>
            </w:r>
          </w:p>
        </w:tc>
        <w:tc>
          <w:tcPr>
            <w:tcW w:w="1374" w:type="dxa"/>
            <w:tcBorders>
              <w:top w:val="single" w:sz="4" w:space="0" w:color="auto"/>
            </w:tcBorders>
            <w:shd w:val="clear" w:color="auto" w:fill="auto"/>
            <w:noWrap/>
            <w:vAlign w:val="center"/>
            <w:hideMark/>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4.54</w:t>
            </w:r>
          </w:p>
        </w:tc>
      </w:tr>
      <w:tr w:rsidR="00326D39" w:rsidRPr="004E0EA8" w:rsidTr="00123AA6">
        <w:trPr>
          <w:trHeight w:val="99"/>
        </w:trPr>
        <w:tc>
          <w:tcPr>
            <w:tcW w:w="2587" w:type="dxa"/>
            <w:shd w:val="clear" w:color="auto" w:fill="auto"/>
            <w:noWrap/>
            <w:vAlign w:val="center"/>
            <w:hideMark/>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D91C58">
              <w:rPr>
                <w:rFonts w:ascii="Times New Roman" w:eastAsia="Times New Roman" w:hAnsi="Times New Roman" w:cs="Times New Roman"/>
                <w:b/>
                <w:sz w:val="20"/>
                <w:szCs w:val="20"/>
              </w:rPr>
              <w:t>Nitrogen at 50 kg/ha</w:t>
            </w:r>
          </w:p>
        </w:tc>
        <w:tc>
          <w:tcPr>
            <w:tcW w:w="1372" w:type="dxa"/>
            <w:shd w:val="clear" w:color="auto" w:fill="auto"/>
            <w:noWrap/>
            <w:vAlign w:val="center"/>
            <w:hideMark/>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4.55</w:t>
            </w:r>
          </w:p>
        </w:tc>
        <w:tc>
          <w:tcPr>
            <w:tcW w:w="1373" w:type="dxa"/>
            <w:shd w:val="clear" w:color="auto" w:fill="auto"/>
            <w:noWrap/>
            <w:vAlign w:val="center"/>
            <w:hideMark/>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4.46</w:t>
            </w:r>
          </w:p>
        </w:tc>
        <w:tc>
          <w:tcPr>
            <w:tcW w:w="1372" w:type="dxa"/>
            <w:shd w:val="clear" w:color="auto" w:fill="auto"/>
            <w:noWrap/>
            <w:vAlign w:val="center"/>
            <w:hideMark/>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4.88</w:t>
            </w:r>
          </w:p>
        </w:tc>
        <w:tc>
          <w:tcPr>
            <w:tcW w:w="1374" w:type="dxa"/>
            <w:shd w:val="clear" w:color="auto" w:fill="auto"/>
            <w:noWrap/>
            <w:vAlign w:val="center"/>
            <w:hideMark/>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4.75</w:t>
            </w:r>
          </w:p>
        </w:tc>
      </w:tr>
      <w:tr w:rsidR="00326D39" w:rsidRPr="004E0EA8" w:rsidTr="00123AA6">
        <w:trPr>
          <w:trHeight w:val="135"/>
        </w:trPr>
        <w:tc>
          <w:tcPr>
            <w:tcW w:w="2587" w:type="dxa"/>
            <w:shd w:val="clear" w:color="auto" w:fill="auto"/>
            <w:noWrap/>
            <w:vAlign w:val="center"/>
            <w:hideMark/>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D91C58">
              <w:rPr>
                <w:rFonts w:ascii="Times New Roman" w:eastAsia="Times New Roman" w:hAnsi="Times New Roman" w:cs="Times New Roman"/>
                <w:b/>
                <w:sz w:val="20"/>
                <w:szCs w:val="20"/>
              </w:rPr>
              <w:t>Nitrogen at 100 kg/ha</w:t>
            </w:r>
          </w:p>
        </w:tc>
        <w:tc>
          <w:tcPr>
            <w:tcW w:w="1372" w:type="dxa"/>
            <w:shd w:val="clear" w:color="auto" w:fill="auto"/>
            <w:noWrap/>
            <w:vAlign w:val="center"/>
            <w:hideMark/>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5.26</w:t>
            </w:r>
          </w:p>
        </w:tc>
        <w:tc>
          <w:tcPr>
            <w:tcW w:w="1373" w:type="dxa"/>
            <w:shd w:val="clear" w:color="auto" w:fill="auto"/>
            <w:noWrap/>
            <w:vAlign w:val="center"/>
            <w:hideMark/>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5.36</w:t>
            </w:r>
          </w:p>
        </w:tc>
        <w:tc>
          <w:tcPr>
            <w:tcW w:w="1372" w:type="dxa"/>
            <w:shd w:val="clear" w:color="auto" w:fill="auto"/>
            <w:noWrap/>
            <w:vAlign w:val="center"/>
            <w:hideMark/>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5.62</w:t>
            </w:r>
          </w:p>
        </w:tc>
        <w:tc>
          <w:tcPr>
            <w:tcW w:w="1374" w:type="dxa"/>
            <w:shd w:val="clear" w:color="auto" w:fill="auto"/>
            <w:noWrap/>
            <w:vAlign w:val="center"/>
            <w:hideMark/>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5.74</w:t>
            </w:r>
          </w:p>
        </w:tc>
      </w:tr>
      <w:tr w:rsidR="00326D39" w:rsidRPr="004E0EA8" w:rsidTr="00123AA6">
        <w:trPr>
          <w:trHeight w:val="180"/>
        </w:trPr>
        <w:tc>
          <w:tcPr>
            <w:tcW w:w="2587" w:type="dxa"/>
            <w:shd w:val="clear" w:color="auto" w:fill="auto"/>
            <w:noWrap/>
            <w:vAlign w:val="center"/>
            <w:hideMark/>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D91C58">
              <w:rPr>
                <w:rFonts w:ascii="Times New Roman" w:eastAsia="Times New Roman" w:hAnsi="Times New Roman" w:cs="Times New Roman"/>
                <w:b/>
                <w:sz w:val="20"/>
                <w:szCs w:val="20"/>
              </w:rPr>
              <w:t>Nitrogen at 150 kg/ha</w:t>
            </w:r>
          </w:p>
        </w:tc>
        <w:tc>
          <w:tcPr>
            <w:tcW w:w="1372" w:type="dxa"/>
            <w:shd w:val="clear" w:color="auto" w:fill="auto"/>
            <w:noWrap/>
            <w:vAlign w:val="center"/>
            <w:hideMark/>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5.89</w:t>
            </w:r>
          </w:p>
        </w:tc>
        <w:tc>
          <w:tcPr>
            <w:tcW w:w="1373" w:type="dxa"/>
            <w:shd w:val="clear" w:color="auto" w:fill="auto"/>
            <w:noWrap/>
            <w:vAlign w:val="center"/>
            <w:hideMark/>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5.88</w:t>
            </w:r>
          </w:p>
        </w:tc>
        <w:tc>
          <w:tcPr>
            <w:tcW w:w="1372" w:type="dxa"/>
            <w:shd w:val="clear" w:color="auto" w:fill="auto"/>
            <w:noWrap/>
            <w:vAlign w:val="center"/>
            <w:hideMark/>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6.23</w:t>
            </w:r>
          </w:p>
        </w:tc>
        <w:tc>
          <w:tcPr>
            <w:tcW w:w="1374" w:type="dxa"/>
            <w:shd w:val="clear" w:color="auto" w:fill="auto"/>
            <w:noWrap/>
            <w:vAlign w:val="center"/>
            <w:hideMark/>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6.18</w:t>
            </w:r>
          </w:p>
        </w:tc>
      </w:tr>
      <w:tr w:rsidR="00326D39" w:rsidRPr="004E0EA8" w:rsidTr="00123AA6">
        <w:trPr>
          <w:trHeight w:val="68"/>
        </w:trPr>
        <w:tc>
          <w:tcPr>
            <w:tcW w:w="2587" w:type="dxa"/>
            <w:shd w:val="clear" w:color="auto" w:fill="auto"/>
            <w:noWrap/>
            <w:vAlign w:val="center"/>
            <w:hideMark/>
          </w:tcPr>
          <w:p w:rsidR="00326D39" w:rsidRPr="004E0EA8"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rPr>
            </w:pPr>
            <w:r w:rsidRPr="004E0EA8">
              <w:rPr>
                <w:rFonts w:ascii="Times New Roman" w:eastAsia="Times New Roman" w:hAnsi="Times New Roman" w:cs="Times New Roman"/>
                <w:b/>
                <w:bCs/>
                <w:color w:val="000000"/>
                <w:kern w:val="0"/>
                <w:sz w:val="20"/>
                <w:szCs w:val="20"/>
                <w:lang w:eastAsia="en-IN"/>
              </w:rPr>
              <w:lastRenderedPageBreak/>
              <w:t>Gen. Mean</w:t>
            </w:r>
          </w:p>
        </w:tc>
        <w:tc>
          <w:tcPr>
            <w:tcW w:w="1372" w:type="dxa"/>
            <w:shd w:val="clear" w:color="auto" w:fill="auto"/>
            <w:noWrap/>
            <w:vAlign w:val="center"/>
            <w:hideMark/>
          </w:tcPr>
          <w:p w:rsidR="00326D39" w:rsidRPr="004E0EA8"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rPr>
            </w:pPr>
            <w:r w:rsidRPr="004E0EA8">
              <w:rPr>
                <w:rFonts w:ascii="Times New Roman" w:eastAsia="Times New Roman" w:hAnsi="Times New Roman" w:cs="Times New Roman"/>
                <w:b/>
                <w:bCs/>
                <w:color w:val="000000"/>
                <w:kern w:val="0"/>
                <w:sz w:val="20"/>
                <w:szCs w:val="20"/>
                <w:lang w:eastAsia="en-IN"/>
              </w:rPr>
              <w:t>4.93</w:t>
            </w:r>
          </w:p>
        </w:tc>
        <w:tc>
          <w:tcPr>
            <w:tcW w:w="1373" w:type="dxa"/>
            <w:shd w:val="clear" w:color="auto" w:fill="auto"/>
            <w:noWrap/>
            <w:vAlign w:val="center"/>
            <w:hideMark/>
          </w:tcPr>
          <w:p w:rsidR="00326D39" w:rsidRPr="004E0EA8"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rPr>
            </w:pPr>
            <w:r w:rsidRPr="004E0EA8">
              <w:rPr>
                <w:rFonts w:ascii="Times New Roman" w:eastAsia="Times New Roman" w:hAnsi="Times New Roman" w:cs="Times New Roman"/>
                <w:b/>
                <w:bCs/>
                <w:color w:val="000000"/>
                <w:kern w:val="0"/>
                <w:sz w:val="20"/>
                <w:szCs w:val="20"/>
                <w:lang w:eastAsia="en-IN"/>
              </w:rPr>
              <w:t>4.9</w:t>
            </w:r>
            <w:r w:rsidR="00E53C0D">
              <w:rPr>
                <w:rFonts w:ascii="Times New Roman" w:eastAsia="Times New Roman" w:hAnsi="Times New Roman" w:cs="Times New Roman"/>
                <w:b/>
                <w:bCs/>
                <w:color w:val="000000"/>
                <w:kern w:val="0"/>
                <w:sz w:val="20"/>
                <w:szCs w:val="20"/>
                <w:lang w:eastAsia="en-IN"/>
              </w:rPr>
              <w:t>5</w:t>
            </w:r>
          </w:p>
        </w:tc>
        <w:tc>
          <w:tcPr>
            <w:tcW w:w="1372" w:type="dxa"/>
            <w:shd w:val="clear" w:color="auto" w:fill="auto"/>
            <w:noWrap/>
            <w:vAlign w:val="center"/>
            <w:hideMark/>
          </w:tcPr>
          <w:p w:rsidR="00326D39" w:rsidRPr="004E0EA8"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rPr>
            </w:pPr>
            <w:r w:rsidRPr="004E0EA8">
              <w:rPr>
                <w:rFonts w:ascii="Times New Roman" w:eastAsia="Times New Roman" w:hAnsi="Times New Roman" w:cs="Times New Roman"/>
                <w:b/>
                <w:bCs/>
                <w:color w:val="000000"/>
                <w:kern w:val="0"/>
                <w:sz w:val="20"/>
                <w:szCs w:val="20"/>
                <w:lang w:eastAsia="en-IN"/>
              </w:rPr>
              <w:t>5.23</w:t>
            </w:r>
          </w:p>
        </w:tc>
        <w:tc>
          <w:tcPr>
            <w:tcW w:w="1374" w:type="dxa"/>
            <w:shd w:val="clear" w:color="auto" w:fill="auto"/>
            <w:noWrap/>
            <w:vAlign w:val="center"/>
            <w:hideMark/>
          </w:tcPr>
          <w:p w:rsidR="00326D39" w:rsidRPr="004E0EA8"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rPr>
            </w:pPr>
            <w:r w:rsidRPr="004E0EA8">
              <w:rPr>
                <w:rFonts w:ascii="Times New Roman" w:eastAsia="Times New Roman" w:hAnsi="Times New Roman" w:cs="Times New Roman"/>
                <w:b/>
                <w:bCs/>
                <w:color w:val="000000"/>
                <w:kern w:val="0"/>
                <w:sz w:val="20"/>
                <w:szCs w:val="20"/>
                <w:lang w:eastAsia="en-IN"/>
              </w:rPr>
              <w:t>5.3</w:t>
            </w:r>
            <w:r w:rsidR="004409E6">
              <w:rPr>
                <w:rFonts w:ascii="Times New Roman" w:eastAsia="Times New Roman" w:hAnsi="Times New Roman" w:cs="Times New Roman"/>
                <w:b/>
                <w:bCs/>
                <w:color w:val="000000"/>
                <w:kern w:val="0"/>
                <w:sz w:val="20"/>
                <w:szCs w:val="20"/>
                <w:lang w:eastAsia="en-IN"/>
              </w:rPr>
              <w:t>0</w:t>
            </w:r>
          </w:p>
        </w:tc>
      </w:tr>
      <w:tr w:rsidR="00326D39" w:rsidRPr="004E0EA8" w:rsidTr="00123AA6">
        <w:trPr>
          <w:trHeight w:val="162"/>
        </w:trPr>
        <w:tc>
          <w:tcPr>
            <w:tcW w:w="2587" w:type="dxa"/>
            <w:tcBorders>
              <w:bottom w:val="single" w:sz="4" w:space="0" w:color="auto"/>
            </w:tcBorders>
            <w:shd w:val="clear" w:color="auto" w:fill="auto"/>
            <w:noWrap/>
            <w:vAlign w:val="center"/>
            <w:hideMark/>
          </w:tcPr>
          <w:p w:rsidR="00326D39" w:rsidRPr="00E25F53"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rPr>
            </w:pPr>
            <w:r w:rsidRPr="00E25F53">
              <w:rPr>
                <w:rFonts w:ascii="Times New Roman" w:eastAsia="Times New Roman" w:hAnsi="Times New Roman" w:cs="Times New Roman"/>
                <w:b/>
                <w:bCs/>
                <w:color w:val="000000"/>
                <w:kern w:val="0"/>
                <w:sz w:val="20"/>
                <w:szCs w:val="20"/>
                <w:lang w:eastAsia="en-IN"/>
              </w:rPr>
              <w:t>C.D. 5%</w:t>
            </w:r>
          </w:p>
        </w:tc>
        <w:tc>
          <w:tcPr>
            <w:tcW w:w="1372" w:type="dxa"/>
            <w:tcBorders>
              <w:bottom w:val="single" w:sz="4" w:space="0" w:color="auto"/>
            </w:tcBorders>
            <w:shd w:val="clear" w:color="auto" w:fill="auto"/>
            <w:noWrap/>
            <w:vAlign w:val="center"/>
            <w:hideMark/>
          </w:tcPr>
          <w:p w:rsidR="00326D39" w:rsidRPr="004E0EA8" w:rsidRDefault="00BC300D" w:rsidP="00123AA6">
            <w:pPr>
              <w:spacing w:after="0" w:line="240" w:lineRule="auto"/>
              <w:jc w:val="both"/>
              <w:rPr>
                <w:rFonts w:ascii="Times New Roman" w:eastAsia="Times New Roman" w:hAnsi="Times New Roman" w:cs="Times New Roman"/>
                <w:color w:val="000000"/>
                <w:kern w:val="0"/>
                <w:sz w:val="20"/>
                <w:szCs w:val="20"/>
                <w:lang w:eastAsia="en-IN"/>
              </w:rPr>
            </w:pPr>
            <w:r>
              <w:rPr>
                <w:rFonts w:ascii="Times New Roman" w:eastAsia="Times New Roman" w:hAnsi="Times New Roman" w:cs="Times New Roman"/>
                <w:color w:val="000000"/>
                <w:kern w:val="0"/>
                <w:sz w:val="20"/>
                <w:szCs w:val="20"/>
                <w:lang w:eastAsia="en-IN"/>
              </w:rPr>
              <w:t>0.39</w:t>
            </w:r>
          </w:p>
        </w:tc>
        <w:tc>
          <w:tcPr>
            <w:tcW w:w="1373" w:type="dxa"/>
            <w:tcBorders>
              <w:bottom w:val="single" w:sz="4" w:space="0" w:color="auto"/>
            </w:tcBorders>
            <w:shd w:val="clear" w:color="auto" w:fill="auto"/>
            <w:noWrap/>
            <w:vAlign w:val="center"/>
            <w:hideMark/>
          </w:tcPr>
          <w:p w:rsidR="00326D39" w:rsidRPr="004E0EA8" w:rsidRDefault="00E53C0D" w:rsidP="00123AA6">
            <w:pPr>
              <w:spacing w:after="0" w:line="240" w:lineRule="auto"/>
              <w:jc w:val="both"/>
              <w:rPr>
                <w:rFonts w:ascii="Times New Roman" w:eastAsia="Times New Roman" w:hAnsi="Times New Roman" w:cs="Times New Roman"/>
                <w:color w:val="000000"/>
                <w:kern w:val="0"/>
                <w:sz w:val="20"/>
                <w:szCs w:val="20"/>
                <w:lang w:eastAsia="en-IN"/>
              </w:rPr>
            </w:pPr>
            <w:r>
              <w:rPr>
                <w:rFonts w:ascii="Times New Roman" w:eastAsia="Times New Roman" w:hAnsi="Times New Roman" w:cs="Times New Roman"/>
                <w:color w:val="000000"/>
                <w:kern w:val="0"/>
                <w:sz w:val="20"/>
                <w:szCs w:val="20"/>
                <w:lang w:eastAsia="en-IN"/>
              </w:rPr>
              <w:t>0.46</w:t>
            </w:r>
          </w:p>
        </w:tc>
        <w:tc>
          <w:tcPr>
            <w:tcW w:w="1372" w:type="dxa"/>
            <w:tcBorders>
              <w:bottom w:val="single" w:sz="4" w:space="0" w:color="auto"/>
            </w:tcBorders>
            <w:shd w:val="clear" w:color="auto" w:fill="auto"/>
            <w:noWrap/>
            <w:vAlign w:val="center"/>
            <w:hideMark/>
          </w:tcPr>
          <w:p w:rsidR="00326D39" w:rsidRPr="004E0EA8" w:rsidRDefault="004409E6" w:rsidP="00123AA6">
            <w:pPr>
              <w:spacing w:after="0" w:line="240" w:lineRule="auto"/>
              <w:jc w:val="both"/>
              <w:rPr>
                <w:rFonts w:ascii="Times New Roman" w:eastAsia="Times New Roman" w:hAnsi="Times New Roman" w:cs="Times New Roman"/>
                <w:color w:val="000000"/>
                <w:kern w:val="0"/>
                <w:sz w:val="20"/>
                <w:szCs w:val="20"/>
                <w:lang w:eastAsia="en-IN"/>
              </w:rPr>
            </w:pPr>
            <w:r>
              <w:rPr>
                <w:rFonts w:ascii="Times New Roman" w:eastAsia="Times New Roman" w:hAnsi="Times New Roman" w:cs="Times New Roman"/>
                <w:color w:val="000000"/>
                <w:kern w:val="0"/>
                <w:sz w:val="20"/>
                <w:szCs w:val="20"/>
                <w:lang w:eastAsia="en-IN"/>
              </w:rPr>
              <w:t>0.18</w:t>
            </w:r>
          </w:p>
        </w:tc>
        <w:tc>
          <w:tcPr>
            <w:tcW w:w="1374" w:type="dxa"/>
            <w:tcBorders>
              <w:bottom w:val="single" w:sz="4" w:space="0" w:color="auto"/>
            </w:tcBorders>
            <w:shd w:val="clear" w:color="auto" w:fill="auto"/>
            <w:noWrap/>
            <w:vAlign w:val="center"/>
            <w:hideMark/>
          </w:tcPr>
          <w:p w:rsidR="00326D39" w:rsidRPr="004E0EA8" w:rsidRDefault="004409E6" w:rsidP="00123AA6">
            <w:pPr>
              <w:spacing w:after="0" w:line="240" w:lineRule="auto"/>
              <w:jc w:val="both"/>
              <w:rPr>
                <w:rFonts w:ascii="Times New Roman" w:eastAsia="Times New Roman" w:hAnsi="Times New Roman" w:cs="Times New Roman"/>
                <w:color w:val="000000"/>
                <w:kern w:val="0"/>
                <w:sz w:val="20"/>
                <w:szCs w:val="20"/>
                <w:lang w:eastAsia="en-IN"/>
              </w:rPr>
            </w:pPr>
            <w:r>
              <w:rPr>
                <w:rFonts w:ascii="Times New Roman" w:eastAsia="Times New Roman" w:hAnsi="Times New Roman" w:cs="Times New Roman"/>
                <w:color w:val="000000"/>
                <w:kern w:val="0"/>
                <w:sz w:val="20"/>
                <w:szCs w:val="20"/>
                <w:lang w:eastAsia="en-IN"/>
              </w:rPr>
              <w:t>0.24</w:t>
            </w:r>
          </w:p>
        </w:tc>
      </w:tr>
      <w:tr w:rsidR="00326D39" w:rsidRPr="004E0EA8" w:rsidTr="00123AA6">
        <w:trPr>
          <w:trHeight w:val="58"/>
        </w:trPr>
        <w:tc>
          <w:tcPr>
            <w:tcW w:w="2587" w:type="dxa"/>
            <w:tcBorders>
              <w:top w:val="single" w:sz="4" w:space="0" w:color="auto"/>
              <w:bottom w:val="single" w:sz="4" w:space="0" w:color="auto"/>
            </w:tcBorders>
            <w:shd w:val="clear" w:color="auto" w:fill="auto"/>
            <w:noWrap/>
            <w:vAlign w:val="center"/>
          </w:tcPr>
          <w:p w:rsidR="00326D39" w:rsidRPr="00442AE4"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rPr>
            </w:pPr>
            <w:r w:rsidRPr="00442AE4">
              <w:rPr>
                <w:rFonts w:ascii="Times New Roman" w:eastAsia="Times New Roman" w:hAnsi="Times New Roman" w:cs="Times New Roman"/>
                <w:b/>
                <w:bCs/>
                <w:color w:val="000000"/>
                <w:kern w:val="0"/>
                <w:sz w:val="20"/>
                <w:szCs w:val="20"/>
                <w:lang w:eastAsia="en-IN"/>
              </w:rPr>
              <w:t>Stem</w:t>
            </w:r>
          </w:p>
        </w:tc>
        <w:tc>
          <w:tcPr>
            <w:tcW w:w="1372" w:type="dxa"/>
            <w:tcBorders>
              <w:top w:val="single" w:sz="4" w:space="0" w:color="auto"/>
              <w:bottom w:val="single" w:sz="4" w:space="0" w:color="auto"/>
            </w:tcBorders>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p>
        </w:tc>
        <w:tc>
          <w:tcPr>
            <w:tcW w:w="1373" w:type="dxa"/>
            <w:tcBorders>
              <w:top w:val="single" w:sz="4" w:space="0" w:color="auto"/>
              <w:bottom w:val="single" w:sz="4" w:space="0" w:color="auto"/>
            </w:tcBorders>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p>
        </w:tc>
        <w:tc>
          <w:tcPr>
            <w:tcW w:w="1372" w:type="dxa"/>
            <w:tcBorders>
              <w:top w:val="single" w:sz="4" w:space="0" w:color="auto"/>
              <w:bottom w:val="single" w:sz="4" w:space="0" w:color="auto"/>
            </w:tcBorders>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p>
        </w:tc>
        <w:tc>
          <w:tcPr>
            <w:tcW w:w="1374" w:type="dxa"/>
            <w:tcBorders>
              <w:top w:val="single" w:sz="4" w:space="0" w:color="auto"/>
              <w:bottom w:val="single" w:sz="4" w:space="0" w:color="auto"/>
            </w:tcBorders>
            <w:shd w:val="clear" w:color="auto" w:fill="auto"/>
            <w:noWrap/>
            <w:vAlign w:val="center"/>
          </w:tcPr>
          <w:p w:rsidR="00326D39" w:rsidRPr="004E0EA8" w:rsidRDefault="00326D39" w:rsidP="00123AA6">
            <w:pPr>
              <w:spacing w:after="0" w:line="240" w:lineRule="auto"/>
              <w:rPr>
                <w:rFonts w:ascii="Times New Roman" w:eastAsia="Times New Roman" w:hAnsi="Times New Roman" w:cs="Times New Roman"/>
                <w:color w:val="000000"/>
                <w:kern w:val="0"/>
                <w:sz w:val="20"/>
                <w:szCs w:val="20"/>
                <w:lang w:eastAsia="en-IN"/>
              </w:rPr>
            </w:pPr>
          </w:p>
        </w:tc>
      </w:tr>
      <w:tr w:rsidR="00326D39" w:rsidRPr="004E0EA8" w:rsidTr="00123AA6">
        <w:trPr>
          <w:trHeight w:val="58"/>
        </w:trPr>
        <w:tc>
          <w:tcPr>
            <w:tcW w:w="2587" w:type="dxa"/>
            <w:tcBorders>
              <w:top w:val="single" w:sz="4" w:space="0" w:color="auto"/>
            </w:tcBorders>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D91C58">
              <w:rPr>
                <w:rFonts w:ascii="Times New Roman" w:eastAsia="Times New Roman" w:hAnsi="Times New Roman" w:cs="Times New Roman"/>
                <w:b/>
                <w:sz w:val="20"/>
                <w:szCs w:val="20"/>
              </w:rPr>
              <w:t>Control (0 kg/ha)</w:t>
            </w:r>
          </w:p>
        </w:tc>
        <w:tc>
          <w:tcPr>
            <w:tcW w:w="1372" w:type="dxa"/>
            <w:tcBorders>
              <w:top w:val="single" w:sz="4" w:space="0" w:color="auto"/>
            </w:tcBorders>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3.74</w:t>
            </w:r>
          </w:p>
        </w:tc>
        <w:tc>
          <w:tcPr>
            <w:tcW w:w="1373" w:type="dxa"/>
            <w:tcBorders>
              <w:top w:val="single" w:sz="4" w:space="0" w:color="auto"/>
            </w:tcBorders>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3.62</w:t>
            </w:r>
          </w:p>
        </w:tc>
        <w:tc>
          <w:tcPr>
            <w:tcW w:w="1372" w:type="dxa"/>
            <w:tcBorders>
              <w:top w:val="single" w:sz="4" w:space="0" w:color="auto"/>
            </w:tcBorders>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3.79</w:t>
            </w:r>
          </w:p>
        </w:tc>
        <w:tc>
          <w:tcPr>
            <w:tcW w:w="1374" w:type="dxa"/>
            <w:tcBorders>
              <w:top w:val="single" w:sz="4" w:space="0" w:color="auto"/>
            </w:tcBorders>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3.8</w:t>
            </w:r>
          </w:p>
        </w:tc>
      </w:tr>
      <w:tr w:rsidR="00326D39" w:rsidRPr="004E0EA8" w:rsidTr="00123AA6">
        <w:trPr>
          <w:trHeight w:val="68"/>
        </w:trPr>
        <w:tc>
          <w:tcPr>
            <w:tcW w:w="2587" w:type="dxa"/>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D91C58">
              <w:rPr>
                <w:rFonts w:ascii="Times New Roman" w:eastAsia="Times New Roman" w:hAnsi="Times New Roman" w:cs="Times New Roman"/>
                <w:b/>
                <w:sz w:val="20"/>
                <w:szCs w:val="20"/>
              </w:rPr>
              <w:t>Nitrogen at 50 kg/ha</w:t>
            </w:r>
          </w:p>
        </w:tc>
        <w:tc>
          <w:tcPr>
            <w:tcW w:w="1372" w:type="dxa"/>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4.05</w:t>
            </w:r>
          </w:p>
        </w:tc>
        <w:tc>
          <w:tcPr>
            <w:tcW w:w="1373" w:type="dxa"/>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4.19</w:t>
            </w:r>
          </w:p>
        </w:tc>
        <w:tc>
          <w:tcPr>
            <w:tcW w:w="1372" w:type="dxa"/>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4.28</w:t>
            </w:r>
          </w:p>
        </w:tc>
        <w:tc>
          <w:tcPr>
            <w:tcW w:w="1374" w:type="dxa"/>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4.43</w:t>
            </w:r>
          </w:p>
        </w:tc>
      </w:tr>
      <w:tr w:rsidR="00326D39" w:rsidRPr="004E0EA8" w:rsidTr="00123AA6">
        <w:trPr>
          <w:trHeight w:val="99"/>
        </w:trPr>
        <w:tc>
          <w:tcPr>
            <w:tcW w:w="2587" w:type="dxa"/>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D91C58">
              <w:rPr>
                <w:rFonts w:ascii="Times New Roman" w:eastAsia="Times New Roman" w:hAnsi="Times New Roman" w:cs="Times New Roman"/>
                <w:b/>
                <w:sz w:val="20"/>
                <w:szCs w:val="20"/>
              </w:rPr>
              <w:t>Nitrogen at 100 kg/ha</w:t>
            </w:r>
          </w:p>
        </w:tc>
        <w:tc>
          <w:tcPr>
            <w:tcW w:w="1372" w:type="dxa"/>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4.66</w:t>
            </w:r>
          </w:p>
        </w:tc>
        <w:tc>
          <w:tcPr>
            <w:tcW w:w="1373" w:type="dxa"/>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4.61</w:t>
            </w:r>
          </w:p>
        </w:tc>
        <w:tc>
          <w:tcPr>
            <w:tcW w:w="1372" w:type="dxa"/>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4.94</w:t>
            </w:r>
          </w:p>
        </w:tc>
        <w:tc>
          <w:tcPr>
            <w:tcW w:w="1374" w:type="dxa"/>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4.83</w:t>
            </w:r>
          </w:p>
        </w:tc>
      </w:tr>
      <w:tr w:rsidR="00326D39" w:rsidRPr="004E0EA8" w:rsidTr="00123AA6">
        <w:trPr>
          <w:trHeight w:val="68"/>
        </w:trPr>
        <w:tc>
          <w:tcPr>
            <w:tcW w:w="2587" w:type="dxa"/>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D91C58">
              <w:rPr>
                <w:rFonts w:ascii="Times New Roman" w:eastAsia="Times New Roman" w:hAnsi="Times New Roman" w:cs="Times New Roman"/>
                <w:b/>
                <w:sz w:val="20"/>
                <w:szCs w:val="20"/>
              </w:rPr>
              <w:t>Nitrogen at 150 kg/ha</w:t>
            </w:r>
          </w:p>
        </w:tc>
        <w:tc>
          <w:tcPr>
            <w:tcW w:w="1372" w:type="dxa"/>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5.51</w:t>
            </w:r>
          </w:p>
        </w:tc>
        <w:tc>
          <w:tcPr>
            <w:tcW w:w="1373" w:type="dxa"/>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5.31</w:t>
            </w:r>
          </w:p>
        </w:tc>
        <w:tc>
          <w:tcPr>
            <w:tcW w:w="1372" w:type="dxa"/>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5.7</w:t>
            </w:r>
            <w:r w:rsidR="00C2651C">
              <w:rPr>
                <w:rFonts w:ascii="Times New Roman" w:eastAsia="Times New Roman" w:hAnsi="Times New Roman" w:cs="Times New Roman"/>
                <w:color w:val="000000"/>
                <w:kern w:val="0"/>
                <w:sz w:val="20"/>
                <w:szCs w:val="20"/>
                <w:lang w:eastAsia="en-IN"/>
              </w:rPr>
              <w:t>0</w:t>
            </w:r>
          </w:p>
        </w:tc>
        <w:tc>
          <w:tcPr>
            <w:tcW w:w="1374" w:type="dxa"/>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5.61</w:t>
            </w:r>
          </w:p>
        </w:tc>
      </w:tr>
      <w:tr w:rsidR="00326D39" w:rsidRPr="004E0EA8" w:rsidTr="00123AA6">
        <w:trPr>
          <w:trHeight w:val="68"/>
        </w:trPr>
        <w:tc>
          <w:tcPr>
            <w:tcW w:w="2587" w:type="dxa"/>
            <w:shd w:val="clear" w:color="auto" w:fill="auto"/>
            <w:noWrap/>
            <w:vAlign w:val="center"/>
          </w:tcPr>
          <w:p w:rsidR="00326D39" w:rsidRPr="00E25F53"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rPr>
            </w:pPr>
            <w:r w:rsidRPr="00E25F53">
              <w:rPr>
                <w:rFonts w:ascii="Times New Roman" w:eastAsia="Times New Roman" w:hAnsi="Times New Roman" w:cs="Times New Roman"/>
                <w:b/>
                <w:bCs/>
                <w:color w:val="000000"/>
                <w:kern w:val="0"/>
                <w:sz w:val="20"/>
                <w:szCs w:val="20"/>
                <w:lang w:eastAsia="en-IN"/>
              </w:rPr>
              <w:t>Gen. Mean</w:t>
            </w:r>
          </w:p>
        </w:tc>
        <w:tc>
          <w:tcPr>
            <w:tcW w:w="1372" w:type="dxa"/>
            <w:shd w:val="clear" w:color="auto" w:fill="auto"/>
            <w:noWrap/>
            <w:vAlign w:val="center"/>
          </w:tcPr>
          <w:p w:rsidR="00326D39" w:rsidRPr="00E25F53"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rPr>
            </w:pPr>
            <w:r w:rsidRPr="00E25F53">
              <w:rPr>
                <w:rFonts w:ascii="Times New Roman" w:eastAsia="Times New Roman" w:hAnsi="Times New Roman" w:cs="Times New Roman"/>
                <w:b/>
                <w:bCs/>
                <w:color w:val="000000"/>
                <w:kern w:val="0"/>
                <w:sz w:val="20"/>
                <w:szCs w:val="20"/>
                <w:lang w:eastAsia="en-IN"/>
              </w:rPr>
              <w:t>4.49</w:t>
            </w:r>
          </w:p>
        </w:tc>
        <w:tc>
          <w:tcPr>
            <w:tcW w:w="1373" w:type="dxa"/>
            <w:shd w:val="clear" w:color="auto" w:fill="auto"/>
            <w:noWrap/>
            <w:vAlign w:val="center"/>
          </w:tcPr>
          <w:p w:rsidR="00326D39" w:rsidRPr="00E25F53"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rPr>
            </w:pPr>
            <w:r w:rsidRPr="00E25F53">
              <w:rPr>
                <w:rFonts w:ascii="Times New Roman" w:eastAsia="Times New Roman" w:hAnsi="Times New Roman" w:cs="Times New Roman"/>
                <w:b/>
                <w:bCs/>
                <w:color w:val="000000"/>
                <w:kern w:val="0"/>
                <w:sz w:val="20"/>
                <w:szCs w:val="20"/>
                <w:lang w:eastAsia="en-IN"/>
              </w:rPr>
              <w:t>4.43</w:t>
            </w:r>
          </w:p>
        </w:tc>
        <w:tc>
          <w:tcPr>
            <w:tcW w:w="1372" w:type="dxa"/>
            <w:shd w:val="clear" w:color="auto" w:fill="auto"/>
            <w:noWrap/>
            <w:vAlign w:val="center"/>
          </w:tcPr>
          <w:p w:rsidR="00326D39" w:rsidRPr="00E25F53"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rPr>
            </w:pPr>
            <w:r w:rsidRPr="00E25F53">
              <w:rPr>
                <w:rFonts w:ascii="Times New Roman" w:eastAsia="Times New Roman" w:hAnsi="Times New Roman" w:cs="Times New Roman"/>
                <w:b/>
                <w:bCs/>
                <w:color w:val="000000"/>
                <w:kern w:val="0"/>
                <w:sz w:val="20"/>
                <w:szCs w:val="20"/>
                <w:lang w:eastAsia="en-IN"/>
              </w:rPr>
              <w:t>4.68</w:t>
            </w:r>
          </w:p>
        </w:tc>
        <w:tc>
          <w:tcPr>
            <w:tcW w:w="1374" w:type="dxa"/>
            <w:shd w:val="clear" w:color="auto" w:fill="auto"/>
            <w:noWrap/>
            <w:vAlign w:val="center"/>
          </w:tcPr>
          <w:p w:rsidR="00326D39" w:rsidRPr="00E25F53"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rPr>
            </w:pPr>
            <w:r w:rsidRPr="00E25F53">
              <w:rPr>
                <w:rFonts w:ascii="Times New Roman" w:eastAsia="Times New Roman" w:hAnsi="Times New Roman" w:cs="Times New Roman"/>
                <w:b/>
                <w:bCs/>
                <w:color w:val="000000"/>
                <w:kern w:val="0"/>
                <w:sz w:val="20"/>
                <w:szCs w:val="20"/>
                <w:lang w:eastAsia="en-IN"/>
              </w:rPr>
              <w:t>4.67</w:t>
            </w:r>
          </w:p>
        </w:tc>
      </w:tr>
      <w:tr w:rsidR="00326D39" w:rsidRPr="004E0EA8" w:rsidTr="00123AA6">
        <w:trPr>
          <w:trHeight w:val="225"/>
        </w:trPr>
        <w:tc>
          <w:tcPr>
            <w:tcW w:w="2587" w:type="dxa"/>
            <w:tcBorders>
              <w:bottom w:val="single" w:sz="4" w:space="0" w:color="auto"/>
            </w:tcBorders>
            <w:shd w:val="clear" w:color="auto" w:fill="auto"/>
            <w:noWrap/>
            <w:vAlign w:val="center"/>
          </w:tcPr>
          <w:p w:rsidR="00326D39" w:rsidRPr="00E25F53"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rPr>
            </w:pPr>
            <w:r w:rsidRPr="00E25F53">
              <w:rPr>
                <w:rFonts w:ascii="Times New Roman" w:eastAsia="Times New Roman" w:hAnsi="Times New Roman" w:cs="Times New Roman"/>
                <w:b/>
                <w:bCs/>
                <w:color w:val="000000"/>
                <w:kern w:val="0"/>
                <w:sz w:val="20"/>
                <w:szCs w:val="20"/>
                <w:lang w:eastAsia="en-IN"/>
              </w:rPr>
              <w:t>C.D. 5%</w:t>
            </w:r>
          </w:p>
        </w:tc>
        <w:tc>
          <w:tcPr>
            <w:tcW w:w="1372" w:type="dxa"/>
            <w:tcBorders>
              <w:bottom w:val="single" w:sz="4" w:space="0" w:color="auto"/>
            </w:tcBorders>
            <w:shd w:val="clear" w:color="auto" w:fill="auto"/>
            <w:noWrap/>
            <w:vAlign w:val="center"/>
          </w:tcPr>
          <w:p w:rsidR="00326D39" w:rsidRPr="004E0EA8" w:rsidRDefault="008337A2" w:rsidP="00123AA6">
            <w:pPr>
              <w:spacing w:after="0" w:line="240" w:lineRule="auto"/>
              <w:jc w:val="both"/>
              <w:rPr>
                <w:rFonts w:ascii="Times New Roman" w:eastAsia="Times New Roman" w:hAnsi="Times New Roman" w:cs="Times New Roman"/>
                <w:color w:val="000000"/>
                <w:kern w:val="0"/>
                <w:sz w:val="20"/>
                <w:szCs w:val="20"/>
                <w:lang w:eastAsia="en-IN"/>
              </w:rPr>
            </w:pPr>
            <w:r>
              <w:rPr>
                <w:rFonts w:ascii="Times New Roman" w:eastAsia="Times New Roman" w:hAnsi="Times New Roman" w:cs="Times New Roman"/>
                <w:color w:val="000000"/>
                <w:kern w:val="0"/>
                <w:sz w:val="20"/>
                <w:szCs w:val="20"/>
                <w:lang w:eastAsia="en-IN"/>
              </w:rPr>
              <w:t>0.11</w:t>
            </w:r>
          </w:p>
        </w:tc>
        <w:tc>
          <w:tcPr>
            <w:tcW w:w="1373" w:type="dxa"/>
            <w:tcBorders>
              <w:bottom w:val="single" w:sz="4" w:space="0" w:color="auto"/>
            </w:tcBorders>
            <w:shd w:val="clear" w:color="auto" w:fill="auto"/>
            <w:noWrap/>
            <w:vAlign w:val="center"/>
          </w:tcPr>
          <w:p w:rsidR="00326D39" w:rsidRPr="004E0EA8" w:rsidRDefault="008337A2" w:rsidP="00123AA6">
            <w:pPr>
              <w:spacing w:after="0" w:line="240" w:lineRule="auto"/>
              <w:jc w:val="both"/>
              <w:rPr>
                <w:rFonts w:ascii="Times New Roman" w:eastAsia="Times New Roman" w:hAnsi="Times New Roman" w:cs="Times New Roman"/>
                <w:color w:val="000000"/>
                <w:kern w:val="0"/>
                <w:sz w:val="20"/>
                <w:szCs w:val="20"/>
                <w:lang w:eastAsia="en-IN"/>
              </w:rPr>
            </w:pPr>
            <w:r>
              <w:rPr>
                <w:rFonts w:ascii="Times New Roman" w:eastAsia="Times New Roman" w:hAnsi="Times New Roman" w:cs="Times New Roman"/>
                <w:color w:val="000000"/>
                <w:kern w:val="0"/>
                <w:sz w:val="20"/>
                <w:szCs w:val="20"/>
                <w:lang w:eastAsia="en-IN"/>
              </w:rPr>
              <w:t>0.27</w:t>
            </w:r>
          </w:p>
        </w:tc>
        <w:tc>
          <w:tcPr>
            <w:tcW w:w="1372" w:type="dxa"/>
            <w:tcBorders>
              <w:bottom w:val="single" w:sz="4" w:space="0" w:color="auto"/>
            </w:tcBorders>
            <w:shd w:val="clear" w:color="auto" w:fill="auto"/>
            <w:noWrap/>
            <w:vAlign w:val="center"/>
          </w:tcPr>
          <w:p w:rsidR="00326D39" w:rsidRPr="004E0EA8" w:rsidRDefault="008337A2" w:rsidP="00123AA6">
            <w:pPr>
              <w:spacing w:after="0" w:line="240" w:lineRule="auto"/>
              <w:jc w:val="both"/>
              <w:rPr>
                <w:rFonts w:ascii="Times New Roman" w:eastAsia="Times New Roman" w:hAnsi="Times New Roman" w:cs="Times New Roman"/>
                <w:color w:val="000000"/>
                <w:kern w:val="0"/>
                <w:sz w:val="20"/>
                <w:szCs w:val="20"/>
                <w:lang w:eastAsia="en-IN"/>
              </w:rPr>
            </w:pPr>
            <w:r>
              <w:rPr>
                <w:rFonts w:ascii="Times New Roman" w:eastAsia="Times New Roman" w:hAnsi="Times New Roman" w:cs="Times New Roman"/>
                <w:color w:val="000000"/>
                <w:kern w:val="0"/>
                <w:sz w:val="20"/>
                <w:szCs w:val="20"/>
                <w:lang w:eastAsia="en-IN"/>
              </w:rPr>
              <w:t>0.19</w:t>
            </w:r>
          </w:p>
        </w:tc>
        <w:tc>
          <w:tcPr>
            <w:tcW w:w="1374" w:type="dxa"/>
            <w:tcBorders>
              <w:bottom w:val="single" w:sz="4" w:space="0" w:color="auto"/>
            </w:tcBorders>
            <w:shd w:val="clear" w:color="auto" w:fill="auto"/>
            <w:noWrap/>
            <w:vAlign w:val="center"/>
          </w:tcPr>
          <w:p w:rsidR="00326D39" w:rsidRPr="004E0EA8" w:rsidRDefault="008337A2" w:rsidP="00123AA6">
            <w:pPr>
              <w:spacing w:after="0" w:line="240" w:lineRule="auto"/>
              <w:jc w:val="both"/>
              <w:rPr>
                <w:rFonts w:ascii="Times New Roman" w:eastAsia="Times New Roman" w:hAnsi="Times New Roman" w:cs="Times New Roman"/>
                <w:color w:val="000000"/>
                <w:kern w:val="0"/>
                <w:sz w:val="20"/>
                <w:szCs w:val="20"/>
                <w:lang w:eastAsia="en-IN"/>
              </w:rPr>
            </w:pPr>
            <w:r>
              <w:rPr>
                <w:rFonts w:ascii="Times New Roman" w:eastAsia="Times New Roman" w:hAnsi="Times New Roman" w:cs="Times New Roman"/>
                <w:color w:val="000000"/>
                <w:kern w:val="0"/>
                <w:sz w:val="20"/>
                <w:szCs w:val="20"/>
                <w:lang w:eastAsia="en-IN"/>
              </w:rPr>
              <w:t>0.38</w:t>
            </w:r>
          </w:p>
        </w:tc>
      </w:tr>
      <w:tr w:rsidR="00326D39" w:rsidRPr="004E0EA8" w:rsidTr="00123AA6">
        <w:trPr>
          <w:trHeight w:val="58"/>
        </w:trPr>
        <w:tc>
          <w:tcPr>
            <w:tcW w:w="2587" w:type="dxa"/>
            <w:tcBorders>
              <w:top w:val="single" w:sz="4" w:space="0" w:color="auto"/>
              <w:bottom w:val="single" w:sz="4" w:space="0" w:color="auto"/>
            </w:tcBorders>
            <w:shd w:val="clear" w:color="auto" w:fill="auto"/>
            <w:noWrap/>
            <w:vAlign w:val="center"/>
          </w:tcPr>
          <w:p w:rsidR="00326D39" w:rsidRPr="00442AE4"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rPr>
            </w:pPr>
            <w:r w:rsidRPr="00442AE4">
              <w:rPr>
                <w:rFonts w:ascii="Times New Roman" w:eastAsia="Times New Roman" w:hAnsi="Times New Roman" w:cs="Times New Roman"/>
                <w:b/>
                <w:bCs/>
                <w:color w:val="000000"/>
                <w:kern w:val="0"/>
                <w:sz w:val="20"/>
                <w:szCs w:val="20"/>
                <w:lang w:eastAsia="en-IN"/>
              </w:rPr>
              <w:t>Bulb</w:t>
            </w:r>
          </w:p>
        </w:tc>
        <w:tc>
          <w:tcPr>
            <w:tcW w:w="1372" w:type="dxa"/>
            <w:tcBorders>
              <w:top w:val="single" w:sz="4" w:space="0" w:color="auto"/>
              <w:bottom w:val="single" w:sz="4" w:space="0" w:color="auto"/>
            </w:tcBorders>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p>
        </w:tc>
        <w:tc>
          <w:tcPr>
            <w:tcW w:w="1373" w:type="dxa"/>
            <w:tcBorders>
              <w:top w:val="single" w:sz="4" w:space="0" w:color="auto"/>
              <w:bottom w:val="single" w:sz="4" w:space="0" w:color="auto"/>
            </w:tcBorders>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p>
        </w:tc>
        <w:tc>
          <w:tcPr>
            <w:tcW w:w="1372" w:type="dxa"/>
            <w:tcBorders>
              <w:top w:val="single" w:sz="4" w:space="0" w:color="auto"/>
              <w:bottom w:val="single" w:sz="4" w:space="0" w:color="auto"/>
            </w:tcBorders>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p>
        </w:tc>
        <w:tc>
          <w:tcPr>
            <w:tcW w:w="1374" w:type="dxa"/>
            <w:tcBorders>
              <w:top w:val="single" w:sz="4" w:space="0" w:color="auto"/>
              <w:bottom w:val="single" w:sz="4" w:space="0" w:color="auto"/>
            </w:tcBorders>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p>
        </w:tc>
      </w:tr>
      <w:tr w:rsidR="00326D39" w:rsidRPr="004E0EA8" w:rsidTr="00123AA6">
        <w:trPr>
          <w:trHeight w:val="242"/>
        </w:trPr>
        <w:tc>
          <w:tcPr>
            <w:tcW w:w="2587" w:type="dxa"/>
            <w:tcBorders>
              <w:top w:val="single" w:sz="4" w:space="0" w:color="auto"/>
            </w:tcBorders>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D91C58">
              <w:rPr>
                <w:rFonts w:ascii="Times New Roman" w:eastAsia="Times New Roman" w:hAnsi="Times New Roman" w:cs="Times New Roman"/>
                <w:b/>
                <w:sz w:val="20"/>
                <w:szCs w:val="20"/>
              </w:rPr>
              <w:t>Control (0 kg/ha)</w:t>
            </w:r>
          </w:p>
        </w:tc>
        <w:tc>
          <w:tcPr>
            <w:tcW w:w="1372" w:type="dxa"/>
            <w:tcBorders>
              <w:top w:val="single" w:sz="4" w:space="0" w:color="auto"/>
            </w:tcBorders>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3.13</w:t>
            </w:r>
          </w:p>
        </w:tc>
        <w:tc>
          <w:tcPr>
            <w:tcW w:w="1373" w:type="dxa"/>
            <w:tcBorders>
              <w:top w:val="single" w:sz="4" w:space="0" w:color="auto"/>
            </w:tcBorders>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3.24</w:t>
            </w:r>
          </w:p>
        </w:tc>
        <w:tc>
          <w:tcPr>
            <w:tcW w:w="1372" w:type="dxa"/>
            <w:tcBorders>
              <w:top w:val="single" w:sz="4" w:space="0" w:color="auto"/>
            </w:tcBorders>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3.3</w:t>
            </w:r>
          </w:p>
        </w:tc>
        <w:tc>
          <w:tcPr>
            <w:tcW w:w="1374" w:type="dxa"/>
            <w:tcBorders>
              <w:top w:val="single" w:sz="4" w:space="0" w:color="auto"/>
            </w:tcBorders>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3.4</w:t>
            </w:r>
          </w:p>
        </w:tc>
      </w:tr>
      <w:tr w:rsidR="00326D39" w:rsidRPr="004E0EA8" w:rsidTr="00123AA6">
        <w:trPr>
          <w:trHeight w:val="90"/>
        </w:trPr>
        <w:tc>
          <w:tcPr>
            <w:tcW w:w="2587" w:type="dxa"/>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D91C58">
              <w:rPr>
                <w:rFonts w:ascii="Times New Roman" w:eastAsia="Times New Roman" w:hAnsi="Times New Roman" w:cs="Times New Roman"/>
                <w:b/>
                <w:sz w:val="20"/>
                <w:szCs w:val="20"/>
              </w:rPr>
              <w:t>Nitrogen at 50 kg/ha</w:t>
            </w:r>
          </w:p>
        </w:tc>
        <w:tc>
          <w:tcPr>
            <w:tcW w:w="1372" w:type="dxa"/>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3.37</w:t>
            </w:r>
          </w:p>
        </w:tc>
        <w:tc>
          <w:tcPr>
            <w:tcW w:w="1373" w:type="dxa"/>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3.5</w:t>
            </w:r>
          </w:p>
        </w:tc>
        <w:tc>
          <w:tcPr>
            <w:tcW w:w="1372" w:type="dxa"/>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3.67</w:t>
            </w:r>
          </w:p>
        </w:tc>
        <w:tc>
          <w:tcPr>
            <w:tcW w:w="1374" w:type="dxa"/>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3.72</w:t>
            </w:r>
          </w:p>
        </w:tc>
      </w:tr>
      <w:tr w:rsidR="00326D39" w:rsidRPr="004E0EA8" w:rsidTr="00123AA6">
        <w:trPr>
          <w:trHeight w:val="225"/>
        </w:trPr>
        <w:tc>
          <w:tcPr>
            <w:tcW w:w="2587" w:type="dxa"/>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D91C58">
              <w:rPr>
                <w:rFonts w:ascii="Times New Roman" w:eastAsia="Times New Roman" w:hAnsi="Times New Roman" w:cs="Times New Roman"/>
                <w:b/>
                <w:sz w:val="20"/>
                <w:szCs w:val="20"/>
              </w:rPr>
              <w:t>Nitrogen at 100 kg/ha</w:t>
            </w:r>
          </w:p>
        </w:tc>
        <w:tc>
          <w:tcPr>
            <w:tcW w:w="1372" w:type="dxa"/>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3.82</w:t>
            </w:r>
          </w:p>
        </w:tc>
        <w:tc>
          <w:tcPr>
            <w:tcW w:w="1373" w:type="dxa"/>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3.8</w:t>
            </w:r>
          </w:p>
        </w:tc>
        <w:tc>
          <w:tcPr>
            <w:tcW w:w="1372" w:type="dxa"/>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4</w:t>
            </w:r>
            <w:r w:rsidR="00C2651C">
              <w:rPr>
                <w:rFonts w:ascii="Times New Roman" w:eastAsia="Times New Roman" w:hAnsi="Times New Roman" w:cs="Times New Roman"/>
                <w:color w:val="000000"/>
                <w:kern w:val="0"/>
                <w:sz w:val="20"/>
                <w:szCs w:val="20"/>
                <w:lang w:eastAsia="en-IN"/>
              </w:rPr>
              <w:t>.00</w:t>
            </w:r>
          </w:p>
        </w:tc>
        <w:tc>
          <w:tcPr>
            <w:tcW w:w="1374" w:type="dxa"/>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3.9</w:t>
            </w:r>
          </w:p>
        </w:tc>
      </w:tr>
      <w:tr w:rsidR="00326D39" w:rsidRPr="004E0EA8" w:rsidTr="00123AA6">
        <w:trPr>
          <w:trHeight w:val="81"/>
        </w:trPr>
        <w:tc>
          <w:tcPr>
            <w:tcW w:w="2587" w:type="dxa"/>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D91C58">
              <w:rPr>
                <w:rFonts w:ascii="Times New Roman" w:eastAsia="Times New Roman" w:hAnsi="Times New Roman" w:cs="Times New Roman"/>
                <w:b/>
                <w:sz w:val="20"/>
                <w:szCs w:val="20"/>
              </w:rPr>
              <w:t>Nitrogen at 150 kg/ha</w:t>
            </w:r>
          </w:p>
        </w:tc>
        <w:tc>
          <w:tcPr>
            <w:tcW w:w="1372" w:type="dxa"/>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4.09</w:t>
            </w:r>
          </w:p>
        </w:tc>
        <w:tc>
          <w:tcPr>
            <w:tcW w:w="1373" w:type="dxa"/>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4.08</w:t>
            </w:r>
          </w:p>
        </w:tc>
        <w:tc>
          <w:tcPr>
            <w:tcW w:w="1372" w:type="dxa"/>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4.25</w:t>
            </w:r>
          </w:p>
        </w:tc>
        <w:tc>
          <w:tcPr>
            <w:tcW w:w="1374" w:type="dxa"/>
            <w:shd w:val="clear" w:color="auto" w:fill="auto"/>
            <w:noWrap/>
            <w:vAlign w:val="center"/>
          </w:tcPr>
          <w:p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rPr>
            </w:pPr>
            <w:r w:rsidRPr="004E0EA8">
              <w:rPr>
                <w:rFonts w:ascii="Times New Roman" w:eastAsia="Times New Roman" w:hAnsi="Times New Roman" w:cs="Times New Roman"/>
                <w:color w:val="000000"/>
                <w:kern w:val="0"/>
                <w:sz w:val="20"/>
                <w:szCs w:val="20"/>
                <w:lang w:eastAsia="en-IN"/>
              </w:rPr>
              <w:t>4.25</w:t>
            </w:r>
          </w:p>
        </w:tc>
      </w:tr>
      <w:tr w:rsidR="00326D39" w:rsidRPr="004E0EA8" w:rsidTr="00123AA6">
        <w:trPr>
          <w:trHeight w:val="68"/>
        </w:trPr>
        <w:tc>
          <w:tcPr>
            <w:tcW w:w="2587" w:type="dxa"/>
            <w:shd w:val="clear" w:color="auto" w:fill="auto"/>
            <w:noWrap/>
            <w:vAlign w:val="center"/>
          </w:tcPr>
          <w:p w:rsidR="00326D39" w:rsidRPr="00E25F53"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rPr>
            </w:pPr>
            <w:r w:rsidRPr="00E25F53">
              <w:rPr>
                <w:rFonts w:ascii="Times New Roman" w:eastAsia="Times New Roman" w:hAnsi="Times New Roman" w:cs="Times New Roman"/>
                <w:b/>
                <w:bCs/>
                <w:color w:val="000000"/>
                <w:kern w:val="0"/>
                <w:sz w:val="20"/>
                <w:szCs w:val="20"/>
                <w:lang w:eastAsia="en-IN"/>
              </w:rPr>
              <w:t>Gen. Mean</w:t>
            </w:r>
          </w:p>
        </w:tc>
        <w:tc>
          <w:tcPr>
            <w:tcW w:w="1372" w:type="dxa"/>
            <w:shd w:val="clear" w:color="auto" w:fill="auto"/>
            <w:noWrap/>
            <w:vAlign w:val="center"/>
          </w:tcPr>
          <w:p w:rsidR="00326D39" w:rsidRPr="00E25F53"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rPr>
            </w:pPr>
            <w:r w:rsidRPr="00E25F53">
              <w:rPr>
                <w:rFonts w:ascii="Times New Roman" w:eastAsia="Times New Roman" w:hAnsi="Times New Roman" w:cs="Times New Roman"/>
                <w:b/>
                <w:bCs/>
                <w:color w:val="000000"/>
                <w:kern w:val="0"/>
                <w:sz w:val="20"/>
                <w:szCs w:val="20"/>
                <w:lang w:eastAsia="en-IN"/>
              </w:rPr>
              <w:t>3.6</w:t>
            </w:r>
          </w:p>
        </w:tc>
        <w:tc>
          <w:tcPr>
            <w:tcW w:w="1373" w:type="dxa"/>
            <w:shd w:val="clear" w:color="auto" w:fill="auto"/>
            <w:noWrap/>
            <w:vAlign w:val="center"/>
          </w:tcPr>
          <w:p w:rsidR="00326D39" w:rsidRPr="00E25F53"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rPr>
            </w:pPr>
            <w:r w:rsidRPr="00E25F53">
              <w:rPr>
                <w:rFonts w:ascii="Times New Roman" w:eastAsia="Times New Roman" w:hAnsi="Times New Roman" w:cs="Times New Roman"/>
                <w:b/>
                <w:bCs/>
                <w:color w:val="000000"/>
                <w:kern w:val="0"/>
                <w:sz w:val="20"/>
                <w:szCs w:val="20"/>
                <w:lang w:eastAsia="en-IN"/>
              </w:rPr>
              <w:t>3.65</w:t>
            </w:r>
          </w:p>
        </w:tc>
        <w:tc>
          <w:tcPr>
            <w:tcW w:w="1372" w:type="dxa"/>
            <w:shd w:val="clear" w:color="auto" w:fill="auto"/>
            <w:noWrap/>
            <w:vAlign w:val="center"/>
          </w:tcPr>
          <w:p w:rsidR="00326D39" w:rsidRPr="00E25F53"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rPr>
            </w:pPr>
            <w:r w:rsidRPr="00E25F53">
              <w:rPr>
                <w:rFonts w:ascii="Times New Roman" w:eastAsia="Times New Roman" w:hAnsi="Times New Roman" w:cs="Times New Roman"/>
                <w:b/>
                <w:bCs/>
                <w:color w:val="000000"/>
                <w:kern w:val="0"/>
                <w:sz w:val="20"/>
                <w:szCs w:val="20"/>
                <w:lang w:eastAsia="en-IN"/>
              </w:rPr>
              <w:t>3.8</w:t>
            </w:r>
          </w:p>
        </w:tc>
        <w:tc>
          <w:tcPr>
            <w:tcW w:w="1374" w:type="dxa"/>
            <w:shd w:val="clear" w:color="auto" w:fill="auto"/>
            <w:noWrap/>
            <w:vAlign w:val="center"/>
          </w:tcPr>
          <w:p w:rsidR="00326D39" w:rsidRPr="00E25F53"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rPr>
            </w:pPr>
            <w:r w:rsidRPr="00E25F53">
              <w:rPr>
                <w:rFonts w:ascii="Times New Roman" w:eastAsia="Times New Roman" w:hAnsi="Times New Roman" w:cs="Times New Roman"/>
                <w:b/>
                <w:bCs/>
                <w:color w:val="000000"/>
                <w:kern w:val="0"/>
                <w:sz w:val="20"/>
                <w:szCs w:val="20"/>
                <w:lang w:eastAsia="en-IN"/>
              </w:rPr>
              <w:t>3.82</w:t>
            </w:r>
          </w:p>
        </w:tc>
      </w:tr>
      <w:tr w:rsidR="00326D39" w:rsidRPr="004E0EA8" w:rsidTr="00123AA6">
        <w:trPr>
          <w:trHeight w:val="68"/>
        </w:trPr>
        <w:tc>
          <w:tcPr>
            <w:tcW w:w="2587" w:type="dxa"/>
            <w:tcBorders>
              <w:bottom w:val="single" w:sz="4" w:space="0" w:color="auto"/>
            </w:tcBorders>
            <w:shd w:val="clear" w:color="auto" w:fill="auto"/>
            <w:noWrap/>
            <w:vAlign w:val="center"/>
          </w:tcPr>
          <w:p w:rsidR="00326D39" w:rsidRPr="00E25F53"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rPr>
            </w:pPr>
            <w:r w:rsidRPr="00E25F53">
              <w:rPr>
                <w:rFonts w:ascii="Times New Roman" w:eastAsia="Times New Roman" w:hAnsi="Times New Roman" w:cs="Times New Roman"/>
                <w:b/>
                <w:bCs/>
                <w:color w:val="000000"/>
                <w:kern w:val="0"/>
                <w:sz w:val="20"/>
                <w:szCs w:val="20"/>
                <w:lang w:eastAsia="en-IN"/>
              </w:rPr>
              <w:t>C.D. 5%</w:t>
            </w:r>
          </w:p>
        </w:tc>
        <w:tc>
          <w:tcPr>
            <w:tcW w:w="1372" w:type="dxa"/>
            <w:tcBorders>
              <w:bottom w:val="single" w:sz="4" w:space="0" w:color="auto"/>
            </w:tcBorders>
            <w:shd w:val="clear" w:color="auto" w:fill="auto"/>
            <w:noWrap/>
            <w:vAlign w:val="center"/>
          </w:tcPr>
          <w:p w:rsidR="00326D39" w:rsidRPr="004E0EA8" w:rsidRDefault="008337A2" w:rsidP="00123AA6">
            <w:pPr>
              <w:spacing w:after="0" w:line="240" w:lineRule="auto"/>
              <w:jc w:val="both"/>
              <w:rPr>
                <w:rFonts w:ascii="Times New Roman" w:eastAsia="Times New Roman" w:hAnsi="Times New Roman" w:cs="Times New Roman"/>
                <w:color w:val="000000"/>
                <w:kern w:val="0"/>
                <w:sz w:val="20"/>
                <w:szCs w:val="20"/>
                <w:lang w:eastAsia="en-IN"/>
              </w:rPr>
            </w:pPr>
            <w:r>
              <w:rPr>
                <w:rFonts w:ascii="Times New Roman" w:eastAsia="Times New Roman" w:hAnsi="Times New Roman" w:cs="Times New Roman"/>
                <w:color w:val="000000"/>
                <w:kern w:val="0"/>
                <w:sz w:val="20"/>
                <w:szCs w:val="20"/>
                <w:lang w:eastAsia="en-IN"/>
              </w:rPr>
              <w:t>0.15</w:t>
            </w:r>
          </w:p>
        </w:tc>
        <w:tc>
          <w:tcPr>
            <w:tcW w:w="1373" w:type="dxa"/>
            <w:tcBorders>
              <w:bottom w:val="single" w:sz="4" w:space="0" w:color="auto"/>
            </w:tcBorders>
            <w:shd w:val="clear" w:color="auto" w:fill="auto"/>
            <w:noWrap/>
            <w:vAlign w:val="center"/>
          </w:tcPr>
          <w:p w:rsidR="00326D39" w:rsidRPr="004E0EA8" w:rsidRDefault="008337A2" w:rsidP="00123AA6">
            <w:pPr>
              <w:spacing w:after="0" w:line="240" w:lineRule="auto"/>
              <w:jc w:val="both"/>
              <w:rPr>
                <w:rFonts w:ascii="Times New Roman" w:eastAsia="Times New Roman" w:hAnsi="Times New Roman" w:cs="Times New Roman"/>
                <w:color w:val="000000"/>
                <w:kern w:val="0"/>
                <w:sz w:val="20"/>
                <w:szCs w:val="20"/>
                <w:lang w:eastAsia="en-IN"/>
              </w:rPr>
            </w:pPr>
            <w:r>
              <w:rPr>
                <w:rFonts w:ascii="Times New Roman" w:eastAsia="Times New Roman" w:hAnsi="Times New Roman" w:cs="Times New Roman"/>
                <w:color w:val="000000"/>
                <w:kern w:val="0"/>
                <w:sz w:val="20"/>
                <w:szCs w:val="20"/>
                <w:lang w:eastAsia="en-IN"/>
              </w:rPr>
              <w:t>0.20</w:t>
            </w:r>
          </w:p>
        </w:tc>
        <w:tc>
          <w:tcPr>
            <w:tcW w:w="1372" w:type="dxa"/>
            <w:tcBorders>
              <w:bottom w:val="single" w:sz="4" w:space="0" w:color="auto"/>
            </w:tcBorders>
            <w:shd w:val="clear" w:color="auto" w:fill="auto"/>
            <w:noWrap/>
            <w:vAlign w:val="center"/>
          </w:tcPr>
          <w:p w:rsidR="00326D39" w:rsidRPr="004E0EA8" w:rsidRDefault="0008036C" w:rsidP="00123AA6">
            <w:pPr>
              <w:spacing w:after="0" w:line="240" w:lineRule="auto"/>
              <w:jc w:val="both"/>
              <w:rPr>
                <w:rFonts w:ascii="Times New Roman" w:eastAsia="Times New Roman" w:hAnsi="Times New Roman" w:cs="Times New Roman"/>
                <w:color w:val="000000"/>
                <w:kern w:val="0"/>
                <w:sz w:val="20"/>
                <w:szCs w:val="20"/>
                <w:lang w:eastAsia="en-IN"/>
              </w:rPr>
            </w:pPr>
            <w:r>
              <w:rPr>
                <w:rFonts w:ascii="Times New Roman" w:eastAsia="Times New Roman" w:hAnsi="Times New Roman" w:cs="Times New Roman"/>
                <w:color w:val="000000"/>
                <w:kern w:val="0"/>
                <w:sz w:val="20"/>
                <w:szCs w:val="20"/>
                <w:lang w:eastAsia="en-IN"/>
              </w:rPr>
              <w:t>0.12</w:t>
            </w:r>
          </w:p>
        </w:tc>
        <w:tc>
          <w:tcPr>
            <w:tcW w:w="1374" w:type="dxa"/>
            <w:tcBorders>
              <w:bottom w:val="single" w:sz="4" w:space="0" w:color="auto"/>
            </w:tcBorders>
            <w:shd w:val="clear" w:color="auto" w:fill="auto"/>
            <w:noWrap/>
            <w:vAlign w:val="center"/>
          </w:tcPr>
          <w:p w:rsidR="00326D39" w:rsidRPr="004E0EA8" w:rsidRDefault="0008036C" w:rsidP="00123AA6">
            <w:pPr>
              <w:spacing w:after="0" w:line="240" w:lineRule="auto"/>
              <w:jc w:val="both"/>
              <w:rPr>
                <w:rFonts w:ascii="Times New Roman" w:eastAsia="Times New Roman" w:hAnsi="Times New Roman" w:cs="Times New Roman"/>
                <w:color w:val="000000"/>
                <w:kern w:val="0"/>
                <w:sz w:val="20"/>
                <w:szCs w:val="20"/>
                <w:lang w:eastAsia="en-IN"/>
              </w:rPr>
            </w:pPr>
            <w:r>
              <w:rPr>
                <w:rFonts w:ascii="Times New Roman" w:eastAsia="Times New Roman" w:hAnsi="Times New Roman" w:cs="Times New Roman"/>
                <w:color w:val="000000"/>
                <w:kern w:val="0"/>
                <w:sz w:val="20"/>
                <w:szCs w:val="20"/>
                <w:lang w:eastAsia="en-IN"/>
              </w:rPr>
              <w:t>0.18</w:t>
            </w:r>
          </w:p>
        </w:tc>
      </w:tr>
    </w:tbl>
    <w:p w:rsidR="007B2140" w:rsidRPr="00B67FC2" w:rsidRDefault="007B2140" w:rsidP="007B2140">
      <w:pPr>
        <w:spacing w:line="240" w:lineRule="auto"/>
        <w:jc w:val="both"/>
        <w:rPr>
          <w:rFonts w:ascii="Times New Roman" w:eastAsia="Times New Roman" w:hAnsi="Times New Roman" w:cs="Times New Roman"/>
          <w:sz w:val="20"/>
          <w:szCs w:val="20"/>
        </w:rPr>
      </w:pPr>
      <w:r w:rsidRPr="00B67FC2">
        <w:rPr>
          <w:rFonts w:ascii="Times New Roman" w:eastAsia="Times New Roman" w:hAnsi="Times New Roman" w:cs="Times New Roman"/>
          <w:i/>
          <w:iCs/>
          <w:sz w:val="20"/>
          <w:szCs w:val="20"/>
        </w:rPr>
        <w:t>*Means with different letters in the same column are statistically significant based on Duncan’s multiple range test (p ≤ 0.05)</w:t>
      </w:r>
    </w:p>
    <w:p w:rsidR="009239D7" w:rsidRPr="00CE206D" w:rsidRDefault="009239D7" w:rsidP="00BD40EA">
      <w:pPr>
        <w:spacing w:after="0" w:line="360" w:lineRule="auto"/>
        <w:jc w:val="both"/>
        <w:rPr>
          <w:rFonts w:ascii="Times New Roman" w:hAnsi="Times New Roman" w:cs="Times New Roman"/>
        </w:rPr>
      </w:pPr>
    </w:p>
    <w:p w:rsidR="009239D7" w:rsidRPr="002F2007" w:rsidRDefault="009239D7" w:rsidP="002F2007">
      <w:pPr>
        <w:pStyle w:val="ListParagraph"/>
        <w:numPr>
          <w:ilvl w:val="0"/>
          <w:numId w:val="24"/>
        </w:numPr>
        <w:spacing w:after="0" w:line="360" w:lineRule="auto"/>
        <w:jc w:val="both"/>
        <w:rPr>
          <w:rFonts w:ascii="Times New Roman" w:hAnsi="Times New Roman" w:cs="Times New Roman"/>
          <w:b/>
          <w:bCs/>
          <w:i/>
          <w:iCs/>
        </w:rPr>
      </w:pPr>
      <w:r w:rsidRPr="002F2007">
        <w:rPr>
          <w:rFonts w:ascii="Times New Roman" w:hAnsi="Times New Roman" w:cs="Times New Roman"/>
          <w:b/>
          <w:bCs/>
          <w:i/>
          <w:iCs/>
        </w:rPr>
        <w:t>Available Soil Nitrogen Levels</w:t>
      </w:r>
    </w:p>
    <w:p w:rsidR="00AC347D" w:rsidRDefault="003A050B" w:rsidP="003A050B">
      <w:pPr>
        <w:spacing w:after="0" w:line="360" w:lineRule="auto"/>
        <w:jc w:val="both"/>
        <w:rPr>
          <w:rFonts w:ascii="Times New Roman" w:hAnsi="Times New Roman" w:cs="Times New Roman"/>
        </w:rPr>
      </w:pPr>
      <w:r w:rsidRPr="003A050B">
        <w:rPr>
          <w:rFonts w:ascii="Times New Roman" w:hAnsi="Times New Roman" w:cs="Times New Roman"/>
        </w:rPr>
        <w:t>The available soil nitrogen levels were measured at both the initial stage and at harvest for the growing seasons of 2020-21 and 2021</w:t>
      </w:r>
      <w:r w:rsidR="0023022F" w:rsidRPr="0023022F">
        <w:rPr>
          <w:rFonts w:ascii="Times New Roman" w:hAnsi="Times New Roman" w:cs="Times New Roman"/>
          <w:i/>
          <w:iCs/>
        </w:rPr>
        <w:t>–</w:t>
      </w:r>
      <w:r w:rsidRPr="003A050B">
        <w:rPr>
          <w:rFonts w:ascii="Times New Roman" w:hAnsi="Times New Roman" w:cs="Times New Roman"/>
        </w:rPr>
        <w:t>22. For the 2020</w:t>
      </w:r>
      <w:r w:rsidR="0023022F" w:rsidRPr="0023022F">
        <w:rPr>
          <w:rFonts w:ascii="Times New Roman" w:hAnsi="Times New Roman" w:cs="Times New Roman"/>
          <w:i/>
          <w:iCs/>
        </w:rPr>
        <w:t>–</w:t>
      </w:r>
      <w:r w:rsidRPr="003A050B">
        <w:rPr>
          <w:rFonts w:ascii="Times New Roman" w:hAnsi="Times New Roman" w:cs="Times New Roman"/>
        </w:rPr>
        <w:t>21 season, all treatments started uniformly with an initial nitrogen content of 184.90 kg/ha. At harvest, the control group (0 kg N/ha) exhibited a substantial decrease to 86.02 kg/ha. Similarly, the 50 kg N/ha treatment showed a reduced nitrogen level of 111.02 kg/ha at harvest. The 100 kg N/ha treatment recorded a higher residual nitrogen content of 137.88 kg/ha, whereas the highest residual nitrogen (172.51 kg/ha) was observed with the 150 kg N/ha treatment, significantly greater than all other treatments.In the subsequent 2021</w:t>
      </w:r>
      <w:r w:rsidR="0023022F" w:rsidRPr="0023022F">
        <w:rPr>
          <w:rFonts w:ascii="Times New Roman" w:hAnsi="Times New Roman" w:cs="Times New Roman"/>
          <w:i/>
          <w:iCs/>
        </w:rPr>
        <w:t>–</w:t>
      </w:r>
      <w:r w:rsidRPr="003A050B">
        <w:rPr>
          <w:rFonts w:ascii="Times New Roman" w:hAnsi="Times New Roman" w:cs="Times New Roman"/>
        </w:rPr>
        <w:t xml:space="preserve">22 season, all treatments began with a lower initial nitrogen level of 164.25 kg/ha. At harvest, the control treatment's nitrogen content further decreased significantly to 76.25 kg/ha. The 50 kg N/ha application resulted in a residual nitrogen level of 105.14 kg/ha, </w:t>
      </w:r>
    </w:p>
    <w:p w:rsidR="003A050B" w:rsidRDefault="003A050B" w:rsidP="003A050B">
      <w:pPr>
        <w:spacing w:after="0" w:line="360" w:lineRule="auto"/>
        <w:jc w:val="both"/>
        <w:rPr>
          <w:rFonts w:ascii="Times New Roman" w:hAnsi="Times New Roman" w:cs="Times New Roman"/>
        </w:rPr>
      </w:pPr>
      <w:r w:rsidRPr="003A050B">
        <w:rPr>
          <w:rFonts w:ascii="Times New Roman" w:hAnsi="Times New Roman" w:cs="Times New Roman"/>
        </w:rPr>
        <w:t>significantly higher than the control. The residual nitrogen further increased significantly under the 100 kg N/ha treatment to 136.67 kg/ha, and the highest residual nitrogen (162.28 kg/ha) was again recorded under the 150 kg N/ha treatment, significantly surpassing other treatments. These results confirm the direct impact of increased nitrogen application rates in enhancing soil nitrogen retention over successive seasons (</w:t>
      </w:r>
      <w:r w:rsidR="005403B6">
        <w:rPr>
          <w:rFonts w:ascii="Times New Roman" w:hAnsi="Times New Roman" w:cs="Times New Roman"/>
        </w:rPr>
        <w:t>Fig 1</w:t>
      </w:r>
      <w:r w:rsidRPr="003A050B">
        <w:rPr>
          <w:rFonts w:ascii="Times New Roman" w:hAnsi="Times New Roman" w:cs="Times New Roman"/>
        </w:rPr>
        <w:t>).</w:t>
      </w:r>
    </w:p>
    <w:p w:rsidR="00532803" w:rsidRPr="003A050B" w:rsidRDefault="00532803" w:rsidP="003A050B">
      <w:pPr>
        <w:spacing w:after="0" w:line="360" w:lineRule="auto"/>
        <w:jc w:val="both"/>
        <w:rPr>
          <w:rFonts w:ascii="Times New Roman" w:hAnsi="Times New Roman" w:cs="Times New Roman"/>
        </w:rPr>
      </w:pPr>
      <w:r>
        <w:rPr>
          <w:noProof/>
          <w:lang w:val="en-US" w:bidi="hi-IN"/>
        </w:rPr>
        <w:lastRenderedPageBreak/>
        <w:drawing>
          <wp:inline distT="0" distB="0" distL="0" distR="0">
            <wp:extent cx="4572000" cy="2743200"/>
            <wp:effectExtent l="0" t="0" r="0" b="0"/>
            <wp:docPr id="1" name="Chart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F00CA576-3827-BE21-74BA-DDCC1A5A28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620BD" w:rsidRDefault="003620BD" w:rsidP="00BD40EA">
      <w:pPr>
        <w:spacing w:after="0" w:line="360" w:lineRule="auto"/>
        <w:jc w:val="both"/>
        <w:rPr>
          <w:rFonts w:ascii="Times New Roman" w:eastAsia="Times New Roman" w:hAnsi="Times New Roman" w:cs="Times New Roman"/>
          <w:b/>
          <w:bCs/>
          <w:color w:val="000000"/>
          <w:kern w:val="0"/>
          <w:sz w:val="20"/>
          <w:szCs w:val="20"/>
          <w:lang w:eastAsia="en-IN"/>
        </w:rPr>
      </w:pPr>
    </w:p>
    <w:p w:rsidR="003620BD" w:rsidRDefault="003620BD" w:rsidP="00BD40EA">
      <w:pPr>
        <w:spacing w:after="0" w:line="360" w:lineRule="auto"/>
        <w:jc w:val="both"/>
        <w:rPr>
          <w:rFonts w:ascii="Times New Roman" w:eastAsia="Times New Roman" w:hAnsi="Times New Roman" w:cs="Times New Roman"/>
          <w:b/>
          <w:bCs/>
          <w:color w:val="000000"/>
          <w:kern w:val="0"/>
          <w:sz w:val="20"/>
          <w:szCs w:val="20"/>
          <w:lang w:eastAsia="en-IN"/>
        </w:rPr>
      </w:pPr>
    </w:p>
    <w:p w:rsidR="007248F0" w:rsidRPr="00635741" w:rsidRDefault="003620BD" w:rsidP="00C15971">
      <w:pPr>
        <w:spacing w:line="240" w:lineRule="auto"/>
        <w:ind w:left="714"/>
        <w:jc w:val="both"/>
        <w:rPr>
          <w:rFonts w:ascii="Times New Roman" w:eastAsia="Times New Roman" w:hAnsi="Times New Roman" w:cs="Times New Roman"/>
          <w:sz w:val="22"/>
          <w:szCs w:val="22"/>
        </w:rPr>
      </w:pPr>
      <w:r w:rsidRPr="00635741">
        <w:rPr>
          <w:rFonts w:ascii="Times New Roman" w:eastAsia="Times New Roman" w:hAnsi="Times New Roman" w:cs="Times New Roman"/>
          <w:b/>
          <w:bCs/>
          <w:color w:val="000000"/>
          <w:kern w:val="0"/>
          <w:sz w:val="22"/>
          <w:szCs w:val="22"/>
          <w:lang w:eastAsia="en-IN"/>
        </w:rPr>
        <w:t xml:space="preserve">Fig 1. </w:t>
      </w:r>
      <w:r w:rsidRPr="00635741">
        <w:rPr>
          <w:rFonts w:ascii="Times New Roman" w:eastAsia="Times New Roman" w:hAnsi="Times New Roman" w:cs="Times New Roman"/>
          <w:color w:val="000000"/>
          <w:kern w:val="0"/>
          <w:sz w:val="22"/>
          <w:szCs w:val="22"/>
          <w:lang w:eastAsia="en-IN"/>
        </w:rPr>
        <w:t>Available soil nitrogen after harvesting (kg/ha)</w:t>
      </w:r>
      <w:r w:rsidR="00C90116" w:rsidRPr="00635741">
        <w:rPr>
          <w:rFonts w:ascii="Times New Roman" w:eastAsia="Times New Roman" w:hAnsi="Times New Roman" w:cs="Times New Roman"/>
          <w:color w:val="000000"/>
          <w:kern w:val="0"/>
          <w:sz w:val="22"/>
          <w:szCs w:val="22"/>
          <w:lang w:eastAsia="en-IN"/>
        </w:rPr>
        <w:t xml:space="preserve">, </w:t>
      </w:r>
      <w:r w:rsidR="00C90116" w:rsidRPr="00635741">
        <w:rPr>
          <w:rFonts w:ascii="Times New Roman" w:eastAsia="Times New Roman" w:hAnsi="Times New Roman" w:cs="Times New Roman"/>
          <w:sz w:val="22"/>
          <w:szCs w:val="22"/>
        </w:rPr>
        <w:t>data are statistically significant based on Duncan’s multiple range test (</w:t>
      </w:r>
      <w:r w:rsidR="00C90116" w:rsidRPr="00635741">
        <w:rPr>
          <w:rFonts w:ascii="Times New Roman" w:eastAsia="Times New Roman" w:hAnsi="Times New Roman" w:cs="Times New Roman"/>
          <w:i/>
          <w:iCs/>
          <w:sz w:val="22"/>
          <w:szCs w:val="22"/>
        </w:rPr>
        <w:t>p ≤ 0.05</w:t>
      </w:r>
      <w:r w:rsidR="00C90116" w:rsidRPr="00635741">
        <w:rPr>
          <w:rFonts w:ascii="Times New Roman" w:eastAsia="Times New Roman" w:hAnsi="Times New Roman" w:cs="Times New Roman"/>
          <w:sz w:val="22"/>
          <w:szCs w:val="22"/>
        </w:rPr>
        <w:t>)</w:t>
      </w:r>
    </w:p>
    <w:p w:rsidR="009239D7" w:rsidRPr="00E111E9" w:rsidRDefault="009239D7" w:rsidP="00E111E9">
      <w:pPr>
        <w:pStyle w:val="ListParagraph"/>
        <w:numPr>
          <w:ilvl w:val="0"/>
          <w:numId w:val="25"/>
        </w:numPr>
        <w:spacing w:after="0" w:line="360" w:lineRule="auto"/>
        <w:jc w:val="both"/>
        <w:rPr>
          <w:rFonts w:ascii="Times New Roman" w:hAnsi="Times New Roman" w:cs="Times New Roman"/>
          <w:b/>
          <w:bCs/>
          <w:i/>
          <w:iCs/>
        </w:rPr>
      </w:pPr>
      <w:r w:rsidRPr="00E111E9">
        <w:rPr>
          <w:rFonts w:ascii="Times New Roman" w:hAnsi="Times New Roman" w:cs="Times New Roman"/>
          <w:b/>
          <w:bCs/>
          <w:i/>
          <w:iCs/>
        </w:rPr>
        <w:t>Seed Yield per Plot</w:t>
      </w:r>
    </w:p>
    <w:p w:rsidR="00A86150" w:rsidRPr="00CE206D" w:rsidRDefault="00A86150" w:rsidP="00BD40EA">
      <w:pPr>
        <w:spacing w:after="0" w:line="360" w:lineRule="auto"/>
        <w:jc w:val="both"/>
        <w:rPr>
          <w:rFonts w:ascii="Times New Roman" w:hAnsi="Times New Roman" w:cs="Times New Roman"/>
        </w:rPr>
      </w:pPr>
      <w:r w:rsidRPr="00CE206D">
        <w:rPr>
          <w:rFonts w:ascii="Times New Roman" w:hAnsi="Times New Roman" w:cs="Times New Roman"/>
        </w:rPr>
        <w:t>The seed yield per plot varied significantly across different nitrogen application rates during the growing seasons of 2020</w:t>
      </w:r>
      <w:r w:rsidR="0023022F" w:rsidRPr="0023022F">
        <w:rPr>
          <w:rFonts w:ascii="Times New Roman" w:hAnsi="Times New Roman" w:cs="Times New Roman"/>
          <w:i/>
          <w:iCs/>
        </w:rPr>
        <w:t>–</w:t>
      </w:r>
      <w:r w:rsidRPr="00CE206D">
        <w:rPr>
          <w:rFonts w:ascii="Times New Roman" w:hAnsi="Times New Roman" w:cs="Times New Roman"/>
        </w:rPr>
        <w:t>21 and 2021</w:t>
      </w:r>
      <w:r w:rsidR="0023022F" w:rsidRPr="0023022F">
        <w:rPr>
          <w:rFonts w:ascii="Times New Roman" w:hAnsi="Times New Roman" w:cs="Times New Roman"/>
          <w:i/>
          <w:iCs/>
        </w:rPr>
        <w:t>–</w:t>
      </w:r>
      <w:r w:rsidRPr="00CE206D">
        <w:rPr>
          <w:rFonts w:ascii="Times New Roman" w:hAnsi="Times New Roman" w:cs="Times New Roman"/>
        </w:rPr>
        <w:t>22. In 2020</w:t>
      </w:r>
      <w:r w:rsidR="0023022F" w:rsidRPr="0023022F">
        <w:rPr>
          <w:rFonts w:ascii="Times New Roman" w:hAnsi="Times New Roman" w:cs="Times New Roman"/>
          <w:i/>
          <w:iCs/>
        </w:rPr>
        <w:t>–</w:t>
      </w:r>
      <w:r w:rsidRPr="00CE206D">
        <w:rPr>
          <w:rFonts w:ascii="Times New Roman" w:hAnsi="Times New Roman" w:cs="Times New Roman"/>
        </w:rPr>
        <w:t>21, the control group, which received no additional nitrogen (0 kg/ha), yielded 600.67 kg/ha. The application of 50 kg of nitrogen per hectare improved the yield to 742.17 kg/ha, while the 100 kg/ha treatment resulted in 753.67 kg/ha. The highest application rate of 150 kg/ha produced a yield of 774.67 kg/ha. In the following year, 2021</w:t>
      </w:r>
      <w:r w:rsidR="0023022F" w:rsidRPr="0023022F">
        <w:rPr>
          <w:rFonts w:ascii="Times New Roman" w:hAnsi="Times New Roman" w:cs="Times New Roman"/>
          <w:i/>
          <w:iCs/>
        </w:rPr>
        <w:t>–</w:t>
      </w:r>
      <w:r w:rsidRPr="00CE206D">
        <w:rPr>
          <w:rFonts w:ascii="Times New Roman" w:hAnsi="Times New Roman" w:cs="Times New Roman"/>
        </w:rPr>
        <w:t xml:space="preserve">22, the control group's yield increased significantly to 1102 kg/ha. The 50 kg/ha treatment yielded 1047.67 kg/ha, and the 100 kg/ha treatment saw a notable rise to 1278.67 kg/ha. The 150 kg/ha treatment achieved the highest yield of 1368.33 kg/ha. These results collectively underscore the critical role of nitrogen fertilization in enhancing seed yields, demonstrating its significance in optimizing onion seed production across both years, as detailed in Table </w:t>
      </w:r>
      <w:r w:rsidR="00AC347D">
        <w:rPr>
          <w:rFonts w:ascii="Times New Roman" w:hAnsi="Times New Roman" w:cs="Times New Roman"/>
        </w:rPr>
        <w:t>2</w:t>
      </w:r>
      <w:r w:rsidRPr="00CE206D">
        <w:rPr>
          <w:rFonts w:ascii="Times New Roman" w:hAnsi="Times New Roman" w:cs="Times New Roman"/>
        </w:rPr>
        <w:t>.</w:t>
      </w:r>
    </w:p>
    <w:p w:rsidR="00A86150" w:rsidRPr="00CE206D" w:rsidRDefault="00A86150" w:rsidP="00BD40EA">
      <w:pPr>
        <w:spacing w:after="0" w:line="360" w:lineRule="auto"/>
        <w:jc w:val="both"/>
        <w:rPr>
          <w:rFonts w:ascii="Times New Roman" w:hAnsi="Times New Roman" w:cs="Times New Roman"/>
          <w:b/>
          <w:bCs/>
        </w:rPr>
      </w:pPr>
    </w:p>
    <w:tbl>
      <w:tblPr>
        <w:tblW w:w="8939" w:type="dxa"/>
        <w:tblLook w:val="04A0"/>
      </w:tblPr>
      <w:tblGrid>
        <w:gridCol w:w="3687"/>
        <w:gridCol w:w="2457"/>
        <w:gridCol w:w="2795"/>
      </w:tblGrid>
      <w:tr w:rsidR="000932E2" w:rsidRPr="00EC69C6" w:rsidTr="000932E2">
        <w:trPr>
          <w:trHeight w:val="48"/>
        </w:trPr>
        <w:tc>
          <w:tcPr>
            <w:tcW w:w="8939" w:type="dxa"/>
            <w:gridSpan w:val="3"/>
            <w:tcBorders>
              <w:top w:val="single" w:sz="4" w:space="0" w:color="auto"/>
              <w:bottom w:val="single" w:sz="4" w:space="0" w:color="auto"/>
            </w:tcBorders>
            <w:shd w:val="clear" w:color="000000" w:fill="FFFFFF"/>
            <w:vAlign w:val="center"/>
            <w:hideMark/>
          </w:tcPr>
          <w:p w:rsidR="000932E2" w:rsidRPr="00EC69C6" w:rsidRDefault="000932E2" w:rsidP="000932E2">
            <w:pPr>
              <w:spacing w:after="0" w:line="240" w:lineRule="auto"/>
              <w:jc w:val="center"/>
              <w:rPr>
                <w:rFonts w:ascii="Times New Roman" w:eastAsia="Times New Roman" w:hAnsi="Times New Roman" w:cs="Times New Roman"/>
                <w:b/>
                <w:bCs/>
                <w:color w:val="000000"/>
                <w:kern w:val="0"/>
                <w:sz w:val="22"/>
                <w:szCs w:val="22"/>
                <w:lang w:eastAsia="en-IN"/>
              </w:rPr>
            </w:pPr>
            <w:r w:rsidRPr="00B67FC2">
              <w:rPr>
                <w:rFonts w:ascii="Times New Roman" w:eastAsia="Times New Roman" w:hAnsi="Times New Roman" w:cs="Times New Roman"/>
                <w:b/>
                <w:sz w:val="20"/>
                <w:szCs w:val="20"/>
              </w:rPr>
              <w:t xml:space="preserve">Table. </w:t>
            </w:r>
            <w:r w:rsidR="00AC347D">
              <w:rPr>
                <w:rFonts w:ascii="Times New Roman" w:eastAsia="Times New Roman" w:hAnsi="Times New Roman" w:cs="Times New Roman"/>
                <w:b/>
                <w:sz w:val="20"/>
                <w:szCs w:val="20"/>
              </w:rPr>
              <w:t>2</w:t>
            </w:r>
            <w:r w:rsidRPr="00B67FC2">
              <w:rPr>
                <w:rFonts w:ascii="Times New Roman" w:eastAsia="Times New Roman" w:hAnsi="Times New Roman" w:cs="Times New Roman"/>
                <w:b/>
                <w:sz w:val="20"/>
                <w:szCs w:val="20"/>
              </w:rPr>
              <w:t xml:space="preserve">. Effect of different doses of nitrogen on </w:t>
            </w:r>
            <w:r>
              <w:rPr>
                <w:rFonts w:ascii="Times New Roman" w:eastAsia="Times New Roman" w:hAnsi="Times New Roman" w:cs="Times New Roman"/>
                <w:b/>
                <w:sz w:val="20"/>
                <w:szCs w:val="20"/>
              </w:rPr>
              <w:t xml:space="preserve">seed </w:t>
            </w:r>
            <w:commentRangeStart w:id="17"/>
            <w:r>
              <w:rPr>
                <w:rFonts w:ascii="Times New Roman" w:eastAsia="Times New Roman" w:hAnsi="Times New Roman" w:cs="Times New Roman"/>
                <w:b/>
                <w:sz w:val="20"/>
                <w:szCs w:val="20"/>
              </w:rPr>
              <w:t>yield per plot (gm)</w:t>
            </w:r>
            <w:commentRangeEnd w:id="17"/>
            <w:r w:rsidR="00C701D5">
              <w:rPr>
                <w:rStyle w:val="CommentReference"/>
              </w:rPr>
              <w:commentReference w:id="17"/>
            </w:r>
          </w:p>
        </w:tc>
      </w:tr>
      <w:tr w:rsidR="000932E2" w:rsidRPr="00EC69C6" w:rsidTr="000932E2">
        <w:trPr>
          <w:trHeight w:val="48"/>
        </w:trPr>
        <w:tc>
          <w:tcPr>
            <w:tcW w:w="3687" w:type="dxa"/>
            <w:tcBorders>
              <w:top w:val="single" w:sz="4" w:space="0" w:color="auto"/>
              <w:bottom w:val="single" w:sz="4" w:space="0" w:color="auto"/>
            </w:tcBorders>
            <w:shd w:val="clear" w:color="000000" w:fill="FFFFFF"/>
            <w:vAlign w:val="center"/>
            <w:hideMark/>
          </w:tcPr>
          <w:p w:rsidR="000932E2" w:rsidRPr="000932E2" w:rsidRDefault="000932E2" w:rsidP="000932E2">
            <w:pPr>
              <w:spacing w:after="0" w:line="240" w:lineRule="auto"/>
              <w:jc w:val="both"/>
              <w:rPr>
                <w:rFonts w:ascii="Times New Roman" w:eastAsia="Times New Roman" w:hAnsi="Times New Roman" w:cs="Times New Roman"/>
                <w:b/>
                <w:color w:val="000000"/>
                <w:kern w:val="0"/>
                <w:sz w:val="22"/>
                <w:szCs w:val="22"/>
                <w:lang w:eastAsia="en-IN"/>
              </w:rPr>
            </w:pPr>
            <w:r w:rsidRPr="000932E2">
              <w:rPr>
                <w:rFonts w:ascii="Times New Roman" w:eastAsia="Times New Roman" w:hAnsi="Times New Roman" w:cs="Times New Roman"/>
                <w:b/>
                <w:sz w:val="20"/>
                <w:szCs w:val="20"/>
              </w:rPr>
              <w:t>Treatments</w:t>
            </w:r>
          </w:p>
        </w:tc>
        <w:tc>
          <w:tcPr>
            <w:tcW w:w="2457" w:type="dxa"/>
            <w:tcBorders>
              <w:top w:val="single" w:sz="4" w:space="0" w:color="auto"/>
              <w:bottom w:val="single" w:sz="4" w:space="0" w:color="auto"/>
            </w:tcBorders>
            <w:shd w:val="clear" w:color="000000" w:fill="FFFFFF"/>
            <w:vAlign w:val="center"/>
            <w:hideMark/>
          </w:tcPr>
          <w:p w:rsidR="000932E2" w:rsidRPr="00EC69C6" w:rsidRDefault="000932E2" w:rsidP="000932E2">
            <w:pPr>
              <w:spacing w:after="0" w:line="240" w:lineRule="auto"/>
              <w:jc w:val="center"/>
              <w:rPr>
                <w:rFonts w:ascii="Times New Roman" w:eastAsia="Times New Roman" w:hAnsi="Times New Roman" w:cs="Times New Roman"/>
                <w:b/>
                <w:bCs/>
                <w:color w:val="000000"/>
                <w:kern w:val="0"/>
                <w:sz w:val="22"/>
                <w:szCs w:val="22"/>
                <w:lang w:eastAsia="en-IN"/>
              </w:rPr>
            </w:pPr>
            <w:r w:rsidRPr="00EC69C6">
              <w:rPr>
                <w:rFonts w:ascii="Times New Roman" w:eastAsia="Times New Roman" w:hAnsi="Times New Roman" w:cs="Times New Roman"/>
                <w:b/>
                <w:bCs/>
                <w:color w:val="000000"/>
                <w:kern w:val="0"/>
                <w:sz w:val="22"/>
                <w:szCs w:val="22"/>
                <w:lang w:val="en-US" w:eastAsia="en-IN"/>
              </w:rPr>
              <w:t>2020-21</w:t>
            </w:r>
          </w:p>
        </w:tc>
        <w:tc>
          <w:tcPr>
            <w:tcW w:w="2795" w:type="dxa"/>
            <w:tcBorders>
              <w:top w:val="single" w:sz="4" w:space="0" w:color="auto"/>
              <w:bottom w:val="single" w:sz="4" w:space="0" w:color="auto"/>
            </w:tcBorders>
            <w:shd w:val="clear" w:color="000000" w:fill="FFFFFF"/>
            <w:vAlign w:val="center"/>
            <w:hideMark/>
          </w:tcPr>
          <w:p w:rsidR="000932E2" w:rsidRPr="00EC69C6" w:rsidRDefault="000932E2" w:rsidP="000932E2">
            <w:pPr>
              <w:spacing w:after="0" w:line="240" w:lineRule="auto"/>
              <w:jc w:val="center"/>
              <w:rPr>
                <w:rFonts w:ascii="Times New Roman" w:eastAsia="Times New Roman" w:hAnsi="Times New Roman" w:cs="Times New Roman"/>
                <w:b/>
                <w:bCs/>
                <w:color w:val="000000"/>
                <w:kern w:val="0"/>
                <w:sz w:val="22"/>
                <w:szCs w:val="22"/>
                <w:lang w:eastAsia="en-IN"/>
              </w:rPr>
            </w:pPr>
            <w:r w:rsidRPr="00EC69C6">
              <w:rPr>
                <w:rFonts w:ascii="Times New Roman" w:eastAsia="Times New Roman" w:hAnsi="Times New Roman" w:cs="Times New Roman"/>
                <w:b/>
                <w:bCs/>
                <w:color w:val="000000"/>
                <w:kern w:val="0"/>
                <w:sz w:val="22"/>
                <w:szCs w:val="22"/>
                <w:lang w:val="en-US" w:eastAsia="en-IN"/>
              </w:rPr>
              <w:t>2021-22</w:t>
            </w:r>
          </w:p>
        </w:tc>
      </w:tr>
      <w:tr w:rsidR="000932E2" w:rsidRPr="00EC69C6" w:rsidTr="002102F5">
        <w:trPr>
          <w:trHeight w:val="152"/>
        </w:trPr>
        <w:tc>
          <w:tcPr>
            <w:tcW w:w="3687" w:type="dxa"/>
            <w:tcBorders>
              <w:top w:val="single" w:sz="4" w:space="0" w:color="auto"/>
            </w:tcBorders>
            <w:shd w:val="clear" w:color="auto" w:fill="auto"/>
            <w:noWrap/>
            <w:vAlign w:val="center"/>
            <w:hideMark/>
          </w:tcPr>
          <w:p w:rsidR="000932E2" w:rsidRPr="000932E2" w:rsidRDefault="000932E2" w:rsidP="000932E2">
            <w:pPr>
              <w:spacing w:after="0" w:line="240" w:lineRule="auto"/>
              <w:jc w:val="both"/>
              <w:rPr>
                <w:rFonts w:ascii="Times New Roman" w:eastAsia="Times New Roman" w:hAnsi="Times New Roman" w:cs="Times New Roman"/>
                <w:b/>
                <w:color w:val="000000"/>
                <w:kern w:val="0"/>
                <w:sz w:val="22"/>
                <w:szCs w:val="22"/>
                <w:lang w:eastAsia="en-IN"/>
              </w:rPr>
            </w:pPr>
            <w:r w:rsidRPr="000932E2">
              <w:rPr>
                <w:rFonts w:ascii="Times New Roman" w:eastAsia="Times New Roman" w:hAnsi="Times New Roman" w:cs="Times New Roman"/>
                <w:b/>
                <w:sz w:val="20"/>
                <w:szCs w:val="20"/>
              </w:rPr>
              <w:t>Control (0 kg/ha)</w:t>
            </w:r>
          </w:p>
        </w:tc>
        <w:tc>
          <w:tcPr>
            <w:tcW w:w="2457" w:type="dxa"/>
            <w:tcBorders>
              <w:top w:val="single" w:sz="4" w:space="0" w:color="auto"/>
            </w:tcBorders>
            <w:shd w:val="clear" w:color="auto" w:fill="auto"/>
            <w:noWrap/>
            <w:vAlign w:val="center"/>
            <w:hideMark/>
          </w:tcPr>
          <w:p w:rsidR="000932E2" w:rsidRPr="00EC69C6" w:rsidRDefault="000932E2" w:rsidP="000932E2">
            <w:pPr>
              <w:spacing w:after="0" w:line="240" w:lineRule="auto"/>
              <w:jc w:val="center"/>
              <w:rPr>
                <w:rFonts w:ascii="Times New Roman" w:eastAsia="Times New Roman" w:hAnsi="Times New Roman" w:cs="Times New Roman"/>
                <w:color w:val="000000"/>
                <w:kern w:val="0"/>
                <w:sz w:val="22"/>
                <w:szCs w:val="22"/>
                <w:lang w:eastAsia="en-IN"/>
              </w:rPr>
            </w:pPr>
            <w:r w:rsidRPr="00EC69C6">
              <w:rPr>
                <w:rFonts w:ascii="Times New Roman" w:eastAsia="Times New Roman" w:hAnsi="Times New Roman" w:cs="Times New Roman"/>
                <w:color w:val="000000"/>
                <w:kern w:val="0"/>
                <w:sz w:val="22"/>
                <w:szCs w:val="22"/>
                <w:lang w:val="en-US" w:eastAsia="en-IN"/>
              </w:rPr>
              <w:t>600.67</w:t>
            </w:r>
          </w:p>
        </w:tc>
        <w:tc>
          <w:tcPr>
            <w:tcW w:w="2795" w:type="dxa"/>
            <w:tcBorders>
              <w:top w:val="single" w:sz="4" w:space="0" w:color="auto"/>
            </w:tcBorders>
            <w:shd w:val="clear" w:color="auto" w:fill="auto"/>
            <w:noWrap/>
            <w:vAlign w:val="center"/>
            <w:hideMark/>
          </w:tcPr>
          <w:p w:rsidR="000932E2" w:rsidRPr="00EC69C6" w:rsidRDefault="000932E2" w:rsidP="000932E2">
            <w:pPr>
              <w:spacing w:after="0" w:line="240" w:lineRule="auto"/>
              <w:jc w:val="center"/>
              <w:rPr>
                <w:rFonts w:ascii="Times New Roman" w:eastAsia="Times New Roman" w:hAnsi="Times New Roman" w:cs="Times New Roman"/>
                <w:color w:val="000000"/>
                <w:kern w:val="0"/>
                <w:sz w:val="22"/>
                <w:szCs w:val="22"/>
                <w:lang w:eastAsia="en-IN"/>
              </w:rPr>
            </w:pPr>
            <w:r w:rsidRPr="00EC69C6">
              <w:rPr>
                <w:rFonts w:ascii="Times New Roman" w:eastAsia="Times New Roman" w:hAnsi="Times New Roman" w:cs="Times New Roman"/>
                <w:color w:val="000000"/>
                <w:kern w:val="0"/>
                <w:sz w:val="22"/>
                <w:szCs w:val="22"/>
                <w:lang w:val="en-US" w:eastAsia="en-IN"/>
              </w:rPr>
              <w:t>1102</w:t>
            </w:r>
            <w:r>
              <w:rPr>
                <w:rFonts w:ascii="Times New Roman" w:eastAsia="Times New Roman" w:hAnsi="Times New Roman" w:cs="Times New Roman"/>
                <w:color w:val="000000"/>
                <w:kern w:val="0"/>
                <w:sz w:val="22"/>
                <w:szCs w:val="22"/>
                <w:lang w:val="en-US" w:eastAsia="en-IN"/>
              </w:rPr>
              <w:t>.00</w:t>
            </w:r>
          </w:p>
        </w:tc>
      </w:tr>
      <w:tr w:rsidR="000932E2" w:rsidRPr="00EC69C6" w:rsidTr="002102F5">
        <w:trPr>
          <w:trHeight w:val="81"/>
        </w:trPr>
        <w:tc>
          <w:tcPr>
            <w:tcW w:w="3687" w:type="dxa"/>
            <w:shd w:val="clear" w:color="auto" w:fill="auto"/>
            <w:noWrap/>
            <w:vAlign w:val="center"/>
            <w:hideMark/>
          </w:tcPr>
          <w:p w:rsidR="000932E2" w:rsidRPr="000932E2" w:rsidRDefault="000932E2" w:rsidP="000932E2">
            <w:pPr>
              <w:spacing w:after="0" w:line="240" w:lineRule="auto"/>
              <w:jc w:val="both"/>
              <w:rPr>
                <w:rFonts w:ascii="Times New Roman" w:eastAsia="Times New Roman" w:hAnsi="Times New Roman" w:cs="Times New Roman"/>
                <w:b/>
                <w:color w:val="000000"/>
                <w:kern w:val="0"/>
                <w:sz w:val="22"/>
                <w:szCs w:val="22"/>
                <w:lang w:eastAsia="en-IN"/>
              </w:rPr>
            </w:pPr>
            <w:r w:rsidRPr="000932E2">
              <w:rPr>
                <w:rFonts w:ascii="Times New Roman" w:eastAsia="Times New Roman" w:hAnsi="Times New Roman" w:cs="Times New Roman"/>
                <w:b/>
                <w:sz w:val="20"/>
                <w:szCs w:val="20"/>
              </w:rPr>
              <w:t>Nitrogen at 50 kg/ha</w:t>
            </w:r>
          </w:p>
        </w:tc>
        <w:tc>
          <w:tcPr>
            <w:tcW w:w="2457" w:type="dxa"/>
            <w:shd w:val="clear" w:color="auto" w:fill="auto"/>
            <w:noWrap/>
            <w:vAlign w:val="center"/>
            <w:hideMark/>
          </w:tcPr>
          <w:p w:rsidR="000932E2" w:rsidRPr="00EC69C6" w:rsidRDefault="000932E2" w:rsidP="000932E2">
            <w:pPr>
              <w:spacing w:after="0" w:line="240" w:lineRule="auto"/>
              <w:jc w:val="center"/>
              <w:rPr>
                <w:rFonts w:ascii="Times New Roman" w:eastAsia="Times New Roman" w:hAnsi="Times New Roman" w:cs="Times New Roman"/>
                <w:color w:val="000000"/>
                <w:kern w:val="0"/>
                <w:sz w:val="22"/>
                <w:szCs w:val="22"/>
                <w:lang w:eastAsia="en-IN"/>
              </w:rPr>
            </w:pPr>
            <w:r w:rsidRPr="00EC69C6">
              <w:rPr>
                <w:rFonts w:ascii="Times New Roman" w:eastAsia="Times New Roman" w:hAnsi="Times New Roman" w:cs="Times New Roman"/>
                <w:color w:val="000000"/>
                <w:kern w:val="0"/>
                <w:sz w:val="22"/>
                <w:szCs w:val="22"/>
                <w:lang w:val="en-US" w:eastAsia="en-IN"/>
              </w:rPr>
              <w:t>742.17</w:t>
            </w:r>
          </w:p>
        </w:tc>
        <w:tc>
          <w:tcPr>
            <w:tcW w:w="2795" w:type="dxa"/>
            <w:shd w:val="clear" w:color="auto" w:fill="auto"/>
            <w:noWrap/>
            <w:vAlign w:val="center"/>
            <w:hideMark/>
          </w:tcPr>
          <w:p w:rsidR="000932E2" w:rsidRPr="00EC69C6" w:rsidRDefault="000932E2" w:rsidP="000932E2">
            <w:pPr>
              <w:spacing w:after="0" w:line="240" w:lineRule="auto"/>
              <w:jc w:val="center"/>
              <w:rPr>
                <w:rFonts w:ascii="Times New Roman" w:eastAsia="Times New Roman" w:hAnsi="Times New Roman" w:cs="Times New Roman"/>
                <w:color w:val="000000"/>
                <w:kern w:val="0"/>
                <w:sz w:val="22"/>
                <w:szCs w:val="22"/>
                <w:lang w:eastAsia="en-IN"/>
              </w:rPr>
            </w:pPr>
            <w:r w:rsidRPr="00EC69C6">
              <w:rPr>
                <w:rFonts w:ascii="Times New Roman" w:eastAsia="Times New Roman" w:hAnsi="Times New Roman" w:cs="Times New Roman"/>
                <w:color w:val="000000"/>
                <w:kern w:val="0"/>
                <w:sz w:val="22"/>
                <w:szCs w:val="22"/>
                <w:lang w:val="en-US" w:eastAsia="en-IN"/>
              </w:rPr>
              <w:t>1047.67</w:t>
            </w:r>
          </w:p>
        </w:tc>
      </w:tr>
      <w:tr w:rsidR="000932E2" w:rsidRPr="00EC69C6" w:rsidTr="002102F5">
        <w:trPr>
          <w:trHeight w:val="99"/>
        </w:trPr>
        <w:tc>
          <w:tcPr>
            <w:tcW w:w="3687" w:type="dxa"/>
            <w:shd w:val="clear" w:color="auto" w:fill="auto"/>
            <w:noWrap/>
            <w:vAlign w:val="center"/>
            <w:hideMark/>
          </w:tcPr>
          <w:p w:rsidR="000932E2" w:rsidRPr="000932E2" w:rsidRDefault="000932E2" w:rsidP="000932E2">
            <w:pPr>
              <w:spacing w:after="0" w:line="240" w:lineRule="auto"/>
              <w:jc w:val="both"/>
              <w:rPr>
                <w:rFonts w:ascii="Times New Roman" w:eastAsia="Times New Roman" w:hAnsi="Times New Roman" w:cs="Times New Roman"/>
                <w:b/>
                <w:color w:val="000000"/>
                <w:kern w:val="0"/>
                <w:sz w:val="22"/>
                <w:szCs w:val="22"/>
                <w:lang w:eastAsia="en-IN"/>
              </w:rPr>
            </w:pPr>
            <w:r w:rsidRPr="000932E2">
              <w:rPr>
                <w:rFonts w:ascii="Times New Roman" w:eastAsia="Times New Roman" w:hAnsi="Times New Roman" w:cs="Times New Roman"/>
                <w:b/>
                <w:sz w:val="20"/>
                <w:szCs w:val="20"/>
              </w:rPr>
              <w:t>Nitrogen at 100 kg/ha</w:t>
            </w:r>
          </w:p>
        </w:tc>
        <w:tc>
          <w:tcPr>
            <w:tcW w:w="2457" w:type="dxa"/>
            <w:shd w:val="clear" w:color="auto" w:fill="auto"/>
            <w:noWrap/>
            <w:vAlign w:val="center"/>
            <w:hideMark/>
          </w:tcPr>
          <w:p w:rsidR="000932E2" w:rsidRPr="00EC69C6" w:rsidRDefault="000932E2" w:rsidP="000932E2">
            <w:pPr>
              <w:spacing w:after="0" w:line="240" w:lineRule="auto"/>
              <w:jc w:val="center"/>
              <w:rPr>
                <w:rFonts w:ascii="Times New Roman" w:eastAsia="Times New Roman" w:hAnsi="Times New Roman" w:cs="Times New Roman"/>
                <w:color w:val="000000"/>
                <w:kern w:val="0"/>
                <w:sz w:val="22"/>
                <w:szCs w:val="22"/>
                <w:lang w:eastAsia="en-IN"/>
              </w:rPr>
            </w:pPr>
            <w:r w:rsidRPr="00EC69C6">
              <w:rPr>
                <w:rFonts w:ascii="Times New Roman" w:eastAsia="Times New Roman" w:hAnsi="Times New Roman" w:cs="Times New Roman"/>
                <w:color w:val="000000"/>
                <w:kern w:val="0"/>
                <w:sz w:val="22"/>
                <w:szCs w:val="22"/>
                <w:lang w:val="en-US" w:eastAsia="en-IN"/>
              </w:rPr>
              <w:t>753.67</w:t>
            </w:r>
          </w:p>
        </w:tc>
        <w:tc>
          <w:tcPr>
            <w:tcW w:w="2795" w:type="dxa"/>
            <w:shd w:val="clear" w:color="auto" w:fill="auto"/>
            <w:noWrap/>
            <w:vAlign w:val="center"/>
            <w:hideMark/>
          </w:tcPr>
          <w:p w:rsidR="000932E2" w:rsidRPr="00EC69C6" w:rsidRDefault="000932E2" w:rsidP="000932E2">
            <w:pPr>
              <w:spacing w:after="0" w:line="240" w:lineRule="auto"/>
              <w:jc w:val="center"/>
              <w:rPr>
                <w:rFonts w:ascii="Times New Roman" w:eastAsia="Times New Roman" w:hAnsi="Times New Roman" w:cs="Times New Roman"/>
                <w:color w:val="000000"/>
                <w:kern w:val="0"/>
                <w:sz w:val="22"/>
                <w:szCs w:val="22"/>
                <w:lang w:eastAsia="en-IN"/>
              </w:rPr>
            </w:pPr>
            <w:r w:rsidRPr="00EC69C6">
              <w:rPr>
                <w:rFonts w:ascii="Times New Roman" w:eastAsia="Times New Roman" w:hAnsi="Times New Roman" w:cs="Times New Roman"/>
                <w:color w:val="000000"/>
                <w:kern w:val="0"/>
                <w:sz w:val="22"/>
                <w:szCs w:val="22"/>
                <w:lang w:val="en-US" w:eastAsia="en-IN"/>
              </w:rPr>
              <w:t>1278.67</w:t>
            </w:r>
          </w:p>
        </w:tc>
      </w:tr>
      <w:tr w:rsidR="000932E2" w:rsidRPr="00EC69C6" w:rsidTr="002102F5">
        <w:trPr>
          <w:trHeight w:val="117"/>
        </w:trPr>
        <w:tc>
          <w:tcPr>
            <w:tcW w:w="3687" w:type="dxa"/>
            <w:shd w:val="clear" w:color="auto" w:fill="auto"/>
            <w:noWrap/>
            <w:vAlign w:val="center"/>
            <w:hideMark/>
          </w:tcPr>
          <w:p w:rsidR="000932E2" w:rsidRPr="000932E2" w:rsidRDefault="000932E2" w:rsidP="000932E2">
            <w:pPr>
              <w:spacing w:after="0" w:line="240" w:lineRule="auto"/>
              <w:jc w:val="both"/>
              <w:rPr>
                <w:rFonts w:ascii="Times New Roman" w:eastAsia="Times New Roman" w:hAnsi="Times New Roman" w:cs="Times New Roman"/>
                <w:b/>
                <w:color w:val="000000"/>
                <w:kern w:val="0"/>
                <w:sz w:val="22"/>
                <w:szCs w:val="22"/>
                <w:lang w:eastAsia="en-IN"/>
              </w:rPr>
            </w:pPr>
            <w:r w:rsidRPr="000932E2">
              <w:rPr>
                <w:rFonts w:ascii="Times New Roman" w:eastAsia="Times New Roman" w:hAnsi="Times New Roman" w:cs="Times New Roman"/>
                <w:b/>
                <w:sz w:val="20"/>
                <w:szCs w:val="20"/>
              </w:rPr>
              <w:t>Nitrogen at 150 kg/ha</w:t>
            </w:r>
          </w:p>
        </w:tc>
        <w:tc>
          <w:tcPr>
            <w:tcW w:w="2457" w:type="dxa"/>
            <w:shd w:val="clear" w:color="auto" w:fill="auto"/>
            <w:noWrap/>
            <w:vAlign w:val="center"/>
            <w:hideMark/>
          </w:tcPr>
          <w:p w:rsidR="000932E2" w:rsidRPr="00EC69C6" w:rsidRDefault="000932E2" w:rsidP="000932E2">
            <w:pPr>
              <w:spacing w:after="0" w:line="240" w:lineRule="auto"/>
              <w:jc w:val="center"/>
              <w:rPr>
                <w:rFonts w:ascii="Times New Roman" w:eastAsia="Times New Roman" w:hAnsi="Times New Roman" w:cs="Times New Roman"/>
                <w:color w:val="000000"/>
                <w:kern w:val="0"/>
                <w:sz w:val="22"/>
                <w:szCs w:val="22"/>
                <w:lang w:eastAsia="en-IN"/>
              </w:rPr>
            </w:pPr>
            <w:r w:rsidRPr="00EC69C6">
              <w:rPr>
                <w:rFonts w:ascii="Times New Roman" w:eastAsia="Times New Roman" w:hAnsi="Times New Roman" w:cs="Times New Roman"/>
                <w:color w:val="000000"/>
                <w:kern w:val="0"/>
                <w:sz w:val="22"/>
                <w:szCs w:val="22"/>
                <w:lang w:val="en-US" w:eastAsia="en-IN"/>
              </w:rPr>
              <w:t>774.67</w:t>
            </w:r>
          </w:p>
        </w:tc>
        <w:tc>
          <w:tcPr>
            <w:tcW w:w="2795" w:type="dxa"/>
            <w:shd w:val="clear" w:color="auto" w:fill="auto"/>
            <w:noWrap/>
            <w:vAlign w:val="center"/>
            <w:hideMark/>
          </w:tcPr>
          <w:p w:rsidR="000932E2" w:rsidRPr="00EC69C6" w:rsidRDefault="000932E2" w:rsidP="000932E2">
            <w:pPr>
              <w:spacing w:after="0" w:line="240" w:lineRule="auto"/>
              <w:jc w:val="center"/>
              <w:rPr>
                <w:rFonts w:ascii="Times New Roman" w:eastAsia="Times New Roman" w:hAnsi="Times New Roman" w:cs="Times New Roman"/>
                <w:color w:val="000000"/>
                <w:kern w:val="0"/>
                <w:sz w:val="22"/>
                <w:szCs w:val="22"/>
                <w:lang w:eastAsia="en-IN"/>
              </w:rPr>
            </w:pPr>
            <w:r w:rsidRPr="00EC69C6">
              <w:rPr>
                <w:rFonts w:ascii="Times New Roman" w:eastAsia="Times New Roman" w:hAnsi="Times New Roman" w:cs="Times New Roman"/>
                <w:color w:val="000000"/>
                <w:kern w:val="0"/>
                <w:sz w:val="22"/>
                <w:szCs w:val="22"/>
                <w:lang w:val="en-US" w:eastAsia="en-IN"/>
              </w:rPr>
              <w:t>1368.33</w:t>
            </w:r>
          </w:p>
        </w:tc>
      </w:tr>
      <w:tr w:rsidR="000932E2" w:rsidRPr="00EC69C6" w:rsidTr="002102F5">
        <w:trPr>
          <w:trHeight w:val="68"/>
        </w:trPr>
        <w:tc>
          <w:tcPr>
            <w:tcW w:w="3687" w:type="dxa"/>
            <w:shd w:val="clear" w:color="auto" w:fill="auto"/>
            <w:noWrap/>
            <w:vAlign w:val="bottom"/>
          </w:tcPr>
          <w:p w:rsidR="000932E2" w:rsidRPr="000932E2" w:rsidRDefault="000932E2" w:rsidP="000932E2">
            <w:pPr>
              <w:spacing w:after="0" w:line="240" w:lineRule="auto"/>
              <w:jc w:val="both"/>
              <w:rPr>
                <w:rFonts w:ascii="Times New Roman" w:eastAsia="Times New Roman" w:hAnsi="Times New Roman" w:cs="Times New Roman"/>
                <w:b/>
                <w:color w:val="000000"/>
                <w:kern w:val="0"/>
                <w:sz w:val="22"/>
                <w:szCs w:val="22"/>
                <w:lang w:eastAsia="en-IN"/>
              </w:rPr>
            </w:pPr>
            <w:r w:rsidRPr="000932E2">
              <w:rPr>
                <w:rFonts w:ascii="Times New Roman" w:eastAsia="Times New Roman" w:hAnsi="Times New Roman" w:cs="Times New Roman"/>
                <w:b/>
                <w:color w:val="000000"/>
                <w:sz w:val="20"/>
                <w:szCs w:val="20"/>
              </w:rPr>
              <w:t>Gen. Mean</w:t>
            </w:r>
          </w:p>
        </w:tc>
        <w:tc>
          <w:tcPr>
            <w:tcW w:w="2457" w:type="dxa"/>
            <w:shd w:val="clear" w:color="auto" w:fill="auto"/>
            <w:noWrap/>
            <w:vAlign w:val="center"/>
          </w:tcPr>
          <w:p w:rsidR="000932E2" w:rsidRPr="00EC69C6" w:rsidRDefault="000932E2" w:rsidP="000932E2">
            <w:pPr>
              <w:spacing w:after="0" w:line="240" w:lineRule="auto"/>
              <w:jc w:val="center"/>
              <w:rPr>
                <w:rFonts w:ascii="Times New Roman" w:eastAsia="Times New Roman" w:hAnsi="Times New Roman" w:cs="Times New Roman"/>
                <w:color w:val="000000"/>
                <w:kern w:val="0"/>
                <w:sz w:val="22"/>
                <w:szCs w:val="22"/>
                <w:lang w:val="en-US" w:eastAsia="en-IN"/>
              </w:rPr>
            </w:pPr>
            <w:r w:rsidRPr="005E31E1">
              <w:rPr>
                <w:rFonts w:ascii="Arial Narrow" w:eastAsia="Times New Roman" w:hAnsi="Arial Narrow"/>
                <w:b/>
                <w:bCs/>
                <w:color w:val="000000"/>
                <w:sz w:val="20"/>
                <w:szCs w:val="20"/>
              </w:rPr>
              <w:t>717.79</w:t>
            </w:r>
          </w:p>
        </w:tc>
        <w:tc>
          <w:tcPr>
            <w:tcW w:w="2795" w:type="dxa"/>
            <w:shd w:val="clear" w:color="auto" w:fill="auto"/>
            <w:noWrap/>
            <w:vAlign w:val="center"/>
          </w:tcPr>
          <w:p w:rsidR="000932E2" w:rsidRPr="00EC69C6" w:rsidRDefault="000932E2" w:rsidP="000932E2">
            <w:pPr>
              <w:spacing w:after="0" w:line="240" w:lineRule="auto"/>
              <w:jc w:val="center"/>
              <w:rPr>
                <w:rFonts w:ascii="Times New Roman" w:eastAsia="Times New Roman" w:hAnsi="Times New Roman" w:cs="Times New Roman"/>
                <w:color w:val="000000"/>
                <w:kern w:val="0"/>
                <w:sz w:val="22"/>
                <w:szCs w:val="22"/>
                <w:lang w:val="en-US" w:eastAsia="en-IN"/>
              </w:rPr>
            </w:pPr>
            <w:r w:rsidRPr="005E31E1">
              <w:rPr>
                <w:rFonts w:ascii="Arial Narrow" w:eastAsia="Times New Roman" w:hAnsi="Arial Narrow"/>
                <w:b/>
                <w:bCs/>
                <w:color w:val="000000"/>
                <w:sz w:val="20"/>
                <w:szCs w:val="20"/>
              </w:rPr>
              <w:t>1199.17</w:t>
            </w:r>
          </w:p>
        </w:tc>
      </w:tr>
      <w:tr w:rsidR="000932E2" w:rsidRPr="00EC69C6" w:rsidTr="002102F5">
        <w:trPr>
          <w:trHeight w:val="81"/>
        </w:trPr>
        <w:tc>
          <w:tcPr>
            <w:tcW w:w="3687" w:type="dxa"/>
            <w:tcBorders>
              <w:bottom w:val="single" w:sz="4" w:space="0" w:color="auto"/>
            </w:tcBorders>
            <w:shd w:val="clear" w:color="auto" w:fill="auto"/>
            <w:noWrap/>
            <w:vAlign w:val="bottom"/>
          </w:tcPr>
          <w:p w:rsidR="000932E2" w:rsidRPr="000932E2" w:rsidRDefault="000932E2" w:rsidP="000932E2">
            <w:pPr>
              <w:spacing w:after="0" w:line="240" w:lineRule="auto"/>
              <w:jc w:val="both"/>
              <w:rPr>
                <w:rFonts w:ascii="Times New Roman" w:eastAsia="Times New Roman" w:hAnsi="Times New Roman" w:cs="Times New Roman"/>
                <w:b/>
                <w:color w:val="000000"/>
                <w:kern w:val="0"/>
                <w:sz w:val="22"/>
                <w:szCs w:val="22"/>
                <w:lang w:eastAsia="en-IN"/>
              </w:rPr>
            </w:pPr>
            <w:r w:rsidRPr="000932E2">
              <w:rPr>
                <w:rFonts w:ascii="Times New Roman" w:eastAsia="Times New Roman" w:hAnsi="Times New Roman" w:cs="Times New Roman"/>
                <w:b/>
                <w:color w:val="000000"/>
                <w:sz w:val="20"/>
                <w:szCs w:val="20"/>
              </w:rPr>
              <w:t>C.D. 5%</w:t>
            </w:r>
          </w:p>
        </w:tc>
        <w:tc>
          <w:tcPr>
            <w:tcW w:w="2457" w:type="dxa"/>
            <w:tcBorders>
              <w:bottom w:val="single" w:sz="4" w:space="0" w:color="auto"/>
            </w:tcBorders>
            <w:shd w:val="clear" w:color="auto" w:fill="auto"/>
            <w:noWrap/>
            <w:vAlign w:val="center"/>
          </w:tcPr>
          <w:p w:rsidR="000932E2" w:rsidRPr="00EC69C6" w:rsidRDefault="00B75508" w:rsidP="000932E2">
            <w:pPr>
              <w:spacing w:after="0" w:line="240" w:lineRule="auto"/>
              <w:jc w:val="center"/>
              <w:rPr>
                <w:rFonts w:ascii="Times New Roman" w:eastAsia="Times New Roman" w:hAnsi="Times New Roman" w:cs="Times New Roman"/>
                <w:color w:val="000000"/>
                <w:kern w:val="0"/>
                <w:sz w:val="22"/>
                <w:szCs w:val="22"/>
                <w:lang w:val="en-US" w:eastAsia="en-IN"/>
              </w:rPr>
            </w:pPr>
            <w:r>
              <w:rPr>
                <w:rFonts w:ascii="Times New Roman" w:eastAsia="Times New Roman" w:hAnsi="Times New Roman" w:cs="Times New Roman"/>
                <w:color w:val="000000"/>
                <w:kern w:val="0"/>
                <w:sz w:val="22"/>
                <w:szCs w:val="22"/>
                <w:lang w:val="en-US" w:eastAsia="en-IN"/>
              </w:rPr>
              <w:t>4.98</w:t>
            </w:r>
          </w:p>
        </w:tc>
        <w:tc>
          <w:tcPr>
            <w:tcW w:w="2795" w:type="dxa"/>
            <w:tcBorders>
              <w:bottom w:val="single" w:sz="4" w:space="0" w:color="auto"/>
            </w:tcBorders>
            <w:shd w:val="clear" w:color="auto" w:fill="auto"/>
            <w:noWrap/>
            <w:vAlign w:val="center"/>
          </w:tcPr>
          <w:p w:rsidR="000932E2" w:rsidRPr="00EC69C6" w:rsidRDefault="000932E2" w:rsidP="000932E2">
            <w:pPr>
              <w:spacing w:after="0" w:line="240" w:lineRule="auto"/>
              <w:jc w:val="center"/>
              <w:rPr>
                <w:rFonts w:ascii="Times New Roman" w:eastAsia="Times New Roman" w:hAnsi="Times New Roman" w:cs="Times New Roman"/>
                <w:color w:val="000000"/>
                <w:kern w:val="0"/>
                <w:sz w:val="22"/>
                <w:szCs w:val="22"/>
                <w:lang w:val="en-US" w:eastAsia="en-IN"/>
              </w:rPr>
            </w:pPr>
            <w:r>
              <w:rPr>
                <w:rFonts w:ascii="Arial Narrow" w:eastAsia="Times New Roman" w:hAnsi="Arial Narrow"/>
                <w:color w:val="000000"/>
                <w:sz w:val="20"/>
                <w:szCs w:val="20"/>
              </w:rPr>
              <w:t>5.</w:t>
            </w:r>
            <w:r w:rsidR="00096DE3">
              <w:rPr>
                <w:rFonts w:ascii="Arial Narrow" w:eastAsia="Times New Roman" w:hAnsi="Arial Narrow"/>
                <w:color w:val="000000"/>
                <w:sz w:val="20"/>
                <w:szCs w:val="20"/>
              </w:rPr>
              <w:t>25</w:t>
            </w:r>
          </w:p>
        </w:tc>
      </w:tr>
    </w:tbl>
    <w:p w:rsidR="007B2140" w:rsidRPr="00B67FC2" w:rsidRDefault="007B2140" w:rsidP="007B2140">
      <w:pPr>
        <w:spacing w:line="240" w:lineRule="auto"/>
        <w:jc w:val="both"/>
        <w:rPr>
          <w:rFonts w:ascii="Times New Roman" w:eastAsia="Times New Roman" w:hAnsi="Times New Roman" w:cs="Times New Roman"/>
          <w:sz w:val="20"/>
          <w:szCs w:val="20"/>
        </w:rPr>
      </w:pPr>
      <w:r w:rsidRPr="00B67FC2">
        <w:rPr>
          <w:rFonts w:ascii="Times New Roman" w:eastAsia="Times New Roman" w:hAnsi="Times New Roman" w:cs="Times New Roman"/>
          <w:i/>
          <w:iCs/>
          <w:sz w:val="20"/>
          <w:szCs w:val="20"/>
        </w:rPr>
        <w:t>*Means with different letters in the same column are statistically significant based on Duncan’s multiple range test (p ≤ 0.05)</w:t>
      </w:r>
    </w:p>
    <w:p w:rsidR="00386A8D" w:rsidRDefault="00386A8D" w:rsidP="00BD40EA">
      <w:pPr>
        <w:spacing w:after="0" w:line="360" w:lineRule="auto"/>
        <w:jc w:val="both"/>
        <w:rPr>
          <w:rFonts w:ascii="Times New Roman" w:hAnsi="Times New Roman" w:cs="Times New Roman"/>
          <w:b/>
          <w:bCs/>
        </w:rPr>
      </w:pPr>
    </w:p>
    <w:p w:rsidR="00D43324" w:rsidRPr="00386A8D" w:rsidRDefault="00D43324" w:rsidP="00386A8D">
      <w:pPr>
        <w:pStyle w:val="ListParagraph"/>
        <w:numPr>
          <w:ilvl w:val="0"/>
          <w:numId w:val="11"/>
        </w:numPr>
        <w:spacing w:after="0" w:line="360" w:lineRule="auto"/>
        <w:ind w:left="360"/>
        <w:jc w:val="both"/>
        <w:rPr>
          <w:rFonts w:ascii="Times New Roman" w:hAnsi="Times New Roman" w:cs="Times New Roman"/>
          <w:b/>
          <w:bCs/>
        </w:rPr>
      </w:pPr>
      <w:r w:rsidRPr="00386A8D">
        <w:rPr>
          <w:rFonts w:ascii="Times New Roman" w:hAnsi="Times New Roman" w:cs="Times New Roman"/>
          <w:b/>
          <w:bCs/>
        </w:rPr>
        <w:t>Discussion</w:t>
      </w:r>
    </w:p>
    <w:p w:rsidR="00D43324" w:rsidRPr="00CE206D" w:rsidRDefault="00D43324" w:rsidP="00BD40EA">
      <w:pPr>
        <w:spacing w:after="0" w:line="360" w:lineRule="auto"/>
        <w:jc w:val="both"/>
        <w:rPr>
          <w:rFonts w:ascii="Times New Roman" w:hAnsi="Times New Roman" w:cs="Times New Roman"/>
        </w:rPr>
      </w:pPr>
      <w:r w:rsidRPr="00CE206D">
        <w:rPr>
          <w:rFonts w:ascii="Times New Roman" w:hAnsi="Times New Roman" w:cs="Times New Roman"/>
        </w:rPr>
        <w:t xml:space="preserve">The results of this study provide critical insights into nitrogen (N) uptake and distribution in onion seed production, highlighting the significant impact of nitrogen fertilization on various aspects of crop growth, </w:t>
      </w:r>
      <w:r w:rsidR="00C849E2">
        <w:rPr>
          <w:rFonts w:ascii="Times New Roman" w:hAnsi="Times New Roman" w:cs="Times New Roman"/>
        </w:rPr>
        <w:t>soil fertility</w:t>
      </w:r>
      <w:r w:rsidRPr="00CE206D">
        <w:rPr>
          <w:rFonts w:ascii="Times New Roman" w:hAnsi="Times New Roman" w:cs="Times New Roman"/>
        </w:rPr>
        <w:t>, and s</w:t>
      </w:r>
      <w:r w:rsidR="00C849E2">
        <w:rPr>
          <w:rFonts w:ascii="Times New Roman" w:hAnsi="Times New Roman" w:cs="Times New Roman"/>
        </w:rPr>
        <w:t>eed yield</w:t>
      </w:r>
      <w:r w:rsidRPr="00CE206D">
        <w:rPr>
          <w:rFonts w:ascii="Times New Roman" w:hAnsi="Times New Roman" w:cs="Times New Roman"/>
        </w:rPr>
        <w:t>. Understanding these dynamics is essential for optimizing fertilization strategies to enhance the seed yield of onion crops (</w:t>
      </w:r>
      <w:r w:rsidRPr="00EF21CC">
        <w:rPr>
          <w:rFonts w:ascii="Times New Roman" w:hAnsi="Times New Roman" w:cs="Times New Roman"/>
          <w:i/>
          <w:iCs/>
        </w:rPr>
        <w:t xml:space="preserve">Allium cepa </w:t>
      </w:r>
      <w:r w:rsidRPr="00CE206D">
        <w:rPr>
          <w:rFonts w:ascii="Times New Roman" w:hAnsi="Times New Roman" w:cs="Times New Roman"/>
        </w:rPr>
        <w:t>L.).</w:t>
      </w:r>
    </w:p>
    <w:p w:rsidR="00F44B69" w:rsidRPr="00386A8D" w:rsidRDefault="00F44B69" w:rsidP="00386A8D">
      <w:pPr>
        <w:pStyle w:val="ListParagraph"/>
        <w:numPr>
          <w:ilvl w:val="0"/>
          <w:numId w:val="26"/>
        </w:numPr>
        <w:spacing w:after="0" w:line="360" w:lineRule="auto"/>
        <w:ind w:left="270"/>
        <w:jc w:val="both"/>
        <w:rPr>
          <w:rFonts w:ascii="Times New Roman" w:hAnsi="Times New Roman" w:cs="Times New Roman"/>
          <w:b/>
          <w:bCs/>
          <w:i/>
          <w:iCs/>
        </w:rPr>
      </w:pPr>
      <w:r w:rsidRPr="00386A8D">
        <w:rPr>
          <w:rFonts w:ascii="Times New Roman" w:hAnsi="Times New Roman" w:cs="Times New Roman"/>
          <w:b/>
          <w:bCs/>
          <w:i/>
          <w:iCs/>
        </w:rPr>
        <w:t xml:space="preserve">Nitrogen Uptake Patterns in Onion Seed </w:t>
      </w:r>
      <w:r w:rsidR="008E2B45">
        <w:rPr>
          <w:rFonts w:ascii="Times New Roman" w:hAnsi="Times New Roman" w:cs="Times New Roman"/>
          <w:b/>
          <w:bCs/>
          <w:i/>
          <w:iCs/>
        </w:rPr>
        <w:t>crop</w:t>
      </w:r>
    </w:p>
    <w:p w:rsidR="00F44B69" w:rsidRPr="00F44B69" w:rsidRDefault="00F44B69" w:rsidP="00972EA6">
      <w:pPr>
        <w:spacing w:line="360" w:lineRule="auto"/>
        <w:jc w:val="both"/>
        <w:rPr>
          <w:rFonts w:ascii="Times New Roman" w:hAnsi="Times New Roman" w:cs="Times New Roman"/>
        </w:rPr>
      </w:pPr>
      <w:r w:rsidRPr="00F44B69">
        <w:rPr>
          <w:rFonts w:ascii="Times New Roman" w:hAnsi="Times New Roman" w:cs="Times New Roman"/>
        </w:rPr>
        <w:t xml:space="preserve">The total nitrogen content in the leaves, stems, and bulbs of onion plants showed a clear positive correlation with increased urea application rates. At both 30 and 60 days after planting (DAP), the higher nitrogen treatments demonstrated significantly greater nitrogen accumulation in all plant parts compared to the control. For instance, nitrogen content in leaves increased from 4.04% in the control to 5.89% with the highest application rate (150 kg/ha) by 60 DAP. These findings align with research by </w:t>
      </w:r>
      <w:commentRangeStart w:id="18"/>
      <w:r w:rsidRPr="00F44B69">
        <w:rPr>
          <w:rFonts w:ascii="Times New Roman" w:hAnsi="Times New Roman" w:cs="Times New Roman"/>
        </w:rPr>
        <w:t xml:space="preserve">Ali </w:t>
      </w:r>
      <w:r w:rsidR="00857276" w:rsidRPr="00857276">
        <w:rPr>
          <w:rFonts w:ascii="Times New Roman" w:hAnsi="Times New Roman" w:cs="Times New Roman"/>
          <w:i/>
          <w:iCs/>
        </w:rPr>
        <w:t xml:space="preserve">et al. </w:t>
      </w:r>
      <w:r w:rsidRPr="00F44B69">
        <w:rPr>
          <w:rFonts w:ascii="Times New Roman" w:hAnsi="Times New Roman" w:cs="Times New Roman"/>
        </w:rPr>
        <w:t>(2020)</w:t>
      </w:r>
      <w:commentRangeEnd w:id="18"/>
      <w:r w:rsidR="00300571">
        <w:rPr>
          <w:rStyle w:val="CommentReference"/>
        </w:rPr>
        <w:commentReference w:id="18"/>
      </w:r>
      <w:r w:rsidRPr="00F44B69">
        <w:rPr>
          <w:rFonts w:ascii="Times New Roman" w:hAnsi="Times New Roman" w:cs="Times New Roman"/>
        </w:rPr>
        <w:t xml:space="preserve">, which noted that effective nitrogen uptake during early growth stages is crucial for the successful development of onion seed crops. Similarly, studies by </w:t>
      </w:r>
      <w:commentRangeStart w:id="19"/>
      <w:r w:rsidRPr="00F44B69">
        <w:rPr>
          <w:rFonts w:ascii="Times New Roman" w:hAnsi="Times New Roman" w:cs="Times New Roman"/>
        </w:rPr>
        <w:t>Kafkafi</w:t>
      </w:r>
      <w:r w:rsidR="003B6090" w:rsidRPr="003B6090">
        <w:rPr>
          <w:rFonts w:ascii="Times New Roman" w:hAnsi="Times New Roman" w:cs="Times New Roman"/>
          <w:i/>
          <w:iCs/>
        </w:rPr>
        <w:t>et al.</w:t>
      </w:r>
      <w:commentRangeEnd w:id="19"/>
      <w:r w:rsidR="00300571">
        <w:rPr>
          <w:rStyle w:val="CommentReference"/>
        </w:rPr>
        <w:commentReference w:id="19"/>
      </w:r>
      <w:r w:rsidR="003B6090" w:rsidRPr="003B6090">
        <w:rPr>
          <w:rFonts w:ascii="Times New Roman" w:hAnsi="Times New Roman" w:cs="Times New Roman"/>
          <w:i/>
          <w:iCs/>
        </w:rPr>
        <w:t xml:space="preserve"> </w:t>
      </w:r>
      <w:r w:rsidRPr="00F44B69">
        <w:rPr>
          <w:rFonts w:ascii="Times New Roman" w:hAnsi="Times New Roman" w:cs="Times New Roman"/>
        </w:rPr>
        <w:t>(2021) emphasize that timely nitrogen application can significantly enhance early growth parameters, leading to improved overall plant health.</w:t>
      </w:r>
    </w:p>
    <w:p w:rsidR="00F44B69" w:rsidRPr="00F44B69" w:rsidRDefault="00F44B69" w:rsidP="00972EA6">
      <w:pPr>
        <w:spacing w:line="360" w:lineRule="auto"/>
        <w:jc w:val="both"/>
        <w:rPr>
          <w:rFonts w:ascii="Times New Roman" w:hAnsi="Times New Roman" w:cs="Times New Roman"/>
        </w:rPr>
      </w:pPr>
      <w:r w:rsidRPr="00F44B69">
        <w:rPr>
          <w:rFonts w:ascii="Times New Roman" w:hAnsi="Times New Roman" w:cs="Times New Roman"/>
        </w:rPr>
        <w:t xml:space="preserve">As onion plants transition from vegetative growth to bulb formation, there is a critical remobilization of nitrogen. This process is particularly important for seed production, where nitrogen accumulation in the bulb contributes not only to bulb size but also to seed quality and quantity. The increase in nitrogen content in bulbs from 3.13% (control) to 4.09% (150 kg/ha) underscores the importance of adequate nitrogen for both bulb development and subsequent seed yield (Brewster, 1994). Research by Shalaby </w:t>
      </w:r>
      <w:r w:rsidR="003B6090" w:rsidRPr="003B6090">
        <w:rPr>
          <w:rFonts w:ascii="Times New Roman" w:hAnsi="Times New Roman" w:cs="Times New Roman"/>
          <w:i/>
          <w:iCs/>
        </w:rPr>
        <w:t xml:space="preserve">et al. </w:t>
      </w:r>
      <w:r w:rsidRPr="00F44B69">
        <w:rPr>
          <w:rFonts w:ascii="Times New Roman" w:hAnsi="Times New Roman" w:cs="Times New Roman"/>
        </w:rPr>
        <w:t>(2022) corroborates these findings, highlighting that nitrogen remobilization during the bulb development phase is essential for optimizing seed yield.</w:t>
      </w:r>
    </w:p>
    <w:p w:rsidR="00F44B69" w:rsidRPr="00972EA6" w:rsidRDefault="00F44B69" w:rsidP="00972EA6">
      <w:pPr>
        <w:pStyle w:val="ListParagraph"/>
        <w:numPr>
          <w:ilvl w:val="0"/>
          <w:numId w:val="27"/>
        </w:numPr>
        <w:spacing w:line="360" w:lineRule="auto"/>
        <w:ind w:left="270"/>
        <w:jc w:val="both"/>
        <w:rPr>
          <w:rFonts w:ascii="Times New Roman" w:hAnsi="Times New Roman" w:cs="Times New Roman"/>
          <w:b/>
          <w:bCs/>
          <w:i/>
          <w:iCs/>
        </w:rPr>
      </w:pPr>
      <w:r w:rsidRPr="00972EA6">
        <w:rPr>
          <w:rFonts w:ascii="Times New Roman" w:hAnsi="Times New Roman" w:cs="Times New Roman"/>
          <w:b/>
          <w:bCs/>
          <w:i/>
          <w:iCs/>
        </w:rPr>
        <w:t>Soil Nitrogen Dynamics and Implications for Seed Production</w:t>
      </w:r>
    </w:p>
    <w:p w:rsidR="00F44B69" w:rsidRPr="00F44B69" w:rsidRDefault="00F44B69" w:rsidP="00BD40EA">
      <w:pPr>
        <w:spacing w:after="0" w:line="360" w:lineRule="auto"/>
        <w:jc w:val="both"/>
        <w:rPr>
          <w:rFonts w:ascii="Times New Roman" w:hAnsi="Times New Roman" w:cs="Times New Roman"/>
        </w:rPr>
      </w:pPr>
      <w:r w:rsidRPr="00F44B69">
        <w:rPr>
          <w:rFonts w:ascii="Times New Roman" w:hAnsi="Times New Roman" w:cs="Times New Roman"/>
        </w:rPr>
        <w:t>The assessment of available soil nitrogen revealed that higher nitrogen application rates not only enhanced plant nitrogen uptake but also positively impacted soil nitrogen levels. For the 150 kg/ha treatment, soil nitrogen levels increased from an initial 205.01 kg/ha to 229 kg/ha at harvest. This finding suggests that optimal nitrogen management can improve soil fertility, thereby sustaining the nitrogen supply for subsequent crop cycles, which is vital for long-</w:t>
      </w:r>
      <w:r w:rsidRPr="00F44B69">
        <w:rPr>
          <w:rFonts w:ascii="Times New Roman" w:hAnsi="Times New Roman" w:cs="Times New Roman"/>
        </w:rPr>
        <w:lastRenderedPageBreak/>
        <w:t xml:space="preserve">term sustainability in onion seed production (Hao </w:t>
      </w:r>
      <w:commentRangeStart w:id="20"/>
      <w:r w:rsidRPr="00F44B69">
        <w:rPr>
          <w:rFonts w:ascii="Times New Roman" w:hAnsi="Times New Roman" w:cs="Times New Roman"/>
        </w:rPr>
        <w:t>et al</w:t>
      </w:r>
      <w:commentRangeEnd w:id="20"/>
      <w:r w:rsidR="00FA10BB">
        <w:rPr>
          <w:rStyle w:val="CommentReference"/>
        </w:rPr>
        <w:commentReference w:id="20"/>
      </w:r>
      <w:r w:rsidRPr="00F44B69">
        <w:rPr>
          <w:rFonts w:ascii="Times New Roman" w:hAnsi="Times New Roman" w:cs="Times New Roman"/>
        </w:rPr>
        <w:t xml:space="preserve">., 2015). In a related study, Zhang </w:t>
      </w:r>
      <w:r w:rsidR="003B6090" w:rsidRPr="003B6090">
        <w:rPr>
          <w:rFonts w:ascii="Times New Roman" w:hAnsi="Times New Roman" w:cs="Times New Roman"/>
          <w:i/>
          <w:iCs/>
        </w:rPr>
        <w:t xml:space="preserve">et al. </w:t>
      </w:r>
      <w:r w:rsidRPr="00F44B69">
        <w:rPr>
          <w:rFonts w:ascii="Times New Roman" w:hAnsi="Times New Roman" w:cs="Times New Roman"/>
        </w:rPr>
        <w:t>(2019) found that improved soil nitrogen levels can significantly enhance microbial activity, which further promotes nutrient cycling and availability for future crops.</w:t>
      </w:r>
    </w:p>
    <w:p w:rsidR="00F44B69" w:rsidRPr="00F44B69" w:rsidRDefault="00F44B69" w:rsidP="00972EA6">
      <w:pPr>
        <w:spacing w:before="240" w:after="0" w:line="360" w:lineRule="auto"/>
        <w:jc w:val="both"/>
        <w:rPr>
          <w:rFonts w:ascii="Times New Roman" w:hAnsi="Times New Roman" w:cs="Times New Roman"/>
        </w:rPr>
      </w:pPr>
      <w:r w:rsidRPr="00F44B69">
        <w:rPr>
          <w:rFonts w:ascii="Times New Roman" w:hAnsi="Times New Roman" w:cs="Times New Roman"/>
        </w:rPr>
        <w:t xml:space="preserve">In contrast, the control treatment exhibited a significant decline in available nitrogen, which could adversely affect the subsequent growth of seed crops. The maintenance of soil nitrogen levels is particularly important in seed production systems, where nutrient availability directly influences seed quality and germination rates. Research by Li </w:t>
      </w:r>
      <w:r w:rsidR="003B6090" w:rsidRPr="003B6090">
        <w:rPr>
          <w:rFonts w:ascii="Times New Roman" w:hAnsi="Times New Roman" w:cs="Times New Roman"/>
          <w:i/>
          <w:iCs/>
        </w:rPr>
        <w:t xml:space="preserve">et al. </w:t>
      </w:r>
      <w:r w:rsidRPr="00F44B69">
        <w:rPr>
          <w:rFonts w:ascii="Times New Roman" w:hAnsi="Times New Roman" w:cs="Times New Roman"/>
        </w:rPr>
        <w:t>(2018) indicates that a decline in soil nitrogen can lead to reduced seedling vigor and overall plant health, further emphasizing the need for effective nitrogen management.</w:t>
      </w:r>
    </w:p>
    <w:p w:rsidR="00F44B69" w:rsidRPr="007B277D" w:rsidRDefault="00F44B69" w:rsidP="007B277D">
      <w:pPr>
        <w:pStyle w:val="ListParagraph"/>
        <w:numPr>
          <w:ilvl w:val="0"/>
          <w:numId w:val="28"/>
        </w:numPr>
        <w:spacing w:before="240" w:after="0" w:line="360" w:lineRule="auto"/>
        <w:jc w:val="both"/>
        <w:rPr>
          <w:rFonts w:ascii="Times New Roman" w:hAnsi="Times New Roman" w:cs="Times New Roman"/>
          <w:b/>
          <w:bCs/>
          <w:i/>
          <w:iCs/>
        </w:rPr>
      </w:pPr>
      <w:r w:rsidRPr="007B277D">
        <w:rPr>
          <w:rFonts w:ascii="Times New Roman" w:hAnsi="Times New Roman" w:cs="Times New Roman"/>
          <w:b/>
          <w:bCs/>
          <w:i/>
          <w:iCs/>
        </w:rPr>
        <w:t>Seed Yield and Quality Response to Nitrogen Fertilization</w:t>
      </w:r>
    </w:p>
    <w:p w:rsidR="00F44B69" w:rsidRPr="00F44B69" w:rsidRDefault="00F44B69" w:rsidP="007B277D">
      <w:pPr>
        <w:spacing w:line="360" w:lineRule="auto"/>
        <w:jc w:val="both"/>
        <w:rPr>
          <w:rFonts w:ascii="Times New Roman" w:hAnsi="Times New Roman" w:cs="Times New Roman"/>
        </w:rPr>
      </w:pPr>
      <w:r w:rsidRPr="00F44B69">
        <w:rPr>
          <w:rFonts w:ascii="Times New Roman" w:hAnsi="Times New Roman" w:cs="Times New Roman"/>
        </w:rPr>
        <w:t>The seed yield results highlight the pivotal role of nitrogen in maximizing seed production. In both growing seasons, the application of nitrogen resulted in substantial increases in seed yield, with the highest treatment (150 kg/ha) achieving yields of 774.67 kg/ha in 2020</w:t>
      </w:r>
      <w:r w:rsidR="0023022F" w:rsidRPr="0023022F">
        <w:rPr>
          <w:rFonts w:ascii="Times New Roman" w:hAnsi="Times New Roman" w:cs="Times New Roman"/>
          <w:i/>
          <w:iCs/>
        </w:rPr>
        <w:t>–</w:t>
      </w:r>
      <w:r w:rsidRPr="00F44B69">
        <w:rPr>
          <w:rFonts w:ascii="Times New Roman" w:hAnsi="Times New Roman" w:cs="Times New Roman"/>
        </w:rPr>
        <w:t>21 and 1368.33 kg/ha in 2021</w:t>
      </w:r>
      <w:r w:rsidR="0023022F" w:rsidRPr="0023022F">
        <w:rPr>
          <w:rFonts w:ascii="Times New Roman" w:hAnsi="Times New Roman" w:cs="Times New Roman"/>
          <w:i/>
          <w:iCs/>
        </w:rPr>
        <w:t>–</w:t>
      </w:r>
      <w:r w:rsidRPr="00F44B69">
        <w:rPr>
          <w:rFonts w:ascii="Times New Roman" w:hAnsi="Times New Roman" w:cs="Times New Roman"/>
        </w:rPr>
        <w:t xml:space="preserve">22. These results are consistent with the findings of Mandal </w:t>
      </w:r>
      <w:r w:rsidR="003B6090" w:rsidRPr="003B6090">
        <w:rPr>
          <w:rFonts w:ascii="Times New Roman" w:hAnsi="Times New Roman" w:cs="Times New Roman"/>
          <w:i/>
          <w:iCs/>
        </w:rPr>
        <w:t xml:space="preserve">et al. </w:t>
      </w:r>
      <w:r w:rsidRPr="00F44B69">
        <w:rPr>
          <w:rFonts w:ascii="Times New Roman" w:hAnsi="Times New Roman" w:cs="Times New Roman"/>
        </w:rPr>
        <w:t xml:space="preserve">(2016), who reported that appropriate nitrogen fertilization significantly enhances seed yield and overall crop performance in onion seed production. Additionally, research by Kumar </w:t>
      </w:r>
      <w:r w:rsidR="003B6090" w:rsidRPr="003B6090">
        <w:rPr>
          <w:rFonts w:ascii="Times New Roman" w:hAnsi="Times New Roman" w:cs="Times New Roman"/>
          <w:i/>
          <w:iCs/>
        </w:rPr>
        <w:t xml:space="preserve">et al. </w:t>
      </w:r>
      <w:r w:rsidRPr="00F44B69">
        <w:rPr>
          <w:rFonts w:ascii="Times New Roman" w:hAnsi="Times New Roman" w:cs="Times New Roman"/>
        </w:rPr>
        <w:t xml:space="preserve">(2023) demonstrates that higher nitrogen levels not only increase yield but also improve seed quality traits, such as germination rate and seedling </w:t>
      </w:r>
      <w:commentRangeStart w:id="21"/>
      <w:r w:rsidRPr="00F44B69">
        <w:rPr>
          <w:rFonts w:ascii="Times New Roman" w:hAnsi="Times New Roman" w:cs="Times New Roman"/>
        </w:rPr>
        <w:t>vigor.</w:t>
      </w:r>
      <w:commentRangeEnd w:id="21"/>
      <w:r w:rsidR="00FA10BB">
        <w:rPr>
          <w:rStyle w:val="CommentReference"/>
        </w:rPr>
        <w:commentReference w:id="21"/>
      </w:r>
    </w:p>
    <w:p w:rsidR="00F44B69" w:rsidRPr="00F44B69" w:rsidRDefault="00F44B69" w:rsidP="00BD40EA">
      <w:pPr>
        <w:spacing w:after="0" w:line="360" w:lineRule="auto"/>
        <w:jc w:val="both"/>
        <w:rPr>
          <w:rFonts w:ascii="Times New Roman" w:hAnsi="Times New Roman" w:cs="Times New Roman"/>
        </w:rPr>
      </w:pPr>
      <w:r w:rsidRPr="00F44B69">
        <w:rPr>
          <w:rFonts w:ascii="Times New Roman" w:hAnsi="Times New Roman" w:cs="Times New Roman"/>
        </w:rPr>
        <w:t xml:space="preserve">The increased seed yield is attributed to enhanced biomass accumulation and improved nitrogen content in plant tissues. Higher nitrogen levels are known to boost not only the quantity of seeds produced per umbel but also their quality attributes, including size and viability, which are critical for successful onion seed production (Zhou </w:t>
      </w:r>
      <w:r w:rsidRPr="00C23A7A">
        <w:rPr>
          <w:rFonts w:ascii="Times New Roman" w:hAnsi="Times New Roman" w:cs="Times New Roman"/>
          <w:i/>
          <w:iCs/>
        </w:rPr>
        <w:t>et al.,</w:t>
      </w:r>
      <w:r w:rsidRPr="00F44B69">
        <w:rPr>
          <w:rFonts w:ascii="Times New Roman" w:hAnsi="Times New Roman" w:cs="Times New Roman"/>
        </w:rPr>
        <w:t xml:space="preserve"> 2017). A study by Reddy </w:t>
      </w:r>
      <w:r w:rsidR="003B6090" w:rsidRPr="003B6090">
        <w:rPr>
          <w:rFonts w:ascii="Times New Roman" w:hAnsi="Times New Roman" w:cs="Times New Roman"/>
          <w:i/>
          <w:iCs/>
        </w:rPr>
        <w:t xml:space="preserve">et al. </w:t>
      </w:r>
      <w:r w:rsidRPr="00F44B69">
        <w:rPr>
          <w:rFonts w:ascii="Times New Roman" w:hAnsi="Times New Roman" w:cs="Times New Roman"/>
        </w:rPr>
        <w:t>(2021) also found that increased nitrogen availability positively influences seed morphology and enhances physiological traits crucial for seed performance.</w:t>
      </w:r>
    </w:p>
    <w:p w:rsidR="00F44B69" w:rsidRPr="007B277D" w:rsidRDefault="00F44B69" w:rsidP="007B277D">
      <w:pPr>
        <w:pStyle w:val="ListParagraph"/>
        <w:numPr>
          <w:ilvl w:val="0"/>
          <w:numId w:val="29"/>
        </w:numPr>
        <w:spacing w:before="240" w:after="0" w:line="360" w:lineRule="auto"/>
        <w:ind w:left="270"/>
        <w:jc w:val="both"/>
        <w:rPr>
          <w:rFonts w:ascii="Times New Roman" w:hAnsi="Times New Roman" w:cs="Times New Roman"/>
          <w:b/>
          <w:bCs/>
          <w:i/>
          <w:iCs/>
        </w:rPr>
      </w:pPr>
      <w:r w:rsidRPr="007B277D">
        <w:rPr>
          <w:rFonts w:ascii="Times New Roman" w:hAnsi="Times New Roman" w:cs="Times New Roman"/>
          <w:b/>
          <w:bCs/>
          <w:i/>
          <w:iCs/>
        </w:rPr>
        <w:t>Implications for Fertilization Strategies in Onion Seed Production</w:t>
      </w:r>
    </w:p>
    <w:p w:rsidR="00F44B69" w:rsidRPr="00F44B69" w:rsidRDefault="00F44B69" w:rsidP="00BD40EA">
      <w:pPr>
        <w:spacing w:after="0" w:line="360" w:lineRule="auto"/>
        <w:jc w:val="both"/>
        <w:rPr>
          <w:rFonts w:ascii="Times New Roman" w:hAnsi="Times New Roman" w:cs="Times New Roman"/>
        </w:rPr>
      </w:pPr>
      <w:r w:rsidRPr="00F44B69">
        <w:rPr>
          <w:rFonts w:ascii="Times New Roman" w:hAnsi="Times New Roman" w:cs="Times New Roman"/>
        </w:rPr>
        <w:t xml:space="preserve">These findings underscore the necessity for tailored nitrogen management practices in onion seed production. The use of split applications, as demonstrated in this study, can optimize nitrogen uptake during critical growth phases, ultimately enhancing seed yield and quality. This aligns with the recommendations from Zhou </w:t>
      </w:r>
      <w:r w:rsidR="003B6090" w:rsidRPr="003B6090">
        <w:rPr>
          <w:rFonts w:ascii="Times New Roman" w:hAnsi="Times New Roman" w:cs="Times New Roman"/>
          <w:i/>
          <w:iCs/>
        </w:rPr>
        <w:t xml:space="preserve">et al. </w:t>
      </w:r>
      <w:r w:rsidRPr="00F44B69">
        <w:rPr>
          <w:rFonts w:ascii="Times New Roman" w:hAnsi="Times New Roman" w:cs="Times New Roman"/>
        </w:rPr>
        <w:t xml:space="preserve">(2017), advocating for a strategic approach to nitrogen fertilization that matches the physiological needs of the plant at various growth stages. Additionally, Ghosh </w:t>
      </w:r>
      <w:r w:rsidR="003B6090" w:rsidRPr="003B6090">
        <w:rPr>
          <w:rFonts w:ascii="Times New Roman" w:hAnsi="Times New Roman" w:cs="Times New Roman"/>
          <w:i/>
          <w:iCs/>
        </w:rPr>
        <w:t xml:space="preserve">et al. </w:t>
      </w:r>
      <w:r w:rsidRPr="00F44B69">
        <w:rPr>
          <w:rFonts w:ascii="Times New Roman" w:hAnsi="Times New Roman" w:cs="Times New Roman"/>
        </w:rPr>
        <w:t xml:space="preserve">(2022) support the practice of split applications, </w:t>
      </w:r>
      <w:r w:rsidRPr="00F44B69">
        <w:rPr>
          <w:rFonts w:ascii="Times New Roman" w:hAnsi="Times New Roman" w:cs="Times New Roman"/>
        </w:rPr>
        <w:lastRenderedPageBreak/>
        <w:t>indicating that this method can reduce nitrogen losses and improve efficiency in nutrient utilization.</w:t>
      </w:r>
    </w:p>
    <w:p w:rsidR="00506BE2" w:rsidRDefault="00F44B69" w:rsidP="00506BE2">
      <w:pPr>
        <w:spacing w:before="240" w:after="0" w:line="360" w:lineRule="auto"/>
        <w:jc w:val="both"/>
        <w:rPr>
          <w:rFonts w:ascii="Times New Roman" w:hAnsi="Times New Roman" w:cs="Times New Roman"/>
        </w:rPr>
      </w:pPr>
      <w:r w:rsidRPr="00F44B69">
        <w:rPr>
          <w:rFonts w:ascii="Times New Roman" w:hAnsi="Times New Roman" w:cs="Times New Roman"/>
        </w:rPr>
        <w:t xml:space="preserve">Furthermore, understanding the specific nitrogen uptake patterns during the growth cycle of onion seed crops enables producers to make informed decisions regarding fertilizer timing and rates, thereby maximizing the efficiency of nutrient use while minimizing environmental impacts. Research by Smith </w:t>
      </w:r>
      <w:r w:rsidR="003B6090" w:rsidRPr="003B6090">
        <w:rPr>
          <w:rFonts w:ascii="Times New Roman" w:hAnsi="Times New Roman" w:cs="Times New Roman"/>
          <w:i/>
          <w:iCs/>
        </w:rPr>
        <w:t xml:space="preserve">et al. </w:t>
      </w:r>
      <w:r w:rsidRPr="00F44B69">
        <w:rPr>
          <w:rFonts w:ascii="Times New Roman" w:hAnsi="Times New Roman" w:cs="Times New Roman"/>
        </w:rPr>
        <w:t>(2020) emphasizes the importance of precision agriculture techniques in optimizing nitrogen use, ensuring both economic and environmental sustainability in crop production.</w:t>
      </w:r>
    </w:p>
    <w:p w:rsidR="00D43324" w:rsidRPr="00506BE2" w:rsidRDefault="00D43324" w:rsidP="00DF32FA">
      <w:pPr>
        <w:pStyle w:val="ListParagraph"/>
        <w:numPr>
          <w:ilvl w:val="0"/>
          <w:numId w:val="11"/>
        </w:numPr>
        <w:spacing w:before="240" w:after="0" w:line="360" w:lineRule="auto"/>
        <w:ind w:left="180" w:hanging="270"/>
        <w:jc w:val="both"/>
        <w:rPr>
          <w:rFonts w:ascii="Times New Roman" w:hAnsi="Times New Roman" w:cs="Times New Roman"/>
        </w:rPr>
      </w:pPr>
      <w:r w:rsidRPr="00506BE2">
        <w:rPr>
          <w:rFonts w:ascii="Times New Roman" w:hAnsi="Times New Roman" w:cs="Times New Roman"/>
          <w:b/>
          <w:bCs/>
        </w:rPr>
        <w:t>Conclusion</w:t>
      </w:r>
    </w:p>
    <w:p w:rsidR="00EB46F6" w:rsidRDefault="00D43324" w:rsidP="00BD40EA">
      <w:pPr>
        <w:spacing w:after="0" w:line="360" w:lineRule="auto"/>
        <w:jc w:val="both"/>
        <w:rPr>
          <w:rFonts w:ascii="Times New Roman" w:hAnsi="Times New Roman" w:cs="Times New Roman"/>
        </w:rPr>
      </w:pPr>
      <w:commentRangeStart w:id="22"/>
      <w:r w:rsidRPr="00CE206D">
        <w:rPr>
          <w:rFonts w:ascii="Times New Roman" w:hAnsi="Times New Roman" w:cs="Times New Roman"/>
        </w:rPr>
        <w:t xml:space="preserve">This study highlights the importance of nitrogen fertilization in onion seed production, revealing significant impacts on nitrogen </w:t>
      </w:r>
      <w:r w:rsidR="00A66F23">
        <w:rPr>
          <w:rFonts w:ascii="Times New Roman" w:hAnsi="Times New Roman" w:cs="Times New Roman"/>
        </w:rPr>
        <w:t>Distribution</w:t>
      </w:r>
      <w:r w:rsidRPr="00CE206D">
        <w:rPr>
          <w:rFonts w:ascii="Times New Roman" w:hAnsi="Times New Roman" w:cs="Times New Roman"/>
        </w:rPr>
        <w:t xml:space="preserve"> patterns, soil nitrogen dynamics, and overall seed yield. By employing effective nitrogen management strategies, growers can enhance seed production, ensure sustainable agricultural practices, and improve the quality of onion seeds for future planting.</w:t>
      </w:r>
      <w:commentRangeEnd w:id="22"/>
      <w:r w:rsidR="00AD6862">
        <w:rPr>
          <w:rStyle w:val="CommentReference"/>
        </w:rPr>
        <w:commentReference w:id="22"/>
      </w:r>
    </w:p>
    <w:p w:rsidR="00D05630" w:rsidRDefault="00D05630" w:rsidP="00BD40EA">
      <w:pPr>
        <w:spacing w:after="0" w:line="360" w:lineRule="auto"/>
        <w:jc w:val="both"/>
        <w:rPr>
          <w:rFonts w:ascii="Times New Roman" w:hAnsi="Times New Roman" w:cs="Times New Roman"/>
        </w:rPr>
      </w:pPr>
    </w:p>
    <w:p w:rsidR="00D05630" w:rsidRPr="00BE6E0D" w:rsidRDefault="00D05630" w:rsidP="00D05630">
      <w:pPr>
        <w:spacing w:after="0" w:line="360" w:lineRule="auto"/>
        <w:ind w:firstLine="90"/>
        <w:rPr>
          <w:rFonts w:ascii="Times New Roman" w:eastAsia="Times New Roman" w:hAnsi="Times New Roman" w:cs="Times New Roman"/>
          <w:b/>
          <w:bCs/>
        </w:rPr>
      </w:pPr>
      <w:r w:rsidRPr="00BE6E0D">
        <w:rPr>
          <w:rFonts w:ascii="Times New Roman" w:eastAsia="Times New Roman" w:hAnsi="Times New Roman" w:cs="Times New Roman"/>
          <w:b/>
          <w:bCs/>
        </w:rPr>
        <w:t>Declaration of competing interest</w:t>
      </w:r>
    </w:p>
    <w:p w:rsidR="00D05630" w:rsidRPr="00BE6E0D" w:rsidRDefault="00D05630" w:rsidP="00D05630">
      <w:pPr>
        <w:spacing w:after="0" w:line="360" w:lineRule="auto"/>
        <w:ind w:firstLine="90"/>
        <w:jc w:val="both"/>
        <w:rPr>
          <w:rFonts w:ascii="Times New Roman" w:eastAsia="Times New Roman" w:hAnsi="Times New Roman" w:cs="Times New Roman"/>
        </w:rPr>
      </w:pPr>
      <w:r w:rsidRPr="00BE6E0D">
        <w:rPr>
          <w:rFonts w:ascii="Times New Roman" w:eastAsia="Times New Roman" w:hAnsi="Times New Roman" w:cs="Times New Roman"/>
        </w:rPr>
        <w:t>The authors declare that have no conflict of interest.</w:t>
      </w:r>
    </w:p>
    <w:p w:rsidR="00D05630" w:rsidRPr="00BE6E0D" w:rsidRDefault="00D05630" w:rsidP="00D05630">
      <w:pPr>
        <w:spacing w:after="0" w:line="360" w:lineRule="auto"/>
        <w:jc w:val="both"/>
        <w:rPr>
          <w:rFonts w:ascii="Times New Roman" w:eastAsia="Times New Roman" w:hAnsi="Times New Roman" w:cs="Times New Roman"/>
        </w:rPr>
      </w:pPr>
    </w:p>
    <w:p w:rsidR="00D05630" w:rsidRPr="00BE6E0D" w:rsidRDefault="00D05630" w:rsidP="00D05630">
      <w:pPr>
        <w:spacing w:after="0" w:line="360" w:lineRule="auto"/>
        <w:ind w:firstLine="90"/>
        <w:rPr>
          <w:rFonts w:ascii="Times New Roman" w:eastAsia="Times New Roman" w:hAnsi="Times New Roman" w:cs="Times New Roman"/>
          <w:b/>
          <w:bCs/>
        </w:rPr>
      </w:pPr>
      <w:r w:rsidRPr="00BE6E0D">
        <w:rPr>
          <w:rFonts w:ascii="Times New Roman" w:eastAsia="Times New Roman" w:hAnsi="Times New Roman" w:cs="Times New Roman"/>
          <w:b/>
          <w:bCs/>
        </w:rPr>
        <w:t>Data availability</w:t>
      </w:r>
    </w:p>
    <w:p w:rsidR="00D05630" w:rsidRPr="00BE6E0D" w:rsidRDefault="00D05630" w:rsidP="00D05630">
      <w:pPr>
        <w:spacing w:after="0" w:line="360" w:lineRule="auto"/>
        <w:ind w:firstLine="90"/>
        <w:jc w:val="both"/>
        <w:rPr>
          <w:rFonts w:ascii="Times New Roman" w:eastAsia="Times New Roman" w:hAnsi="Times New Roman" w:cs="Times New Roman"/>
        </w:rPr>
      </w:pPr>
      <w:r w:rsidRPr="00BE6E0D">
        <w:rPr>
          <w:rFonts w:ascii="Times New Roman" w:eastAsia="Times New Roman" w:hAnsi="Times New Roman" w:cs="Times New Roman"/>
        </w:rPr>
        <w:t>Data will be made available on request.</w:t>
      </w:r>
    </w:p>
    <w:p w:rsidR="00D05630" w:rsidRPr="00BE6E0D" w:rsidRDefault="00D05630" w:rsidP="00D05630">
      <w:pPr>
        <w:spacing w:after="0" w:line="360" w:lineRule="auto"/>
        <w:jc w:val="both"/>
        <w:rPr>
          <w:rFonts w:ascii="Times New Roman" w:eastAsia="Times New Roman" w:hAnsi="Times New Roman" w:cs="Times New Roman"/>
        </w:rPr>
      </w:pPr>
    </w:p>
    <w:p w:rsidR="00D05630" w:rsidRPr="00BE6E0D" w:rsidRDefault="00D05630" w:rsidP="00D05630">
      <w:pPr>
        <w:spacing w:after="0" w:line="360" w:lineRule="auto"/>
        <w:ind w:firstLine="90"/>
        <w:rPr>
          <w:rFonts w:ascii="Times New Roman" w:eastAsia="Times New Roman" w:hAnsi="Times New Roman" w:cs="Times New Roman"/>
          <w:b/>
          <w:bCs/>
        </w:rPr>
      </w:pPr>
      <w:r>
        <w:rPr>
          <w:rFonts w:ascii="Times New Roman" w:eastAsia="Times New Roman" w:hAnsi="Times New Roman" w:cs="Times New Roman"/>
          <w:b/>
          <w:bCs/>
        </w:rPr>
        <w:t>CRediT</w:t>
      </w:r>
      <w:r w:rsidRPr="00BE6E0D">
        <w:rPr>
          <w:rFonts w:ascii="Times New Roman" w:eastAsia="Times New Roman" w:hAnsi="Times New Roman" w:cs="Times New Roman"/>
          <w:b/>
          <w:bCs/>
        </w:rPr>
        <w:t xml:space="preserve"> authorship contribution statement</w:t>
      </w:r>
    </w:p>
    <w:p w:rsidR="00D05630" w:rsidRPr="00BE6E0D" w:rsidRDefault="00D05630" w:rsidP="00D05630">
      <w:pPr>
        <w:spacing w:after="0" w:line="360" w:lineRule="auto"/>
        <w:ind w:left="90"/>
        <w:jc w:val="both"/>
        <w:rPr>
          <w:rFonts w:ascii="Times New Roman" w:eastAsia="Times New Roman" w:hAnsi="Times New Roman" w:cs="Times New Roman"/>
        </w:rPr>
      </w:pPr>
      <w:r w:rsidRPr="00BE6E0D">
        <w:rPr>
          <w:rFonts w:ascii="Times New Roman" w:eastAsia="Times New Roman" w:hAnsi="Times New Roman" w:cs="Times New Roman"/>
        </w:rPr>
        <w:t xml:space="preserve">IndrajitsinghPravinsinghGirase: Writing </w:t>
      </w:r>
      <w:r>
        <w:rPr>
          <w:rFonts w:ascii="Times New Roman" w:eastAsia="Times New Roman" w:hAnsi="Times New Roman" w:cs="Times New Roman"/>
        </w:rPr>
        <w:t>-</w:t>
      </w:r>
      <w:r w:rsidRPr="00BE6E0D">
        <w:rPr>
          <w:rFonts w:ascii="Times New Roman" w:eastAsia="Times New Roman" w:hAnsi="Times New Roman" w:cs="Times New Roman"/>
        </w:rPr>
        <w:t xml:space="preserve"> original draft, Methodology, Investigation, Data curation. Prashant Kumar Rai: Writing </w:t>
      </w:r>
      <w:r>
        <w:rPr>
          <w:rFonts w:ascii="Times New Roman" w:eastAsia="Times New Roman" w:hAnsi="Times New Roman" w:cs="Times New Roman"/>
        </w:rPr>
        <w:t>-</w:t>
      </w:r>
      <w:r w:rsidRPr="00BE6E0D">
        <w:rPr>
          <w:rFonts w:ascii="Times New Roman" w:eastAsia="Times New Roman" w:hAnsi="Times New Roman" w:cs="Times New Roman"/>
        </w:rPr>
        <w:t xml:space="preserve"> review &amp; editing original draft, Investigation, Data curation. Vaidurya Pratap Sahi: Writing </w:t>
      </w:r>
      <w:r>
        <w:rPr>
          <w:rFonts w:ascii="Times New Roman" w:eastAsia="Times New Roman" w:hAnsi="Times New Roman" w:cs="Times New Roman"/>
        </w:rPr>
        <w:t>-</w:t>
      </w:r>
      <w:r w:rsidRPr="00BE6E0D">
        <w:rPr>
          <w:rFonts w:ascii="Times New Roman" w:eastAsia="Times New Roman" w:hAnsi="Times New Roman" w:cs="Times New Roman"/>
        </w:rPr>
        <w:t xml:space="preserve"> review &amp; editing. Arunachalam Thangasamy: Investigation, Resources, Methodology. </w:t>
      </w:r>
      <w:r w:rsidRPr="00F300A4">
        <w:rPr>
          <w:rFonts w:ascii="Times New Roman" w:eastAsia="Times New Roman" w:hAnsi="Times New Roman" w:cs="Times New Roman"/>
          <w:color w:val="000000" w:themeColor="text1"/>
        </w:rPr>
        <w:t>Prashant Ankur Jain</w:t>
      </w:r>
      <w:r w:rsidRPr="00BE6E0D">
        <w:rPr>
          <w:rFonts w:ascii="Times New Roman" w:eastAsia="Times New Roman" w:hAnsi="Times New Roman" w:cs="Times New Roman"/>
        </w:rPr>
        <w:t xml:space="preserve">: Investigation. Vishwanath RohidasYalamalle: Conceptualization, Project administration, Resources, original draft, Writing </w:t>
      </w:r>
      <w:r>
        <w:rPr>
          <w:rFonts w:ascii="Times New Roman" w:eastAsia="Times New Roman" w:hAnsi="Times New Roman" w:cs="Times New Roman"/>
        </w:rPr>
        <w:t>-</w:t>
      </w:r>
      <w:r w:rsidRPr="00BE6E0D">
        <w:rPr>
          <w:rFonts w:ascii="Times New Roman" w:eastAsia="Times New Roman" w:hAnsi="Times New Roman" w:cs="Times New Roman"/>
        </w:rPr>
        <w:t xml:space="preserve"> review &amp; editing, Investigation. </w:t>
      </w:r>
    </w:p>
    <w:p w:rsidR="00A9612C" w:rsidRDefault="00A9612C" w:rsidP="00BD40EA">
      <w:pPr>
        <w:spacing w:after="0" w:line="360" w:lineRule="auto"/>
        <w:jc w:val="both"/>
        <w:rPr>
          <w:rFonts w:ascii="Times New Roman" w:hAnsi="Times New Roman" w:cs="Times New Roman"/>
          <w:b/>
          <w:bCs/>
        </w:rPr>
      </w:pPr>
      <w:bookmarkStart w:id="23" w:name="_GoBack"/>
      <w:bookmarkEnd w:id="23"/>
    </w:p>
    <w:p w:rsidR="00A9612C" w:rsidRDefault="00A9612C" w:rsidP="00BD40EA">
      <w:pPr>
        <w:spacing w:after="0" w:line="360" w:lineRule="auto"/>
        <w:jc w:val="both"/>
        <w:rPr>
          <w:rFonts w:ascii="Times New Roman" w:hAnsi="Times New Roman" w:cs="Times New Roman"/>
          <w:b/>
          <w:bCs/>
        </w:rPr>
      </w:pPr>
    </w:p>
    <w:p w:rsidR="00DB65A3" w:rsidRDefault="00E700A3" w:rsidP="00DB65A3">
      <w:pPr>
        <w:spacing w:after="0" w:line="360" w:lineRule="auto"/>
        <w:jc w:val="both"/>
        <w:rPr>
          <w:rFonts w:ascii="Times New Roman" w:hAnsi="Times New Roman" w:cs="Times New Roman"/>
          <w:b/>
          <w:bCs/>
        </w:rPr>
      </w:pPr>
      <w:r w:rsidRPr="00383A1B">
        <w:rPr>
          <w:rFonts w:ascii="Times New Roman" w:hAnsi="Times New Roman" w:cs="Times New Roman"/>
          <w:b/>
          <w:bCs/>
        </w:rPr>
        <w:t>References</w:t>
      </w:r>
    </w:p>
    <w:p w:rsidR="00DB65A3" w:rsidRDefault="00DB65A3" w:rsidP="00DB65A3">
      <w:pPr>
        <w:spacing w:after="0" w:line="360" w:lineRule="auto"/>
        <w:jc w:val="both"/>
        <w:rPr>
          <w:rFonts w:ascii="Times New Roman" w:hAnsi="Times New Roman" w:cs="Times New Roman"/>
          <w:b/>
          <w:bCs/>
        </w:rPr>
      </w:pPr>
    </w:p>
    <w:p w:rsidR="00A0733F" w:rsidRPr="003A506F" w:rsidRDefault="00A0733F" w:rsidP="003A506F">
      <w:pPr>
        <w:pStyle w:val="ListParagraph"/>
        <w:numPr>
          <w:ilvl w:val="0"/>
          <w:numId w:val="31"/>
        </w:numPr>
        <w:tabs>
          <w:tab w:val="left" w:pos="270"/>
        </w:tabs>
        <w:spacing w:line="360" w:lineRule="auto"/>
        <w:jc w:val="both"/>
        <w:rPr>
          <w:rFonts w:ascii="Times New Roman" w:hAnsi="Times New Roman" w:cs="Times New Roman"/>
        </w:rPr>
      </w:pPr>
      <w:r w:rsidRPr="003A506F">
        <w:rPr>
          <w:rFonts w:ascii="Times New Roman" w:hAnsi="Times New Roman" w:cs="Times New Roman"/>
        </w:rPr>
        <w:lastRenderedPageBreak/>
        <w:t xml:space="preserve">Ali, M., Ahmed, F., &amp; Jamal, A. (2020). Nitrogen uptake and distribution in onion plants as influenced by nitrogen rates. </w:t>
      </w:r>
      <w:r w:rsidRPr="003A506F">
        <w:rPr>
          <w:rFonts w:ascii="Times New Roman" w:hAnsi="Times New Roman" w:cs="Times New Roman"/>
          <w:i/>
          <w:iCs/>
        </w:rPr>
        <w:t>Journal of Plant Nutrition</w:t>
      </w:r>
      <w:r w:rsidRPr="003A506F">
        <w:rPr>
          <w:rFonts w:ascii="Times New Roman" w:hAnsi="Times New Roman" w:cs="Times New Roman"/>
        </w:rPr>
        <w:t>, 43(10), 1471–1480.</w:t>
      </w:r>
    </w:p>
    <w:p w:rsidR="00617F8C" w:rsidRPr="003A506F" w:rsidRDefault="00617F8C" w:rsidP="003A506F">
      <w:pPr>
        <w:pStyle w:val="ListParagraph"/>
        <w:numPr>
          <w:ilvl w:val="0"/>
          <w:numId w:val="31"/>
        </w:numPr>
        <w:tabs>
          <w:tab w:val="left" w:pos="270"/>
        </w:tabs>
        <w:spacing w:line="360" w:lineRule="auto"/>
        <w:jc w:val="both"/>
        <w:rPr>
          <w:rFonts w:ascii="Times New Roman" w:hAnsi="Times New Roman" w:cs="Times New Roman"/>
        </w:rPr>
      </w:pPr>
      <w:r w:rsidRPr="003A506F">
        <w:rPr>
          <w:rFonts w:ascii="Times New Roman" w:hAnsi="Times New Roman" w:cs="Times New Roman"/>
        </w:rPr>
        <w:t xml:space="preserve">Ali, M., Sharma, R. K., Gupta, V. K., Singh, A., Kumar, S., &amp; Mishra, S. (2020). Nitrogen dynamics in onion growth: Implications for fertilization. </w:t>
      </w:r>
      <w:r w:rsidRPr="003A506F">
        <w:rPr>
          <w:rFonts w:ascii="Times New Roman" w:hAnsi="Times New Roman" w:cs="Times New Roman"/>
          <w:i/>
          <w:iCs/>
        </w:rPr>
        <w:t>Journal of Plant Nutrition, 43</w:t>
      </w:r>
      <w:r w:rsidRPr="003A506F">
        <w:rPr>
          <w:rFonts w:ascii="Times New Roman" w:hAnsi="Times New Roman" w:cs="Times New Roman"/>
        </w:rPr>
        <w:t>(5), 647–660.</w:t>
      </w:r>
    </w:p>
    <w:p w:rsidR="00671067" w:rsidRPr="003A506F" w:rsidRDefault="00671067" w:rsidP="003A506F">
      <w:pPr>
        <w:pStyle w:val="ListParagraph"/>
        <w:numPr>
          <w:ilvl w:val="0"/>
          <w:numId w:val="31"/>
        </w:numPr>
        <w:tabs>
          <w:tab w:val="left" w:pos="270"/>
        </w:tabs>
        <w:spacing w:line="360" w:lineRule="auto"/>
        <w:jc w:val="both"/>
        <w:rPr>
          <w:rFonts w:ascii="Times New Roman" w:hAnsi="Times New Roman" w:cs="Times New Roman"/>
          <w:i/>
          <w:iCs/>
        </w:rPr>
      </w:pPr>
      <w:r w:rsidRPr="003A506F">
        <w:rPr>
          <w:rFonts w:ascii="Times New Roman" w:hAnsi="Times New Roman" w:cs="Times New Roman"/>
        </w:rPr>
        <w:t xml:space="preserve">Anderson, G. (2005). Soil nitrogen analysis: A guide to techniques. </w:t>
      </w:r>
      <w:r w:rsidRPr="003A506F">
        <w:rPr>
          <w:rFonts w:ascii="Times New Roman" w:hAnsi="Times New Roman" w:cs="Times New Roman"/>
          <w:i/>
          <w:iCs/>
        </w:rPr>
        <w:t>Soil Science Society of America.</w:t>
      </w:r>
    </w:p>
    <w:p w:rsidR="000B6E0E" w:rsidRPr="003A506F" w:rsidRDefault="000B6E0E" w:rsidP="003A506F">
      <w:pPr>
        <w:pStyle w:val="ListParagraph"/>
        <w:numPr>
          <w:ilvl w:val="0"/>
          <w:numId w:val="31"/>
        </w:numPr>
        <w:tabs>
          <w:tab w:val="left" w:pos="270"/>
        </w:tabs>
        <w:spacing w:line="360" w:lineRule="auto"/>
        <w:jc w:val="both"/>
        <w:rPr>
          <w:rFonts w:ascii="Times New Roman" w:hAnsi="Times New Roman" w:cs="Times New Roman"/>
          <w:i/>
          <w:iCs/>
        </w:rPr>
      </w:pPr>
      <w:r w:rsidRPr="003A506F">
        <w:rPr>
          <w:rFonts w:ascii="Times New Roman" w:hAnsi="Times New Roman" w:cs="Times New Roman"/>
        </w:rPr>
        <w:t>Bremner, J. M., &amp; Mulvaney, C. S. (1982). Nitrogen total. In A. L. Page (Ed.), Methods of soil analysis, Part 2: Chemical and microbiological properties (</w:t>
      </w:r>
      <w:commentRangeStart w:id="24"/>
      <w:r w:rsidRPr="003A506F">
        <w:rPr>
          <w:rFonts w:ascii="Times New Roman" w:hAnsi="Times New Roman" w:cs="Times New Roman"/>
        </w:rPr>
        <w:t>2nd</w:t>
      </w:r>
      <w:commentRangeEnd w:id="24"/>
      <w:r w:rsidR="008D6701">
        <w:rPr>
          <w:rStyle w:val="CommentReference"/>
        </w:rPr>
        <w:commentReference w:id="24"/>
      </w:r>
      <w:r w:rsidRPr="003A506F">
        <w:rPr>
          <w:rFonts w:ascii="Times New Roman" w:hAnsi="Times New Roman" w:cs="Times New Roman"/>
        </w:rPr>
        <w:t xml:space="preserve"> ed., pp. 595–624). </w:t>
      </w:r>
      <w:r w:rsidRPr="003A506F">
        <w:rPr>
          <w:rFonts w:ascii="Times New Roman" w:hAnsi="Times New Roman" w:cs="Times New Roman"/>
          <w:i/>
          <w:iCs/>
        </w:rPr>
        <w:t>Soil Science Society of America.</w:t>
      </w:r>
    </w:p>
    <w:p w:rsidR="000B6E0E" w:rsidRPr="003A506F" w:rsidRDefault="000B6E0E" w:rsidP="003A506F">
      <w:pPr>
        <w:pStyle w:val="ListParagraph"/>
        <w:numPr>
          <w:ilvl w:val="0"/>
          <w:numId w:val="31"/>
        </w:numPr>
        <w:tabs>
          <w:tab w:val="left" w:pos="270"/>
        </w:tabs>
        <w:spacing w:line="360" w:lineRule="auto"/>
        <w:jc w:val="both"/>
        <w:rPr>
          <w:rFonts w:ascii="Times New Roman" w:hAnsi="Times New Roman" w:cs="Times New Roman"/>
          <w:i/>
          <w:iCs/>
        </w:rPr>
      </w:pPr>
      <w:commentRangeStart w:id="25"/>
      <w:r w:rsidRPr="003A506F">
        <w:rPr>
          <w:rFonts w:ascii="Times New Roman" w:hAnsi="Times New Roman" w:cs="Times New Roman"/>
        </w:rPr>
        <w:t xml:space="preserve">Bremner, J. M. (1996). Nitrogen-total. In D. L. Sparks (Ed.), Methods of soil analysis: Part 3—Chemical methods (SSSA Book Series 5, pp. 1085–1121). </w:t>
      </w:r>
      <w:r w:rsidRPr="003A506F">
        <w:rPr>
          <w:rFonts w:ascii="Times New Roman" w:hAnsi="Times New Roman" w:cs="Times New Roman"/>
          <w:i/>
          <w:iCs/>
        </w:rPr>
        <w:t>Soil Science Society of America.</w:t>
      </w:r>
      <w:commentRangeEnd w:id="25"/>
      <w:r w:rsidR="008E7B6B">
        <w:rPr>
          <w:rStyle w:val="CommentReference"/>
        </w:rPr>
        <w:commentReference w:id="25"/>
      </w:r>
    </w:p>
    <w:p w:rsidR="00EA4487" w:rsidRPr="003A506F" w:rsidRDefault="00EA4487" w:rsidP="003A506F">
      <w:pPr>
        <w:pStyle w:val="ListParagraph"/>
        <w:numPr>
          <w:ilvl w:val="0"/>
          <w:numId w:val="31"/>
        </w:numPr>
        <w:tabs>
          <w:tab w:val="left" w:pos="270"/>
        </w:tabs>
        <w:spacing w:line="360" w:lineRule="auto"/>
        <w:jc w:val="both"/>
        <w:rPr>
          <w:rFonts w:ascii="Times New Roman" w:eastAsia="Times New Roman" w:hAnsi="Times New Roman" w:cs="Times New Roman"/>
          <w:kern w:val="0"/>
          <w:lang w:eastAsia="en-IN"/>
        </w:rPr>
      </w:pPr>
      <w:r w:rsidRPr="003A506F">
        <w:rPr>
          <w:rFonts w:ascii="Times New Roman" w:eastAsia="Times New Roman" w:hAnsi="Times New Roman" w:cs="Times New Roman"/>
          <w:kern w:val="0"/>
          <w:lang w:eastAsia="en-IN"/>
        </w:rPr>
        <w:t xml:space="preserve">Brewster, J. L. (1994). Onions and other </w:t>
      </w:r>
      <w:commentRangeStart w:id="26"/>
      <w:r w:rsidR="006A16C0" w:rsidRPr="003A506F">
        <w:rPr>
          <w:rFonts w:ascii="Times New Roman" w:eastAsia="Times New Roman" w:hAnsi="Times New Roman" w:cs="Times New Roman"/>
          <w:kern w:val="0"/>
          <w:lang w:eastAsia="en-IN"/>
        </w:rPr>
        <w:t>vegetables</w:t>
      </w:r>
      <w:r w:rsidR="00B37D44" w:rsidRPr="003A506F">
        <w:rPr>
          <w:rFonts w:ascii="Times New Roman" w:eastAsia="Times New Roman" w:hAnsi="Times New Roman" w:cs="Times New Roman"/>
          <w:kern w:val="0"/>
          <w:lang w:eastAsia="en-IN"/>
        </w:rPr>
        <w:t>.</w:t>
      </w:r>
      <w:r w:rsidRPr="003A506F">
        <w:rPr>
          <w:rFonts w:ascii="Times New Roman" w:eastAsia="Times New Roman" w:hAnsi="Times New Roman" w:cs="Times New Roman"/>
          <w:i/>
          <w:iCs/>
          <w:kern w:val="0"/>
          <w:lang w:eastAsia="en-IN"/>
        </w:rPr>
        <w:t xml:space="preserve">Horticultural </w:t>
      </w:r>
      <w:commentRangeEnd w:id="26"/>
      <w:r w:rsidR="00E259B2">
        <w:rPr>
          <w:rStyle w:val="CommentReference"/>
        </w:rPr>
        <w:commentReference w:id="26"/>
      </w:r>
      <w:r w:rsidRPr="003A506F">
        <w:rPr>
          <w:rFonts w:ascii="Times New Roman" w:eastAsia="Times New Roman" w:hAnsi="Times New Roman" w:cs="Times New Roman"/>
          <w:i/>
          <w:iCs/>
          <w:kern w:val="0"/>
          <w:lang w:eastAsia="en-IN"/>
        </w:rPr>
        <w:t>Reviews,</w:t>
      </w:r>
      <w:r w:rsidRPr="003A506F">
        <w:rPr>
          <w:rFonts w:ascii="Times New Roman" w:eastAsia="Times New Roman" w:hAnsi="Times New Roman" w:cs="Times New Roman"/>
          <w:kern w:val="0"/>
          <w:lang w:eastAsia="en-IN"/>
        </w:rPr>
        <w:t xml:space="preserve"> 16, 1–48.</w:t>
      </w:r>
    </w:p>
    <w:p w:rsidR="006A16C0" w:rsidRPr="003A506F" w:rsidRDefault="006A16C0" w:rsidP="003A506F">
      <w:pPr>
        <w:pStyle w:val="ListParagraph"/>
        <w:numPr>
          <w:ilvl w:val="0"/>
          <w:numId w:val="31"/>
        </w:numPr>
        <w:tabs>
          <w:tab w:val="left" w:pos="270"/>
        </w:tabs>
        <w:spacing w:line="360" w:lineRule="auto"/>
        <w:jc w:val="both"/>
        <w:rPr>
          <w:rStyle w:val="Strong"/>
          <w:rFonts w:ascii="Times New Roman" w:eastAsiaTheme="majorEastAsia" w:hAnsi="Times New Roman" w:cs="Times New Roman"/>
          <w:b w:val="0"/>
          <w:bCs w:val="0"/>
        </w:rPr>
      </w:pPr>
      <w:r w:rsidRPr="003A506F">
        <w:rPr>
          <w:rStyle w:val="Strong"/>
          <w:rFonts w:ascii="Times New Roman" w:eastAsiaTheme="majorEastAsia" w:hAnsi="Times New Roman" w:cs="Times New Roman"/>
          <w:b w:val="0"/>
          <w:bCs w:val="0"/>
        </w:rPr>
        <w:t xml:space="preserve">Ghosh, S., Pal, S., Barman, S., &amp; Mukherjee, A. (2022). Split nitrogen applications improve nutrient use efficiency in onion. </w:t>
      </w:r>
      <w:r w:rsidRPr="003A506F">
        <w:rPr>
          <w:rStyle w:val="Strong"/>
          <w:rFonts w:ascii="Times New Roman" w:eastAsiaTheme="majorEastAsia" w:hAnsi="Times New Roman" w:cs="Times New Roman"/>
          <w:b w:val="0"/>
          <w:bCs w:val="0"/>
          <w:i/>
          <w:iCs/>
        </w:rPr>
        <w:t>Agricultural Systems</w:t>
      </w:r>
      <w:r w:rsidRPr="003A506F">
        <w:rPr>
          <w:rStyle w:val="Strong"/>
          <w:rFonts w:ascii="Times New Roman" w:eastAsiaTheme="majorEastAsia" w:hAnsi="Times New Roman" w:cs="Times New Roman"/>
          <w:b w:val="0"/>
          <w:bCs w:val="0"/>
        </w:rPr>
        <w:t xml:space="preserve">, 195, </w:t>
      </w:r>
      <w:commentRangeStart w:id="27"/>
      <w:r w:rsidRPr="003A506F">
        <w:rPr>
          <w:rStyle w:val="Strong"/>
          <w:rFonts w:ascii="Times New Roman" w:eastAsiaTheme="majorEastAsia" w:hAnsi="Times New Roman" w:cs="Times New Roman"/>
          <w:b w:val="0"/>
          <w:bCs w:val="0"/>
        </w:rPr>
        <w:t>Article 103258</w:t>
      </w:r>
      <w:commentRangeEnd w:id="27"/>
      <w:r w:rsidR="00A46F1E">
        <w:rPr>
          <w:rStyle w:val="CommentReference"/>
        </w:rPr>
        <w:commentReference w:id="27"/>
      </w:r>
      <w:r w:rsidRPr="003A506F">
        <w:rPr>
          <w:rStyle w:val="Strong"/>
          <w:rFonts w:ascii="Times New Roman" w:eastAsiaTheme="majorEastAsia" w:hAnsi="Times New Roman" w:cs="Times New Roman"/>
          <w:b w:val="0"/>
          <w:bCs w:val="0"/>
        </w:rPr>
        <w:t>.</w:t>
      </w:r>
    </w:p>
    <w:p w:rsidR="002A2AA8" w:rsidRPr="0051521E" w:rsidRDefault="00895338" w:rsidP="003A506F">
      <w:pPr>
        <w:pStyle w:val="ListParagraph"/>
        <w:numPr>
          <w:ilvl w:val="0"/>
          <w:numId w:val="31"/>
        </w:numPr>
        <w:tabs>
          <w:tab w:val="left" w:pos="270"/>
        </w:tabs>
        <w:spacing w:line="360" w:lineRule="auto"/>
        <w:jc w:val="both"/>
      </w:pPr>
      <w:r w:rsidRPr="003A506F">
        <w:rPr>
          <w:rFonts w:ascii="Times New Roman" w:hAnsi="Times New Roman" w:cs="Times New Roman"/>
        </w:rPr>
        <w:t xml:space="preserve">Hao, X., Chang, C., &amp; </w:t>
      </w:r>
      <w:commentRangeStart w:id="28"/>
      <w:r w:rsidRPr="003A506F">
        <w:rPr>
          <w:rFonts w:ascii="Times New Roman" w:hAnsi="Times New Roman" w:cs="Times New Roman"/>
        </w:rPr>
        <w:t xml:space="preserve">D. J. </w:t>
      </w:r>
      <w:commentRangeEnd w:id="28"/>
      <w:r w:rsidR="00A10528">
        <w:rPr>
          <w:rStyle w:val="CommentReference"/>
        </w:rPr>
        <w:commentReference w:id="28"/>
      </w:r>
      <w:r w:rsidRPr="003A506F">
        <w:rPr>
          <w:rFonts w:ascii="Times New Roman" w:hAnsi="Times New Roman" w:cs="Times New Roman"/>
        </w:rPr>
        <w:t xml:space="preserve">(2015). Soil nitrogen retention in response to nitrogen fertilization and irrigation management in onions. </w:t>
      </w:r>
      <w:r w:rsidRPr="003A506F">
        <w:rPr>
          <w:rFonts w:ascii="Times New Roman" w:hAnsi="Times New Roman" w:cs="Times New Roman"/>
          <w:i/>
          <w:iCs/>
        </w:rPr>
        <w:t>Agricultural Water Management</w:t>
      </w:r>
      <w:r w:rsidRPr="003A506F">
        <w:rPr>
          <w:rFonts w:ascii="Times New Roman" w:hAnsi="Times New Roman" w:cs="Times New Roman"/>
        </w:rPr>
        <w:t>, 162, 38</w:t>
      </w:r>
      <w:r w:rsidR="0051521E" w:rsidRPr="0051521E">
        <w:t>–</w:t>
      </w:r>
      <w:r w:rsidRPr="003A506F">
        <w:rPr>
          <w:rFonts w:ascii="Times New Roman" w:hAnsi="Times New Roman" w:cs="Times New Roman"/>
        </w:rPr>
        <w:t>46.</w:t>
      </w:r>
    </w:p>
    <w:p w:rsidR="002A2AA8" w:rsidRPr="003A506F" w:rsidRDefault="0053076F" w:rsidP="003A506F">
      <w:pPr>
        <w:pStyle w:val="ListParagraph"/>
        <w:numPr>
          <w:ilvl w:val="0"/>
          <w:numId w:val="31"/>
        </w:numPr>
        <w:tabs>
          <w:tab w:val="left" w:pos="270"/>
        </w:tabs>
        <w:spacing w:line="360" w:lineRule="auto"/>
        <w:jc w:val="both"/>
        <w:rPr>
          <w:rFonts w:ascii="Times New Roman" w:hAnsi="Times New Roman" w:cs="Times New Roman"/>
        </w:rPr>
      </w:pPr>
      <w:commentRangeStart w:id="29"/>
      <w:r w:rsidRPr="003A506F">
        <w:rPr>
          <w:rFonts w:ascii="Times New Roman" w:hAnsi="Times New Roman" w:cs="Times New Roman"/>
        </w:rPr>
        <w:t xml:space="preserve">Hartz, T. K., &amp; Bottoms, T. G. (2009). "Evaluation of the NPK Fertilizer Ratio on Onion Production." </w:t>
      </w:r>
      <w:r w:rsidRPr="003A506F">
        <w:rPr>
          <w:rFonts w:ascii="Times New Roman" w:hAnsi="Times New Roman" w:cs="Times New Roman"/>
          <w:i/>
          <w:iCs/>
        </w:rPr>
        <w:t>California Agriculture</w:t>
      </w:r>
      <w:r w:rsidRPr="003A506F">
        <w:rPr>
          <w:rFonts w:ascii="Times New Roman" w:hAnsi="Times New Roman" w:cs="Times New Roman"/>
        </w:rPr>
        <w:t>, 63(1), 23</w:t>
      </w:r>
      <w:r w:rsidR="0023022F" w:rsidRPr="003A506F">
        <w:rPr>
          <w:rFonts w:ascii="Times New Roman" w:hAnsi="Times New Roman" w:cs="Times New Roman"/>
          <w:i/>
          <w:iCs/>
        </w:rPr>
        <w:t>–</w:t>
      </w:r>
      <w:r w:rsidRPr="003A506F">
        <w:rPr>
          <w:rFonts w:ascii="Times New Roman" w:hAnsi="Times New Roman" w:cs="Times New Roman"/>
        </w:rPr>
        <w:t>27.</w:t>
      </w:r>
      <w:commentRangeEnd w:id="29"/>
      <w:r w:rsidR="008E7B6B">
        <w:rPr>
          <w:rStyle w:val="CommentReference"/>
        </w:rPr>
        <w:commentReference w:id="29"/>
      </w:r>
    </w:p>
    <w:p w:rsidR="0064650D" w:rsidRPr="003A506F" w:rsidRDefault="0064650D" w:rsidP="003A506F">
      <w:pPr>
        <w:pStyle w:val="ListParagraph"/>
        <w:numPr>
          <w:ilvl w:val="0"/>
          <w:numId w:val="31"/>
        </w:numPr>
        <w:tabs>
          <w:tab w:val="left" w:pos="270"/>
        </w:tabs>
        <w:spacing w:line="360" w:lineRule="auto"/>
        <w:jc w:val="both"/>
        <w:rPr>
          <w:rFonts w:ascii="Times New Roman" w:hAnsi="Times New Roman" w:cs="Times New Roman"/>
        </w:rPr>
      </w:pPr>
      <w:r w:rsidRPr="003A506F">
        <w:rPr>
          <w:rFonts w:ascii="Times New Roman" w:hAnsi="Times New Roman" w:cs="Times New Roman"/>
        </w:rPr>
        <w:t xml:space="preserve">Kafkafi, U., Tarchitzky, J., &amp; Bar-Yosef, B. (2021). Timely nitrogen application enhances early growth parameters in onions. </w:t>
      </w:r>
      <w:r w:rsidRPr="003A506F">
        <w:rPr>
          <w:rFonts w:ascii="Times New Roman" w:hAnsi="Times New Roman" w:cs="Times New Roman"/>
          <w:i/>
          <w:iCs/>
        </w:rPr>
        <w:t>Plant Nutrition Journal, 14</w:t>
      </w:r>
      <w:r w:rsidRPr="003A506F">
        <w:rPr>
          <w:rFonts w:ascii="Times New Roman" w:hAnsi="Times New Roman" w:cs="Times New Roman"/>
        </w:rPr>
        <w:t>(2), 152–159.</w:t>
      </w:r>
    </w:p>
    <w:p w:rsidR="007E0729" w:rsidRPr="003A506F" w:rsidRDefault="007E0729" w:rsidP="003A506F">
      <w:pPr>
        <w:pStyle w:val="ListParagraph"/>
        <w:numPr>
          <w:ilvl w:val="0"/>
          <w:numId w:val="31"/>
        </w:numPr>
        <w:tabs>
          <w:tab w:val="left" w:pos="270"/>
        </w:tabs>
        <w:spacing w:line="360" w:lineRule="auto"/>
        <w:jc w:val="both"/>
        <w:rPr>
          <w:rFonts w:ascii="Times New Roman" w:hAnsi="Times New Roman" w:cs="Times New Roman"/>
        </w:rPr>
      </w:pPr>
      <w:r w:rsidRPr="003A506F">
        <w:rPr>
          <w:rFonts w:ascii="Times New Roman" w:hAnsi="Times New Roman" w:cs="Times New Roman"/>
        </w:rPr>
        <w:t xml:space="preserve">Kumar, R., Sharma, S., &amp; Singh, P. (2023). Higher nitrogen levels improve seed quality traits in onions. </w:t>
      </w:r>
      <w:r w:rsidRPr="003A506F">
        <w:rPr>
          <w:rFonts w:ascii="Times New Roman" w:hAnsi="Times New Roman" w:cs="Times New Roman"/>
          <w:i/>
          <w:iCs/>
        </w:rPr>
        <w:t>Crop Science, 63</w:t>
      </w:r>
      <w:r w:rsidRPr="003A506F">
        <w:rPr>
          <w:rFonts w:ascii="Times New Roman" w:hAnsi="Times New Roman" w:cs="Times New Roman"/>
        </w:rPr>
        <w:t>(2), 456–465.</w:t>
      </w:r>
    </w:p>
    <w:p w:rsidR="00D14EA7" w:rsidRPr="003A506F" w:rsidRDefault="00D14EA7" w:rsidP="003A506F">
      <w:pPr>
        <w:pStyle w:val="ListParagraph"/>
        <w:numPr>
          <w:ilvl w:val="0"/>
          <w:numId w:val="31"/>
        </w:numPr>
        <w:tabs>
          <w:tab w:val="left" w:pos="270"/>
        </w:tabs>
        <w:spacing w:line="360" w:lineRule="auto"/>
        <w:jc w:val="both"/>
        <w:rPr>
          <w:rFonts w:ascii="Times New Roman" w:hAnsi="Times New Roman" w:cs="Times New Roman"/>
        </w:rPr>
      </w:pPr>
      <w:r w:rsidRPr="003A506F">
        <w:rPr>
          <w:rFonts w:ascii="Times New Roman" w:hAnsi="Times New Roman" w:cs="Times New Roman"/>
        </w:rPr>
        <w:t xml:space="preserve">Li, Y., Wang, X., Zhang, H., &amp; Liu, J. (2018). Decline in soil nitrogen impacts seedling vigor in crops. </w:t>
      </w:r>
      <w:r w:rsidRPr="003A506F">
        <w:rPr>
          <w:rFonts w:ascii="Times New Roman" w:hAnsi="Times New Roman" w:cs="Times New Roman"/>
          <w:i/>
          <w:iCs/>
        </w:rPr>
        <w:t>Field Crops Research, 221</w:t>
      </w:r>
      <w:r w:rsidRPr="003A506F">
        <w:rPr>
          <w:rFonts w:ascii="Times New Roman" w:hAnsi="Times New Roman" w:cs="Times New Roman"/>
        </w:rPr>
        <w:t>, 83–90.</w:t>
      </w:r>
    </w:p>
    <w:p w:rsidR="006B0FFA" w:rsidRPr="003A506F" w:rsidRDefault="006B0FFA" w:rsidP="003A506F">
      <w:pPr>
        <w:pStyle w:val="ListParagraph"/>
        <w:numPr>
          <w:ilvl w:val="0"/>
          <w:numId w:val="31"/>
        </w:numPr>
        <w:tabs>
          <w:tab w:val="left" w:pos="270"/>
        </w:tabs>
        <w:spacing w:line="360" w:lineRule="auto"/>
        <w:jc w:val="both"/>
        <w:rPr>
          <w:rFonts w:ascii="Times New Roman" w:hAnsi="Times New Roman" w:cs="Times New Roman"/>
        </w:rPr>
      </w:pPr>
      <w:r w:rsidRPr="003A506F">
        <w:rPr>
          <w:rFonts w:ascii="Times New Roman" w:hAnsi="Times New Roman" w:cs="Times New Roman"/>
        </w:rPr>
        <w:t>Mandal, S., Singh, P., &amp; Das, S. (2016). Influence of nitrogen on seed production of onion (</w:t>
      </w:r>
      <w:r w:rsidRPr="003A506F">
        <w:rPr>
          <w:rFonts w:ascii="Times New Roman" w:hAnsi="Times New Roman" w:cs="Times New Roman"/>
          <w:i/>
          <w:iCs/>
        </w:rPr>
        <w:t>Allium cepa</w:t>
      </w:r>
      <w:r w:rsidRPr="003A506F">
        <w:rPr>
          <w:rFonts w:ascii="Times New Roman" w:hAnsi="Times New Roman" w:cs="Times New Roman"/>
        </w:rPr>
        <w:t xml:space="preserve"> L.). </w:t>
      </w:r>
      <w:r w:rsidRPr="003A506F">
        <w:rPr>
          <w:rFonts w:ascii="Times New Roman" w:hAnsi="Times New Roman" w:cs="Times New Roman"/>
          <w:i/>
          <w:iCs/>
        </w:rPr>
        <w:t>Journal of Plant Nutrition</w:t>
      </w:r>
      <w:r w:rsidRPr="003A506F">
        <w:rPr>
          <w:rFonts w:ascii="Times New Roman" w:hAnsi="Times New Roman" w:cs="Times New Roman"/>
        </w:rPr>
        <w:t>, 39(5), 748–760.</w:t>
      </w:r>
    </w:p>
    <w:p w:rsidR="006B0FFA" w:rsidRPr="003A506F" w:rsidRDefault="006B0FFA" w:rsidP="003A506F">
      <w:pPr>
        <w:pStyle w:val="ListParagraph"/>
        <w:numPr>
          <w:ilvl w:val="0"/>
          <w:numId w:val="31"/>
        </w:numPr>
        <w:tabs>
          <w:tab w:val="left" w:pos="270"/>
        </w:tabs>
        <w:spacing w:line="360" w:lineRule="auto"/>
        <w:jc w:val="both"/>
        <w:rPr>
          <w:rFonts w:ascii="Times New Roman" w:hAnsi="Times New Roman" w:cs="Times New Roman"/>
        </w:rPr>
      </w:pPr>
      <w:r w:rsidRPr="003A506F">
        <w:rPr>
          <w:rFonts w:ascii="Times New Roman" w:hAnsi="Times New Roman" w:cs="Times New Roman"/>
        </w:rPr>
        <w:t>Mandal, B., Chakraborty, A., &amp; Chatterjee, D. (2016). Effect of nitrogen and phosphorus on seed yield of onion</w:t>
      </w:r>
      <w:r w:rsidRPr="003A506F">
        <w:rPr>
          <w:rFonts w:ascii="Times New Roman" w:hAnsi="Times New Roman" w:cs="Times New Roman"/>
          <w:i/>
          <w:iCs/>
        </w:rPr>
        <w:t>. Indian Journal of Agricultural Sciences</w:t>
      </w:r>
      <w:r w:rsidRPr="003A506F">
        <w:rPr>
          <w:rFonts w:ascii="Times New Roman" w:hAnsi="Times New Roman" w:cs="Times New Roman"/>
        </w:rPr>
        <w:t>, 86(3), 313–317.</w:t>
      </w:r>
    </w:p>
    <w:p w:rsidR="007D338A" w:rsidRPr="003A506F" w:rsidRDefault="007D338A" w:rsidP="003A506F">
      <w:pPr>
        <w:pStyle w:val="ListParagraph"/>
        <w:numPr>
          <w:ilvl w:val="0"/>
          <w:numId w:val="31"/>
        </w:numPr>
        <w:tabs>
          <w:tab w:val="left" w:pos="270"/>
        </w:tabs>
        <w:spacing w:line="360" w:lineRule="auto"/>
        <w:jc w:val="both"/>
        <w:rPr>
          <w:rFonts w:ascii="Times New Roman" w:hAnsi="Times New Roman" w:cs="Times New Roman"/>
        </w:rPr>
      </w:pPr>
      <w:r w:rsidRPr="003A506F">
        <w:rPr>
          <w:rFonts w:ascii="Times New Roman" w:hAnsi="Times New Roman" w:cs="Times New Roman"/>
        </w:rPr>
        <w:lastRenderedPageBreak/>
        <w:t xml:space="preserve">Moges, D., Tadesse, T., &amp; Bekele, A. (2018). Nitrogen uptake and utilization in onion: Effects of application methods. </w:t>
      </w:r>
      <w:r w:rsidRPr="003A506F">
        <w:rPr>
          <w:rFonts w:ascii="Times New Roman" w:hAnsi="Times New Roman" w:cs="Times New Roman"/>
          <w:i/>
          <w:iCs/>
        </w:rPr>
        <w:t>International Journal of Plant Production, 12</w:t>
      </w:r>
      <w:r w:rsidRPr="003A506F">
        <w:rPr>
          <w:rFonts w:ascii="Times New Roman" w:hAnsi="Times New Roman" w:cs="Times New Roman"/>
        </w:rPr>
        <w:t>(1), 17–24.</w:t>
      </w:r>
    </w:p>
    <w:p w:rsidR="000600AD" w:rsidRPr="003A506F" w:rsidRDefault="005E127A" w:rsidP="003A506F">
      <w:pPr>
        <w:pStyle w:val="ListParagraph"/>
        <w:numPr>
          <w:ilvl w:val="0"/>
          <w:numId w:val="31"/>
        </w:numPr>
        <w:tabs>
          <w:tab w:val="left" w:pos="270"/>
        </w:tabs>
        <w:spacing w:line="360" w:lineRule="auto"/>
        <w:jc w:val="both"/>
        <w:rPr>
          <w:rFonts w:ascii="Times New Roman" w:hAnsi="Times New Roman" w:cs="Times New Roman"/>
        </w:rPr>
      </w:pPr>
      <w:commentRangeStart w:id="30"/>
      <w:r w:rsidRPr="003A506F">
        <w:rPr>
          <w:rFonts w:ascii="Times New Roman" w:hAnsi="Times New Roman" w:cs="Times New Roman"/>
        </w:rPr>
        <w:t xml:space="preserve">Page, A. L., Miller, R. H., &amp; Keeney, D. R. (1982). </w:t>
      </w:r>
      <w:r w:rsidRPr="003A506F">
        <w:rPr>
          <w:rFonts w:ascii="Times New Roman" w:hAnsi="Times New Roman" w:cs="Times New Roman"/>
          <w:i/>
          <w:iCs/>
        </w:rPr>
        <w:t>Methods of Soil Analysis: Part 2, Chemical and Microbiological Properties</w:t>
      </w:r>
      <w:r w:rsidRPr="003A506F">
        <w:rPr>
          <w:rFonts w:ascii="Times New Roman" w:hAnsi="Times New Roman" w:cs="Times New Roman"/>
        </w:rPr>
        <w:t xml:space="preserve">. </w:t>
      </w:r>
      <w:r w:rsidRPr="003A506F">
        <w:rPr>
          <w:rFonts w:ascii="Times New Roman" w:hAnsi="Times New Roman" w:cs="Times New Roman"/>
          <w:i/>
          <w:iCs/>
        </w:rPr>
        <w:t>American Society of Agronomy</w:t>
      </w:r>
      <w:r w:rsidRPr="003A506F">
        <w:rPr>
          <w:rFonts w:ascii="Times New Roman" w:hAnsi="Times New Roman" w:cs="Times New Roman"/>
        </w:rPr>
        <w:t>.</w:t>
      </w:r>
      <w:commentRangeEnd w:id="30"/>
      <w:r w:rsidR="008E7B6B">
        <w:rPr>
          <w:rStyle w:val="CommentReference"/>
        </w:rPr>
        <w:commentReference w:id="30"/>
      </w:r>
    </w:p>
    <w:p w:rsidR="001007A2" w:rsidRPr="003A506F" w:rsidRDefault="001007A2" w:rsidP="003A506F">
      <w:pPr>
        <w:pStyle w:val="ListParagraph"/>
        <w:numPr>
          <w:ilvl w:val="0"/>
          <w:numId w:val="31"/>
        </w:numPr>
        <w:tabs>
          <w:tab w:val="left" w:pos="270"/>
        </w:tabs>
        <w:spacing w:line="360" w:lineRule="auto"/>
        <w:jc w:val="both"/>
        <w:rPr>
          <w:rFonts w:ascii="Times New Roman" w:hAnsi="Times New Roman" w:cs="Times New Roman"/>
        </w:rPr>
      </w:pPr>
      <w:r w:rsidRPr="003A506F">
        <w:rPr>
          <w:rFonts w:ascii="Times New Roman" w:hAnsi="Times New Roman" w:cs="Times New Roman"/>
        </w:rPr>
        <w:t xml:space="preserve">Reddy, M., Kumar, V., &amp; Rao, S. (2021). Influence of nitrogen availability on seed morphology and physiological traits. </w:t>
      </w:r>
      <w:r w:rsidRPr="003A506F">
        <w:rPr>
          <w:rFonts w:ascii="Times New Roman" w:hAnsi="Times New Roman" w:cs="Times New Roman"/>
          <w:i/>
          <w:iCs/>
        </w:rPr>
        <w:t>Journal of Seed Science, 43</w:t>
      </w:r>
      <w:r w:rsidRPr="003A506F">
        <w:rPr>
          <w:rFonts w:ascii="Times New Roman" w:hAnsi="Times New Roman" w:cs="Times New Roman"/>
        </w:rPr>
        <w:t>(1), 78–85.</w:t>
      </w:r>
    </w:p>
    <w:p w:rsidR="00D40977" w:rsidRPr="003A506F" w:rsidRDefault="00D40977" w:rsidP="003A506F">
      <w:pPr>
        <w:pStyle w:val="ListParagraph"/>
        <w:numPr>
          <w:ilvl w:val="0"/>
          <w:numId w:val="31"/>
        </w:numPr>
        <w:tabs>
          <w:tab w:val="left" w:pos="270"/>
        </w:tabs>
        <w:spacing w:line="360" w:lineRule="auto"/>
        <w:jc w:val="both"/>
        <w:rPr>
          <w:rFonts w:ascii="Times New Roman" w:hAnsi="Times New Roman" w:cs="Times New Roman"/>
        </w:rPr>
      </w:pPr>
      <w:r w:rsidRPr="003A506F">
        <w:rPr>
          <w:rFonts w:ascii="Times New Roman" w:hAnsi="Times New Roman" w:cs="Times New Roman"/>
        </w:rPr>
        <w:t xml:space="preserve">Shalaby, A., El-Masry, M., &amp; Hassan, H. (2022). Nitrogen remobilization during bulb development in onion. </w:t>
      </w:r>
      <w:r w:rsidRPr="003A506F">
        <w:rPr>
          <w:rFonts w:ascii="Times New Roman" w:hAnsi="Times New Roman" w:cs="Times New Roman"/>
          <w:i/>
          <w:iCs/>
        </w:rPr>
        <w:t>Agronomy Research, 20</w:t>
      </w:r>
      <w:r w:rsidRPr="003A506F">
        <w:rPr>
          <w:rFonts w:ascii="Times New Roman" w:hAnsi="Times New Roman" w:cs="Times New Roman"/>
        </w:rPr>
        <w:t>(1), 123–130.</w:t>
      </w:r>
    </w:p>
    <w:p w:rsidR="000E5DC0" w:rsidRPr="003A506F" w:rsidRDefault="000E5DC0" w:rsidP="003A506F">
      <w:pPr>
        <w:pStyle w:val="ListParagraph"/>
        <w:numPr>
          <w:ilvl w:val="0"/>
          <w:numId w:val="31"/>
        </w:numPr>
        <w:tabs>
          <w:tab w:val="left" w:pos="270"/>
        </w:tabs>
        <w:spacing w:line="360" w:lineRule="auto"/>
        <w:jc w:val="both"/>
        <w:rPr>
          <w:rFonts w:ascii="Times New Roman" w:hAnsi="Times New Roman" w:cs="Times New Roman"/>
        </w:rPr>
      </w:pPr>
      <w:r w:rsidRPr="003A506F">
        <w:rPr>
          <w:rFonts w:ascii="Times New Roman" w:hAnsi="Times New Roman" w:cs="Times New Roman"/>
        </w:rPr>
        <w:t xml:space="preserve">Smith, J., Johnson, L., &amp; Davis, K. (2020). Precision agriculture techniques optimize nitrogen use for sustainability. </w:t>
      </w:r>
      <w:r w:rsidRPr="003A506F">
        <w:rPr>
          <w:rFonts w:ascii="Times New Roman" w:hAnsi="Times New Roman" w:cs="Times New Roman"/>
          <w:i/>
          <w:iCs/>
        </w:rPr>
        <w:t>Agronomy Journal, 112</w:t>
      </w:r>
      <w:r w:rsidRPr="003A506F">
        <w:rPr>
          <w:rFonts w:ascii="Times New Roman" w:hAnsi="Times New Roman" w:cs="Times New Roman"/>
        </w:rPr>
        <w:t>(4), 2256–2267.</w:t>
      </w:r>
    </w:p>
    <w:p w:rsidR="000600AD" w:rsidRPr="00855839" w:rsidRDefault="005E127A" w:rsidP="003A506F">
      <w:pPr>
        <w:pStyle w:val="ListParagraph"/>
        <w:numPr>
          <w:ilvl w:val="0"/>
          <w:numId w:val="31"/>
        </w:numPr>
        <w:tabs>
          <w:tab w:val="left" w:pos="270"/>
        </w:tabs>
        <w:spacing w:line="360" w:lineRule="auto"/>
        <w:jc w:val="both"/>
      </w:pPr>
      <w:commentRangeStart w:id="31"/>
      <w:r w:rsidRPr="003A506F">
        <w:rPr>
          <w:rFonts w:ascii="Times New Roman" w:hAnsi="Times New Roman" w:cs="Times New Roman"/>
        </w:rPr>
        <w:t xml:space="preserve">Solorzano, L. (1969). Determination of ammonia in natural waters by the phenolhypochlorite method. </w:t>
      </w:r>
      <w:r w:rsidRPr="003A506F">
        <w:rPr>
          <w:rFonts w:ascii="Times New Roman" w:hAnsi="Times New Roman" w:cs="Times New Roman"/>
          <w:i/>
          <w:iCs/>
        </w:rPr>
        <w:t>Limnology and Oceanography</w:t>
      </w:r>
      <w:r w:rsidRPr="003A506F">
        <w:rPr>
          <w:rFonts w:ascii="Times New Roman" w:hAnsi="Times New Roman" w:cs="Times New Roman"/>
        </w:rPr>
        <w:t xml:space="preserve">, 14(5), </w:t>
      </w:r>
      <w:r w:rsidR="00855839" w:rsidRPr="003A506F">
        <w:rPr>
          <w:rFonts w:ascii="Times New Roman" w:hAnsi="Times New Roman" w:cs="Times New Roman"/>
        </w:rPr>
        <w:t>799–801.</w:t>
      </w:r>
    </w:p>
    <w:p w:rsidR="000600AD" w:rsidRPr="00586921" w:rsidRDefault="001C0426" w:rsidP="003A506F">
      <w:pPr>
        <w:pStyle w:val="ListParagraph"/>
        <w:numPr>
          <w:ilvl w:val="0"/>
          <w:numId w:val="31"/>
        </w:numPr>
        <w:tabs>
          <w:tab w:val="left" w:pos="270"/>
        </w:tabs>
        <w:spacing w:line="360" w:lineRule="auto"/>
        <w:jc w:val="both"/>
      </w:pPr>
      <w:r w:rsidRPr="003A506F">
        <w:rPr>
          <w:rFonts w:ascii="Times New Roman" w:hAnsi="Times New Roman" w:cs="Times New Roman"/>
        </w:rPr>
        <w:t xml:space="preserve">Tukey, J. W. (1949). "Comparative sensitivity analyses of variance." </w:t>
      </w:r>
      <w:r w:rsidRPr="003A506F">
        <w:rPr>
          <w:rFonts w:ascii="Times New Roman" w:hAnsi="Times New Roman" w:cs="Times New Roman"/>
          <w:i/>
          <w:iCs/>
        </w:rPr>
        <w:t>The Annals of Mathematical Statistics</w:t>
      </w:r>
      <w:r w:rsidRPr="003A506F">
        <w:rPr>
          <w:rFonts w:ascii="Times New Roman" w:hAnsi="Times New Roman" w:cs="Times New Roman"/>
        </w:rPr>
        <w:t xml:space="preserve">, 20(2), </w:t>
      </w:r>
      <w:r w:rsidR="00586921" w:rsidRPr="003A506F">
        <w:rPr>
          <w:rFonts w:ascii="Times New Roman" w:hAnsi="Times New Roman" w:cs="Times New Roman"/>
        </w:rPr>
        <w:t>255–260.</w:t>
      </w:r>
    </w:p>
    <w:commentRangeEnd w:id="31"/>
    <w:p w:rsidR="00890F9E" w:rsidRPr="003A506F" w:rsidRDefault="008E7B6B" w:rsidP="003A506F">
      <w:pPr>
        <w:pStyle w:val="ListParagraph"/>
        <w:numPr>
          <w:ilvl w:val="0"/>
          <w:numId w:val="31"/>
        </w:numPr>
        <w:tabs>
          <w:tab w:val="left" w:pos="270"/>
        </w:tabs>
        <w:spacing w:line="360" w:lineRule="auto"/>
        <w:jc w:val="both"/>
        <w:rPr>
          <w:rFonts w:ascii="Times New Roman" w:hAnsi="Times New Roman" w:cs="Times New Roman"/>
        </w:rPr>
      </w:pPr>
      <w:r>
        <w:rPr>
          <w:rStyle w:val="CommentReference"/>
        </w:rPr>
        <w:commentReference w:id="31"/>
      </w:r>
      <w:r w:rsidR="00890F9E" w:rsidRPr="003A506F">
        <w:rPr>
          <w:rFonts w:ascii="Times New Roman" w:hAnsi="Times New Roman" w:cs="Times New Roman"/>
        </w:rPr>
        <w:t xml:space="preserve">Zhang, Y., Chen, L., &amp; Zhao, M. (2019). Improved soil nitrogen levels enhance microbial activity and nutrient cycling. </w:t>
      </w:r>
      <w:r w:rsidR="00890F9E" w:rsidRPr="003A506F">
        <w:rPr>
          <w:rFonts w:ascii="Times New Roman" w:hAnsi="Times New Roman" w:cs="Times New Roman"/>
          <w:i/>
          <w:iCs/>
        </w:rPr>
        <w:t>Applied Soil Ecology, 142</w:t>
      </w:r>
      <w:r w:rsidR="00890F9E" w:rsidRPr="003A506F">
        <w:rPr>
          <w:rFonts w:ascii="Times New Roman" w:hAnsi="Times New Roman" w:cs="Times New Roman"/>
        </w:rPr>
        <w:t>, 104–111.</w:t>
      </w:r>
    </w:p>
    <w:p w:rsidR="00DB2C07" w:rsidRPr="00DB2C07" w:rsidRDefault="007E5222" w:rsidP="003A506F">
      <w:pPr>
        <w:pStyle w:val="ListParagraph"/>
        <w:numPr>
          <w:ilvl w:val="0"/>
          <w:numId w:val="31"/>
        </w:numPr>
        <w:tabs>
          <w:tab w:val="left" w:pos="270"/>
        </w:tabs>
        <w:spacing w:line="360" w:lineRule="auto"/>
        <w:jc w:val="both"/>
      </w:pPr>
      <w:r w:rsidRPr="003A506F">
        <w:rPr>
          <w:rFonts w:ascii="Times New Roman" w:eastAsia="Times New Roman" w:hAnsi="Times New Roman" w:cs="Times New Roman"/>
          <w:kern w:val="0"/>
          <w:lang w:eastAsia="en-IN"/>
        </w:rPr>
        <w:t xml:space="preserve">Zhou, Y., Chen, Q., &amp; Wang, S. (2017). Split nitrogen application improves nitrogen use efficiency and yield in onion. </w:t>
      </w:r>
      <w:r w:rsidRPr="003A506F">
        <w:rPr>
          <w:rFonts w:ascii="Times New Roman" w:eastAsia="Times New Roman" w:hAnsi="Times New Roman" w:cs="Times New Roman"/>
          <w:i/>
          <w:iCs/>
          <w:kern w:val="0"/>
          <w:lang w:eastAsia="en-IN"/>
        </w:rPr>
        <w:t>Agronomy Journal</w:t>
      </w:r>
      <w:r w:rsidRPr="003A506F">
        <w:rPr>
          <w:rFonts w:ascii="Times New Roman" w:eastAsia="Times New Roman" w:hAnsi="Times New Roman" w:cs="Times New Roman"/>
          <w:kern w:val="0"/>
          <w:lang w:eastAsia="en-IN"/>
        </w:rPr>
        <w:t xml:space="preserve">, 109(2), </w:t>
      </w:r>
      <w:r w:rsidR="00DB2C07" w:rsidRPr="003A506F">
        <w:rPr>
          <w:rFonts w:ascii="Times New Roman" w:hAnsi="Times New Roman" w:cs="Times New Roman"/>
        </w:rPr>
        <w:t>657–664.</w:t>
      </w:r>
    </w:p>
    <w:p w:rsidR="005F0E57" w:rsidRPr="000600AD" w:rsidRDefault="005F0E57" w:rsidP="000600AD">
      <w:pPr>
        <w:tabs>
          <w:tab w:val="left" w:pos="270"/>
        </w:tabs>
        <w:spacing w:line="360" w:lineRule="auto"/>
        <w:ind w:left="540" w:hanging="540"/>
        <w:jc w:val="both"/>
        <w:rPr>
          <w:rFonts w:ascii="Times New Roman" w:hAnsi="Times New Roman" w:cs="Times New Roman"/>
        </w:rPr>
      </w:pPr>
    </w:p>
    <w:p w:rsidR="00211D55" w:rsidRPr="000600AD" w:rsidRDefault="00211D55" w:rsidP="000600AD">
      <w:pPr>
        <w:spacing w:line="360" w:lineRule="auto"/>
        <w:jc w:val="both"/>
        <w:rPr>
          <w:rFonts w:ascii="Times New Roman" w:hAnsi="Times New Roman" w:cs="Times New Roman"/>
        </w:rPr>
      </w:pPr>
    </w:p>
    <w:sectPr w:rsidR="00211D55" w:rsidRPr="000600AD" w:rsidSect="00D7446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P" w:date="2025-05-10T18:41:00Z" w:initials="H">
    <w:p w:rsidR="0030057C" w:rsidRDefault="0030057C">
      <w:pPr>
        <w:pStyle w:val="CommentText"/>
      </w:pPr>
      <w:r>
        <w:rPr>
          <w:rStyle w:val="CommentReference"/>
        </w:rPr>
        <w:annotationRef/>
      </w:r>
      <w:r w:rsidR="00F92B02">
        <w:rPr>
          <w:rFonts w:ascii="Times New Roman" w:hAnsi="Times New Roman" w:cs="Times New Roman"/>
          <w:b/>
          <w:bCs/>
          <w:sz w:val="28"/>
          <w:szCs w:val="28"/>
        </w:rPr>
        <w:t xml:space="preserve">Title may be: </w:t>
      </w:r>
      <w:r w:rsidRPr="008E0635">
        <w:rPr>
          <w:rFonts w:ascii="Times New Roman" w:hAnsi="Times New Roman" w:cs="Times New Roman"/>
          <w:b/>
          <w:bCs/>
          <w:sz w:val="28"/>
          <w:szCs w:val="28"/>
        </w:rPr>
        <w:t xml:space="preserve">Impact </w:t>
      </w:r>
      <w:r>
        <w:rPr>
          <w:rFonts w:ascii="Times New Roman" w:hAnsi="Times New Roman" w:cs="Times New Roman"/>
          <w:b/>
          <w:bCs/>
          <w:sz w:val="28"/>
          <w:szCs w:val="28"/>
        </w:rPr>
        <w:t xml:space="preserve">of different Dosages of Urea </w:t>
      </w:r>
      <w:r w:rsidRPr="008E0635">
        <w:rPr>
          <w:rFonts w:ascii="Times New Roman" w:hAnsi="Times New Roman" w:cs="Times New Roman"/>
          <w:b/>
          <w:bCs/>
          <w:sz w:val="28"/>
          <w:szCs w:val="28"/>
        </w:rPr>
        <w:t>on Nitrogen Distribution, Soil Dynamic</w:t>
      </w:r>
      <w:r>
        <w:rPr>
          <w:rFonts w:ascii="Times New Roman" w:hAnsi="Times New Roman" w:cs="Times New Roman"/>
          <w:b/>
          <w:bCs/>
          <w:sz w:val="28"/>
          <w:szCs w:val="28"/>
        </w:rPr>
        <w:t xml:space="preserve"> </w:t>
      </w:r>
      <w:r w:rsidRPr="008E0635">
        <w:rPr>
          <w:rFonts w:ascii="Times New Roman" w:hAnsi="Times New Roman" w:cs="Times New Roman"/>
          <w:b/>
          <w:bCs/>
          <w:sz w:val="28"/>
          <w:szCs w:val="28"/>
        </w:rPr>
        <w:t>sand Seed Yield in Onion Crop</w:t>
      </w:r>
      <w:r>
        <w:rPr>
          <w:rStyle w:val="CommentReference"/>
        </w:rPr>
        <w:annotationRef/>
      </w:r>
    </w:p>
  </w:comment>
  <w:comment w:id="1" w:author="HP" w:date="2025-05-10T18:43:00Z" w:initials="H">
    <w:p w:rsidR="00E85A9E" w:rsidRDefault="00E85A9E">
      <w:pPr>
        <w:pStyle w:val="CommentText"/>
      </w:pPr>
      <w:r>
        <w:rPr>
          <w:rStyle w:val="CommentReference"/>
        </w:rPr>
        <w:annotationRef/>
      </w:r>
      <w:r>
        <w:rPr>
          <w:rFonts w:ascii="Times New Roman" w:hAnsi="Times New Roman" w:cs="Times New Roman"/>
        </w:rPr>
        <w:t xml:space="preserve"> </w:t>
      </w:r>
      <w:r w:rsidRPr="00C2651C">
        <w:rPr>
          <w:rFonts w:ascii="Times New Roman" w:hAnsi="Times New Roman" w:cs="Times New Roman"/>
        </w:rPr>
        <w:t>complete randomized block design</w:t>
      </w:r>
      <w:r>
        <w:rPr>
          <w:rStyle w:val="CommentReference"/>
        </w:rPr>
        <w:annotationRef/>
      </w:r>
    </w:p>
  </w:comment>
  <w:comment w:id="2" w:author="HP" w:date="2025-05-10T18:44:00Z" w:initials="H">
    <w:p w:rsidR="003B2CC4" w:rsidRDefault="003B2CC4">
      <w:pPr>
        <w:pStyle w:val="CommentText"/>
      </w:pPr>
      <w:r>
        <w:rPr>
          <w:rStyle w:val="CommentReference"/>
        </w:rPr>
        <w:annotationRef/>
      </w:r>
      <w:r>
        <w:t>give space in btween</w:t>
      </w:r>
    </w:p>
  </w:comment>
  <w:comment w:id="3" w:author="HP" w:date="2025-05-10T18:45:00Z" w:initials="H">
    <w:p w:rsidR="00E26196" w:rsidRDefault="00E26196">
      <w:pPr>
        <w:pStyle w:val="CommentText"/>
      </w:pPr>
      <w:r>
        <w:rPr>
          <w:rStyle w:val="CommentReference"/>
        </w:rPr>
        <w:annotationRef/>
      </w:r>
      <w:r>
        <w:t>Remove bold</w:t>
      </w:r>
    </w:p>
  </w:comment>
  <w:comment w:id="4" w:author="HP" w:date="2025-05-10T18:45:00Z" w:initials="H">
    <w:p w:rsidR="00E26196" w:rsidRDefault="00E26196">
      <w:pPr>
        <w:pStyle w:val="CommentText"/>
      </w:pPr>
      <w:r>
        <w:rPr>
          <w:rStyle w:val="CommentReference"/>
        </w:rPr>
        <w:annotationRef/>
      </w:r>
      <w:r>
        <w:t>Remove bold</w:t>
      </w:r>
    </w:p>
  </w:comment>
  <w:comment w:id="5" w:author="HP" w:date="2025-05-10T18:46:00Z" w:initials="H">
    <w:p w:rsidR="00770F1E" w:rsidRDefault="00770F1E">
      <w:pPr>
        <w:pStyle w:val="CommentText"/>
      </w:pPr>
      <w:r>
        <w:rPr>
          <w:rStyle w:val="CommentReference"/>
        </w:rPr>
        <w:annotationRef/>
      </w:r>
      <w:r>
        <w:t>Give space</w:t>
      </w:r>
    </w:p>
  </w:comment>
  <w:comment w:id="6" w:author="HP" w:date="2025-05-10T18:49:00Z" w:initials="H">
    <w:p w:rsidR="00770F1E" w:rsidRDefault="00770F1E">
      <w:pPr>
        <w:pStyle w:val="CommentText"/>
      </w:pPr>
      <w:r>
        <w:rPr>
          <w:rStyle w:val="CommentReference"/>
        </w:rPr>
        <w:annotationRef/>
      </w:r>
      <w:r>
        <w:t xml:space="preserve">In introduction part Reduce number of paragraphs </w:t>
      </w:r>
    </w:p>
  </w:comment>
  <w:comment w:id="7" w:author="HP" w:date="2025-05-10T18:56:00Z" w:initials="H">
    <w:p w:rsidR="00B12823" w:rsidRDefault="00B12823">
      <w:pPr>
        <w:pStyle w:val="CommentText"/>
      </w:pPr>
      <w:r>
        <w:rPr>
          <w:rStyle w:val="CommentReference"/>
        </w:rPr>
        <w:annotationRef/>
      </w:r>
      <w:r>
        <w:t>Write name of seasons VIZ. Rabi or Kharif season</w:t>
      </w:r>
    </w:p>
  </w:comment>
  <w:comment w:id="8" w:author="HP" w:date="2025-05-10T18:57:00Z" w:initials="H">
    <w:p w:rsidR="00E72576" w:rsidRDefault="00E72576">
      <w:pPr>
        <w:pStyle w:val="CommentText"/>
      </w:pPr>
      <w:r>
        <w:rPr>
          <w:rStyle w:val="CommentReference"/>
        </w:rPr>
        <w:annotationRef/>
      </w:r>
      <w:r>
        <w:t>Give space</w:t>
      </w:r>
    </w:p>
  </w:comment>
  <w:comment w:id="9" w:author="HP" w:date="2025-05-10T18:58:00Z" w:initials="H">
    <w:p w:rsidR="00087F24" w:rsidRDefault="00087F24">
      <w:pPr>
        <w:pStyle w:val="CommentText"/>
      </w:pPr>
      <w:r>
        <w:rPr>
          <w:rStyle w:val="CommentReference"/>
        </w:rPr>
        <w:annotationRef/>
      </w:r>
      <w:r w:rsidRPr="00CE206D">
        <w:rPr>
          <w:rFonts w:ascii="Times New Roman" w:hAnsi="Times New Roman" w:cs="Times New Roman"/>
        </w:rPr>
        <w:t xml:space="preserve">complete </w:t>
      </w:r>
      <w:r>
        <w:rPr>
          <w:rFonts w:ascii="Times New Roman" w:hAnsi="Times New Roman" w:cs="Times New Roman"/>
        </w:rPr>
        <w:t xml:space="preserve"> </w:t>
      </w:r>
      <w:r w:rsidRPr="00CE206D">
        <w:rPr>
          <w:rFonts w:ascii="Times New Roman" w:hAnsi="Times New Roman" w:cs="Times New Roman"/>
        </w:rPr>
        <w:t xml:space="preserve">randomized </w:t>
      </w:r>
      <w:r>
        <w:rPr>
          <w:rFonts w:ascii="Times New Roman" w:hAnsi="Times New Roman" w:cs="Times New Roman"/>
        </w:rPr>
        <w:t>block design (</w:t>
      </w:r>
      <w:r w:rsidRPr="00CE206D">
        <w:rPr>
          <w:rFonts w:ascii="Times New Roman" w:hAnsi="Times New Roman" w:cs="Times New Roman"/>
        </w:rPr>
        <w:t>C</w:t>
      </w:r>
      <w:r>
        <w:rPr>
          <w:rFonts w:ascii="Times New Roman" w:hAnsi="Times New Roman" w:cs="Times New Roman"/>
        </w:rPr>
        <w:t>R</w:t>
      </w:r>
      <w:r w:rsidRPr="00CE206D">
        <w:rPr>
          <w:rFonts w:ascii="Times New Roman" w:hAnsi="Times New Roman" w:cs="Times New Roman"/>
        </w:rPr>
        <w:t>BD</w:t>
      </w:r>
    </w:p>
  </w:comment>
  <w:comment w:id="10" w:author="HP" w:date="2025-05-10T18:58:00Z" w:initials="H">
    <w:p w:rsidR="00B17544" w:rsidRDefault="00B17544">
      <w:pPr>
        <w:pStyle w:val="CommentText"/>
      </w:pPr>
      <w:r>
        <w:rPr>
          <w:rStyle w:val="CommentReference"/>
        </w:rPr>
        <w:annotationRef/>
      </w:r>
      <w:r>
        <w:t>give space</w:t>
      </w:r>
    </w:p>
  </w:comment>
  <w:comment w:id="11" w:author="HP" w:date="2025-05-10T19:00:00Z" w:initials="H">
    <w:p w:rsidR="00B17544" w:rsidRDefault="00B17544">
      <w:pPr>
        <w:pStyle w:val="CommentText"/>
      </w:pPr>
      <w:r>
        <w:rPr>
          <w:rStyle w:val="CommentReference"/>
        </w:rPr>
        <w:annotationRef/>
      </w:r>
      <w:r>
        <w:t>give units in kg/ha</w:t>
      </w:r>
    </w:p>
  </w:comment>
  <w:comment w:id="12" w:author="HP" w:date="2025-05-10T19:00:00Z" w:initials="H">
    <w:p w:rsidR="00687FEE" w:rsidRDefault="00687FEE">
      <w:pPr>
        <w:pStyle w:val="CommentText"/>
      </w:pPr>
      <w:r>
        <w:rPr>
          <w:rStyle w:val="CommentReference"/>
        </w:rPr>
        <w:annotationRef/>
      </w:r>
      <w:r>
        <w:t>remove bold</w:t>
      </w:r>
    </w:p>
  </w:comment>
  <w:comment w:id="13" w:author="HP" w:date="2025-05-10T19:02:00Z" w:initials="H">
    <w:p w:rsidR="00687FEE" w:rsidRPr="00687FEE" w:rsidRDefault="00687FEE">
      <w:pPr>
        <w:pStyle w:val="CommentText"/>
      </w:pPr>
      <w:r>
        <w:rPr>
          <w:rStyle w:val="CommentReference"/>
        </w:rPr>
        <w:annotationRef/>
      </w:r>
      <w:r>
        <w:rPr>
          <w:rFonts w:ascii="Times New Roman" w:hAnsi="Times New Roman" w:cs="Times New Roman"/>
        </w:rPr>
        <w:t>H</w:t>
      </w:r>
      <w:r w:rsidRPr="00687FEE">
        <w:rPr>
          <w:rFonts w:ascii="Times New Roman" w:hAnsi="Times New Roman" w:cs="Times New Roman"/>
          <w:vertAlign w:val="subscript"/>
        </w:rPr>
        <w:t>2</w:t>
      </w:r>
      <w:r>
        <w:rPr>
          <w:rFonts w:ascii="Times New Roman" w:hAnsi="Times New Roman" w:cs="Times New Roman"/>
        </w:rPr>
        <w:t>SO</w:t>
      </w:r>
      <w:r w:rsidRPr="00687FEE">
        <w:rPr>
          <w:rFonts w:ascii="Times New Roman" w:hAnsi="Times New Roman" w:cs="Times New Roman"/>
          <w:vertAlign w:val="subscript"/>
        </w:rPr>
        <w:t>4</w:t>
      </w:r>
      <w:r>
        <w:rPr>
          <w:rFonts w:ascii="Times New Roman" w:hAnsi="Times New Roman" w:cs="Times New Roman"/>
          <w:vertAlign w:val="subscript"/>
        </w:rPr>
        <w:t xml:space="preserve"> </w:t>
      </w:r>
      <w:r>
        <w:rPr>
          <w:rFonts w:ascii="Times New Roman" w:hAnsi="Times New Roman" w:cs="Times New Roman"/>
        </w:rPr>
        <w:t xml:space="preserve"> and all in text</w:t>
      </w:r>
    </w:p>
  </w:comment>
  <w:comment w:id="14" w:author="HP" w:date="2025-05-10T19:06:00Z" w:initials="H">
    <w:p w:rsidR="00E3260A" w:rsidRDefault="00E3260A">
      <w:pPr>
        <w:pStyle w:val="CommentText"/>
      </w:pPr>
      <w:r>
        <w:rPr>
          <w:rStyle w:val="CommentReference"/>
        </w:rPr>
        <w:annotationRef/>
      </w:r>
      <w:r>
        <w:t>Remove bold</w:t>
      </w:r>
    </w:p>
  </w:comment>
  <w:comment w:id="15" w:author="HP" w:date="2025-05-10T19:07:00Z" w:initials="H">
    <w:p w:rsidR="00E3260A" w:rsidRDefault="00E3260A">
      <w:pPr>
        <w:pStyle w:val="CommentText"/>
      </w:pPr>
      <w:r>
        <w:rPr>
          <w:rStyle w:val="CommentReference"/>
        </w:rPr>
        <w:annotationRef/>
      </w:r>
      <w:r>
        <w:t>Results</w:t>
      </w:r>
    </w:p>
  </w:comment>
  <w:comment w:id="16" w:author="HP" w:date="2025-05-10T19:09:00Z" w:initials="H">
    <w:p w:rsidR="00E3260A" w:rsidRDefault="00E3260A">
      <w:pPr>
        <w:pStyle w:val="CommentText"/>
      </w:pPr>
      <w:r>
        <w:rPr>
          <w:rStyle w:val="CommentReference"/>
        </w:rPr>
        <w:annotationRef/>
      </w:r>
      <w:r>
        <w:t>Guve units viz in kg/ha or ppm</w:t>
      </w:r>
    </w:p>
  </w:comment>
  <w:comment w:id="17" w:author="HP" w:date="2025-05-10T19:55:00Z" w:initials="H">
    <w:p w:rsidR="00C701D5" w:rsidRDefault="00C701D5">
      <w:pPr>
        <w:pStyle w:val="CommentText"/>
      </w:pPr>
      <w:r>
        <w:rPr>
          <w:rStyle w:val="CommentReference"/>
        </w:rPr>
        <w:annotationRef/>
      </w:r>
      <w:r>
        <w:t>Nitrogen dosage is given in kg/ha but yield is in gm/plot justify it.</w:t>
      </w:r>
    </w:p>
  </w:comment>
  <w:comment w:id="18" w:author="HP" w:date="2025-05-10T19:17:00Z" w:initials="H">
    <w:p w:rsidR="00300571" w:rsidRDefault="00300571">
      <w:pPr>
        <w:pStyle w:val="CommentText"/>
      </w:pPr>
      <w:r>
        <w:rPr>
          <w:rStyle w:val="CommentReference"/>
        </w:rPr>
        <w:annotationRef/>
      </w:r>
      <w:r>
        <w:t>There are two References of Ali et al. (2020). Write them with a and b</w:t>
      </w:r>
    </w:p>
  </w:comment>
  <w:comment w:id="19" w:author="HP" w:date="2025-05-10T19:18:00Z" w:initials="H">
    <w:p w:rsidR="00300571" w:rsidRDefault="00300571">
      <w:pPr>
        <w:pStyle w:val="CommentText"/>
      </w:pPr>
      <w:r>
        <w:rPr>
          <w:rStyle w:val="CommentReference"/>
        </w:rPr>
        <w:annotationRef/>
      </w:r>
      <w:r>
        <w:t>Give space</w:t>
      </w:r>
    </w:p>
  </w:comment>
  <w:comment w:id="20" w:author="HP" w:date="2025-05-10T19:19:00Z" w:initials="H">
    <w:p w:rsidR="00FA10BB" w:rsidRDefault="00FA10BB">
      <w:pPr>
        <w:pStyle w:val="CommentText"/>
      </w:pPr>
      <w:r>
        <w:rPr>
          <w:rStyle w:val="CommentReference"/>
        </w:rPr>
        <w:annotationRef/>
      </w:r>
      <w:r>
        <w:t>Italics</w:t>
      </w:r>
    </w:p>
  </w:comment>
  <w:comment w:id="21" w:author="HP" w:date="2025-05-10T19:22:00Z" w:initials="H">
    <w:p w:rsidR="00FA10BB" w:rsidRDefault="00FA10BB">
      <w:pPr>
        <w:pStyle w:val="CommentText"/>
      </w:pPr>
      <w:r>
        <w:rPr>
          <w:rStyle w:val="CommentReference"/>
        </w:rPr>
        <w:annotationRef/>
      </w:r>
      <w:r>
        <w:t>vigour</w:t>
      </w:r>
    </w:p>
  </w:comment>
  <w:comment w:id="22" w:author="HP" w:date="2025-05-10T19:13:00Z" w:initials="H">
    <w:p w:rsidR="00AD6862" w:rsidRDefault="00AD6862" w:rsidP="00AD6862">
      <w:pPr>
        <w:pStyle w:val="CommentText"/>
      </w:pPr>
      <w:r>
        <w:rPr>
          <w:rStyle w:val="CommentReference"/>
        </w:rPr>
        <w:annotationRef/>
      </w:r>
      <w:r>
        <w:t>Indicate recommendation of urea as per findings of your study</w:t>
      </w:r>
    </w:p>
    <w:p w:rsidR="00AD6862" w:rsidRDefault="00AD6862">
      <w:pPr>
        <w:pStyle w:val="CommentText"/>
      </w:pPr>
    </w:p>
  </w:comment>
  <w:comment w:id="24" w:author="HP" w:date="2025-05-10T19:05:00Z" w:initials="H">
    <w:p w:rsidR="008D6701" w:rsidRDefault="008D6701">
      <w:pPr>
        <w:pStyle w:val="CommentText"/>
      </w:pPr>
      <w:r>
        <w:rPr>
          <w:rStyle w:val="CommentReference"/>
        </w:rPr>
        <w:annotationRef/>
      </w:r>
      <w:r w:rsidRPr="003A506F">
        <w:rPr>
          <w:rFonts w:ascii="Times New Roman" w:hAnsi="Times New Roman" w:cs="Times New Roman"/>
        </w:rPr>
        <w:t>2</w:t>
      </w:r>
      <w:r w:rsidRPr="008D6701">
        <w:rPr>
          <w:rFonts w:ascii="Times New Roman" w:hAnsi="Times New Roman" w:cs="Times New Roman"/>
          <w:vertAlign w:val="superscript"/>
        </w:rPr>
        <w:t>nd</w:t>
      </w:r>
    </w:p>
  </w:comment>
  <w:comment w:id="25" w:author="HP" w:date="2025-05-10T19:32:00Z" w:initials="H">
    <w:p w:rsidR="008E7B6B" w:rsidRDefault="008E7B6B">
      <w:pPr>
        <w:pStyle w:val="CommentText"/>
      </w:pPr>
      <w:r>
        <w:rPr>
          <w:rStyle w:val="CommentReference"/>
        </w:rPr>
        <w:annotationRef/>
      </w:r>
      <w:r>
        <w:t>Not cited in the text</w:t>
      </w:r>
    </w:p>
  </w:comment>
  <w:comment w:id="26" w:author="HP" w:date="2025-05-10T18:52:00Z" w:initials="H">
    <w:p w:rsidR="00E259B2" w:rsidRDefault="00E259B2">
      <w:pPr>
        <w:pStyle w:val="CommentText"/>
      </w:pPr>
      <w:r>
        <w:rPr>
          <w:rStyle w:val="CommentReference"/>
        </w:rPr>
        <w:annotationRef/>
      </w:r>
      <w:r>
        <w:t>Give space</w:t>
      </w:r>
    </w:p>
  </w:comment>
  <w:comment w:id="27" w:author="HP" w:date="2025-05-10T19:24:00Z" w:initials="H">
    <w:p w:rsidR="00A46F1E" w:rsidRDefault="00A46F1E">
      <w:pPr>
        <w:pStyle w:val="CommentText"/>
      </w:pPr>
      <w:r>
        <w:rPr>
          <w:rStyle w:val="CommentReference"/>
        </w:rPr>
        <w:annotationRef/>
      </w:r>
      <w:r>
        <w:t>Write as per guidelines</w:t>
      </w:r>
    </w:p>
  </w:comment>
  <w:comment w:id="28" w:author="HP" w:date="2025-05-10T18:54:00Z" w:initials="H">
    <w:p w:rsidR="00A10528" w:rsidRDefault="00A10528">
      <w:pPr>
        <w:pStyle w:val="CommentText"/>
      </w:pPr>
      <w:r>
        <w:rPr>
          <w:rStyle w:val="CommentReference"/>
        </w:rPr>
        <w:annotationRef/>
      </w:r>
      <w:r>
        <w:t>Write complete Author name</w:t>
      </w:r>
    </w:p>
  </w:comment>
  <w:comment w:id="29" w:author="HP" w:date="2025-05-10T19:32:00Z" w:initials="H">
    <w:p w:rsidR="008E7B6B" w:rsidRDefault="008E7B6B">
      <w:pPr>
        <w:pStyle w:val="CommentText"/>
      </w:pPr>
      <w:r>
        <w:rPr>
          <w:rStyle w:val="CommentReference"/>
        </w:rPr>
        <w:annotationRef/>
      </w:r>
      <w:r>
        <w:t>Not cited in the text</w:t>
      </w:r>
    </w:p>
  </w:comment>
  <w:comment w:id="30" w:author="HP" w:date="2025-05-10T19:33:00Z" w:initials="H">
    <w:p w:rsidR="008E7B6B" w:rsidRDefault="008E7B6B">
      <w:pPr>
        <w:pStyle w:val="CommentText"/>
      </w:pPr>
      <w:r>
        <w:rPr>
          <w:rStyle w:val="CommentReference"/>
        </w:rPr>
        <w:annotationRef/>
      </w:r>
      <w:r>
        <w:t>Not cited in the text</w:t>
      </w:r>
    </w:p>
  </w:comment>
  <w:comment w:id="31" w:author="HP" w:date="2025-05-10T19:33:00Z" w:initials="H">
    <w:p w:rsidR="008E7B6B" w:rsidRDefault="008E7B6B">
      <w:pPr>
        <w:pStyle w:val="CommentText"/>
      </w:pPr>
      <w:r>
        <w:rPr>
          <w:rStyle w:val="CommentReference"/>
        </w:rPr>
        <w:annotationRef/>
      </w:r>
      <w:r>
        <w:t>Not cited in the text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808" w:rsidRDefault="00C11808" w:rsidP="008D198D">
      <w:pPr>
        <w:spacing w:after="0" w:line="240" w:lineRule="auto"/>
      </w:pPr>
      <w:r>
        <w:separator/>
      </w:r>
    </w:p>
  </w:endnote>
  <w:endnote w:type="continuationSeparator" w:id="1">
    <w:p w:rsidR="00C11808" w:rsidRDefault="00C11808" w:rsidP="008D19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98D" w:rsidRDefault="008D19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98D" w:rsidRDefault="008D19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98D" w:rsidRDefault="008D19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808" w:rsidRDefault="00C11808" w:rsidP="008D198D">
      <w:pPr>
        <w:spacing w:after="0" w:line="240" w:lineRule="auto"/>
      </w:pPr>
      <w:r>
        <w:separator/>
      </w:r>
    </w:p>
  </w:footnote>
  <w:footnote w:type="continuationSeparator" w:id="1">
    <w:p w:rsidR="00C11808" w:rsidRDefault="00C11808" w:rsidP="008D19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98D" w:rsidRDefault="0063166A">
    <w:pPr>
      <w:pStyle w:val="Header"/>
    </w:pPr>
    <w:r w:rsidRPr="0063166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29610"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98D" w:rsidRDefault="0063166A">
    <w:pPr>
      <w:pStyle w:val="Header"/>
    </w:pPr>
    <w:r w:rsidRPr="0063166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29611"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98D" w:rsidRDefault="0063166A">
    <w:pPr>
      <w:pStyle w:val="Header"/>
    </w:pPr>
    <w:r w:rsidRPr="0063166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29609"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5368"/>
    <w:multiLevelType w:val="multilevel"/>
    <w:tmpl w:val="916A1BC2"/>
    <w:lvl w:ilvl="0">
      <w:start w:val="1"/>
      <w:numFmt w:val="none"/>
      <w:lvlText w:val="2.8"/>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1">
    <w:nsid w:val="03B9124A"/>
    <w:multiLevelType w:val="multilevel"/>
    <w:tmpl w:val="79D67940"/>
    <w:lvl w:ilvl="0">
      <w:start w:val="1"/>
      <w:numFmt w:val="none"/>
      <w:lvlText w:val="4.3"/>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2">
    <w:nsid w:val="04F42881"/>
    <w:multiLevelType w:val="multilevel"/>
    <w:tmpl w:val="24ECC332"/>
    <w:lvl w:ilvl="0">
      <w:start w:val="1"/>
      <w:numFmt w:val="none"/>
      <w:lvlText w:val="2.4"/>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3">
    <w:nsid w:val="0D772E27"/>
    <w:multiLevelType w:val="hybridMultilevel"/>
    <w:tmpl w:val="D66ED4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46229D0"/>
    <w:multiLevelType w:val="multilevel"/>
    <w:tmpl w:val="DC9E4B4C"/>
    <w:lvl w:ilvl="0">
      <w:start w:val="1"/>
      <w:numFmt w:val="none"/>
      <w:lvlText w:val="2.5"/>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5">
    <w:nsid w:val="227C305C"/>
    <w:multiLevelType w:val="multilevel"/>
    <w:tmpl w:val="34561376"/>
    <w:lvl w:ilvl="0">
      <w:start w:val="1"/>
      <w:numFmt w:val="none"/>
      <w:lvlText w:val="2.7"/>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6">
    <w:nsid w:val="273308B4"/>
    <w:multiLevelType w:val="multilevel"/>
    <w:tmpl w:val="9780B394"/>
    <w:lvl w:ilvl="0">
      <w:start w:val="1"/>
      <w:numFmt w:val="none"/>
      <w:lvlText w:val="2.6"/>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7">
    <w:nsid w:val="297C3011"/>
    <w:multiLevelType w:val="multilevel"/>
    <w:tmpl w:val="CF8A69DA"/>
    <w:lvl w:ilvl="0">
      <w:start w:val="1"/>
      <w:numFmt w:val="none"/>
      <w:lvlText w:val="3.2"/>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8">
    <w:nsid w:val="2F242CEA"/>
    <w:multiLevelType w:val="multilevel"/>
    <w:tmpl w:val="6658C9BE"/>
    <w:lvl w:ilvl="0">
      <w:start w:val="1"/>
      <w:numFmt w:val="none"/>
      <w:lvlText w:val="3.4"/>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9">
    <w:nsid w:val="3122204F"/>
    <w:multiLevelType w:val="multilevel"/>
    <w:tmpl w:val="FDA8C08A"/>
    <w:lvl w:ilvl="0">
      <w:start w:val="1"/>
      <w:numFmt w:val="none"/>
      <w:lvlText w:val="4.4"/>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10">
    <w:nsid w:val="47FB30DA"/>
    <w:multiLevelType w:val="hybridMultilevel"/>
    <w:tmpl w:val="D66ED4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9F922D8"/>
    <w:multiLevelType w:val="hybridMultilevel"/>
    <w:tmpl w:val="E118EC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A1C505B"/>
    <w:multiLevelType w:val="multilevel"/>
    <w:tmpl w:val="F20C75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E61A2C"/>
    <w:multiLevelType w:val="multilevel"/>
    <w:tmpl w:val="B5728338"/>
    <w:lvl w:ilvl="0">
      <w:start w:val="1"/>
      <w:numFmt w:val="none"/>
      <w:lvlText w:val="4.2"/>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14">
    <w:nsid w:val="51DD5558"/>
    <w:multiLevelType w:val="multilevel"/>
    <w:tmpl w:val="9C66724A"/>
    <w:lvl w:ilvl="0">
      <w:start w:val="2"/>
      <w:numFmt w:val="decimal"/>
      <w:lvlText w:val="%1."/>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15">
    <w:nsid w:val="52793F06"/>
    <w:multiLevelType w:val="multilevel"/>
    <w:tmpl w:val="2DA22E74"/>
    <w:lvl w:ilvl="0">
      <w:start w:val="1"/>
      <w:numFmt w:val="none"/>
      <w:lvlText w:val="3.3"/>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16">
    <w:nsid w:val="575B73E0"/>
    <w:multiLevelType w:val="multilevel"/>
    <w:tmpl w:val="4F68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A340A9"/>
    <w:multiLevelType w:val="multilevel"/>
    <w:tmpl w:val="64C4420E"/>
    <w:lvl w:ilvl="0">
      <w:start w:val="1"/>
      <w:numFmt w:val="none"/>
      <w:lvlText w:val="2.2"/>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18">
    <w:nsid w:val="601E2DE9"/>
    <w:multiLevelType w:val="multilevel"/>
    <w:tmpl w:val="7ECE1990"/>
    <w:lvl w:ilvl="0">
      <w:start w:val="1"/>
      <w:numFmt w:val="none"/>
      <w:lvlText w:val="2.5"/>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19">
    <w:nsid w:val="60417A2B"/>
    <w:multiLevelType w:val="hybridMultilevel"/>
    <w:tmpl w:val="FDC2B4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15D7AEC"/>
    <w:multiLevelType w:val="multilevel"/>
    <w:tmpl w:val="75C0C760"/>
    <w:lvl w:ilvl="0">
      <w:start w:val="1"/>
      <w:numFmt w:val="none"/>
      <w:lvlText w:val="3.5"/>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21">
    <w:nsid w:val="64270430"/>
    <w:multiLevelType w:val="multilevel"/>
    <w:tmpl w:val="98962974"/>
    <w:lvl w:ilvl="0">
      <w:start w:val="1"/>
      <w:numFmt w:val="none"/>
      <w:lvlText w:val="4.1"/>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22">
    <w:nsid w:val="65913A15"/>
    <w:multiLevelType w:val="multilevel"/>
    <w:tmpl w:val="014CFE60"/>
    <w:lvl w:ilvl="0">
      <w:start w:val="1"/>
      <w:numFmt w:val="none"/>
      <w:lvlText w:val="2.3"/>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23">
    <w:nsid w:val="68B409B5"/>
    <w:multiLevelType w:val="multilevel"/>
    <w:tmpl w:val="B45A60CC"/>
    <w:lvl w:ilvl="0">
      <w:start w:val="1"/>
      <w:numFmt w:val="none"/>
      <w:lvlText w:val="3.1"/>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24">
    <w:nsid w:val="6D5A5690"/>
    <w:multiLevelType w:val="hybridMultilevel"/>
    <w:tmpl w:val="C49C2E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6DEC4053"/>
    <w:multiLevelType w:val="hybridMultilevel"/>
    <w:tmpl w:val="D66ED4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74BF0AC5"/>
    <w:multiLevelType w:val="hybridMultilevel"/>
    <w:tmpl w:val="D66ED4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764B7A5E"/>
    <w:multiLevelType w:val="multilevel"/>
    <w:tmpl w:val="6DB88F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5F5136"/>
    <w:multiLevelType w:val="multilevel"/>
    <w:tmpl w:val="598E2E16"/>
    <w:lvl w:ilvl="0">
      <w:start w:val="1"/>
      <w:numFmt w:val="none"/>
      <w:lvlText w:val="2.1"/>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29">
    <w:nsid w:val="7BBF240E"/>
    <w:multiLevelType w:val="hybridMultilevel"/>
    <w:tmpl w:val="9F086960"/>
    <w:lvl w:ilvl="0" w:tplc="E6B41410">
      <w:start w:val="1"/>
      <w:numFmt w:val="decimal"/>
      <w:lvlText w:val="%1."/>
      <w:lvlJc w:val="left"/>
      <w:pPr>
        <w:ind w:left="720" w:hanging="360"/>
      </w:pPr>
      <w:rPr>
        <w:rFonts w:ascii="Times New Roman" w:hAnsi="Times New Roman" w:cs="Times New Roma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F65258D"/>
    <w:multiLevelType w:val="multilevel"/>
    <w:tmpl w:val="90C8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9"/>
  </w:num>
  <w:num w:numId="3">
    <w:abstractNumId w:val="16"/>
  </w:num>
  <w:num w:numId="4">
    <w:abstractNumId w:val="27"/>
  </w:num>
  <w:num w:numId="5">
    <w:abstractNumId w:val="12"/>
  </w:num>
  <w:num w:numId="6">
    <w:abstractNumId w:val="30"/>
  </w:num>
  <w:num w:numId="7">
    <w:abstractNumId w:val="25"/>
  </w:num>
  <w:num w:numId="8">
    <w:abstractNumId w:val="26"/>
  </w:num>
  <w:num w:numId="9">
    <w:abstractNumId w:val="3"/>
  </w:num>
  <w:num w:numId="10">
    <w:abstractNumId w:val="11"/>
  </w:num>
  <w:num w:numId="11">
    <w:abstractNumId w:val="24"/>
  </w:num>
  <w:num w:numId="12">
    <w:abstractNumId w:val="14"/>
  </w:num>
  <w:num w:numId="13">
    <w:abstractNumId w:val="28"/>
  </w:num>
  <w:num w:numId="14">
    <w:abstractNumId w:val="17"/>
  </w:num>
  <w:num w:numId="15">
    <w:abstractNumId w:val="22"/>
  </w:num>
  <w:num w:numId="16">
    <w:abstractNumId w:val="2"/>
  </w:num>
  <w:num w:numId="17">
    <w:abstractNumId w:val="4"/>
  </w:num>
  <w:num w:numId="18">
    <w:abstractNumId w:val="6"/>
  </w:num>
  <w:num w:numId="19">
    <w:abstractNumId w:val="5"/>
  </w:num>
  <w:num w:numId="20">
    <w:abstractNumId w:val="0"/>
  </w:num>
  <w:num w:numId="21">
    <w:abstractNumId w:val="23"/>
  </w:num>
  <w:num w:numId="22">
    <w:abstractNumId w:val="7"/>
  </w:num>
  <w:num w:numId="23">
    <w:abstractNumId w:val="15"/>
  </w:num>
  <w:num w:numId="24">
    <w:abstractNumId w:val="8"/>
  </w:num>
  <w:num w:numId="25">
    <w:abstractNumId w:val="20"/>
  </w:num>
  <w:num w:numId="26">
    <w:abstractNumId w:val="21"/>
  </w:num>
  <w:num w:numId="27">
    <w:abstractNumId w:val="13"/>
  </w:num>
  <w:num w:numId="28">
    <w:abstractNumId w:val="1"/>
  </w:num>
  <w:num w:numId="29">
    <w:abstractNumId w:val="9"/>
  </w:num>
  <w:num w:numId="30">
    <w:abstractNumId w:val="18"/>
  </w:num>
  <w:num w:numId="3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40168F"/>
    <w:rsid w:val="0002175D"/>
    <w:rsid w:val="000404FA"/>
    <w:rsid w:val="0004222A"/>
    <w:rsid w:val="00045563"/>
    <w:rsid w:val="00052D7C"/>
    <w:rsid w:val="0005607C"/>
    <w:rsid w:val="000600AD"/>
    <w:rsid w:val="00065FF4"/>
    <w:rsid w:val="000758F5"/>
    <w:rsid w:val="0007736E"/>
    <w:rsid w:val="0008036C"/>
    <w:rsid w:val="0008723A"/>
    <w:rsid w:val="00087F24"/>
    <w:rsid w:val="000932E2"/>
    <w:rsid w:val="00096DE3"/>
    <w:rsid w:val="000B4F66"/>
    <w:rsid w:val="000B52C9"/>
    <w:rsid w:val="000B68BB"/>
    <w:rsid w:val="000B6E0E"/>
    <w:rsid w:val="000D32DC"/>
    <w:rsid w:val="000E5DC0"/>
    <w:rsid w:val="000F216A"/>
    <w:rsid w:val="000F7894"/>
    <w:rsid w:val="001007A2"/>
    <w:rsid w:val="00110832"/>
    <w:rsid w:val="00122A24"/>
    <w:rsid w:val="00125394"/>
    <w:rsid w:val="001363A7"/>
    <w:rsid w:val="0014503C"/>
    <w:rsid w:val="0014595D"/>
    <w:rsid w:val="001517B3"/>
    <w:rsid w:val="0015393D"/>
    <w:rsid w:val="0016473D"/>
    <w:rsid w:val="001B5E52"/>
    <w:rsid w:val="001B69B5"/>
    <w:rsid w:val="001C0426"/>
    <w:rsid w:val="001C7C40"/>
    <w:rsid w:val="001E0BA8"/>
    <w:rsid w:val="001F03B6"/>
    <w:rsid w:val="001F43CA"/>
    <w:rsid w:val="001F6BEC"/>
    <w:rsid w:val="002102F5"/>
    <w:rsid w:val="00211D55"/>
    <w:rsid w:val="00214A39"/>
    <w:rsid w:val="00216F57"/>
    <w:rsid w:val="002252A1"/>
    <w:rsid w:val="002301AA"/>
    <w:rsid w:val="0023022F"/>
    <w:rsid w:val="00233A73"/>
    <w:rsid w:val="002357BA"/>
    <w:rsid w:val="00255CD4"/>
    <w:rsid w:val="002625BC"/>
    <w:rsid w:val="00263108"/>
    <w:rsid w:val="00272BB2"/>
    <w:rsid w:val="00277DE4"/>
    <w:rsid w:val="002974EC"/>
    <w:rsid w:val="002A294A"/>
    <w:rsid w:val="002A2AA8"/>
    <w:rsid w:val="002A3478"/>
    <w:rsid w:val="002A53BC"/>
    <w:rsid w:val="002F2007"/>
    <w:rsid w:val="002F3D4D"/>
    <w:rsid w:val="002F7E6B"/>
    <w:rsid w:val="00300571"/>
    <w:rsid w:val="0030057C"/>
    <w:rsid w:val="00304B15"/>
    <w:rsid w:val="00306503"/>
    <w:rsid w:val="00315BC3"/>
    <w:rsid w:val="003168DE"/>
    <w:rsid w:val="0032125F"/>
    <w:rsid w:val="00326D39"/>
    <w:rsid w:val="00332208"/>
    <w:rsid w:val="00333D82"/>
    <w:rsid w:val="00341C93"/>
    <w:rsid w:val="00351AB2"/>
    <w:rsid w:val="00356BDC"/>
    <w:rsid w:val="003620BD"/>
    <w:rsid w:val="00365054"/>
    <w:rsid w:val="00365A3C"/>
    <w:rsid w:val="003801EC"/>
    <w:rsid w:val="00380EB1"/>
    <w:rsid w:val="00383A1B"/>
    <w:rsid w:val="00386A8D"/>
    <w:rsid w:val="003A050B"/>
    <w:rsid w:val="003A0ECC"/>
    <w:rsid w:val="003A506F"/>
    <w:rsid w:val="003B0359"/>
    <w:rsid w:val="003B2448"/>
    <w:rsid w:val="003B2CC4"/>
    <w:rsid w:val="003B3E97"/>
    <w:rsid w:val="003B6090"/>
    <w:rsid w:val="003B60CA"/>
    <w:rsid w:val="003B7C49"/>
    <w:rsid w:val="003C35AA"/>
    <w:rsid w:val="003D5A94"/>
    <w:rsid w:val="003F04EF"/>
    <w:rsid w:val="003F2027"/>
    <w:rsid w:val="00400F97"/>
    <w:rsid w:val="0040168F"/>
    <w:rsid w:val="00411CF6"/>
    <w:rsid w:val="004152B6"/>
    <w:rsid w:val="004249B8"/>
    <w:rsid w:val="004409E6"/>
    <w:rsid w:val="00444FA2"/>
    <w:rsid w:val="0044749D"/>
    <w:rsid w:val="00464097"/>
    <w:rsid w:val="0046453A"/>
    <w:rsid w:val="004A1057"/>
    <w:rsid w:val="004A1C9C"/>
    <w:rsid w:val="004A2659"/>
    <w:rsid w:val="004A5D11"/>
    <w:rsid w:val="004B0858"/>
    <w:rsid w:val="004C1A6E"/>
    <w:rsid w:val="004C32CB"/>
    <w:rsid w:val="004D443C"/>
    <w:rsid w:val="005005E9"/>
    <w:rsid w:val="00506BE2"/>
    <w:rsid w:val="0051521E"/>
    <w:rsid w:val="0053076F"/>
    <w:rsid w:val="00532803"/>
    <w:rsid w:val="0053285A"/>
    <w:rsid w:val="005403B6"/>
    <w:rsid w:val="005574D6"/>
    <w:rsid w:val="005817F4"/>
    <w:rsid w:val="00582C58"/>
    <w:rsid w:val="0058483C"/>
    <w:rsid w:val="00586921"/>
    <w:rsid w:val="005909CC"/>
    <w:rsid w:val="0059768B"/>
    <w:rsid w:val="005A6FAA"/>
    <w:rsid w:val="005B2F22"/>
    <w:rsid w:val="005B46EA"/>
    <w:rsid w:val="005C62BA"/>
    <w:rsid w:val="005C760B"/>
    <w:rsid w:val="005E127A"/>
    <w:rsid w:val="005F0E57"/>
    <w:rsid w:val="006021B5"/>
    <w:rsid w:val="006066FE"/>
    <w:rsid w:val="00611D65"/>
    <w:rsid w:val="00615429"/>
    <w:rsid w:val="00617F8C"/>
    <w:rsid w:val="006263FE"/>
    <w:rsid w:val="0063166A"/>
    <w:rsid w:val="00635741"/>
    <w:rsid w:val="0063588B"/>
    <w:rsid w:val="00635D19"/>
    <w:rsid w:val="00636609"/>
    <w:rsid w:val="0064650D"/>
    <w:rsid w:val="00646697"/>
    <w:rsid w:val="00653E07"/>
    <w:rsid w:val="0066250A"/>
    <w:rsid w:val="00666DF9"/>
    <w:rsid w:val="00671067"/>
    <w:rsid w:val="00671E40"/>
    <w:rsid w:val="00677740"/>
    <w:rsid w:val="00677EE3"/>
    <w:rsid w:val="00687FEE"/>
    <w:rsid w:val="006A16C0"/>
    <w:rsid w:val="006B0FFA"/>
    <w:rsid w:val="006B7E9B"/>
    <w:rsid w:val="006C1735"/>
    <w:rsid w:val="006C6C31"/>
    <w:rsid w:val="006D1630"/>
    <w:rsid w:val="006D51DD"/>
    <w:rsid w:val="006F0990"/>
    <w:rsid w:val="0070313B"/>
    <w:rsid w:val="00704082"/>
    <w:rsid w:val="00717749"/>
    <w:rsid w:val="007205E1"/>
    <w:rsid w:val="00722C21"/>
    <w:rsid w:val="007248F0"/>
    <w:rsid w:val="00730376"/>
    <w:rsid w:val="00755C1A"/>
    <w:rsid w:val="00765BBD"/>
    <w:rsid w:val="00770F1E"/>
    <w:rsid w:val="007841A0"/>
    <w:rsid w:val="00792575"/>
    <w:rsid w:val="00794FE4"/>
    <w:rsid w:val="007A1172"/>
    <w:rsid w:val="007B2140"/>
    <w:rsid w:val="007B277D"/>
    <w:rsid w:val="007C3ABD"/>
    <w:rsid w:val="007D245A"/>
    <w:rsid w:val="007D338A"/>
    <w:rsid w:val="007D661B"/>
    <w:rsid w:val="007D7378"/>
    <w:rsid w:val="007E0729"/>
    <w:rsid w:val="007E5222"/>
    <w:rsid w:val="007F0887"/>
    <w:rsid w:val="007F513B"/>
    <w:rsid w:val="0080447D"/>
    <w:rsid w:val="0081090A"/>
    <w:rsid w:val="00817F03"/>
    <w:rsid w:val="008258BB"/>
    <w:rsid w:val="008337A2"/>
    <w:rsid w:val="00851D3A"/>
    <w:rsid w:val="00853CA5"/>
    <w:rsid w:val="00855839"/>
    <w:rsid w:val="00857276"/>
    <w:rsid w:val="00865A88"/>
    <w:rsid w:val="008735E7"/>
    <w:rsid w:val="008774D9"/>
    <w:rsid w:val="00890F9E"/>
    <w:rsid w:val="00895338"/>
    <w:rsid w:val="008A07B0"/>
    <w:rsid w:val="008A3EA0"/>
    <w:rsid w:val="008B7225"/>
    <w:rsid w:val="008D198D"/>
    <w:rsid w:val="008D329A"/>
    <w:rsid w:val="008D5F5D"/>
    <w:rsid w:val="008D6701"/>
    <w:rsid w:val="008E0635"/>
    <w:rsid w:val="008E2B45"/>
    <w:rsid w:val="008E67BB"/>
    <w:rsid w:val="008E7B6B"/>
    <w:rsid w:val="0090120A"/>
    <w:rsid w:val="00906AA7"/>
    <w:rsid w:val="00911254"/>
    <w:rsid w:val="009236AC"/>
    <w:rsid w:val="009239D7"/>
    <w:rsid w:val="00940088"/>
    <w:rsid w:val="00941A60"/>
    <w:rsid w:val="00944359"/>
    <w:rsid w:val="0097021E"/>
    <w:rsid w:val="00972EA6"/>
    <w:rsid w:val="009744B7"/>
    <w:rsid w:val="009A2CD8"/>
    <w:rsid w:val="009B2C3E"/>
    <w:rsid w:val="009C5C3B"/>
    <w:rsid w:val="009C60D8"/>
    <w:rsid w:val="009D24D8"/>
    <w:rsid w:val="009D73DB"/>
    <w:rsid w:val="009E04B3"/>
    <w:rsid w:val="009E166B"/>
    <w:rsid w:val="009E418C"/>
    <w:rsid w:val="00A0733F"/>
    <w:rsid w:val="00A10528"/>
    <w:rsid w:val="00A13380"/>
    <w:rsid w:val="00A26E71"/>
    <w:rsid w:val="00A333DD"/>
    <w:rsid w:val="00A4303C"/>
    <w:rsid w:val="00A46F1E"/>
    <w:rsid w:val="00A510A0"/>
    <w:rsid w:val="00A53986"/>
    <w:rsid w:val="00A555EF"/>
    <w:rsid w:val="00A5665F"/>
    <w:rsid w:val="00A66F23"/>
    <w:rsid w:val="00A86150"/>
    <w:rsid w:val="00A92D52"/>
    <w:rsid w:val="00A9612C"/>
    <w:rsid w:val="00AA30A0"/>
    <w:rsid w:val="00AA5E92"/>
    <w:rsid w:val="00AB2C9B"/>
    <w:rsid w:val="00AC1775"/>
    <w:rsid w:val="00AC347D"/>
    <w:rsid w:val="00AD131B"/>
    <w:rsid w:val="00AD6247"/>
    <w:rsid w:val="00AD6862"/>
    <w:rsid w:val="00AD7A02"/>
    <w:rsid w:val="00B015B0"/>
    <w:rsid w:val="00B0257B"/>
    <w:rsid w:val="00B12823"/>
    <w:rsid w:val="00B15792"/>
    <w:rsid w:val="00B17544"/>
    <w:rsid w:val="00B37D44"/>
    <w:rsid w:val="00B47BBE"/>
    <w:rsid w:val="00B55F7B"/>
    <w:rsid w:val="00B5641D"/>
    <w:rsid w:val="00B71B7E"/>
    <w:rsid w:val="00B75508"/>
    <w:rsid w:val="00B96AE8"/>
    <w:rsid w:val="00BA0D70"/>
    <w:rsid w:val="00BB1C7B"/>
    <w:rsid w:val="00BB4E82"/>
    <w:rsid w:val="00BC300D"/>
    <w:rsid w:val="00BC4493"/>
    <w:rsid w:val="00BC7CAA"/>
    <w:rsid w:val="00BD40EA"/>
    <w:rsid w:val="00BD4548"/>
    <w:rsid w:val="00BD4C8E"/>
    <w:rsid w:val="00BE6BB2"/>
    <w:rsid w:val="00C06FA3"/>
    <w:rsid w:val="00C11808"/>
    <w:rsid w:val="00C15971"/>
    <w:rsid w:val="00C23A7A"/>
    <w:rsid w:val="00C25605"/>
    <w:rsid w:val="00C2651C"/>
    <w:rsid w:val="00C4410D"/>
    <w:rsid w:val="00C47929"/>
    <w:rsid w:val="00C51FC0"/>
    <w:rsid w:val="00C6083B"/>
    <w:rsid w:val="00C701D5"/>
    <w:rsid w:val="00C72E9D"/>
    <w:rsid w:val="00C849E2"/>
    <w:rsid w:val="00C90116"/>
    <w:rsid w:val="00C963DA"/>
    <w:rsid w:val="00CA1894"/>
    <w:rsid w:val="00CC5579"/>
    <w:rsid w:val="00CD41F2"/>
    <w:rsid w:val="00CD4C7E"/>
    <w:rsid w:val="00CE206D"/>
    <w:rsid w:val="00CF6745"/>
    <w:rsid w:val="00D05630"/>
    <w:rsid w:val="00D14EA7"/>
    <w:rsid w:val="00D15010"/>
    <w:rsid w:val="00D27D19"/>
    <w:rsid w:val="00D40977"/>
    <w:rsid w:val="00D43324"/>
    <w:rsid w:val="00D47709"/>
    <w:rsid w:val="00D5508F"/>
    <w:rsid w:val="00D56CA4"/>
    <w:rsid w:val="00D7446E"/>
    <w:rsid w:val="00D956EF"/>
    <w:rsid w:val="00DA1B5B"/>
    <w:rsid w:val="00DB1407"/>
    <w:rsid w:val="00DB2C07"/>
    <w:rsid w:val="00DB377E"/>
    <w:rsid w:val="00DB65A3"/>
    <w:rsid w:val="00DB7E22"/>
    <w:rsid w:val="00DC3459"/>
    <w:rsid w:val="00DC5842"/>
    <w:rsid w:val="00DD3086"/>
    <w:rsid w:val="00DE4695"/>
    <w:rsid w:val="00DE6381"/>
    <w:rsid w:val="00DF1F63"/>
    <w:rsid w:val="00DF32FA"/>
    <w:rsid w:val="00E04D0B"/>
    <w:rsid w:val="00E111E9"/>
    <w:rsid w:val="00E259B2"/>
    <w:rsid w:val="00E26196"/>
    <w:rsid w:val="00E275CB"/>
    <w:rsid w:val="00E310A2"/>
    <w:rsid w:val="00E3260A"/>
    <w:rsid w:val="00E33A64"/>
    <w:rsid w:val="00E50399"/>
    <w:rsid w:val="00E504B9"/>
    <w:rsid w:val="00E53C0D"/>
    <w:rsid w:val="00E55DED"/>
    <w:rsid w:val="00E6299A"/>
    <w:rsid w:val="00E700A3"/>
    <w:rsid w:val="00E72576"/>
    <w:rsid w:val="00E85A9E"/>
    <w:rsid w:val="00EA4487"/>
    <w:rsid w:val="00EA6A1E"/>
    <w:rsid w:val="00EA7CD9"/>
    <w:rsid w:val="00EB46F6"/>
    <w:rsid w:val="00EC69C6"/>
    <w:rsid w:val="00ED7271"/>
    <w:rsid w:val="00EF088E"/>
    <w:rsid w:val="00EF21CC"/>
    <w:rsid w:val="00F00C0A"/>
    <w:rsid w:val="00F0698D"/>
    <w:rsid w:val="00F13386"/>
    <w:rsid w:val="00F206DE"/>
    <w:rsid w:val="00F2485A"/>
    <w:rsid w:val="00F24863"/>
    <w:rsid w:val="00F26914"/>
    <w:rsid w:val="00F300A4"/>
    <w:rsid w:val="00F44B69"/>
    <w:rsid w:val="00F50FFA"/>
    <w:rsid w:val="00F55CBC"/>
    <w:rsid w:val="00F5634D"/>
    <w:rsid w:val="00F62C8D"/>
    <w:rsid w:val="00F70BA9"/>
    <w:rsid w:val="00F73734"/>
    <w:rsid w:val="00F745FD"/>
    <w:rsid w:val="00F92B02"/>
    <w:rsid w:val="00FA10BB"/>
    <w:rsid w:val="00FF11C2"/>
    <w:rsid w:val="00FF65B7"/>
    <w:rsid w:val="00FF74A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46E"/>
  </w:style>
  <w:style w:type="paragraph" w:styleId="Heading1">
    <w:name w:val="heading 1"/>
    <w:basedOn w:val="Normal"/>
    <w:next w:val="Normal"/>
    <w:link w:val="Heading1Char"/>
    <w:uiPriority w:val="9"/>
    <w:qFormat/>
    <w:rsid w:val="004016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6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16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6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6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6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6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6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6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6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6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16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6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6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6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6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6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68F"/>
    <w:rPr>
      <w:rFonts w:eastAsiaTheme="majorEastAsia" w:cstheme="majorBidi"/>
      <w:color w:val="272727" w:themeColor="text1" w:themeTint="D8"/>
    </w:rPr>
  </w:style>
  <w:style w:type="paragraph" w:styleId="Title">
    <w:name w:val="Title"/>
    <w:basedOn w:val="Normal"/>
    <w:next w:val="Normal"/>
    <w:link w:val="TitleChar"/>
    <w:uiPriority w:val="10"/>
    <w:qFormat/>
    <w:rsid w:val="00401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6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6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6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68F"/>
    <w:pPr>
      <w:spacing w:before="160"/>
      <w:jc w:val="center"/>
    </w:pPr>
    <w:rPr>
      <w:i/>
      <w:iCs/>
      <w:color w:val="404040" w:themeColor="text1" w:themeTint="BF"/>
    </w:rPr>
  </w:style>
  <w:style w:type="character" w:customStyle="1" w:styleId="QuoteChar">
    <w:name w:val="Quote Char"/>
    <w:basedOn w:val="DefaultParagraphFont"/>
    <w:link w:val="Quote"/>
    <w:uiPriority w:val="29"/>
    <w:rsid w:val="0040168F"/>
    <w:rPr>
      <w:i/>
      <w:iCs/>
      <w:color w:val="404040" w:themeColor="text1" w:themeTint="BF"/>
    </w:rPr>
  </w:style>
  <w:style w:type="paragraph" w:styleId="ListParagraph">
    <w:name w:val="List Paragraph"/>
    <w:basedOn w:val="Normal"/>
    <w:uiPriority w:val="34"/>
    <w:qFormat/>
    <w:rsid w:val="0040168F"/>
    <w:pPr>
      <w:ind w:left="720"/>
      <w:contextualSpacing/>
    </w:pPr>
  </w:style>
  <w:style w:type="character" w:styleId="IntenseEmphasis">
    <w:name w:val="Intense Emphasis"/>
    <w:basedOn w:val="DefaultParagraphFont"/>
    <w:uiPriority w:val="21"/>
    <w:qFormat/>
    <w:rsid w:val="0040168F"/>
    <w:rPr>
      <w:i/>
      <w:iCs/>
      <w:color w:val="0F4761" w:themeColor="accent1" w:themeShade="BF"/>
    </w:rPr>
  </w:style>
  <w:style w:type="paragraph" w:styleId="IntenseQuote">
    <w:name w:val="Intense Quote"/>
    <w:basedOn w:val="Normal"/>
    <w:next w:val="Normal"/>
    <w:link w:val="IntenseQuoteChar"/>
    <w:uiPriority w:val="30"/>
    <w:qFormat/>
    <w:rsid w:val="00401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68F"/>
    <w:rPr>
      <w:i/>
      <w:iCs/>
      <w:color w:val="0F4761" w:themeColor="accent1" w:themeShade="BF"/>
    </w:rPr>
  </w:style>
  <w:style w:type="character" w:styleId="IntenseReference">
    <w:name w:val="Intense Reference"/>
    <w:basedOn w:val="DefaultParagraphFont"/>
    <w:uiPriority w:val="32"/>
    <w:qFormat/>
    <w:rsid w:val="0040168F"/>
    <w:rPr>
      <w:b/>
      <w:bCs/>
      <w:smallCaps/>
      <w:color w:val="0F4761" w:themeColor="accent1" w:themeShade="BF"/>
      <w:spacing w:val="5"/>
    </w:rPr>
  </w:style>
  <w:style w:type="character" w:styleId="Emphasis">
    <w:name w:val="Emphasis"/>
    <w:basedOn w:val="DefaultParagraphFont"/>
    <w:uiPriority w:val="20"/>
    <w:qFormat/>
    <w:rsid w:val="004152B6"/>
    <w:rPr>
      <w:i/>
      <w:iCs/>
    </w:rPr>
  </w:style>
  <w:style w:type="paragraph" w:styleId="NormalWeb">
    <w:name w:val="Normal (Web)"/>
    <w:basedOn w:val="Normal"/>
    <w:uiPriority w:val="99"/>
    <w:semiHidden/>
    <w:unhideWhenUsed/>
    <w:rsid w:val="00A13380"/>
    <w:pPr>
      <w:spacing w:before="100" w:beforeAutospacing="1" w:after="100" w:afterAutospacing="1" w:line="240" w:lineRule="auto"/>
    </w:pPr>
    <w:rPr>
      <w:rFonts w:ascii="Times New Roman" w:eastAsia="Times New Roman" w:hAnsi="Times New Roman" w:cs="Times New Roman"/>
      <w:kern w:val="0"/>
      <w:lang w:eastAsia="en-IN"/>
    </w:rPr>
  </w:style>
  <w:style w:type="character" w:styleId="Strong">
    <w:name w:val="Strong"/>
    <w:basedOn w:val="DefaultParagraphFont"/>
    <w:uiPriority w:val="22"/>
    <w:qFormat/>
    <w:rsid w:val="00A13380"/>
    <w:rPr>
      <w:b/>
      <w:bCs/>
    </w:rPr>
  </w:style>
  <w:style w:type="paragraph" w:styleId="Header">
    <w:name w:val="header"/>
    <w:basedOn w:val="Normal"/>
    <w:link w:val="HeaderChar"/>
    <w:uiPriority w:val="99"/>
    <w:unhideWhenUsed/>
    <w:rsid w:val="008D19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98D"/>
  </w:style>
  <w:style w:type="paragraph" w:styleId="Footer">
    <w:name w:val="footer"/>
    <w:basedOn w:val="Normal"/>
    <w:link w:val="FooterChar"/>
    <w:uiPriority w:val="99"/>
    <w:unhideWhenUsed/>
    <w:rsid w:val="008D19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98D"/>
  </w:style>
  <w:style w:type="character" w:styleId="Hyperlink">
    <w:name w:val="Hyperlink"/>
    <w:basedOn w:val="DefaultParagraphFont"/>
    <w:uiPriority w:val="99"/>
    <w:unhideWhenUsed/>
    <w:rsid w:val="00906AA7"/>
    <w:rPr>
      <w:color w:val="467886" w:themeColor="hyperlink"/>
      <w:u w:val="single"/>
    </w:rPr>
  </w:style>
  <w:style w:type="paragraph" w:styleId="Revision">
    <w:name w:val="Revision"/>
    <w:hidden/>
    <w:uiPriority w:val="99"/>
    <w:semiHidden/>
    <w:rsid w:val="00D27D19"/>
    <w:pPr>
      <w:spacing w:after="0" w:line="240" w:lineRule="auto"/>
    </w:pPr>
  </w:style>
  <w:style w:type="character" w:styleId="CommentReference">
    <w:name w:val="annotation reference"/>
    <w:basedOn w:val="DefaultParagraphFont"/>
    <w:uiPriority w:val="99"/>
    <w:semiHidden/>
    <w:unhideWhenUsed/>
    <w:rsid w:val="00D27D19"/>
    <w:rPr>
      <w:sz w:val="16"/>
      <w:szCs w:val="16"/>
    </w:rPr>
  </w:style>
  <w:style w:type="paragraph" w:styleId="CommentText">
    <w:name w:val="annotation text"/>
    <w:basedOn w:val="Normal"/>
    <w:link w:val="CommentTextChar"/>
    <w:uiPriority w:val="99"/>
    <w:unhideWhenUsed/>
    <w:rsid w:val="00D27D19"/>
    <w:pPr>
      <w:spacing w:line="240" w:lineRule="auto"/>
    </w:pPr>
    <w:rPr>
      <w:sz w:val="20"/>
      <w:szCs w:val="20"/>
    </w:rPr>
  </w:style>
  <w:style w:type="character" w:customStyle="1" w:styleId="CommentTextChar">
    <w:name w:val="Comment Text Char"/>
    <w:basedOn w:val="DefaultParagraphFont"/>
    <w:link w:val="CommentText"/>
    <w:uiPriority w:val="99"/>
    <w:rsid w:val="00D27D19"/>
    <w:rPr>
      <w:sz w:val="20"/>
      <w:szCs w:val="20"/>
    </w:rPr>
  </w:style>
  <w:style w:type="paragraph" w:styleId="CommentSubject">
    <w:name w:val="annotation subject"/>
    <w:basedOn w:val="CommentText"/>
    <w:next w:val="CommentText"/>
    <w:link w:val="CommentSubjectChar"/>
    <w:uiPriority w:val="99"/>
    <w:semiHidden/>
    <w:unhideWhenUsed/>
    <w:rsid w:val="00D27D19"/>
    <w:rPr>
      <w:b/>
      <w:bCs/>
    </w:rPr>
  </w:style>
  <w:style w:type="character" w:customStyle="1" w:styleId="CommentSubjectChar">
    <w:name w:val="Comment Subject Char"/>
    <w:basedOn w:val="CommentTextChar"/>
    <w:link w:val="CommentSubject"/>
    <w:uiPriority w:val="99"/>
    <w:semiHidden/>
    <w:rsid w:val="00D27D19"/>
    <w:rPr>
      <w:b/>
      <w:bCs/>
      <w:sz w:val="20"/>
      <w:szCs w:val="20"/>
    </w:rPr>
  </w:style>
  <w:style w:type="character" w:customStyle="1" w:styleId="UnresolvedMention">
    <w:name w:val="Unresolved Mention"/>
    <w:basedOn w:val="DefaultParagraphFont"/>
    <w:uiPriority w:val="99"/>
    <w:semiHidden/>
    <w:unhideWhenUsed/>
    <w:rsid w:val="00851D3A"/>
    <w:rPr>
      <w:color w:val="605E5C"/>
      <w:shd w:val="clear" w:color="auto" w:fill="E1DFDD"/>
    </w:rPr>
  </w:style>
  <w:style w:type="paragraph" w:styleId="BalloonText">
    <w:name w:val="Balloon Text"/>
    <w:basedOn w:val="Normal"/>
    <w:link w:val="BalloonTextChar"/>
    <w:uiPriority w:val="99"/>
    <w:semiHidden/>
    <w:unhideWhenUsed/>
    <w:rsid w:val="00300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5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46977">
      <w:bodyDiv w:val="1"/>
      <w:marLeft w:val="0"/>
      <w:marRight w:val="0"/>
      <w:marTop w:val="0"/>
      <w:marBottom w:val="0"/>
      <w:divBdr>
        <w:top w:val="none" w:sz="0" w:space="0" w:color="auto"/>
        <w:left w:val="none" w:sz="0" w:space="0" w:color="auto"/>
        <w:bottom w:val="none" w:sz="0" w:space="0" w:color="auto"/>
        <w:right w:val="none" w:sz="0" w:space="0" w:color="auto"/>
      </w:divBdr>
    </w:div>
    <w:div w:id="46926877">
      <w:bodyDiv w:val="1"/>
      <w:marLeft w:val="0"/>
      <w:marRight w:val="0"/>
      <w:marTop w:val="0"/>
      <w:marBottom w:val="0"/>
      <w:divBdr>
        <w:top w:val="none" w:sz="0" w:space="0" w:color="auto"/>
        <w:left w:val="none" w:sz="0" w:space="0" w:color="auto"/>
        <w:bottom w:val="none" w:sz="0" w:space="0" w:color="auto"/>
        <w:right w:val="none" w:sz="0" w:space="0" w:color="auto"/>
      </w:divBdr>
    </w:div>
    <w:div w:id="79255473">
      <w:bodyDiv w:val="1"/>
      <w:marLeft w:val="0"/>
      <w:marRight w:val="0"/>
      <w:marTop w:val="0"/>
      <w:marBottom w:val="0"/>
      <w:divBdr>
        <w:top w:val="none" w:sz="0" w:space="0" w:color="auto"/>
        <w:left w:val="none" w:sz="0" w:space="0" w:color="auto"/>
        <w:bottom w:val="none" w:sz="0" w:space="0" w:color="auto"/>
        <w:right w:val="none" w:sz="0" w:space="0" w:color="auto"/>
      </w:divBdr>
    </w:div>
    <w:div w:id="98841223">
      <w:bodyDiv w:val="1"/>
      <w:marLeft w:val="0"/>
      <w:marRight w:val="0"/>
      <w:marTop w:val="0"/>
      <w:marBottom w:val="0"/>
      <w:divBdr>
        <w:top w:val="none" w:sz="0" w:space="0" w:color="auto"/>
        <w:left w:val="none" w:sz="0" w:space="0" w:color="auto"/>
        <w:bottom w:val="none" w:sz="0" w:space="0" w:color="auto"/>
        <w:right w:val="none" w:sz="0" w:space="0" w:color="auto"/>
      </w:divBdr>
    </w:div>
    <w:div w:id="135490346">
      <w:bodyDiv w:val="1"/>
      <w:marLeft w:val="0"/>
      <w:marRight w:val="0"/>
      <w:marTop w:val="0"/>
      <w:marBottom w:val="0"/>
      <w:divBdr>
        <w:top w:val="none" w:sz="0" w:space="0" w:color="auto"/>
        <w:left w:val="none" w:sz="0" w:space="0" w:color="auto"/>
        <w:bottom w:val="none" w:sz="0" w:space="0" w:color="auto"/>
        <w:right w:val="none" w:sz="0" w:space="0" w:color="auto"/>
      </w:divBdr>
    </w:div>
    <w:div w:id="328413552">
      <w:bodyDiv w:val="1"/>
      <w:marLeft w:val="0"/>
      <w:marRight w:val="0"/>
      <w:marTop w:val="0"/>
      <w:marBottom w:val="0"/>
      <w:divBdr>
        <w:top w:val="none" w:sz="0" w:space="0" w:color="auto"/>
        <w:left w:val="none" w:sz="0" w:space="0" w:color="auto"/>
        <w:bottom w:val="none" w:sz="0" w:space="0" w:color="auto"/>
        <w:right w:val="none" w:sz="0" w:space="0" w:color="auto"/>
      </w:divBdr>
    </w:div>
    <w:div w:id="341322900">
      <w:bodyDiv w:val="1"/>
      <w:marLeft w:val="0"/>
      <w:marRight w:val="0"/>
      <w:marTop w:val="0"/>
      <w:marBottom w:val="0"/>
      <w:divBdr>
        <w:top w:val="none" w:sz="0" w:space="0" w:color="auto"/>
        <w:left w:val="none" w:sz="0" w:space="0" w:color="auto"/>
        <w:bottom w:val="none" w:sz="0" w:space="0" w:color="auto"/>
        <w:right w:val="none" w:sz="0" w:space="0" w:color="auto"/>
      </w:divBdr>
    </w:div>
    <w:div w:id="352148000">
      <w:bodyDiv w:val="1"/>
      <w:marLeft w:val="0"/>
      <w:marRight w:val="0"/>
      <w:marTop w:val="0"/>
      <w:marBottom w:val="0"/>
      <w:divBdr>
        <w:top w:val="none" w:sz="0" w:space="0" w:color="auto"/>
        <w:left w:val="none" w:sz="0" w:space="0" w:color="auto"/>
        <w:bottom w:val="none" w:sz="0" w:space="0" w:color="auto"/>
        <w:right w:val="none" w:sz="0" w:space="0" w:color="auto"/>
      </w:divBdr>
    </w:div>
    <w:div w:id="372074722">
      <w:bodyDiv w:val="1"/>
      <w:marLeft w:val="0"/>
      <w:marRight w:val="0"/>
      <w:marTop w:val="0"/>
      <w:marBottom w:val="0"/>
      <w:divBdr>
        <w:top w:val="none" w:sz="0" w:space="0" w:color="auto"/>
        <w:left w:val="none" w:sz="0" w:space="0" w:color="auto"/>
        <w:bottom w:val="none" w:sz="0" w:space="0" w:color="auto"/>
        <w:right w:val="none" w:sz="0" w:space="0" w:color="auto"/>
      </w:divBdr>
    </w:div>
    <w:div w:id="399787830">
      <w:bodyDiv w:val="1"/>
      <w:marLeft w:val="0"/>
      <w:marRight w:val="0"/>
      <w:marTop w:val="0"/>
      <w:marBottom w:val="0"/>
      <w:divBdr>
        <w:top w:val="none" w:sz="0" w:space="0" w:color="auto"/>
        <w:left w:val="none" w:sz="0" w:space="0" w:color="auto"/>
        <w:bottom w:val="none" w:sz="0" w:space="0" w:color="auto"/>
        <w:right w:val="none" w:sz="0" w:space="0" w:color="auto"/>
      </w:divBdr>
    </w:div>
    <w:div w:id="427624306">
      <w:bodyDiv w:val="1"/>
      <w:marLeft w:val="0"/>
      <w:marRight w:val="0"/>
      <w:marTop w:val="0"/>
      <w:marBottom w:val="0"/>
      <w:divBdr>
        <w:top w:val="none" w:sz="0" w:space="0" w:color="auto"/>
        <w:left w:val="none" w:sz="0" w:space="0" w:color="auto"/>
        <w:bottom w:val="none" w:sz="0" w:space="0" w:color="auto"/>
        <w:right w:val="none" w:sz="0" w:space="0" w:color="auto"/>
      </w:divBdr>
    </w:div>
    <w:div w:id="446239947">
      <w:bodyDiv w:val="1"/>
      <w:marLeft w:val="0"/>
      <w:marRight w:val="0"/>
      <w:marTop w:val="0"/>
      <w:marBottom w:val="0"/>
      <w:divBdr>
        <w:top w:val="none" w:sz="0" w:space="0" w:color="auto"/>
        <w:left w:val="none" w:sz="0" w:space="0" w:color="auto"/>
        <w:bottom w:val="none" w:sz="0" w:space="0" w:color="auto"/>
        <w:right w:val="none" w:sz="0" w:space="0" w:color="auto"/>
      </w:divBdr>
    </w:div>
    <w:div w:id="467631323">
      <w:bodyDiv w:val="1"/>
      <w:marLeft w:val="0"/>
      <w:marRight w:val="0"/>
      <w:marTop w:val="0"/>
      <w:marBottom w:val="0"/>
      <w:divBdr>
        <w:top w:val="none" w:sz="0" w:space="0" w:color="auto"/>
        <w:left w:val="none" w:sz="0" w:space="0" w:color="auto"/>
        <w:bottom w:val="none" w:sz="0" w:space="0" w:color="auto"/>
        <w:right w:val="none" w:sz="0" w:space="0" w:color="auto"/>
      </w:divBdr>
    </w:div>
    <w:div w:id="513614420">
      <w:bodyDiv w:val="1"/>
      <w:marLeft w:val="0"/>
      <w:marRight w:val="0"/>
      <w:marTop w:val="0"/>
      <w:marBottom w:val="0"/>
      <w:divBdr>
        <w:top w:val="none" w:sz="0" w:space="0" w:color="auto"/>
        <w:left w:val="none" w:sz="0" w:space="0" w:color="auto"/>
        <w:bottom w:val="none" w:sz="0" w:space="0" w:color="auto"/>
        <w:right w:val="none" w:sz="0" w:space="0" w:color="auto"/>
      </w:divBdr>
    </w:div>
    <w:div w:id="548105237">
      <w:bodyDiv w:val="1"/>
      <w:marLeft w:val="0"/>
      <w:marRight w:val="0"/>
      <w:marTop w:val="0"/>
      <w:marBottom w:val="0"/>
      <w:divBdr>
        <w:top w:val="none" w:sz="0" w:space="0" w:color="auto"/>
        <w:left w:val="none" w:sz="0" w:space="0" w:color="auto"/>
        <w:bottom w:val="none" w:sz="0" w:space="0" w:color="auto"/>
        <w:right w:val="none" w:sz="0" w:space="0" w:color="auto"/>
      </w:divBdr>
    </w:div>
    <w:div w:id="594048970">
      <w:bodyDiv w:val="1"/>
      <w:marLeft w:val="0"/>
      <w:marRight w:val="0"/>
      <w:marTop w:val="0"/>
      <w:marBottom w:val="0"/>
      <w:divBdr>
        <w:top w:val="none" w:sz="0" w:space="0" w:color="auto"/>
        <w:left w:val="none" w:sz="0" w:space="0" w:color="auto"/>
        <w:bottom w:val="none" w:sz="0" w:space="0" w:color="auto"/>
        <w:right w:val="none" w:sz="0" w:space="0" w:color="auto"/>
      </w:divBdr>
    </w:div>
    <w:div w:id="608512918">
      <w:bodyDiv w:val="1"/>
      <w:marLeft w:val="0"/>
      <w:marRight w:val="0"/>
      <w:marTop w:val="0"/>
      <w:marBottom w:val="0"/>
      <w:divBdr>
        <w:top w:val="none" w:sz="0" w:space="0" w:color="auto"/>
        <w:left w:val="none" w:sz="0" w:space="0" w:color="auto"/>
        <w:bottom w:val="none" w:sz="0" w:space="0" w:color="auto"/>
        <w:right w:val="none" w:sz="0" w:space="0" w:color="auto"/>
      </w:divBdr>
    </w:div>
    <w:div w:id="641882706">
      <w:bodyDiv w:val="1"/>
      <w:marLeft w:val="0"/>
      <w:marRight w:val="0"/>
      <w:marTop w:val="0"/>
      <w:marBottom w:val="0"/>
      <w:divBdr>
        <w:top w:val="none" w:sz="0" w:space="0" w:color="auto"/>
        <w:left w:val="none" w:sz="0" w:space="0" w:color="auto"/>
        <w:bottom w:val="none" w:sz="0" w:space="0" w:color="auto"/>
        <w:right w:val="none" w:sz="0" w:space="0" w:color="auto"/>
      </w:divBdr>
    </w:div>
    <w:div w:id="703025114">
      <w:bodyDiv w:val="1"/>
      <w:marLeft w:val="0"/>
      <w:marRight w:val="0"/>
      <w:marTop w:val="0"/>
      <w:marBottom w:val="0"/>
      <w:divBdr>
        <w:top w:val="none" w:sz="0" w:space="0" w:color="auto"/>
        <w:left w:val="none" w:sz="0" w:space="0" w:color="auto"/>
        <w:bottom w:val="none" w:sz="0" w:space="0" w:color="auto"/>
        <w:right w:val="none" w:sz="0" w:space="0" w:color="auto"/>
      </w:divBdr>
    </w:div>
    <w:div w:id="724455129">
      <w:bodyDiv w:val="1"/>
      <w:marLeft w:val="0"/>
      <w:marRight w:val="0"/>
      <w:marTop w:val="0"/>
      <w:marBottom w:val="0"/>
      <w:divBdr>
        <w:top w:val="none" w:sz="0" w:space="0" w:color="auto"/>
        <w:left w:val="none" w:sz="0" w:space="0" w:color="auto"/>
        <w:bottom w:val="none" w:sz="0" w:space="0" w:color="auto"/>
        <w:right w:val="none" w:sz="0" w:space="0" w:color="auto"/>
      </w:divBdr>
    </w:div>
    <w:div w:id="731585348">
      <w:bodyDiv w:val="1"/>
      <w:marLeft w:val="0"/>
      <w:marRight w:val="0"/>
      <w:marTop w:val="0"/>
      <w:marBottom w:val="0"/>
      <w:divBdr>
        <w:top w:val="none" w:sz="0" w:space="0" w:color="auto"/>
        <w:left w:val="none" w:sz="0" w:space="0" w:color="auto"/>
        <w:bottom w:val="none" w:sz="0" w:space="0" w:color="auto"/>
        <w:right w:val="none" w:sz="0" w:space="0" w:color="auto"/>
      </w:divBdr>
    </w:div>
    <w:div w:id="856696123">
      <w:bodyDiv w:val="1"/>
      <w:marLeft w:val="0"/>
      <w:marRight w:val="0"/>
      <w:marTop w:val="0"/>
      <w:marBottom w:val="0"/>
      <w:divBdr>
        <w:top w:val="none" w:sz="0" w:space="0" w:color="auto"/>
        <w:left w:val="none" w:sz="0" w:space="0" w:color="auto"/>
        <w:bottom w:val="none" w:sz="0" w:space="0" w:color="auto"/>
        <w:right w:val="none" w:sz="0" w:space="0" w:color="auto"/>
      </w:divBdr>
    </w:div>
    <w:div w:id="858854437">
      <w:bodyDiv w:val="1"/>
      <w:marLeft w:val="0"/>
      <w:marRight w:val="0"/>
      <w:marTop w:val="0"/>
      <w:marBottom w:val="0"/>
      <w:divBdr>
        <w:top w:val="none" w:sz="0" w:space="0" w:color="auto"/>
        <w:left w:val="none" w:sz="0" w:space="0" w:color="auto"/>
        <w:bottom w:val="none" w:sz="0" w:space="0" w:color="auto"/>
        <w:right w:val="none" w:sz="0" w:space="0" w:color="auto"/>
      </w:divBdr>
    </w:div>
    <w:div w:id="893584689">
      <w:bodyDiv w:val="1"/>
      <w:marLeft w:val="0"/>
      <w:marRight w:val="0"/>
      <w:marTop w:val="0"/>
      <w:marBottom w:val="0"/>
      <w:divBdr>
        <w:top w:val="none" w:sz="0" w:space="0" w:color="auto"/>
        <w:left w:val="none" w:sz="0" w:space="0" w:color="auto"/>
        <w:bottom w:val="none" w:sz="0" w:space="0" w:color="auto"/>
        <w:right w:val="none" w:sz="0" w:space="0" w:color="auto"/>
      </w:divBdr>
    </w:div>
    <w:div w:id="931743421">
      <w:bodyDiv w:val="1"/>
      <w:marLeft w:val="0"/>
      <w:marRight w:val="0"/>
      <w:marTop w:val="0"/>
      <w:marBottom w:val="0"/>
      <w:divBdr>
        <w:top w:val="none" w:sz="0" w:space="0" w:color="auto"/>
        <w:left w:val="none" w:sz="0" w:space="0" w:color="auto"/>
        <w:bottom w:val="none" w:sz="0" w:space="0" w:color="auto"/>
        <w:right w:val="none" w:sz="0" w:space="0" w:color="auto"/>
      </w:divBdr>
    </w:div>
    <w:div w:id="967125261">
      <w:bodyDiv w:val="1"/>
      <w:marLeft w:val="0"/>
      <w:marRight w:val="0"/>
      <w:marTop w:val="0"/>
      <w:marBottom w:val="0"/>
      <w:divBdr>
        <w:top w:val="none" w:sz="0" w:space="0" w:color="auto"/>
        <w:left w:val="none" w:sz="0" w:space="0" w:color="auto"/>
        <w:bottom w:val="none" w:sz="0" w:space="0" w:color="auto"/>
        <w:right w:val="none" w:sz="0" w:space="0" w:color="auto"/>
      </w:divBdr>
    </w:div>
    <w:div w:id="1022972347">
      <w:bodyDiv w:val="1"/>
      <w:marLeft w:val="0"/>
      <w:marRight w:val="0"/>
      <w:marTop w:val="0"/>
      <w:marBottom w:val="0"/>
      <w:divBdr>
        <w:top w:val="none" w:sz="0" w:space="0" w:color="auto"/>
        <w:left w:val="none" w:sz="0" w:space="0" w:color="auto"/>
        <w:bottom w:val="none" w:sz="0" w:space="0" w:color="auto"/>
        <w:right w:val="none" w:sz="0" w:space="0" w:color="auto"/>
      </w:divBdr>
    </w:div>
    <w:div w:id="1040284526">
      <w:bodyDiv w:val="1"/>
      <w:marLeft w:val="0"/>
      <w:marRight w:val="0"/>
      <w:marTop w:val="0"/>
      <w:marBottom w:val="0"/>
      <w:divBdr>
        <w:top w:val="none" w:sz="0" w:space="0" w:color="auto"/>
        <w:left w:val="none" w:sz="0" w:space="0" w:color="auto"/>
        <w:bottom w:val="none" w:sz="0" w:space="0" w:color="auto"/>
        <w:right w:val="none" w:sz="0" w:space="0" w:color="auto"/>
      </w:divBdr>
    </w:div>
    <w:div w:id="1062405267">
      <w:bodyDiv w:val="1"/>
      <w:marLeft w:val="0"/>
      <w:marRight w:val="0"/>
      <w:marTop w:val="0"/>
      <w:marBottom w:val="0"/>
      <w:divBdr>
        <w:top w:val="none" w:sz="0" w:space="0" w:color="auto"/>
        <w:left w:val="none" w:sz="0" w:space="0" w:color="auto"/>
        <w:bottom w:val="none" w:sz="0" w:space="0" w:color="auto"/>
        <w:right w:val="none" w:sz="0" w:space="0" w:color="auto"/>
      </w:divBdr>
    </w:div>
    <w:div w:id="1068914685">
      <w:bodyDiv w:val="1"/>
      <w:marLeft w:val="0"/>
      <w:marRight w:val="0"/>
      <w:marTop w:val="0"/>
      <w:marBottom w:val="0"/>
      <w:divBdr>
        <w:top w:val="none" w:sz="0" w:space="0" w:color="auto"/>
        <w:left w:val="none" w:sz="0" w:space="0" w:color="auto"/>
        <w:bottom w:val="none" w:sz="0" w:space="0" w:color="auto"/>
        <w:right w:val="none" w:sz="0" w:space="0" w:color="auto"/>
      </w:divBdr>
    </w:div>
    <w:div w:id="1086147418">
      <w:bodyDiv w:val="1"/>
      <w:marLeft w:val="0"/>
      <w:marRight w:val="0"/>
      <w:marTop w:val="0"/>
      <w:marBottom w:val="0"/>
      <w:divBdr>
        <w:top w:val="none" w:sz="0" w:space="0" w:color="auto"/>
        <w:left w:val="none" w:sz="0" w:space="0" w:color="auto"/>
        <w:bottom w:val="none" w:sz="0" w:space="0" w:color="auto"/>
        <w:right w:val="none" w:sz="0" w:space="0" w:color="auto"/>
      </w:divBdr>
    </w:div>
    <w:div w:id="1281836911">
      <w:bodyDiv w:val="1"/>
      <w:marLeft w:val="0"/>
      <w:marRight w:val="0"/>
      <w:marTop w:val="0"/>
      <w:marBottom w:val="0"/>
      <w:divBdr>
        <w:top w:val="none" w:sz="0" w:space="0" w:color="auto"/>
        <w:left w:val="none" w:sz="0" w:space="0" w:color="auto"/>
        <w:bottom w:val="none" w:sz="0" w:space="0" w:color="auto"/>
        <w:right w:val="none" w:sz="0" w:space="0" w:color="auto"/>
      </w:divBdr>
    </w:div>
    <w:div w:id="1322076722">
      <w:bodyDiv w:val="1"/>
      <w:marLeft w:val="0"/>
      <w:marRight w:val="0"/>
      <w:marTop w:val="0"/>
      <w:marBottom w:val="0"/>
      <w:divBdr>
        <w:top w:val="none" w:sz="0" w:space="0" w:color="auto"/>
        <w:left w:val="none" w:sz="0" w:space="0" w:color="auto"/>
        <w:bottom w:val="none" w:sz="0" w:space="0" w:color="auto"/>
        <w:right w:val="none" w:sz="0" w:space="0" w:color="auto"/>
      </w:divBdr>
    </w:div>
    <w:div w:id="1398166499">
      <w:bodyDiv w:val="1"/>
      <w:marLeft w:val="0"/>
      <w:marRight w:val="0"/>
      <w:marTop w:val="0"/>
      <w:marBottom w:val="0"/>
      <w:divBdr>
        <w:top w:val="none" w:sz="0" w:space="0" w:color="auto"/>
        <w:left w:val="none" w:sz="0" w:space="0" w:color="auto"/>
        <w:bottom w:val="none" w:sz="0" w:space="0" w:color="auto"/>
        <w:right w:val="none" w:sz="0" w:space="0" w:color="auto"/>
      </w:divBdr>
    </w:div>
    <w:div w:id="1617786042">
      <w:bodyDiv w:val="1"/>
      <w:marLeft w:val="0"/>
      <w:marRight w:val="0"/>
      <w:marTop w:val="0"/>
      <w:marBottom w:val="0"/>
      <w:divBdr>
        <w:top w:val="none" w:sz="0" w:space="0" w:color="auto"/>
        <w:left w:val="none" w:sz="0" w:space="0" w:color="auto"/>
        <w:bottom w:val="none" w:sz="0" w:space="0" w:color="auto"/>
        <w:right w:val="none" w:sz="0" w:space="0" w:color="auto"/>
      </w:divBdr>
    </w:div>
    <w:div w:id="1723021438">
      <w:bodyDiv w:val="1"/>
      <w:marLeft w:val="0"/>
      <w:marRight w:val="0"/>
      <w:marTop w:val="0"/>
      <w:marBottom w:val="0"/>
      <w:divBdr>
        <w:top w:val="none" w:sz="0" w:space="0" w:color="auto"/>
        <w:left w:val="none" w:sz="0" w:space="0" w:color="auto"/>
        <w:bottom w:val="none" w:sz="0" w:space="0" w:color="auto"/>
        <w:right w:val="none" w:sz="0" w:space="0" w:color="auto"/>
      </w:divBdr>
    </w:div>
    <w:div w:id="1740401616">
      <w:bodyDiv w:val="1"/>
      <w:marLeft w:val="0"/>
      <w:marRight w:val="0"/>
      <w:marTop w:val="0"/>
      <w:marBottom w:val="0"/>
      <w:divBdr>
        <w:top w:val="none" w:sz="0" w:space="0" w:color="auto"/>
        <w:left w:val="none" w:sz="0" w:space="0" w:color="auto"/>
        <w:bottom w:val="none" w:sz="0" w:space="0" w:color="auto"/>
        <w:right w:val="none" w:sz="0" w:space="0" w:color="auto"/>
      </w:divBdr>
    </w:div>
    <w:div w:id="1746143059">
      <w:bodyDiv w:val="1"/>
      <w:marLeft w:val="0"/>
      <w:marRight w:val="0"/>
      <w:marTop w:val="0"/>
      <w:marBottom w:val="0"/>
      <w:divBdr>
        <w:top w:val="none" w:sz="0" w:space="0" w:color="auto"/>
        <w:left w:val="none" w:sz="0" w:space="0" w:color="auto"/>
        <w:bottom w:val="none" w:sz="0" w:space="0" w:color="auto"/>
        <w:right w:val="none" w:sz="0" w:space="0" w:color="auto"/>
      </w:divBdr>
    </w:div>
    <w:div w:id="1776706692">
      <w:bodyDiv w:val="1"/>
      <w:marLeft w:val="0"/>
      <w:marRight w:val="0"/>
      <w:marTop w:val="0"/>
      <w:marBottom w:val="0"/>
      <w:divBdr>
        <w:top w:val="none" w:sz="0" w:space="0" w:color="auto"/>
        <w:left w:val="none" w:sz="0" w:space="0" w:color="auto"/>
        <w:bottom w:val="none" w:sz="0" w:space="0" w:color="auto"/>
        <w:right w:val="none" w:sz="0" w:space="0" w:color="auto"/>
      </w:divBdr>
    </w:div>
    <w:div w:id="1801457292">
      <w:bodyDiv w:val="1"/>
      <w:marLeft w:val="0"/>
      <w:marRight w:val="0"/>
      <w:marTop w:val="0"/>
      <w:marBottom w:val="0"/>
      <w:divBdr>
        <w:top w:val="none" w:sz="0" w:space="0" w:color="auto"/>
        <w:left w:val="none" w:sz="0" w:space="0" w:color="auto"/>
        <w:bottom w:val="none" w:sz="0" w:space="0" w:color="auto"/>
        <w:right w:val="none" w:sz="0" w:space="0" w:color="auto"/>
      </w:divBdr>
    </w:div>
    <w:div w:id="2000304239">
      <w:bodyDiv w:val="1"/>
      <w:marLeft w:val="0"/>
      <w:marRight w:val="0"/>
      <w:marTop w:val="0"/>
      <w:marBottom w:val="0"/>
      <w:divBdr>
        <w:top w:val="none" w:sz="0" w:space="0" w:color="auto"/>
        <w:left w:val="none" w:sz="0" w:space="0" w:color="auto"/>
        <w:bottom w:val="none" w:sz="0" w:space="0" w:color="auto"/>
        <w:right w:val="none" w:sz="0" w:space="0" w:color="auto"/>
      </w:divBdr>
    </w:div>
    <w:div w:id="2022466990">
      <w:bodyDiv w:val="1"/>
      <w:marLeft w:val="0"/>
      <w:marRight w:val="0"/>
      <w:marTop w:val="0"/>
      <w:marBottom w:val="0"/>
      <w:divBdr>
        <w:top w:val="none" w:sz="0" w:space="0" w:color="auto"/>
        <w:left w:val="none" w:sz="0" w:space="0" w:color="auto"/>
        <w:bottom w:val="none" w:sz="0" w:space="0" w:color="auto"/>
        <w:right w:val="none" w:sz="0" w:space="0" w:color="auto"/>
      </w:divBdr>
    </w:div>
    <w:div w:id="2057200016">
      <w:bodyDiv w:val="1"/>
      <w:marLeft w:val="0"/>
      <w:marRight w:val="0"/>
      <w:marTop w:val="0"/>
      <w:marBottom w:val="0"/>
      <w:divBdr>
        <w:top w:val="none" w:sz="0" w:space="0" w:color="auto"/>
        <w:left w:val="none" w:sz="0" w:space="0" w:color="auto"/>
        <w:bottom w:val="none" w:sz="0" w:space="0" w:color="auto"/>
        <w:right w:val="none" w:sz="0" w:space="0" w:color="auto"/>
      </w:divBdr>
    </w:div>
    <w:div w:id="2098401124">
      <w:bodyDiv w:val="1"/>
      <w:marLeft w:val="0"/>
      <w:marRight w:val="0"/>
      <w:marTop w:val="0"/>
      <w:marBottom w:val="0"/>
      <w:divBdr>
        <w:top w:val="none" w:sz="0" w:space="0" w:color="auto"/>
        <w:left w:val="none" w:sz="0" w:space="0" w:color="auto"/>
        <w:bottom w:val="none" w:sz="0" w:space="0" w:color="auto"/>
        <w:right w:val="none" w:sz="0" w:space="0" w:color="auto"/>
      </w:divBdr>
    </w:div>
    <w:div w:id="213517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4191038216f6525f/Desktop/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Available soil nitrogen of after harvesting (kg/ha)</a:t>
            </a:r>
            <a:endParaRPr lang="en-IN"/>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standard"/>
        <c:ser>
          <c:idx val="0"/>
          <c:order val="0"/>
          <c:tx>
            <c:strRef>
              <c:f>Sheet1!$B$757</c:f>
              <c:strCache>
                <c:ptCount val="1"/>
                <c:pt idx="0">
                  <c:v>2020-21</c:v>
                </c:pt>
              </c:strCache>
            </c:strRef>
          </c:tx>
          <c:spPr>
            <a:solidFill>
              <a:schemeClr val="accent1"/>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Sheet1!$B$758:$B$761</c:f>
              <c:numCache>
                <c:formatCode>General</c:formatCode>
                <c:ptCount val="4"/>
                <c:pt idx="0">
                  <c:v>86.02</c:v>
                </c:pt>
                <c:pt idx="1">
                  <c:v>111.02</c:v>
                </c:pt>
                <c:pt idx="2">
                  <c:v>137.88000000000011</c:v>
                </c:pt>
                <c:pt idx="3">
                  <c:v>172.51</c:v>
                </c:pt>
              </c:numCache>
            </c:numRef>
          </c:val>
          <c:extLst xmlns:c16r2="http://schemas.microsoft.com/office/drawing/2015/06/chart">
            <c:ext xmlns:c16="http://schemas.microsoft.com/office/drawing/2014/chart" uri="{C3380CC4-5D6E-409C-BE32-E72D297353CC}">
              <c16:uniqueId val="{00000000-089E-4C07-B40B-53A2170C5CEE}"/>
            </c:ext>
          </c:extLst>
        </c:ser>
        <c:ser>
          <c:idx val="1"/>
          <c:order val="1"/>
          <c:tx>
            <c:strRef>
              <c:f>Sheet1!$C$757</c:f>
              <c:strCache>
                <c:ptCount val="1"/>
                <c:pt idx="0">
                  <c:v>2021-22</c:v>
                </c:pt>
              </c:strCache>
            </c:strRef>
          </c:tx>
          <c:spPr>
            <a:solidFill>
              <a:schemeClr val="accent2"/>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Sheet1!$C$758:$C$761</c:f>
              <c:numCache>
                <c:formatCode>General</c:formatCode>
                <c:ptCount val="4"/>
                <c:pt idx="0">
                  <c:v>76.25</c:v>
                </c:pt>
                <c:pt idx="1">
                  <c:v>105.14</c:v>
                </c:pt>
                <c:pt idx="2">
                  <c:v>136.66999999999999</c:v>
                </c:pt>
                <c:pt idx="3">
                  <c:v>162.28</c:v>
                </c:pt>
              </c:numCache>
            </c:numRef>
          </c:val>
          <c:extLst xmlns:c16r2="http://schemas.microsoft.com/office/drawing/2015/06/chart">
            <c:ext xmlns:c16="http://schemas.microsoft.com/office/drawing/2014/chart" uri="{C3380CC4-5D6E-409C-BE32-E72D297353CC}">
              <c16:uniqueId val="{00000001-089E-4C07-B40B-53A2170C5CEE}"/>
            </c:ext>
          </c:extLst>
        </c:ser>
        <c:dLbls>
          <c:showVal val="1"/>
        </c:dLbls>
        <c:shape val="box"/>
        <c:axId val="77896320"/>
        <c:axId val="91883392"/>
        <c:axId val="91782656"/>
      </c:bar3DChart>
      <c:catAx>
        <c:axId val="77896320"/>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Control      50kg/ha          100kg/ha </a:t>
                </a:r>
                <a:r>
                  <a:rPr lang="en-IN" baseline="0"/>
                  <a:t>   150kg/ha  </a:t>
                </a:r>
                <a:endParaRPr lang="en-IN"/>
              </a:p>
            </c:rich>
          </c:tx>
          <c:layout>
            <c:manualLayout>
              <c:xMode val="edge"/>
              <c:yMode val="edge"/>
              <c:x val="0.20598818897637813"/>
              <c:y val="0.72854039078448563"/>
            </c:manualLayout>
          </c:layout>
          <c:spPr>
            <a:noFill/>
            <a:ln>
              <a:noFill/>
            </a:ln>
            <a:effectLst/>
          </c:spPr>
        </c:title>
        <c:majorTickMark val="none"/>
        <c:tickLblPos val="nextTo"/>
        <c:crossAx val="91883392"/>
        <c:crosses val="autoZero"/>
        <c:auto val="1"/>
        <c:lblAlgn val="ctr"/>
        <c:lblOffset val="100"/>
      </c:catAx>
      <c:valAx>
        <c:axId val="9188339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896320"/>
        <c:crosses val="autoZero"/>
        <c:crossBetween val="between"/>
      </c:valAx>
      <c:serAx>
        <c:axId val="91782656"/>
        <c:scaling>
          <c:orientation val="minMax"/>
        </c:scaling>
        <c:axPos val="b"/>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883392"/>
        <c:crosses val="autoZero"/>
      </c:ser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279F15-7C21-4DFD-89C9-85D819D59328}">
  <we:reference id="wa200001361" version="2.129.3.0" store="en-IN" storeType="OMEX"/>
  <we:alternateReferences>
    <we:reference id="wa200001361" version="2.129.3.0" store="" storeType="OMEX"/>
  </we:alternateReferences>
  <we:properties>
    <we:property name="paperpal-document-id" value="&quot;13187951-b854-4f5c-be7f-40f8e88003f7&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A69D9-1446-466E-9503-3A21609F4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1</Pages>
  <Words>4236</Words>
  <Characters>24150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Indrajit Girase</dc:creator>
  <cp:keywords/>
  <dc:description/>
  <cp:lastModifiedBy>HP</cp:lastModifiedBy>
  <cp:revision>171</cp:revision>
  <cp:lastPrinted>2024-10-13T11:40:00Z</cp:lastPrinted>
  <dcterms:created xsi:type="dcterms:W3CDTF">2024-10-02T11:58:00Z</dcterms:created>
  <dcterms:modified xsi:type="dcterms:W3CDTF">2025-05-10T14:27:00Z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b40488ece783040a410af22eaebc093ccaa000cd502ebadb44cff5c2f2788fd9</vt:lpwstr>
  </property>
</Properties>
</file>