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58550" w14:textId="191BEA5A" w:rsidR="00353A3C" w:rsidRPr="00A81BAD" w:rsidRDefault="00353A3C" w:rsidP="00353A3C">
      <w:pPr>
        <w:pStyle w:val="Heading1"/>
        <w:spacing w:line="240" w:lineRule="auto"/>
        <w:rPr>
          <w:rFonts w:asciiTheme="minorBidi" w:hAnsiTheme="minorBidi" w:cstheme="minorBidi"/>
          <w:b/>
          <w:bCs/>
          <w:color w:val="000000" w:themeColor="text1"/>
          <w:sz w:val="36"/>
          <w:szCs w:val="36"/>
          <w:u w:val="single"/>
        </w:rPr>
      </w:pPr>
      <w:bookmarkStart w:id="0" w:name="_Hlk159763115"/>
      <w:r w:rsidRPr="00A81BAD">
        <w:rPr>
          <w:rFonts w:asciiTheme="minorBidi" w:hAnsiTheme="minorBidi" w:cstheme="minorBidi"/>
          <w:b/>
          <w:bCs/>
          <w:color w:val="000000" w:themeColor="text1"/>
          <w:sz w:val="36"/>
          <w:szCs w:val="36"/>
          <w:u w:val="single"/>
        </w:rPr>
        <w:t>Original Research Article</w:t>
      </w:r>
    </w:p>
    <w:p w14:paraId="65885309" w14:textId="71A60A49" w:rsidR="006F00CC" w:rsidRPr="00A81BAD" w:rsidRDefault="000E4B23">
      <w:pPr>
        <w:pStyle w:val="Heading1"/>
        <w:spacing w:line="240" w:lineRule="auto"/>
        <w:jc w:val="right"/>
        <w:rPr>
          <w:rFonts w:asciiTheme="minorBidi" w:hAnsiTheme="minorBidi" w:cstheme="minorBidi"/>
          <w:b/>
          <w:bCs/>
          <w:color w:val="000000" w:themeColor="text1"/>
          <w:sz w:val="36"/>
          <w:szCs w:val="36"/>
          <w:lang w:val="en-US"/>
        </w:rPr>
      </w:pPr>
      <w:r w:rsidRPr="00A81BAD">
        <w:rPr>
          <w:rFonts w:asciiTheme="minorBidi" w:hAnsiTheme="minorBidi" w:cstheme="minorBidi"/>
          <w:b/>
          <w:bCs/>
          <w:color w:val="000000" w:themeColor="text1"/>
          <w:sz w:val="36"/>
          <w:szCs w:val="36"/>
        </w:rPr>
        <w:t>Stability analysis of Indian mustard genotypes under variable sowing dates using Eberhart-Russell model</w:t>
      </w:r>
    </w:p>
    <w:bookmarkEnd w:id="0"/>
    <w:p w14:paraId="0F9343DB" w14:textId="77777777" w:rsidR="0077621B" w:rsidRPr="00A81BAD" w:rsidRDefault="0077621B" w:rsidP="008851AB">
      <w:pPr>
        <w:spacing w:after="0" w:line="240" w:lineRule="auto"/>
        <w:jc w:val="right"/>
        <w:rPr>
          <w:rFonts w:asciiTheme="minorBidi" w:hAnsiTheme="minorBidi" w:cstheme="minorBidi"/>
          <w:color w:val="000000" w:themeColor="text1"/>
          <w:sz w:val="20"/>
          <w:szCs w:val="22"/>
          <w:lang w:val="en-US"/>
        </w:rPr>
      </w:pPr>
    </w:p>
    <w:p w14:paraId="64F18193" w14:textId="77777777" w:rsidR="0028523F" w:rsidRPr="00A81BAD" w:rsidRDefault="0028523F" w:rsidP="008851AB">
      <w:pPr>
        <w:spacing w:after="0" w:line="240" w:lineRule="auto"/>
        <w:jc w:val="right"/>
        <w:rPr>
          <w:rFonts w:asciiTheme="minorBidi" w:hAnsiTheme="minorBidi" w:cstheme="minorBidi"/>
          <w:color w:val="000000" w:themeColor="text1"/>
          <w:sz w:val="20"/>
          <w:szCs w:val="22"/>
          <w:lang w:val="en-US"/>
        </w:rPr>
      </w:pPr>
    </w:p>
    <w:p w14:paraId="0950F9FF" w14:textId="77777777" w:rsidR="006F00CC" w:rsidRPr="00A81BAD" w:rsidRDefault="000E4B23">
      <w:pPr>
        <w:spacing w:after="0"/>
        <w:jc w:val="both"/>
        <w:rPr>
          <w:rFonts w:asciiTheme="minorBidi" w:hAnsiTheme="minorBidi" w:cstheme="minorBidi"/>
          <w:color w:val="000000" w:themeColor="text1"/>
          <w:sz w:val="22"/>
          <w:szCs w:val="24"/>
          <w:vertAlign w:val="superscript"/>
          <w:lang w:val="en-US"/>
        </w:rPr>
      </w:pPr>
      <w:r w:rsidRPr="00A81BAD">
        <w:rPr>
          <w:rFonts w:asciiTheme="minorBidi" w:hAnsiTheme="minorBidi" w:cstheme="minorBidi"/>
          <w:noProof/>
          <w:color w:val="000000" w:themeColor="text1"/>
          <w:sz w:val="20"/>
          <w:szCs w:val="22"/>
          <w:lang w:val="en-US"/>
        </w:rPr>
        <mc:AlternateContent>
          <mc:Choice Requires="wps">
            <w:drawing>
              <wp:anchor distT="0" distB="0" distL="114300" distR="114300" simplePos="0" relativeHeight="251658240" behindDoc="0" locked="0" layoutInCell="1" allowOverlap="1" wp14:anchorId="43499D19" wp14:editId="7A1C9C00">
                <wp:simplePos x="0" y="0"/>
                <wp:positionH relativeFrom="page">
                  <wp:posOffset>1348105</wp:posOffset>
                </wp:positionH>
                <wp:positionV relativeFrom="paragraph">
                  <wp:posOffset>63500</wp:posOffset>
                </wp:positionV>
                <wp:extent cx="5303520" cy="0"/>
                <wp:effectExtent l="0" t="0" r="0" b="0"/>
                <wp:wrapNone/>
                <wp:docPr id="185429426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175CB5" id="_x0000_t32" coordsize="21600,21600" o:spt="32" o:oned="t" path="m,l21600,21600e" filled="f">
                <v:path arrowok="t" fillok="f" o:connecttype="none"/>
                <o:lock v:ext="edit" shapetype="t"/>
              </v:shapetype>
              <v:shape id="Straight Arrow Connector 1" o:spid="_x0000_s1026" type="#_x0000_t32" style="position:absolute;margin-left:106.15pt;margin-top:5pt;width:417.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" strokeweight="1.5pt">
                <w10:wrap anchorx="page"/>
              </v:shape>
            </w:pict>
          </mc:Fallback>
        </mc:AlternateContent>
      </w:r>
    </w:p>
    <w:p w14:paraId="02935BAB" w14:textId="77777777" w:rsidR="006F00CC" w:rsidRPr="00A81BAD" w:rsidRDefault="000E4B23">
      <w:pPr>
        <w:pStyle w:val="Heading2"/>
        <w:spacing w:before="120" w:line="360" w:lineRule="auto"/>
        <w:rPr>
          <w:rFonts w:asciiTheme="minorBidi" w:hAnsiTheme="minorBidi" w:cstheme="minorBidi"/>
          <w:b/>
          <w:bCs/>
          <w:color w:val="000000" w:themeColor="text1"/>
          <w:sz w:val="22"/>
          <w:szCs w:val="22"/>
          <w:lang w:val="en-US"/>
        </w:rPr>
      </w:pPr>
      <w:r w:rsidRPr="00A81BAD">
        <w:rPr>
          <w:rFonts w:asciiTheme="minorBidi" w:hAnsiTheme="minorBidi" w:cstheme="minorBidi"/>
          <w:b/>
          <w:bCs/>
          <w:color w:val="000000" w:themeColor="text1"/>
          <w:sz w:val="22"/>
          <w:szCs w:val="22"/>
          <w:lang w:val="en-US"/>
        </w:rPr>
        <w:t>ABSTRACT</w:t>
      </w:r>
    </w:p>
    <w:tbl>
      <w:tblPr>
        <w:tblStyle w:val="TableGrid"/>
        <w:tblW w:w="5000" w:type="pct"/>
        <w:shd w:val="clear" w:color="auto" w:fill="F2F2F2" w:themeFill="background1" w:themeFillShade="F2"/>
        <w:tblLook w:val="04A0" w:firstRow="1" w:lastRow="0" w:firstColumn="1" w:lastColumn="0" w:noHBand="0" w:noVBand="1"/>
      </w:tblPr>
      <w:tblGrid>
        <w:gridCol w:w="8522"/>
      </w:tblGrid>
      <w:tr w:rsidR="00A81BAD" w:rsidRPr="00A81BAD" w14:paraId="33F2389C" w14:textId="77777777">
        <w:tc>
          <w:tcPr>
            <w:tcW w:w="5000" w:type="pct"/>
            <w:shd w:val="clear" w:color="auto" w:fill="D9D9D9" w:themeFill="background1" w:themeFillShade="D9"/>
          </w:tcPr>
          <w:p w14:paraId="6A307327" w14:textId="77777777" w:rsidR="006F00CC" w:rsidRPr="00A81BAD" w:rsidRDefault="000E4B23">
            <w:pPr>
              <w:jc w:val="both"/>
              <w:rPr>
                <w:rFonts w:cs="Arial"/>
                <w:color w:val="000000" w:themeColor="text1"/>
                <w:sz w:val="20"/>
                <w:szCs w:val="20"/>
                <w:lang w:val="en-US"/>
              </w:rPr>
            </w:pPr>
            <w:r w:rsidRPr="00A81BAD">
              <w:rPr>
                <w:rFonts w:cs="Arial"/>
                <w:b/>
                <w:bCs/>
                <w:color w:val="000000" w:themeColor="text1"/>
                <w:sz w:val="20"/>
                <w:szCs w:val="20"/>
                <w:lang w:val="en-US"/>
              </w:rPr>
              <w:t xml:space="preserve">Aims: </w:t>
            </w:r>
            <w:r w:rsidRPr="00A81BAD">
              <w:rPr>
                <w:rFonts w:cs="Arial"/>
                <w:color w:val="000000" w:themeColor="text1"/>
                <w:sz w:val="20"/>
                <w:szCs w:val="20"/>
                <w:lang w:val="en-US"/>
              </w:rPr>
              <w:t xml:space="preserve">The present study was undertaken to </w:t>
            </w:r>
            <w:r w:rsidRPr="00A81BAD">
              <w:rPr>
                <w:rFonts w:cs="Arial"/>
                <w:color w:val="000000" w:themeColor="text1"/>
                <w:sz w:val="20"/>
                <w:szCs w:val="20"/>
                <w:lang w:val="en-US"/>
              </w:rPr>
              <w:t>identify mustard genotypes with stable performance under late-sown conditions by evaluating genotype × environment interactions across multiple sowing dates in the Eastern Vidarbha region of Maharashtra.</w:t>
            </w:r>
          </w:p>
          <w:p w14:paraId="5FBE9CAC" w14:textId="77777777" w:rsidR="006F00CC" w:rsidRPr="00A81BAD" w:rsidRDefault="000E4B23">
            <w:pPr>
              <w:jc w:val="both"/>
              <w:rPr>
                <w:rFonts w:cs="Arial"/>
                <w:color w:val="000000" w:themeColor="text1"/>
                <w:sz w:val="20"/>
                <w:szCs w:val="20"/>
                <w:lang w:val="en-US"/>
              </w:rPr>
            </w:pPr>
            <w:r w:rsidRPr="00A81BAD">
              <w:rPr>
                <w:rFonts w:cs="Arial"/>
                <w:b/>
                <w:bCs/>
                <w:color w:val="000000" w:themeColor="text1"/>
                <w:sz w:val="20"/>
                <w:szCs w:val="20"/>
                <w:lang w:val="en-US"/>
              </w:rPr>
              <w:t xml:space="preserve">Study Design: </w:t>
            </w:r>
            <w:r w:rsidRPr="00A81BAD">
              <w:rPr>
                <w:rFonts w:cs="Arial"/>
                <w:color w:val="000000" w:themeColor="text1"/>
                <w:sz w:val="20"/>
                <w:szCs w:val="20"/>
                <w:lang w:val="en-US"/>
              </w:rPr>
              <w:t xml:space="preserve">A </w:t>
            </w:r>
            <w:r w:rsidRPr="00A81BAD">
              <w:rPr>
                <w:rFonts w:cs="Arial"/>
                <w:color w:val="000000" w:themeColor="text1"/>
                <w:sz w:val="20"/>
                <w:szCs w:val="20"/>
              </w:rPr>
              <w:t>field experiment was conducted using</w:t>
            </w:r>
            <w:r w:rsidRPr="00A81BAD">
              <w:rPr>
                <w:rFonts w:cs="Arial"/>
                <w:color w:val="000000" w:themeColor="text1"/>
                <w:sz w:val="20"/>
                <w:szCs w:val="20"/>
              </w:rPr>
              <w:t xml:space="preserve"> eight mustard genotypes along with two check varieties (PM-26 and TAM 108-1) during the </w:t>
            </w:r>
            <w:r w:rsidRPr="00A81BAD">
              <w:rPr>
                <w:rFonts w:cs="Arial"/>
                <w:i/>
                <w:iCs/>
                <w:color w:val="000000" w:themeColor="text1"/>
                <w:sz w:val="20"/>
                <w:szCs w:val="20"/>
              </w:rPr>
              <w:t>rabi</w:t>
            </w:r>
            <w:r w:rsidRPr="00A81BAD">
              <w:rPr>
                <w:rFonts w:cs="Arial"/>
                <w:color w:val="000000" w:themeColor="text1"/>
                <w:sz w:val="20"/>
                <w:szCs w:val="20"/>
              </w:rPr>
              <w:t xml:space="preserve"> seasons of 2020–21, 2021–22, 2022–23 and 2023–24. The genotypes were evaluated under four different sowing dates each year — 30</w:t>
            </w:r>
            <w:r w:rsidRPr="00A81BAD">
              <w:rPr>
                <w:rFonts w:cs="Arial"/>
                <w:color w:val="000000" w:themeColor="text1"/>
                <w:sz w:val="20"/>
                <w:szCs w:val="20"/>
                <w:vertAlign w:val="superscript"/>
              </w:rPr>
              <w:t>th</w:t>
            </w:r>
            <w:r w:rsidRPr="00A81BAD">
              <w:rPr>
                <w:rFonts w:cs="Arial"/>
                <w:color w:val="000000" w:themeColor="text1"/>
                <w:sz w:val="20"/>
                <w:szCs w:val="20"/>
              </w:rPr>
              <w:t xml:space="preserve"> October, 15</w:t>
            </w:r>
            <w:r w:rsidRPr="00A81BAD">
              <w:rPr>
                <w:rFonts w:cs="Arial"/>
                <w:color w:val="000000" w:themeColor="text1"/>
                <w:sz w:val="20"/>
                <w:szCs w:val="20"/>
                <w:vertAlign w:val="superscript"/>
              </w:rPr>
              <w:t>th</w:t>
            </w:r>
            <w:r w:rsidRPr="00A81BAD">
              <w:rPr>
                <w:rFonts w:cs="Arial"/>
                <w:color w:val="000000" w:themeColor="text1"/>
                <w:sz w:val="20"/>
                <w:szCs w:val="20"/>
              </w:rPr>
              <w:t xml:space="preserve"> November, 30</w:t>
            </w:r>
            <w:r w:rsidRPr="00A81BAD">
              <w:rPr>
                <w:rFonts w:cs="Arial"/>
                <w:color w:val="000000" w:themeColor="text1"/>
                <w:sz w:val="20"/>
                <w:szCs w:val="20"/>
                <w:vertAlign w:val="superscript"/>
              </w:rPr>
              <w:t xml:space="preserve">th </w:t>
            </w:r>
            <w:r w:rsidRPr="00A81BAD">
              <w:rPr>
                <w:rFonts w:cs="Arial"/>
                <w:color w:val="000000" w:themeColor="text1"/>
                <w:sz w:val="20"/>
                <w:szCs w:val="20"/>
              </w:rPr>
              <w:t>Nov</w:t>
            </w:r>
            <w:r w:rsidRPr="00A81BAD">
              <w:rPr>
                <w:rFonts w:cs="Arial"/>
                <w:color w:val="000000" w:themeColor="text1"/>
                <w:sz w:val="20"/>
                <w:szCs w:val="20"/>
              </w:rPr>
              <w:t>ember and 15</w:t>
            </w:r>
            <w:r w:rsidRPr="00A81BAD">
              <w:rPr>
                <w:rFonts w:cs="Arial"/>
                <w:color w:val="000000" w:themeColor="text1"/>
                <w:sz w:val="20"/>
                <w:szCs w:val="20"/>
                <w:vertAlign w:val="superscript"/>
              </w:rPr>
              <w:t>th</w:t>
            </w:r>
            <w:r w:rsidRPr="00A81BAD">
              <w:rPr>
                <w:rFonts w:cs="Arial"/>
                <w:color w:val="000000" w:themeColor="text1"/>
                <w:sz w:val="20"/>
                <w:szCs w:val="20"/>
              </w:rPr>
              <w:t xml:space="preserve"> December — each treated as a distinct environment. A total of sixteen environments were generated over the four years. The study followed a randomized complete block design with three replications.</w:t>
            </w:r>
          </w:p>
          <w:p w14:paraId="2E8D6CD8" w14:textId="77777777" w:rsidR="006F00CC" w:rsidRPr="00A81BAD" w:rsidRDefault="000E4B23">
            <w:pPr>
              <w:jc w:val="both"/>
              <w:rPr>
                <w:rFonts w:cs="Arial"/>
                <w:color w:val="000000" w:themeColor="text1"/>
                <w:sz w:val="20"/>
                <w:szCs w:val="20"/>
              </w:rPr>
            </w:pPr>
            <w:r w:rsidRPr="00A81BAD">
              <w:rPr>
                <w:rFonts w:cs="Arial"/>
                <w:b/>
                <w:bCs/>
                <w:color w:val="000000" w:themeColor="text1"/>
                <w:sz w:val="20"/>
                <w:szCs w:val="20"/>
                <w:lang w:val="en-US"/>
              </w:rPr>
              <w:t xml:space="preserve">Place and Duration of Study: </w:t>
            </w:r>
            <w:r w:rsidRPr="00A81BAD">
              <w:rPr>
                <w:rFonts w:cs="Arial"/>
                <w:color w:val="000000" w:themeColor="text1"/>
                <w:sz w:val="20"/>
                <w:szCs w:val="20"/>
              </w:rPr>
              <w:t>The experiment</w:t>
            </w:r>
            <w:r w:rsidRPr="00A81BAD">
              <w:rPr>
                <w:rFonts w:cs="Arial"/>
                <w:color w:val="000000" w:themeColor="text1"/>
                <w:sz w:val="20"/>
                <w:szCs w:val="20"/>
              </w:rPr>
              <w:t xml:space="preserve"> was carried out at the Research Farm of the All India Coordinated Research Project (AICRP) on Linseed and Mustard, College of Agriculture, Nagpur, Maharashtra. The study spanned four consecutive </w:t>
            </w:r>
            <w:r w:rsidRPr="00A81BAD">
              <w:rPr>
                <w:rFonts w:cs="Arial"/>
                <w:i/>
                <w:iCs/>
                <w:color w:val="000000" w:themeColor="text1"/>
                <w:sz w:val="20"/>
                <w:szCs w:val="20"/>
              </w:rPr>
              <w:t>rabi</w:t>
            </w:r>
            <w:r w:rsidRPr="00A81BAD">
              <w:rPr>
                <w:rFonts w:cs="Arial"/>
                <w:color w:val="000000" w:themeColor="text1"/>
                <w:sz w:val="20"/>
                <w:szCs w:val="20"/>
              </w:rPr>
              <w:t xml:space="preserve"> seasons, from 2020–21 to 2023–24.</w:t>
            </w:r>
          </w:p>
          <w:p w14:paraId="029565B3" w14:textId="77777777" w:rsidR="006F00CC" w:rsidRPr="00A81BAD" w:rsidRDefault="000E4B23">
            <w:pPr>
              <w:jc w:val="both"/>
              <w:rPr>
                <w:color w:val="000000" w:themeColor="text1"/>
                <w:sz w:val="20"/>
                <w:szCs w:val="20"/>
                <w:lang w:val="en-US"/>
              </w:rPr>
            </w:pPr>
            <w:r w:rsidRPr="00A81BAD">
              <w:rPr>
                <w:b/>
                <w:bCs/>
                <w:color w:val="000000" w:themeColor="text1"/>
                <w:sz w:val="20"/>
                <w:szCs w:val="20"/>
                <w:lang w:val="en-US"/>
              </w:rPr>
              <w:t xml:space="preserve">Methodology: </w:t>
            </w:r>
            <w:r w:rsidRPr="00A81BAD">
              <w:rPr>
                <w:color w:val="000000" w:themeColor="text1"/>
                <w:sz w:val="20"/>
                <w:szCs w:val="20"/>
                <w:lang w:val="en-US"/>
              </w:rPr>
              <w:t>Observat</w:t>
            </w:r>
            <w:r w:rsidRPr="00A81BAD">
              <w:rPr>
                <w:color w:val="000000" w:themeColor="text1"/>
                <w:sz w:val="20"/>
                <w:szCs w:val="20"/>
                <w:lang w:val="en-US"/>
              </w:rPr>
              <w:t xml:space="preserve">ions were recorded on five traits </w:t>
            </w:r>
            <w:r w:rsidRPr="00A81BAD">
              <w:rPr>
                <w:i/>
                <w:iCs/>
                <w:color w:val="000000" w:themeColor="text1"/>
                <w:sz w:val="20"/>
                <w:szCs w:val="20"/>
                <w:lang w:val="en-US"/>
              </w:rPr>
              <w:t>viz.,</w:t>
            </w:r>
            <w:r w:rsidRPr="00A81BAD">
              <w:rPr>
                <w:color w:val="000000" w:themeColor="text1"/>
                <w:sz w:val="20"/>
                <w:szCs w:val="20"/>
                <w:lang w:val="en-US"/>
              </w:rPr>
              <w:t xml:space="preserve"> days to maturity, plant height, number of branches plant</w:t>
            </w:r>
            <w:r w:rsidRPr="00A81BAD">
              <w:rPr>
                <w:color w:val="000000" w:themeColor="text1"/>
                <w:sz w:val="20"/>
                <w:szCs w:val="20"/>
                <w:vertAlign w:val="superscript"/>
                <w:lang w:val="en-US"/>
              </w:rPr>
              <w:t>-1</w:t>
            </w:r>
            <w:r w:rsidRPr="00A81BAD">
              <w:rPr>
                <w:color w:val="000000" w:themeColor="text1"/>
                <w:sz w:val="20"/>
                <w:szCs w:val="20"/>
                <w:lang w:val="en-US"/>
              </w:rPr>
              <w:t>, number of siliquae plant</w:t>
            </w:r>
            <w:r w:rsidRPr="00A81BAD">
              <w:rPr>
                <w:color w:val="000000" w:themeColor="text1"/>
                <w:sz w:val="20"/>
                <w:szCs w:val="20"/>
                <w:vertAlign w:val="superscript"/>
                <w:lang w:val="en-US"/>
              </w:rPr>
              <w:t xml:space="preserve">-1 </w:t>
            </w:r>
            <w:r w:rsidRPr="00A81BAD">
              <w:rPr>
                <w:color w:val="000000" w:themeColor="text1"/>
                <w:sz w:val="20"/>
                <w:szCs w:val="20"/>
                <w:lang w:val="en-US"/>
              </w:rPr>
              <w:t>and seed yield plot</w:t>
            </w:r>
            <w:r w:rsidRPr="00A81BAD">
              <w:rPr>
                <w:color w:val="000000" w:themeColor="text1"/>
                <w:sz w:val="20"/>
                <w:szCs w:val="20"/>
                <w:vertAlign w:val="superscript"/>
                <w:lang w:val="en-US"/>
              </w:rPr>
              <w:t>-1</w:t>
            </w:r>
            <w:r w:rsidRPr="00A81BAD">
              <w:rPr>
                <w:color w:val="000000" w:themeColor="text1"/>
                <w:sz w:val="20"/>
                <w:szCs w:val="20"/>
                <w:lang w:val="en-US"/>
              </w:rPr>
              <w:t xml:space="preserve">. The data were subjected to analysis of variance (ANOVA) to determine the significance of genotype, </w:t>
            </w:r>
            <w:r w:rsidRPr="00A81BAD">
              <w:rPr>
                <w:color w:val="000000" w:themeColor="text1"/>
                <w:sz w:val="20"/>
                <w:szCs w:val="20"/>
                <w:lang w:val="en-US"/>
              </w:rPr>
              <w:t xml:space="preserve">environment and their interaction. Stability analysis was performed using the Eberhart and Russell </w:t>
            </w:r>
            <w:commentRangeStart w:id="1"/>
            <w:r w:rsidRPr="00A81BAD">
              <w:rPr>
                <w:color w:val="000000" w:themeColor="text1"/>
                <w:sz w:val="20"/>
                <w:szCs w:val="20"/>
                <w:lang w:val="en-US"/>
              </w:rPr>
              <w:t xml:space="preserve">(1966) </w:t>
            </w:r>
            <w:commentRangeEnd w:id="1"/>
            <w:r w:rsidR="00F329A7" w:rsidRPr="00A81BAD">
              <w:rPr>
                <w:rStyle w:val="CommentReference"/>
                <w:color w:val="000000" w:themeColor="text1"/>
              </w:rPr>
              <w:commentReference w:id="1"/>
            </w:r>
            <w:r w:rsidRPr="00A81BAD">
              <w:rPr>
                <w:color w:val="000000" w:themeColor="text1"/>
                <w:sz w:val="20"/>
                <w:szCs w:val="20"/>
                <w:lang w:val="en-US"/>
              </w:rPr>
              <w:t>model, which computes three parameters: mean performance, regression coefficient (b</w:t>
            </w:r>
            <w:r w:rsidRPr="00A81BAD">
              <w:rPr>
                <w:color w:val="000000" w:themeColor="text1"/>
                <w:sz w:val="20"/>
                <w:szCs w:val="20"/>
                <w:vertAlign w:val="subscript"/>
                <w:lang w:val="en-US"/>
              </w:rPr>
              <w:t>i</w:t>
            </w:r>
            <w:r w:rsidRPr="00A81BAD">
              <w:rPr>
                <w:color w:val="000000" w:themeColor="text1"/>
                <w:sz w:val="20"/>
                <w:szCs w:val="20"/>
                <w:lang w:val="en-US"/>
              </w:rPr>
              <w:t>) and deviation from regression (S²di). These parameters were used</w:t>
            </w:r>
            <w:r w:rsidRPr="00A81BAD">
              <w:rPr>
                <w:color w:val="000000" w:themeColor="text1"/>
                <w:sz w:val="20"/>
                <w:szCs w:val="20"/>
                <w:lang w:val="en-US"/>
              </w:rPr>
              <w:t xml:space="preserve"> to evaluate the adaptability and stability of genotypes across environments.</w:t>
            </w:r>
          </w:p>
          <w:p w14:paraId="386B4597" w14:textId="77777777" w:rsidR="006F00CC" w:rsidRPr="00A81BAD" w:rsidRDefault="000E4B23">
            <w:pPr>
              <w:jc w:val="both"/>
              <w:rPr>
                <w:rFonts w:cs="Arial"/>
                <w:color w:val="000000" w:themeColor="text1"/>
                <w:sz w:val="20"/>
                <w:szCs w:val="20"/>
                <w:lang w:val="en-US"/>
              </w:rPr>
            </w:pPr>
            <w:r w:rsidRPr="00A81BAD">
              <w:rPr>
                <w:rFonts w:cs="Arial"/>
                <w:b/>
                <w:bCs/>
                <w:color w:val="000000" w:themeColor="text1"/>
                <w:sz w:val="20"/>
                <w:szCs w:val="20"/>
                <w:lang w:val="en-US"/>
              </w:rPr>
              <w:t>Results:</w:t>
            </w:r>
            <w:r w:rsidRPr="00A81BAD">
              <w:rPr>
                <w:rFonts w:cs="Arial"/>
                <w:color w:val="000000" w:themeColor="text1"/>
                <w:sz w:val="20"/>
                <w:szCs w:val="20"/>
                <w:lang w:val="en-US"/>
              </w:rPr>
              <w:t xml:space="preserve"> </w:t>
            </w:r>
            <w:r w:rsidRPr="00A81BAD">
              <w:rPr>
                <w:rFonts w:cs="Arial"/>
                <w:color w:val="000000" w:themeColor="text1"/>
                <w:sz w:val="20"/>
                <w:szCs w:val="20"/>
              </w:rPr>
              <w:t>The analysis of variance indicated significant differences among environments, genotypes and genotype × environment interactions for all traits under study. The signific</w:t>
            </w:r>
            <w:r w:rsidRPr="00A81BAD">
              <w:rPr>
                <w:rFonts w:cs="Arial"/>
                <w:color w:val="000000" w:themeColor="text1"/>
                <w:sz w:val="20"/>
                <w:szCs w:val="20"/>
              </w:rPr>
              <w:t>ant pooled deviation also confirmed the presence of differential genotype responses to varying environments. Stability analysis revealed that the genotypes ACN-237 and ACN-226 exhibited the highest mean seed yield plot</w:t>
            </w:r>
            <w:r w:rsidRPr="00A81BAD">
              <w:rPr>
                <w:rFonts w:cs="Arial"/>
                <w:color w:val="000000" w:themeColor="text1"/>
                <w:sz w:val="20"/>
                <w:szCs w:val="20"/>
                <w:vertAlign w:val="superscript"/>
              </w:rPr>
              <w:t xml:space="preserve">-1 </w:t>
            </w:r>
            <w:r w:rsidRPr="00A81BAD">
              <w:rPr>
                <w:rFonts w:cs="Arial"/>
                <w:color w:val="000000" w:themeColor="text1"/>
                <w:sz w:val="20"/>
                <w:szCs w:val="20"/>
              </w:rPr>
              <w:t>along with non-significant deviatio</w:t>
            </w:r>
            <w:r w:rsidRPr="00A81BAD">
              <w:rPr>
                <w:rFonts w:cs="Arial"/>
                <w:color w:val="000000" w:themeColor="text1"/>
                <w:sz w:val="20"/>
                <w:szCs w:val="20"/>
              </w:rPr>
              <w:t>n from regression (S²di) and regression coefficients (bi) tends to unity for days to maturity, plant height and seed yield plot</w:t>
            </w:r>
            <w:r w:rsidRPr="00A81BAD">
              <w:rPr>
                <w:rFonts w:cs="Arial"/>
                <w:color w:val="000000" w:themeColor="text1"/>
                <w:sz w:val="20"/>
                <w:szCs w:val="20"/>
                <w:vertAlign w:val="superscript"/>
              </w:rPr>
              <w:t>-1</w:t>
            </w:r>
            <w:r w:rsidRPr="00A81BAD">
              <w:rPr>
                <w:rFonts w:cs="Arial"/>
                <w:color w:val="000000" w:themeColor="text1"/>
                <w:sz w:val="20"/>
                <w:szCs w:val="20"/>
              </w:rPr>
              <w:t>. These results indicate that these genotypes possess wide adaptability and stable performance across sowing dates.</w:t>
            </w:r>
          </w:p>
          <w:p w14:paraId="0659893A" w14:textId="77777777" w:rsidR="006F00CC" w:rsidRPr="00A81BAD" w:rsidRDefault="000E4B23">
            <w:pPr>
              <w:jc w:val="both"/>
              <w:rPr>
                <w:rFonts w:cs="Arial"/>
                <w:color w:val="000000" w:themeColor="text1"/>
                <w:sz w:val="20"/>
                <w:szCs w:val="20"/>
                <w:lang w:val="en-US"/>
              </w:rPr>
            </w:pPr>
            <w:r w:rsidRPr="00A81BAD">
              <w:rPr>
                <w:rFonts w:cs="Arial"/>
                <w:b/>
                <w:bCs/>
                <w:color w:val="000000" w:themeColor="text1"/>
                <w:sz w:val="20"/>
                <w:szCs w:val="20"/>
                <w:lang w:val="en-US"/>
              </w:rPr>
              <w:t>Conclusion:</w:t>
            </w:r>
            <w:r w:rsidRPr="00A81BAD">
              <w:rPr>
                <w:rFonts w:cs="Arial"/>
                <w:b/>
                <w:bCs/>
                <w:color w:val="000000" w:themeColor="text1"/>
                <w:sz w:val="20"/>
                <w:szCs w:val="20"/>
                <w:lang w:val="en-US"/>
              </w:rPr>
              <w:t xml:space="preserve"> </w:t>
            </w:r>
            <w:r w:rsidRPr="00A81BAD">
              <w:rPr>
                <w:rFonts w:cs="Arial"/>
                <w:color w:val="000000" w:themeColor="text1"/>
                <w:sz w:val="20"/>
                <w:szCs w:val="20"/>
              </w:rPr>
              <w:t>The genotypes ACN-237 and ACN-226 emerged as the most stable and high-yielding across varying environmental conditions induced by different sowing dates. Their consistent performance makes them suitable candidates for cultivation under late-sown condition</w:t>
            </w:r>
            <w:r w:rsidRPr="00A81BAD">
              <w:rPr>
                <w:rFonts w:cs="Arial"/>
                <w:color w:val="000000" w:themeColor="text1"/>
                <w:sz w:val="20"/>
                <w:szCs w:val="20"/>
              </w:rPr>
              <w:t>s and valuable genetic material for developing mustard varieties with broad adaptability and stress tolerance.</w:t>
            </w:r>
          </w:p>
        </w:tc>
      </w:tr>
    </w:tbl>
    <w:p w14:paraId="6E727789" w14:textId="77777777" w:rsidR="006F00CC" w:rsidRPr="00A81BAD" w:rsidRDefault="000E4B23">
      <w:pPr>
        <w:spacing w:line="240" w:lineRule="auto"/>
        <w:jc w:val="both"/>
        <w:rPr>
          <w:rFonts w:asciiTheme="minorBidi" w:hAnsiTheme="minorBidi" w:cstheme="minorBidi"/>
          <w:i/>
          <w:iCs/>
          <w:color w:val="000000" w:themeColor="text1"/>
          <w:sz w:val="20"/>
          <w:szCs w:val="20"/>
          <w:lang w:val="en-US"/>
        </w:rPr>
      </w:pPr>
      <w:r w:rsidRPr="00A81BAD">
        <w:rPr>
          <w:rFonts w:asciiTheme="minorBidi" w:hAnsiTheme="minorBidi" w:cstheme="minorBidi"/>
          <w:b/>
          <w:bCs/>
          <w:i/>
          <w:iCs/>
          <w:color w:val="000000" w:themeColor="text1"/>
          <w:sz w:val="20"/>
          <w:szCs w:val="20"/>
        </w:rPr>
        <w:t>Keywords:</w:t>
      </w:r>
      <w:r w:rsidRPr="00A81BAD">
        <w:rPr>
          <w:rFonts w:asciiTheme="minorBidi" w:hAnsiTheme="minorBidi" w:cstheme="minorBidi"/>
          <w:i/>
          <w:iCs/>
          <w:color w:val="000000" w:themeColor="text1"/>
          <w:sz w:val="20"/>
          <w:szCs w:val="20"/>
        </w:rPr>
        <w:t xml:space="preserve"> Indian mustard, G × E interaction, Stability analysis, Eberhart and Russell model, Sowing dates.</w:t>
      </w:r>
    </w:p>
    <w:p w14:paraId="3860ABD2" w14:textId="77777777" w:rsidR="006F00CC" w:rsidRPr="00A81BAD" w:rsidRDefault="000E4B23">
      <w:pPr>
        <w:pStyle w:val="Heading2"/>
        <w:numPr>
          <w:ilvl w:val="0"/>
          <w:numId w:val="5"/>
        </w:numPr>
        <w:tabs>
          <w:tab w:val="left" w:pos="360"/>
        </w:tabs>
        <w:spacing w:line="360" w:lineRule="auto"/>
        <w:ind w:left="360"/>
        <w:rPr>
          <w:rFonts w:asciiTheme="minorBidi" w:hAnsiTheme="minorBidi" w:cstheme="minorBidi"/>
          <w:b/>
          <w:bCs/>
          <w:color w:val="000000" w:themeColor="text1"/>
          <w:sz w:val="22"/>
          <w:szCs w:val="22"/>
          <w:lang w:val="en-US"/>
        </w:rPr>
      </w:pPr>
      <w:r w:rsidRPr="00A81BAD">
        <w:rPr>
          <w:rFonts w:asciiTheme="minorBidi" w:hAnsiTheme="minorBidi" w:cstheme="minorBidi"/>
          <w:b/>
          <w:bCs/>
          <w:color w:val="000000" w:themeColor="text1"/>
          <w:sz w:val="22"/>
          <w:szCs w:val="22"/>
          <w:lang w:val="en-US"/>
        </w:rPr>
        <w:t>INTRODUCTION</w:t>
      </w:r>
    </w:p>
    <w:p w14:paraId="6FAC643D" w14:textId="77777777" w:rsidR="006F00CC" w:rsidRPr="00A81BAD" w:rsidRDefault="000E4B23">
      <w:pPr>
        <w:spacing w:line="240" w:lineRule="auto"/>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lang w:val="en-US"/>
        </w:rPr>
        <w:tab/>
      </w:r>
      <w:r w:rsidRPr="00A81BAD">
        <w:rPr>
          <w:rFonts w:asciiTheme="minorBidi" w:hAnsiTheme="minorBidi" w:cstheme="minorBidi"/>
          <w:color w:val="000000" w:themeColor="text1"/>
          <w:sz w:val="20"/>
          <w:szCs w:val="22"/>
        </w:rPr>
        <w:t xml:space="preserve">Rapeseed-Mustard is an </w:t>
      </w:r>
      <w:r w:rsidRPr="00A81BAD">
        <w:rPr>
          <w:rFonts w:asciiTheme="minorBidi" w:hAnsiTheme="minorBidi" w:cstheme="minorBidi"/>
          <w:color w:val="000000" w:themeColor="text1"/>
          <w:sz w:val="20"/>
          <w:szCs w:val="22"/>
        </w:rPr>
        <w:t xml:space="preserve">important oilseed crop with both commercial and nutritional significance all over the world. Mustard oil has a low level of saturated fatty acids, a moderate level of polyunsaturated fatty acids and a balanced amount of omega-3 and omega-6 fatty acids. In </w:t>
      </w:r>
      <w:r w:rsidRPr="00A81BAD">
        <w:rPr>
          <w:rFonts w:asciiTheme="minorBidi" w:hAnsiTheme="minorBidi" w:cstheme="minorBidi"/>
          <w:color w:val="000000" w:themeColor="text1"/>
          <w:sz w:val="20"/>
          <w:szCs w:val="22"/>
        </w:rPr>
        <w:t>Asia, it is mainly grown in China, India, Pakistan and Bangladesh. Among different oilseed crops grown in India, the Rapeseed-Mustard (</w:t>
      </w:r>
      <w:r w:rsidRPr="00A81BAD">
        <w:rPr>
          <w:rFonts w:asciiTheme="minorBidi" w:hAnsiTheme="minorBidi" w:cstheme="minorBidi"/>
          <w:i/>
          <w:iCs/>
          <w:color w:val="000000" w:themeColor="text1"/>
          <w:sz w:val="20"/>
          <w:szCs w:val="22"/>
        </w:rPr>
        <w:t xml:space="preserve">Brassica </w:t>
      </w:r>
      <w:r w:rsidRPr="00A81BAD">
        <w:rPr>
          <w:rFonts w:asciiTheme="minorBidi" w:hAnsiTheme="minorBidi" w:cstheme="minorBidi"/>
          <w:color w:val="000000" w:themeColor="text1"/>
          <w:sz w:val="20"/>
          <w:szCs w:val="22"/>
        </w:rPr>
        <w:t>spp.) contributes 29.5% in the total production of oilseeds (</w:t>
      </w:r>
      <w:commentRangeStart w:id="2"/>
      <w:proofErr w:type="spellStart"/>
      <w:r w:rsidRPr="00A81BAD">
        <w:rPr>
          <w:rFonts w:asciiTheme="minorBidi" w:hAnsiTheme="minorBidi" w:cstheme="minorBidi"/>
          <w:color w:val="000000" w:themeColor="text1"/>
          <w:sz w:val="20"/>
          <w:szCs w:val="22"/>
        </w:rPr>
        <w:t>Sapkal</w:t>
      </w:r>
      <w:commentRangeEnd w:id="2"/>
      <w:proofErr w:type="spellEnd"/>
      <w:r w:rsidR="007A19D7" w:rsidRPr="00A81BAD">
        <w:rPr>
          <w:rStyle w:val="CommentReference"/>
          <w:color w:val="000000" w:themeColor="text1"/>
        </w:rPr>
        <w:commentReference w:id="2"/>
      </w:r>
      <w:r w:rsidRPr="00A81BAD">
        <w:rPr>
          <w:rFonts w:asciiTheme="minorBidi" w:hAnsiTheme="minorBidi" w:cstheme="minorBidi"/>
          <w:color w:val="000000" w:themeColor="text1"/>
          <w:sz w:val="20"/>
          <w:szCs w:val="22"/>
        </w:rPr>
        <w:t xml:space="preserve"> </w:t>
      </w:r>
      <w:r w:rsidRPr="00A81BAD">
        <w:rPr>
          <w:rFonts w:asciiTheme="minorBidi" w:hAnsiTheme="minorBidi" w:cstheme="minorBidi"/>
          <w:i/>
          <w:iCs/>
          <w:color w:val="000000" w:themeColor="text1"/>
          <w:sz w:val="20"/>
          <w:szCs w:val="22"/>
        </w:rPr>
        <w:t>et al.,</w:t>
      </w:r>
      <w:r w:rsidRPr="00A81BAD">
        <w:rPr>
          <w:rFonts w:asciiTheme="minorBidi" w:hAnsiTheme="minorBidi" w:cstheme="minorBidi"/>
          <w:color w:val="000000" w:themeColor="text1"/>
          <w:sz w:val="20"/>
          <w:szCs w:val="22"/>
        </w:rPr>
        <w:t xml:space="preserve"> 2023) </w:t>
      </w:r>
      <w:r w:rsidRPr="00A81BAD">
        <w:rPr>
          <w:rFonts w:asciiTheme="minorBidi" w:hAnsiTheme="minorBidi" w:cstheme="minorBidi"/>
          <w:color w:val="000000" w:themeColor="text1"/>
          <w:sz w:val="20"/>
          <w:szCs w:val="22"/>
        </w:rPr>
        <w:t>[1]</w:t>
      </w:r>
      <w:r w:rsidRPr="00A81BAD">
        <w:rPr>
          <w:rFonts w:asciiTheme="minorBidi" w:hAnsiTheme="minorBidi" w:cstheme="minorBidi"/>
          <w:color w:val="000000" w:themeColor="text1"/>
          <w:sz w:val="20"/>
          <w:szCs w:val="22"/>
        </w:rPr>
        <w:t>. In India, Mustard has bec</w:t>
      </w:r>
      <w:r w:rsidRPr="00A81BAD">
        <w:rPr>
          <w:rFonts w:asciiTheme="minorBidi" w:hAnsiTheme="minorBidi" w:cstheme="minorBidi"/>
          <w:color w:val="000000" w:themeColor="text1"/>
          <w:sz w:val="20"/>
          <w:szCs w:val="22"/>
        </w:rPr>
        <w:t xml:space="preserve">ome particularly important in northern and eastern states and it ranks as the third most significant oilseed crop after groundnut and soybean. While mustard cultivation is predominantly concentrated in the </w:t>
      </w:r>
      <w:r w:rsidRPr="00A81BAD">
        <w:rPr>
          <w:rFonts w:asciiTheme="minorBidi" w:hAnsiTheme="minorBidi" w:cstheme="minorBidi"/>
          <w:color w:val="000000" w:themeColor="text1"/>
          <w:sz w:val="20"/>
          <w:szCs w:val="22"/>
        </w:rPr>
        <w:lastRenderedPageBreak/>
        <w:t>northern states, some southern states also contrib</w:t>
      </w:r>
      <w:r w:rsidRPr="00A81BAD">
        <w:rPr>
          <w:rFonts w:asciiTheme="minorBidi" w:hAnsiTheme="minorBidi" w:cstheme="minorBidi"/>
          <w:color w:val="000000" w:themeColor="text1"/>
          <w:sz w:val="20"/>
          <w:szCs w:val="22"/>
        </w:rPr>
        <w:t>ute to its cultivation. In the context to Maharashtra, Eastern Vidarbha region has significant production of mustard as compared to rest of the region, where as the farmers grow mustard in last week of November to second week of December after harvesting o</w:t>
      </w:r>
      <w:r w:rsidRPr="00A81BAD">
        <w:rPr>
          <w:rFonts w:asciiTheme="minorBidi" w:hAnsiTheme="minorBidi" w:cstheme="minorBidi"/>
          <w:color w:val="000000" w:themeColor="text1"/>
          <w:sz w:val="20"/>
          <w:szCs w:val="22"/>
        </w:rPr>
        <w:t>f the paddy crop resulted into delayed planting reporting increased temperature above 30</w:t>
      </w:r>
      <w:r w:rsidRPr="00A81BAD">
        <w:rPr>
          <w:rFonts w:asciiTheme="minorBidi" w:hAnsiTheme="minorBidi" w:cstheme="minorBidi"/>
          <w:color w:val="000000" w:themeColor="text1"/>
          <w:sz w:val="20"/>
          <w:szCs w:val="22"/>
          <w:vertAlign w:val="superscript"/>
        </w:rPr>
        <w:t>0</w:t>
      </w:r>
      <w:r w:rsidRPr="00A81BAD">
        <w:rPr>
          <w:rFonts w:asciiTheme="minorBidi" w:hAnsiTheme="minorBidi" w:cstheme="minorBidi"/>
          <w:color w:val="000000" w:themeColor="text1"/>
          <w:sz w:val="20"/>
          <w:szCs w:val="22"/>
        </w:rPr>
        <w:t>C which leads to shortening of vegetative phase, advances in flowering time and decreased seed development period resulting into shrivelled seed along with high incide</w:t>
      </w:r>
      <w:r w:rsidRPr="00A81BAD">
        <w:rPr>
          <w:rFonts w:asciiTheme="minorBidi" w:hAnsiTheme="minorBidi" w:cstheme="minorBidi"/>
          <w:color w:val="000000" w:themeColor="text1"/>
          <w:sz w:val="20"/>
          <w:szCs w:val="22"/>
        </w:rPr>
        <w:t xml:space="preserve">nce of powdery mildew with low yield and low oil quantity and quality is the prime objective of the breeders in improving genotype in the region (Ingole </w:t>
      </w:r>
      <w:r w:rsidRPr="00A81BAD">
        <w:rPr>
          <w:rFonts w:asciiTheme="minorBidi" w:hAnsiTheme="minorBidi" w:cstheme="minorBidi"/>
          <w:i/>
          <w:iCs/>
          <w:color w:val="000000" w:themeColor="text1"/>
          <w:sz w:val="20"/>
          <w:szCs w:val="22"/>
        </w:rPr>
        <w:t>et al.,</w:t>
      </w:r>
      <w:r w:rsidRPr="00A81BAD">
        <w:rPr>
          <w:rFonts w:asciiTheme="minorBidi" w:hAnsiTheme="minorBidi" w:cstheme="minorBidi"/>
          <w:color w:val="000000" w:themeColor="text1"/>
          <w:sz w:val="20"/>
          <w:szCs w:val="22"/>
        </w:rPr>
        <w:t xml:space="preserve"> 2021) </w:t>
      </w:r>
      <w:commentRangeStart w:id="3"/>
      <w:r w:rsidRPr="00A81BAD">
        <w:rPr>
          <w:rFonts w:asciiTheme="minorBidi" w:hAnsiTheme="minorBidi" w:cstheme="minorBidi"/>
          <w:color w:val="000000" w:themeColor="text1"/>
          <w:sz w:val="20"/>
          <w:szCs w:val="22"/>
        </w:rPr>
        <w:t>[2]</w:t>
      </w:r>
      <w:commentRangeEnd w:id="3"/>
      <w:r w:rsidR="0076269C" w:rsidRPr="00A81BAD">
        <w:rPr>
          <w:rStyle w:val="CommentReference"/>
          <w:color w:val="000000" w:themeColor="text1"/>
        </w:rPr>
        <w:commentReference w:id="3"/>
      </w:r>
      <w:r w:rsidRPr="00A81BAD">
        <w:rPr>
          <w:rFonts w:asciiTheme="minorBidi" w:hAnsiTheme="minorBidi" w:cstheme="minorBidi"/>
          <w:color w:val="000000" w:themeColor="text1"/>
          <w:sz w:val="20"/>
          <w:szCs w:val="22"/>
        </w:rPr>
        <w:t xml:space="preserve">. </w:t>
      </w:r>
    </w:p>
    <w:p w14:paraId="438E66E7" w14:textId="77777777" w:rsidR="006F00CC" w:rsidRPr="00A81BAD" w:rsidRDefault="000E4B23">
      <w:pPr>
        <w:spacing w:line="240" w:lineRule="auto"/>
        <w:ind w:firstLine="72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The genetic potential and buffering capacity of plants play a crucial role in deter</w:t>
      </w:r>
      <w:r w:rsidRPr="00A81BAD">
        <w:rPr>
          <w:rFonts w:asciiTheme="minorBidi" w:hAnsiTheme="minorBidi" w:cstheme="minorBidi"/>
          <w:color w:val="000000" w:themeColor="text1"/>
          <w:sz w:val="20"/>
          <w:szCs w:val="22"/>
        </w:rPr>
        <w:t xml:space="preserve">mining genotype performance under different environments. Not all genotypes perform equally well in all environments, as the interplay between environment and genotype x environment effects impacts genotype performance (Kumawat and Sharma, 2022) </w:t>
      </w:r>
      <w:commentRangeStart w:id="4"/>
      <w:r w:rsidRPr="00A81BAD">
        <w:rPr>
          <w:rFonts w:asciiTheme="minorBidi" w:hAnsiTheme="minorBidi" w:cstheme="minorBidi"/>
          <w:color w:val="000000" w:themeColor="text1"/>
          <w:sz w:val="20"/>
          <w:szCs w:val="22"/>
        </w:rPr>
        <w:t>[3]</w:t>
      </w:r>
      <w:commentRangeEnd w:id="4"/>
      <w:r w:rsidR="0076269C" w:rsidRPr="00A81BAD">
        <w:rPr>
          <w:rStyle w:val="CommentReference"/>
          <w:color w:val="000000" w:themeColor="text1"/>
        </w:rPr>
        <w:commentReference w:id="4"/>
      </w:r>
      <w:r w:rsidRPr="00A81BAD">
        <w:rPr>
          <w:rFonts w:asciiTheme="minorBidi" w:hAnsiTheme="minorBidi" w:cstheme="minorBidi"/>
          <w:color w:val="000000" w:themeColor="text1"/>
          <w:sz w:val="20"/>
          <w:szCs w:val="22"/>
        </w:rPr>
        <w:t>. The s</w:t>
      </w:r>
      <w:r w:rsidRPr="00A81BAD">
        <w:rPr>
          <w:rFonts w:asciiTheme="minorBidi" w:hAnsiTheme="minorBidi" w:cstheme="minorBidi"/>
          <w:color w:val="000000" w:themeColor="text1"/>
          <w:sz w:val="20"/>
          <w:szCs w:val="22"/>
        </w:rPr>
        <w:t xml:space="preserve">tability of genotype is assessed by using models like Eberhart and Russell, 1966 [4], Perkins and Jinks, 1968 [5] and Freeman and Perkins, 1971 </w:t>
      </w:r>
      <w:commentRangeStart w:id="5"/>
      <w:r w:rsidRPr="00A81BAD">
        <w:rPr>
          <w:rFonts w:asciiTheme="minorBidi" w:hAnsiTheme="minorBidi" w:cstheme="minorBidi"/>
          <w:color w:val="000000" w:themeColor="text1"/>
          <w:sz w:val="20"/>
          <w:szCs w:val="22"/>
        </w:rPr>
        <w:t>[6]</w:t>
      </w:r>
      <w:commentRangeEnd w:id="5"/>
      <w:r w:rsidR="0076269C" w:rsidRPr="00A81BAD">
        <w:rPr>
          <w:rStyle w:val="CommentReference"/>
          <w:color w:val="000000" w:themeColor="text1"/>
        </w:rPr>
        <w:commentReference w:id="5"/>
      </w:r>
      <w:r w:rsidRPr="00A81BAD">
        <w:rPr>
          <w:rFonts w:asciiTheme="minorBidi" w:hAnsiTheme="minorBidi" w:cstheme="minorBidi"/>
          <w:color w:val="000000" w:themeColor="text1"/>
          <w:sz w:val="20"/>
          <w:szCs w:val="22"/>
        </w:rPr>
        <w:t>. These models analyse genotype x environment interaction under different environmental conditions to estimat</w:t>
      </w:r>
      <w:r w:rsidRPr="00A81BAD">
        <w:rPr>
          <w:rFonts w:asciiTheme="minorBidi" w:hAnsiTheme="minorBidi" w:cstheme="minorBidi"/>
          <w:color w:val="000000" w:themeColor="text1"/>
          <w:sz w:val="20"/>
          <w:szCs w:val="22"/>
        </w:rPr>
        <w:t xml:space="preserve">e genotype stability out of which Eberhart and Russell, 1966 </w:t>
      </w:r>
      <w:commentRangeStart w:id="6"/>
      <w:r w:rsidRPr="00A81BAD">
        <w:rPr>
          <w:rFonts w:asciiTheme="minorBidi" w:hAnsiTheme="minorBidi" w:cstheme="minorBidi"/>
          <w:color w:val="000000" w:themeColor="text1"/>
          <w:sz w:val="20"/>
          <w:szCs w:val="22"/>
        </w:rPr>
        <w:t>[4]</w:t>
      </w:r>
      <w:commentRangeEnd w:id="6"/>
      <w:r w:rsidR="0076269C" w:rsidRPr="00A81BAD">
        <w:rPr>
          <w:rStyle w:val="CommentReference"/>
          <w:color w:val="000000" w:themeColor="text1"/>
        </w:rPr>
        <w:commentReference w:id="6"/>
      </w:r>
      <w:r w:rsidRPr="00A81BAD">
        <w:rPr>
          <w:rFonts w:asciiTheme="minorBidi" w:hAnsiTheme="minorBidi" w:cstheme="minorBidi"/>
          <w:color w:val="000000" w:themeColor="text1"/>
          <w:sz w:val="20"/>
          <w:szCs w:val="22"/>
        </w:rPr>
        <w:t xml:space="preserve"> model is simple and informative as compared to others.</w:t>
      </w:r>
    </w:p>
    <w:p w14:paraId="490E97BD" w14:textId="77777777" w:rsidR="006F00CC" w:rsidRPr="00A81BAD" w:rsidRDefault="000E4B23">
      <w:pPr>
        <w:spacing w:line="240" w:lineRule="auto"/>
        <w:ind w:firstLine="72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With the aim of identifying genetically stable genotypes of Indian mustard which are suitable to late sown condition in the Eastern Vida</w:t>
      </w:r>
      <w:r w:rsidRPr="00A81BAD">
        <w:rPr>
          <w:rFonts w:asciiTheme="minorBidi" w:hAnsiTheme="minorBidi" w:cstheme="minorBidi"/>
          <w:color w:val="000000" w:themeColor="text1"/>
          <w:sz w:val="20"/>
          <w:szCs w:val="22"/>
        </w:rPr>
        <w:t>rbha region of Maharashtra, the current study was designed to examine genotype x environment interaction with different dates of sowing creating different environmental conditions for each genotype.</w:t>
      </w:r>
    </w:p>
    <w:p w14:paraId="4FE0161C" w14:textId="77777777" w:rsidR="006F00CC" w:rsidRPr="00A81BAD" w:rsidRDefault="000E4B23">
      <w:pPr>
        <w:pStyle w:val="Heading2"/>
        <w:numPr>
          <w:ilvl w:val="0"/>
          <w:numId w:val="5"/>
        </w:numPr>
        <w:spacing w:line="360" w:lineRule="auto"/>
        <w:ind w:left="360"/>
        <w:rPr>
          <w:rFonts w:asciiTheme="minorBidi" w:hAnsiTheme="minorBidi" w:cstheme="minorBidi"/>
          <w:b/>
          <w:bCs/>
          <w:color w:val="000000" w:themeColor="text1"/>
          <w:sz w:val="22"/>
          <w:szCs w:val="22"/>
          <w:lang w:val="en-US"/>
        </w:rPr>
      </w:pPr>
      <w:r w:rsidRPr="00A81BAD">
        <w:rPr>
          <w:rFonts w:asciiTheme="minorBidi" w:hAnsiTheme="minorBidi" w:cstheme="minorBidi"/>
          <w:b/>
          <w:bCs/>
          <w:color w:val="000000" w:themeColor="text1"/>
          <w:sz w:val="22"/>
          <w:szCs w:val="22"/>
          <w:lang w:val="en-US"/>
        </w:rPr>
        <w:t>MATERIAL AND METHODS</w:t>
      </w:r>
    </w:p>
    <w:p w14:paraId="62BD11F4" w14:textId="77777777" w:rsidR="006F00CC" w:rsidRPr="00A81BAD" w:rsidRDefault="000E4B23">
      <w:pPr>
        <w:spacing w:line="240" w:lineRule="auto"/>
        <w:ind w:firstLine="72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The present research was conducted a</w:t>
      </w:r>
      <w:r w:rsidRPr="00A81BAD">
        <w:rPr>
          <w:rFonts w:asciiTheme="minorBidi" w:hAnsiTheme="minorBidi" w:cstheme="minorBidi"/>
          <w:color w:val="000000" w:themeColor="text1"/>
          <w:sz w:val="20"/>
          <w:szCs w:val="22"/>
        </w:rPr>
        <w:t xml:space="preserve">t Research farm of AICRP on Linseed and Mustard, </w:t>
      </w:r>
      <w:commentRangeStart w:id="7"/>
      <w:r w:rsidRPr="00A81BAD">
        <w:rPr>
          <w:rFonts w:asciiTheme="minorBidi" w:hAnsiTheme="minorBidi" w:cstheme="minorBidi"/>
          <w:color w:val="000000" w:themeColor="text1"/>
          <w:sz w:val="20"/>
          <w:szCs w:val="22"/>
        </w:rPr>
        <w:t xml:space="preserve">College of Agriculture, Nagpur </w:t>
      </w:r>
      <w:commentRangeEnd w:id="7"/>
      <w:r w:rsidR="003A1BB8" w:rsidRPr="00A81BAD">
        <w:rPr>
          <w:rStyle w:val="CommentReference"/>
          <w:color w:val="000000" w:themeColor="text1"/>
        </w:rPr>
        <w:commentReference w:id="7"/>
      </w:r>
      <w:r w:rsidRPr="00A81BAD">
        <w:rPr>
          <w:rFonts w:asciiTheme="minorBidi" w:hAnsiTheme="minorBidi" w:cstheme="minorBidi"/>
          <w:color w:val="000000" w:themeColor="text1"/>
          <w:sz w:val="20"/>
          <w:szCs w:val="22"/>
        </w:rPr>
        <w:t xml:space="preserve">with 8 genotypes </w:t>
      </w:r>
      <w:r w:rsidRPr="00A81BAD">
        <w:rPr>
          <w:rFonts w:asciiTheme="minorBidi" w:hAnsiTheme="minorBidi" w:cstheme="minorBidi"/>
          <w:i/>
          <w:iCs/>
          <w:color w:val="000000" w:themeColor="text1"/>
          <w:sz w:val="20"/>
          <w:szCs w:val="22"/>
        </w:rPr>
        <w:t>viz.</w:t>
      </w:r>
      <w:r w:rsidRPr="00A81BAD">
        <w:rPr>
          <w:rFonts w:asciiTheme="minorBidi" w:hAnsiTheme="minorBidi" w:cstheme="minorBidi"/>
          <w:color w:val="000000" w:themeColor="text1"/>
          <w:sz w:val="20"/>
          <w:szCs w:val="22"/>
        </w:rPr>
        <w:t xml:space="preserve"> ACN-240, SKM-1626, ACN-226, ACN-244, ACN-250, ACN-255, T-9 along with two checks PM-26 and TAM 108-1 were evaluated in randomized block design in 3 replic</w:t>
      </w:r>
      <w:r w:rsidRPr="00A81BAD">
        <w:rPr>
          <w:rFonts w:asciiTheme="minorBidi" w:hAnsiTheme="minorBidi" w:cstheme="minorBidi"/>
          <w:color w:val="000000" w:themeColor="text1"/>
          <w:sz w:val="20"/>
          <w:szCs w:val="22"/>
        </w:rPr>
        <w:t xml:space="preserve">ations for 4 consecutive years </w:t>
      </w:r>
      <w:r w:rsidRPr="00A81BAD">
        <w:rPr>
          <w:rFonts w:asciiTheme="minorBidi" w:hAnsiTheme="minorBidi" w:cstheme="minorBidi"/>
          <w:i/>
          <w:iCs/>
          <w:color w:val="000000" w:themeColor="text1"/>
          <w:sz w:val="20"/>
          <w:szCs w:val="22"/>
        </w:rPr>
        <w:t xml:space="preserve">viz., rabi </w:t>
      </w:r>
      <w:r w:rsidRPr="00A81BAD">
        <w:rPr>
          <w:rFonts w:asciiTheme="minorBidi" w:hAnsiTheme="minorBidi" w:cstheme="minorBidi"/>
          <w:color w:val="000000" w:themeColor="text1"/>
          <w:sz w:val="20"/>
          <w:szCs w:val="22"/>
        </w:rPr>
        <w:t xml:space="preserve">2020-21, 2021-22, 2022-23 and 2023-24 in four different dates of sowing </w:t>
      </w:r>
      <w:r w:rsidRPr="00A81BAD">
        <w:rPr>
          <w:rFonts w:asciiTheme="minorBidi" w:hAnsiTheme="minorBidi" w:cstheme="minorBidi"/>
          <w:i/>
          <w:iCs/>
          <w:color w:val="000000" w:themeColor="text1"/>
          <w:sz w:val="20"/>
          <w:szCs w:val="22"/>
        </w:rPr>
        <w:t xml:space="preserve">viz., </w:t>
      </w:r>
      <w:r w:rsidRPr="00A81BAD">
        <w:rPr>
          <w:rFonts w:asciiTheme="minorBidi" w:hAnsiTheme="minorBidi" w:cstheme="minorBidi"/>
          <w:color w:val="000000" w:themeColor="text1"/>
          <w:sz w:val="20"/>
          <w:szCs w:val="22"/>
        </w:rPr>
        <w:t>30</w:t>
      </w:r>
      <w:r w:rsidRPr="00A81BAD">
        <w:rPr>
          <w:rFonts w:asciiTheme="minorBidi" w:hAnsiTheme="minorBidi" w:cstheme="minorBidi"/>
          <w:color w:val="000000" w:themeColor="text1"/>
          <w:sz w:val="20"/>
          <w:szCs w:val="22"/>
          <w:vertAlign w:val="superscript"/>
        </w:rPr>
        <w:t xml:space="preserve">th </w:t>
      </w:r>
      <w:r w:rsidRPr="00A81BAD">
        <w:rPr>
          <w:rFonts w:asciiTheme="minorBidi" w:hAnsiTheme="minorBidi" w:cstheme="minorBidi"/>
          <w:color w:val="000000" w:themeColor="text1"/>
          <w:sz w:val="20"/>
          <w:szCs w:val="22"/>
        </w:rPr>
        <w:t>October, 15</w:t>
      </w:r>
      <w:r w:rsidRPr="00A81BAD">
        <w:rPr>
          <w:rFonts w:asciiTheme="minorBidi" w:hAnsiTheme="minorBidi" w:cstheme="minorBidi"/>
          <w:color w:val="000000" w:themeColor="text1"/>
          <w:sz w:val="20"/>
          <w:szCs w:val="22"/>
          <w:vertAlign w:val="superscript"/>
        </w:rPr>
        <w:t>th</w:t>
      </w:r>
      <w:r w:rsidRPr="00A81BAD">
        <w:rPr>
          <w:rFonts w:asciiTheme="minorBidi" w:hAnsiTheme="minorBidi" w:cstheme="minorBidi"/>
          <w:color w:val="000000" w:themeColor="text1"/>
          <w:sz w:val="20"/>
          <w:szCs w:val="22"/>
        </w:rPr>
        <w:t xml:space="preserve"> November, 30</w:t>
      </w:r>
      <w:r w:rsidRPr="00A81BAD">
        <w:rPr>
          <w:rFonts w:asciiTheme="minorBidi" w:hAnsiTheme="minorBidi" w:cstheme="minorBidi"/>
          <w:color w:val="000000" w:themeColor="text1"/>
          <w:sz w:val="20"/>
          <w:szCs w:val="22"/>
          <w:vertAlign w:val="superscript"/>
        </w:rPr>
        <w:t>th</w:t>
      </w:r>
      <w:r w:rsidRPr="00A81BAD">
        <w:rPr>
          <w:rFonts w:asciiTheme="minorBidi" w:hAnsiTheme="minorBidi" w:cstheme="minorBidi"/>
          <w:color w:val="000000" w:themeColor="text1"/>
          <w:sz w:val="20"/>
          <w:szCs w:val="22"/>
        </w:rPr>
        <w:t xml:space="preserve"> November and 15</w:t>
      </w:r>
      <w:r w:rsidRPr="00A81BAD">
        <w:rPr>
          <w:rFonts w:asciiTheme="minorBidi" w:hAnsiTheme="minorBidi" w:cstheme="minorBidi"/>
          <w:color w:val="000000" w:themeColor="text1"/>
          <w:sz w:val="20"/>
          <w:szCs w:val="22"/>
          <w:vertAlign w:val="superscript"/>
        </w:rPr>
        <w:t>th</w:t>
      </w:r>
      <w:r w:rsidRPr="00A81BAD">
        <w:rPr>
          <w:rFonts w:asciiTheme="minorBidi" w:hAnsiTheme="minorBidi" w:cstheme="minorBidi"/>
          <w:color w:val="000000" w:themeColor="text1"/>
          <w:sz w:val="20"/>
          <w:szCs w:val="22"/>
        </w:rPr>
        <w:t xml:space="preserve"> December. Each genotype was grown by keeping 45 cm distances between two rows and 10</w:t>
      </w:r>
      <w:r w:rsidRPr="00A81BAD">
        <w:rPr>
          <w:rFonts w:asciiTheme="minorBidi" w:hAnsiTheme="minorBidi" w:cstheme="minorBidi"/>
          <w:color w:val="000000" w:themeColor="text1"/>
          <w:sz w:val="20"/>
          <w:szCs w:val="22"/>
        </w:rPr>
        <w:t xml:space="preserve"> cm between two plants in a plot. The data was reported on days to maturity, plant height (cm), number of siliquae plant</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number of branches plant</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xml:space="preserve"> and seed yield plot</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xml:space="preserve"> (g) on randomly selected 5 competitive plants in the middle 4 rows of each plot in </w:t>
      </w:r>
      <w:r w:rsidRPr="00A81BAD">
        <w:rPr>
          <w:rFonts w:asciiTheme="minorBidi" w:hAnsiTheme="minorBidi" w:cstheme="minorBidi"/>
          <w:color w:val="000000" w:themeColor="text1"/>
          <w:sz w:val="20"/>
          <w:szCs w:val="22"/>
        </w:rPr>
        <w:t>all replications except days to maturity and seed yield plot</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where data was recorded on plot basis. The recommended package of practices for raising of mustard crop was followed to raise a healthy crop.</w:t>
      </w:r>
    </w:p>
    <w:p w14:paraId="0A66990F" w14:textId="77777777" w:rsidR="006F00CC" w:rsidRPr="00A81BAD" w:rsidRDefault="000E4B23">
      <w:pPr>
        <w:spacing w:line="240" w:lineRule="auto"/>
        <w:ind w:firstLine="72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The recorded data after calculating mean were subj</w:t>
      </w:r>
      <w:r w:rsidRPr="00A81BAD">
        <w:rPr>
          <w:rFonts w:asciiTheme="minorBidi" w:hAnsiTheme="minorBidi" w:cstheme="minorBidi"/>
          <w:color w:val="000000" w:themeColor="text1"/>
          <w:sz w:val="20"/>
          <w:szCs w:val="22"/>
        </w:rPr>
        <w:t xml:space="preserve">ected to analysis of variance as per the method prescribed by </w:t>
      </w:r>
      <w:proofErr w:type="spellStart"/>
      <w:r w:rsidRPr="00A81BAD">
        <w:rPr>
          <w:rFonts w:asciiTheme="minorBidi" w:hAnsiTheme="minorBidi" w:cstheme="minorBidi"/>
          <w:color w:val="000000" w:themeColor="text1"/>
          <w:sz w:val="20"/>
          <w:szCs w:val="22"/>
        </w:rPr>
        <w:t>Panse</w:t>
      </w:r>
      <w:proofErr w:type="spellEnd"/>
      <w:r w:rsidRPr="00A81BAD">
        <w:rPr>
          <w:rFonts w:asciiTheme="minorBidi" w:hAnsiTheme="minorBidi" w:cstheme="minorBidi"/>
          <w:color w:val="000000" w:themeColor="text1"/>
          <w:sz w:val="20"/>
          <w:szCs w:val="22"/>
        </w:rPr>
        <w:t xml:space="preserve"> and </w:t>
      </w:r>
      <w:proofErr w:type="spellStart"/>
      <w:r w:rsidRPr="00A81BAD">
        <w:rPr>
          <w:rFonts w:asciiTheme="minorBidi" w:hAnsiTheme="minorBidi" w:cstheme="minorBidi"/>
          <w:color w:val="000000" w:themeColor="text1"/>
          <w:sz w:val="20"/>
          <w:szCs w:val="22"/>
        </w:rPr>
        <w:t>Sukhatme</w:t>
      </w:r>
      <w:proofErr w:type="spellEnd"/>
      <w:r w:rsidRPr="00A81BAD">
        <w:rPr>
          <w:rFonts w:asciiTheme="minorBidi" w:hAnsiTheme="minorBidi" w:cstheme="minorBidi"/>
          <w:color w:val="000000" w:themeColor="text1"/>
          <w:sz w:val="20"/>
          <w:szCs w:val="22"/>
        </w:rPr>
        <w:t xml:space="preserve">, 1989 </w:t>
      </w:r>
      <w:commentRangeStart w:id="8"/>
      <w:r w:rsidRPr="00A81BAD">
        <w:rPr>
          <w:rFonts w:asciiTheme="minorBidi" w:hAnsiTheme="minorBidi" w:cstheme="minorBidi"/>
          <w:color w:val="000000" w:themeColor="text1"/>
          <w:sz w:val="20"/>
          <w:szCs w:val="22"/>
        </w:rPr>
        <w:t>[7]</w:t>
      </w:r>
      <w:commentRangeEnd w:id="8"/>
      <w:r w:rsidR="003A1BB8" w:rsidRPr="00A81BAD">
        <w:rPr>
          <w:rStyle w:val="CommentReference"/>
          <w:color w:val="000000" w:themeColor="text1"/>
        </w:rPr>
        <w:commentReference w:id="8"/>
      </w:r>
      <w:r w:rsidRPr="00A81BAD">
        <w:rPr>
          <w:rFonts w:asciiTheme="minorBidi" w:hAnsiTheme="minorBidi" w:cstheme="minorBidi"/>
          <w:color w:val="000000" w:themeColor="text1"/>
          <w:sz w:val="20"/>
          <w:szCs w:val="22"/>
        </w:rPr>
        <w:t>. Significant genotype-environment interactions were observed for all the characters under study; hence the data were further subjected for assessing the stability of</w:t>
      </w:r>
      <w:r w:rsidRPr="00A81BAD">
        <w:rPr>
          <w:rFonts w:asciiTheme="minorBidi" w:hAnsiTheme="minorBidi" w:cstheme="minorBidi"/>
          <w:color w:val="000000" w:themeColor="text1"/>
          <w:sz w:val="20"/>
          <w:szCs w:val="22"/>
        </w:rPr>
        <w:t xml:space="preserve"> different genotypes as per the procedure prescribed by </w:t>
      </w:r>
      <w:r w:rsidRPr="00A81BAD">
        <w:rPr>
          <w:rFonts w:asciiTheme="minorBidi" w:hAnsiTheme="minorBidi" w:cstheme="minorBidi"/>
          <w:color w:val="000000" w:themeColor="text1"/>
          <w:sz w:val="20"/>
          <w:szCs w:val="22"/>
        </w:rPr>
        <w:t>Eberhart</w:t>
      </w:r>
      <w:r w:rsidRPr="00A81BAD">
        <w:rPr>
          <w:rFonts w:asciiTheme="minorBidi" w:hAnsiTheme="minorBidi" w:cstheme="minorBidi"/>
          <w:color w:val="000000" w:themeColor="text1"/>
          <w:sz w:val="20"/>
          <w:szCs w:val="22"/>
        </w:rPr>
        <w:t xml:space="preserve"> and Russell, 1966 </w:t>
      </w:r>
      <w:commentRangeStart w:id="9"/>
      <w:r w:rsidRPr="00A81BAD">
        <w:rPr>
          <w:rFonts w:asciiTheme="minorBidi" w:hAnsiTheme="minorBidi" w:cstheme="minorBidi"/>
          <w:color w:val="000000" w:themeColor="text1"/>
          <w:sz w:val="20"/>
          <w:szCs w:val="22"/>
        </w:rPr>
        <w:t xml:space="preserve">[4]. </w:t>
      </w:r>
      <w:commentRangeEnd w:id="9"/>
      <w:r w:rsidR="003A1BB8" w:rsidRPr="00A81BAD">
        <w:rPr>
          <w:rStyle w:val="CommentReference"/>
          <w:color w:val="000000" w:themeColor="text1"/>
        </w:rPr>
        <w:commentReference w:id="9"/>
      </w:r>
      <w:r w:rsidRPr="00A81BAD">
        <w:rPr>
          <w:rFonts w:asciiTheme="minorBidi" w:hAnsiTheme="minorBidi" w:cstheme="minorBidi"/>
          <w:color w:val="000000" w:themeColor="text1"/>
          <w:sz w:val="20"/>
          <w:szCs w:val="22"/>
        </w:rPr>
        <w:t>A genotype was considered to be a stable genotype having regression coefficient of unity (b</w:t>
      </w:r>
      <w:r w:rsidRPr="00A81BAD">
        <w:rPr>
          <w:rFonts w:asciiTheme="minorBidi" w:hAnsiTheme="minorBidi" w:cstheme="minorBidi"/>
          <w:color w:val="000000" w:themeColor="text1"/>
          <w:sz w:val="20"/>
          <w:szCs w:val="22"/>
          <w:vertAlign w:val="subscript"/>
        </w:rPr>
        <w:t>i</w:t>
      </w:r>
      <w:r w:rsidRPr="00A81BAD">
        <w:rPr>
          <w:rFonts w:asciiTheme="minorBidi" w:hAnsiTheme="minorBidi" w:cstheme="minorBidi"/>
          <w:color w:val="000000" w:themeColor="text1"/>
          <w:sz w:val="20"/>
          <w:szCs w:val="22"/>
        </w:rPr>
        <w:t xml:space="preserve"> =1) and the deviation not significantly different from zero (S</w:t>
      </w:r>
      <w:r w:rsidRPr="00A81BAD">
        <w:rPr>
          <w:rFonts w:asciiTheme="minorBidi" w:hAnsiTheme="minorBidi" w:cstheme="minorBidi"/>
          <w:color w:val="000000" w:themeColor="text1"/>
          <w:sz w:val="20"/>
          <w:szCs w:val="22"/>
          <w:vertAlign w:val="superscript"/>
        </w:rPr>
        <w:t>2</w:t>
      </w:r>
      <w:r w:rsidRPr="00A81BAD">
        <w:rPr>
          <w:rFonts w:asciiTheme="minorBidi" w:hAnsiTheme="minorBidi" w:cstheme="minorBidi"/>
          <w:color w:val="000000" w:themeColor="text1"/>
          <w:sz w:val="20"/>
          <w:szCs w:val="22"/>
        </w:rPr>
        <w:t>di = 0).</w:t>
      </w:r>
    </w:p>
    <w:p w14:paraId="1D0A78A4" w14:textId="77777777" w:rsidR="006F00CC" w:rsidRPr="00A81BAD" w:rsidRDefault="000E4B23">
      <w:pPr>
        <w:pStyle w:val="Heading2"/>
        <w:numPr>
          <w:ilvl w:val="0"/>
          <w:numId w:val="5"/>
        </w:numPr>
        <w:spacing w:line="360" w:lineRule="auto"/>
        <w:ind w:left="360"/>
        <w:rPr>
          <w:rFonts w:asciiTheme="minorBidi" w:hAnsiTheme="minorBidi" w:cstheme="minorBidi"/>
          <w:b/>
          <w:bCs/>
          <w:color w:val="000000" w:themeColor="text1"/>
          <w:sz w:val="22"/>
          <w:szCs w:val="22"/>
          <w:lang w:val="en-US"/>
        </w:rPr>
      </w:pPr>
      <w:r w:rsidRPr="00A81BAD">
        <w:rPr>
          <w:rFonts w:asciiTheme="minorBidi" w:hAnsiTheme="minorBidi" w:cstheme="minorBidi"/>
          <w:b/>
          <w:bCs/>
          <w:color w:val="000000" w:themeColor="text1"/>
          <w:sz w:val="22"/>
          <w:szCs w:val="22"/>
          <w:lang w:val="en-US"/>
        </w:rPr>
        <w:t>RESULTS AND DISCUSSION</w:t>
      </w:r>
    </w:p>
    <w:p w14:paraId="35C2FB27" w14:textId="77777777" w:rsidR="006F00CC" w:rsidRPr="00A81BAD" w:rsidRDefault="000E4B23">
      <w:pPr>
        <w:spacing w:line="240" w:lineRule="auto"/>
        <w:ind w:firstLine="72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Plant breeder attempts to produce progressively better adapted populations to the existing or altered environments. Stability parameters have proved to be valuable for assessing the response of various genotypes under variable enviro</w:t>
      </w:r>
      <w:r w:rsidRPr="00A81BAD">
        <w:rPr>
          <w:rFonts w:asciiTheme="minorBidi" w:hAnsiTheme="minorBidi" w:cstheme="minorBidi"/>
          <w:color w:val="000000" w:themeColor="text1"/>
          <w:sz w:val="20"/>
          <w:szCs w:val="22"/>
        </w:rPr>
        <w:t>nmental conditions (</w:t>
      </w:r>
      <w:r w:rsidRPr="00A81BAD">
        <w:rPr>
          <w:rFonts w:asciiTheme="minorBidi" w:hAnsiTheme="minorBidi" w:cstheme="minorBidi"/>
          <w:color w:val="000000" w:themeColor="text1"/>
          <w:sz w:val="20"/>
          <w:szCs w:val="22"/>
        </w:rPr>
        <w:t>Kumawat and Sharma</w:t>
      </w:r>
      <w:r w:rsidRPr="00A81BAD">
        <w:rPr>
          <w:rFonts w:asciiTheme="minorBidi" w:hAnsiTheme="minorBidi" w:cstheme="minorBidi"/>
          <w:color w:val="000000" w:themeColor="text1"/>
          <w:sz w:val="20"/>
          <w:szCs w:val="22"/>
        </w:rPr>
        <w:t xml:space="preserve">, 2022) </w:t>
      </w:r>
      <w:commentRangeStart w:id="10"/>
      <w:r w:rsidRPr="00A81BAD">
        <w:rPr>
          <w:rFonts w:asciiTheme="minorBidi" w:hAnsiTheme="minorBidi" w:cstheme="minorBidi"/>
          <w:color w:val="000000" w:themeColor="text1"/>
          <w:sz w:val="20"/>
          <w:szCs w:val="22"/>
        </w:rPr>
        <w:t>[3].</w:t>
      </w:r>
      <w:commentRangeEnd w:id="10"/>
      <w:r w:rsidR="003A1BB8" w:rsidRPr="00A81BAD">
        <w:rPr>
          <w:rStyle w:val="CommentReference"/>
          <w:color w:val="000000" w:themeColor="text1"/>
        </w:rPr>
        <w:commentReference w:id="10"/>
      </w:r>
    </w:p>
    <w:p w14:paraId="1429DD43" w14:textId="77777777" w:rsidR="006F00CC" w:rsidRPr="00A81BAD" w:rsidRDefault="000E4B23">
      <w:pPr>
        <w:spacing w:line="240" w:lineRule="auto"/>
        <w:ind w:firstLine="720"/>
        <w:jc w:val="both"/>
        <w:rPr>
          <w:rFonts w:asciiTheme="minorBidi" w:hAnsiTheme="minorBidi" w:cstheme="minorBidi"/>
          <w:color w:val="000000" w:themeColor="text1"/>
          <w:sz w:val="20"/>
          <w:szCs w:val="22"/>
          <w:lang w:val="en-US"/>
        </w:rPr>
      </w:pPr>
      <w:r w:rsidRPr="00A81BAD">
        <w:rPr>
          <w:rFonts w:asciiTheme="minorBidi" w:hAnsiTheme="minorBidi" w:cstheme="minorBidi"/>
          <w:color w:val="000000" w:themeColor="text1"/>
          <w:sz w:val="20"/>
          <w:szCs w:val="22"/>
        </w:rPr>
        <w:t>The quantitative characters are highly influenced by the environment. The magnitude of this influence is reflected by G × E interaction. This interaction generally remains confounded with variance and lead</w:t>
      </w:r>
      <w:r w:rsidRPr="00A81BAD">
        <w:rPr>
          <w:rFonts w:asciiTheme="minorBidi" w:hAnsiTheme="minorBidi" w:cstheme="minorBidi"/>
          <w:color w:val="000000" w:themeColor="text1"/>
          <w:sz w:val="20"/>
          <w:szCs w:val="22"/>
        </w:rPr>
        <w:t xml:space="preserve">s to biased estimates of genetic parameters. This bias can be minimized by growing the breeding materials over the environments. The study of G × E interactions was made as per the procedure outlined by </w:t>
      </w:r>
      <w:r w:rsidRPr="00A81BAD">
        <w:rPr>
          <w:rFonts w:asciiTheme="minorBidi" w:hAnsiTheme="minorBidi" w:cstheme="minorBidi"/>
          <w:color w:val="000000" w:themeColor="text1"/>
          <w:sz w:val="20"/>
          <w:szCs w:val="22"/>
        </w:rPr>
        <w:t>Eberhart</w:t>
      </w:r>
      <w:r w:rsidRPr="00A81BAD">
        <w:rPr>
          <w:rFonts w:asciiTheme="minorBidi" w:hAnsiTheme="minorBidi" w:cstheme="minorBidi"/>
          <w:color w:val="000000" w:themeColor="text1"/>
          <w:sz w:val="20"/>
          <w:szCs w:val="22"/>
        </w:rPr>
        <w:t xml:space="preserve"> and Russell, 1966 </w:t>
      </w:r>
      <w:commentRangeStart w:id="11"/>
      <w:r w:rsidRPr="00A81BAD">
        <w:rPr>
          <w:rFonts w:asciiTheme="minorBidi" w:hAnsiTheme="minorBidi" w:cstheme="minorBidi"/>
          <w:color w:val="000000" w:themeColor="text1"/>
          <w:sz w:val="20"/>
          <w:szCs w:val="22"/>
        </w:rPr>
        <w:t>[4].</w:t>
      </w:r>
      <w:commentRangeEnd w:id="11"/>
      <w:r w:rsidR="003A1BB8" w:rsidRPr="00A81BAD">
        <w:rPr>
          <w:rStyle w:val="CommentReference"/>
          <w:color w:val="000000" w:themeColor="text1"/>
        </w:rPr>
        <w:commentReference w:id="11"/>
      </w:r>
    </w:p>
    <w:p w14:paraId="251A21DE" w14:textId="77777777" w:rsidR="006F00CC" w:rsidRPr="00A81BAD" w:rsidRDefault="000E4B23">
      <w:pPr>
        <w:pStyle w:val="Heading3"/>
        <w:spacing w:line="240" w:lineRule="auto"/>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lang w:val="en-US"/>
        </w:rPr>
        <w:t>3.1 Analysis of Varia</w:t>
      </w:r>
      <w:r w:rsidRPr="00A81BAD">
        <w:rPr>
          <w:rFonts w:asciiTheme="minorBidi" w:hAnsiTheme="minorBidi" w:cstheme="minorBidi"/>
          <w:b/>
          <w:bCs/>
          <w:color w:val="000000" w:themeColor="text1"/>
          <w:sz w:val="20"/>
          <w:szCs w:val="20"/>
          <w:lang w:val="en-US"/>
        </w:rPr>
        <w:t>nce</w:t>
      </w:r>
    </w:p>
    <w:p w14:paraId="769202E8" w14:textId="77777777" w:rsidR="006F00CC" w:rsidRPr="00A81BAD" w:rsidRDefault="000E4B23" w:rsidP="00036AE4">
      <w:pPr>
        <w:spacing w:line="240" w:lineRule="auto"/>
        <w:ind w:firstLine="720"/>
        <w:jc w:val="both"/>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2"/>
        </w:rPr>
        <w:t xml:space="preserve">The analysis of variance showed the significant differences among genotypes for all the characters under study in each of the environments. The source of variation due to </w:t>
      </w:r>
      <w:r w:rsidRPr="00A81BAD">
        <w:rPr>
          <w:rFonts w:asciiTheme="minorBidi" w:hAnsiTheme="minorBidi" w:cstheme="minorBidi"/>
          <w:color w:val="000000" w:themeColor="text1"/>
          <w:sz w:val="20"/>
          <w:szCs w:val="22"/>
        </w:rPr>
        <w:lastRenderedPageBreak/>
        <w:t>genotype x environment interaction presented in table 1 represents the significan</w:t>
      </w:r>
      <w:r w:rsidRPr="00A81BAD">
        <w:rPr>
          <w:rFonts w:asciiTheme="minorBidi" w:hAnsiTheme="minorBidi" w:cstheme="minorBidi"/>
          <w:color w:val="000000" w:themeColor="text1"/>
          <w:sz w:val="20"/>
          <w:szCs w:val="22"/>
        </w:rPr>
        <w:t>t difference in pooled data over environment, where genotype reported high significance for all the characters</w:t>
      </w:r>
      <w:r w:rsidRPr="00A81BAD">
        <w:rPr>
          <w:rFonts w:asciiTheme="minorBidi" w:hAnsiTheme="minorBidi" w:cstheme="minorBidi"/>
          <w:color w:val="000000" w:themeColor="text1"/>
          <w:sz w:val="20"/>
          <w:szCs w:val="22"/>
        </w:rPr>
        <w:t xml:space="preserve"> </w:t>
      </w:r>
      <w:r w:rsidRPr="00A81BAD">
        <w:rPr>
          <w:rFonts w:asciiTheme="minorBidi" w:hAnsiTheme="minorBidi" w:cstheme="minorBidi"/>
          <w:i/>
          <w:iCs/>
          <w:color w:val="000000" w:themeColor="text1"/>
          <w:sz w:val="20"/>
          <w:szCs w:val="22"/>
        </w:rPr>
        <w:t>viz.</w:t>
      </w:r>
      <w:r w:rsidRPr="00A81BAD">
        <w:rPr>
          <w:rFonts w:asciiTheme="minorBidi" w:hAnsiTheme="minorBidi" w:cstheme="minorBidi"/>
          <w:color w:val="000000" w:themeColor="text1"/>
          <w:sz w:val="20"/>
          <w:szCs w:val="22"/>
        </w:rPr>
        <w:t xml:space="preserve"> days to maturity, plant height (cm), number of branches plant</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number of siliquae plant</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xml:space="preserve"> and seed yield plot</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xml:space="preserve"> representing available genotypic variability of the genotypes. For environment, all the characters showed significant performance representing the influence of the environment on the genotype for all the characters under study. Similarly, for all the char</w:t>
      </w:r>
      <w:r w:rsidRPr="00A81BAD">
        <w:rPr>
          <w:rFonts w:asciiTheme="minorBidi" w:hAnsiTheme="minorBidi" w:cstheme="minorBidi"/>
          <w:color w:val="000000" w:themeColor="text1"/>
          <w:sz w:val="20"/>
          <w:szCs w:val="22"/>
        </w:rPr>
        <w:t xml:space="preserve">acters, high significance was reported due to interaction between genotype x environment indicating the available variability due to interaction effect. Similar study was conducted by Kana Ram </w:t>
      </w:r>
      <w:r w:rsidRPr="00A81BAD">
        <w:rPr>
          <w:rFonts w:asciiTheme="minorBidi" w:hAnsiTheme="minorBidi" w:cstheme="minorBidi"/>
          <w:i/>
          <w:iCs/>
          <w:color w:val="000000" w:themeColor="text1"/>
          <w:sz w:val="20"/>
          <w:szCs w:val="22"/>
        </w:rPr>
        <w:t>et al.</w:t>
      </w:r>
      <w:r w:rsidRPr="00A81BAD">
        <w:rPr>
          <w:rFonts w:asciiTheme="minorBidi" w:hAnsiTheme="minorBidi" w:cstheme="minorBidi"/>
          <w:color w:val="000000" w:themeColor="text1"/>
          <w:sz w:val="20"/>
          <w:szCs w:val="22"/>
        </w:rPr>
        <w:t xml:space="preserve">, 2016 </w:t>
      </w:r>
      <w:commentRangeStart w:id="12"/>
      <w:r w:rsidRPr="00A81BAD">
        <w:rPr>
          <w:rFonts w:asciiTheme="minorBidi" w:hAnsiTheme="minorBidi" w:cstheme="minorBidi"/>
          <w:color w:val="000000" w:themeColor="text1"/>
          <w:sz w:val="20"/>
          <w:szCs w:val="22"/>
        </w:rPr>
        <w:t xml:space="preserve">[8] </w:t>
      </w:r>
      <w:commentRangeEnd w:id="12"/>
      <w:r w:rsidR="0023229E" w:rsidRPr="00A81BAD">
        <w:rPr>
          <w:rStyle w:val="CommentReference"/>
          <w:color w:val="000000" w:themeColor="text1"/>
        </w:rPr>
        <w:commentReference w:id="12"/>
      </w:r>
      <w:r w:rsidRPr="00A81BAD">
        <w:rPr>
          <w:rFonts w:asciiTheme="minorBidi" w:hAnsiTheme="minorBidi" w:cstheme="minorBidi"/>
          <w:color w:val="000000" w:themeColor="text1"/>
          <w:sz w:val="20"/>
          <w:szCs w:val="22"/>
        </w:rPr>
        <w:t>using three dates of sowing creating different</w:t>
      </w:r>
      <w:r w:rsidRPr="00A81BAD">
        <w:rPr>
          <w:rFonts w:asciiTheme="minorBidi" w:hAnsiTheme="minorBidi" w:cstheme="minorBidi"/>
          <w:color w:val="000000" w:themeColor="text1"/>
          <w:sz w:val="20"/>
          <w:szCs w:val="22"/>
        </w:rPr>
        <w:t xml:space="preserve"> </w:t>
      </w:r>
      <w:r w:rsidRPr="00A81BAD">
        <w:rPr>
          <w:rFonts w:asciiTheme="minorBidi" w:hAnsiTheme="minorBidi" w:cstheme="minorBidi"/>
          <w:color w:val="000000" w:themeColor="text1"/>
          <w:sz w:val="20"/>
          <w:szCs w:val="20"/>
        </w:rPr>
        <w:t>environments reported a significant genotype, environment and genotype x environment interaction suggesting available genetic variability along with significant difference between environments.</w:t>
      </w:r>
    </w:p>
    <w:p w14:paraId="5A868680" w14:textId="77777777" w:rsidR="006F00CC" w:rsidRPr="00A81BAD" w:rsidRDefault="000E4B23" w:rsidP="00036AE4">
      <w:pPr>
        <w:spacing w:after="0" w:line="240" w:lineRule="auto"/>
        <w:jc w:val="both"/>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lang w:val="en-US"/>
        </w:rPr>
        <w:t>Table 1. Analysis of variance (Eberhart and Russell model) fo</w:t>
      </w:r>
      <w:r w:rsidRPr="00A81BAD">
        <w:rPr>
          <w:rFonts w:asciiTheme="minorBidi" w:hAnsiTheme="minorBidi" w:cstheme="minorBidi"/>
          <w:b/>
          <w:bCs/>
          <w:color w:val="000000" w:themeColor="text1"/>
          <w:sz w:val="20"/>
          <w:szCs w:val="20"/>
          <w:lang w:val="en-US"/>
        </w:rPr>
        <w:t>r yield and yield contributing characters</w:t>
      </w:r>
    </w:p>
    <w:tbl>
      <w:tblPr>
        <w:tblW w:w="8680" w:type="dxa"/>
        <w:tblInd w:w="-90" w:type="dxa"/>
        <w:tblLook w:val="04A0" w:firstRow="1" w:lastRow="0" w:firstColumn="1" w:lastColumn="0" w:noHBand="0" w:noVBand="1"/>
      </w:tblPr>
      <w:tblGrid>
        <w:gridCol w:w="1439"/>
        <w:gridCol w:w="723"/>
        <w:gridCol w:w="1220"/>
        <w:gridCol w:w="1206"/>
        <w:gridCol w:w="1234"/>
        <w:gridCol w:w="1318"/>
        <w:gridCol w:w="1540"/>
      </w:tblGrid>
      <w:tr w:rsidR="00A81BAD" w:rsidRPr="00A81BAD" w14:paraId="1E5DDA90" w14:textId="77777777">
        <w:trPr>
          <w:trHeight w:val="253"/>
        </w:trPr>
        <w:tc>
          <w:tcPr>
            <w:tcW w:w="0" w:type="auto"/>
            <w:vMerge w:val="restart"/>
            <w:tcBorders>
              <w:top w:val="single" w:sz="4" w:space="0" w:color="auto"/>
            </w:tcBorders>
            <w:vAlign w:val="center"/>
          </w:tcPr>
          <w:p w14:paraId="75E2BF07" w14:textId="77777777" w:rsidR="006F00CC" w:rsidRPr="00A81BAD" w:rsidRDefault="000E4B23" w:rsidP="00036AE4">
            <w:pPr>
              <w:spacing w:after="0" w:line="240" w:lineRule="auto"/>
              <w:jc w:val="center"/>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lang w:val="en-US"/>
              </w:rPr>
              <w:t>Sources of variation</w:t>
            </w:r>
          </w:p>
        </w:tc>
        <w:tc>
          <w:tcPr>
            <w:tcW w:w="723" w:type="dxa"/>
            <w:vMerge w:val="restart"/>
            <w:tcBorders>
              <w:top w:val="single" w:sz="4" w:space="0" w:color="auto"/>
            </w:tcBorders>
            <w:vAlign w:val="center"/>
          </w:tcPr>
          <w:p w14:paraId="16C76A47" w14:textId="77777777" w:rsidR="006F00CC" w:rsidRPr="00A81BAD" w:rsidRDefault="000E4B23" w:rsidP="00036AE4">
            <w:pPr>
              <w:spacing w:after="0" w:line="240" w:lineRule="auto"/>
              <w:jc w:val="center"/>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lang w:val="en-US"/>
              </w:rPr>
              <w:t>d. f.</w:t>
            </w:r>
          </w:p>
        </w:tc>
        <w:tc>
          <w:tcPr>
            <w:tcW w:w="6518" w:type="dxa"/>
            <w:gridSpan w:val="5"/>
            <w:tcBorders>
              <w:top w:val="single" w:sz="4" w:space="0" w:color="auto"/>
              <w:bottom w:val="single" w:sz="4" w:space="0" w:color="auto"/>
            </w:tcBorders>
          </w:tcPr>
          <w:p w14:paraId="7B44EDA5" w14:textId="77777777" w:rsidR="006F00CC" w:rsidRPr="00A81BAD" w:rsidRDefault="000E4B23" w:rsidP="00036AE4">
            <w:pPr>
              <w:spacing w:after="0" w:line="240" w:lineRule="auto"/>
              <w:jc w:val="center"/>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lang w:val="en-US"/>
              </w:rPr>
              <w:t>Mean Sum of Squares</w:t>
            </w:r>
          </w:p>
        </w:tc>
      </w:tr>
      <w:tr w:rsidR="00A81BAD" w:rsidRPr="00A81BAD" w14:paraId="161CFE87" w14:textId="77777777">
        <w:trPr>
          <w:trHeight w:val="139"/>
        </w:trPr>
        <w:tc>
          <w:tcPr>
            <w:tcW w:w="0" w:type="auto"/>
            <w:vMerge/>
            <w:tcBorders>
              <w:bottom w:val="single" w:sz="4" w:space="0" w:color="auto"/>
            </w:tcBorders>
          </w:tcPr>
          <w:p w14:paraId="11969777" w14:textId="77777777" w:rsidR="006F00CC" w:rsidRPr="00A81BAD" w:rsidRDefault="006F00CC" w:rsidP="00036AE4">
            <w:pPr>
              <w:spacing w:after="0" w:line="240" w:lineRule="auto"/>
              <w:rPr>
                <w:rFonts w:asciiTheme="minorBidi" w:hAnsiTheme="minorBidi" w:cstheme="minorBidi"/>
                <w:b/>
                <w:bCs/>
                <w:color w:val="000000" w:themeColor="text1"/>
                <w:sz w:val="20"/>
                <w:szCs w:val="20"/>
                <w:lang w:val="en-US"/>
              </w:rPr>
            </w:pPr>
          </w:p>
        </w:tc>
        <w:tc>
          <w:tcPr>
            <w:tcW w:w="723" w:type="dxa"/>
            <w:vMerge/>
            <w:tcBorders>
              <w:bottom w:val="single" w:sz="4" w:space="0" w:color="auto"/>
            </w:tcBorders>
          </w:tcPr>
          <w:p w14:paraId="593D58D7" w14:textId="77777777" w:rsidR="006F00CC" w:rsidRPr="00A81BAD" w:rsidRDefault="006F00CC" w:rsidP="00036AE4">
            <w:pPr>
              <w:spacing w:after="0" w:line="240" w:lineRule="auto"/>
              <w:rPr>
                <w:rFonts w:asciiTheme="minorBidi" w:hAnsiTheme="minorBidi" w:cstheme="minorBidi"/>
                <w:b/>
                <w:bCs/>
                <w:color w:val="000000" w:themeColor="text1"/>
                <w:sz w:val="20"/>
                <w:szCs w:val="20"/>
                <w:lang w:val="en-US"/>
              </w:rPr>
            </w:pPr>
          </w:p>
        </w:tc>
        <w:tc>
          <w:tcPr>
            <w:tcW w:w="1220" w:type="dxa"/>
            <w:tcBorders>
              <w:top w:val="single" w:sz="4" w:space="0" w:color="auto"/>
              <w:bottom w:val="single" w:sz="4" w:space="0" w:color="auto"/>
            </w:tcBorders>
          </w:tcPr>
          <w:p w14:paraId="21861B2E" w14:textId="77777777" w:rsidR="006F00CC" w:rsidRPr="00A81BAD" w:rsidRDefault="000E4B23" w:rsidP="00036AE4">
            <w:pPr>
              <w:spacing w:after="0" w:line="240" w:lineRule="auto"/>
              <w:jc w:val="center"/>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lang w:val="en-US"/>
              </w:rPr>
              <w:t>Days to maturity</w:t>
            </w:r>
          </w:p>
        </w:tc>
        <w:tc>
          <w:tcPr>
            <w:tcW w:w="1206" w:type="dxa"/>
            <w:tcBorders>
              <w:top w:val="single" w:sz="4" w:space="0" w:color="auto"/>
              <w:bottom w:val="single" w:sz="4" w:space="0" w:color="auto"/>
            </w:tcBorders>
          </w:tcPr>
          <w:p w14:paraId="30CD7CD8" w14:textId="77777777" w:rsidR="006F00CC" w:rsidRPr="00A81BAD" w:rsidRDefault="000E4B23" w:rsidP="00036AE4">
            <w:pPr>
              <w:spacing w:after="0" w:line="240" w:lineRule="auto"/>
              <w:jc w:val="center"/>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lang w:val="en-US"/>
              </w:rPr>
              <w:t>Plant height (cm)</w:t>
            </w:r>
          </w:p>
        </w:tc>
        <w:tc>
          <w:tcPr>
            <w:tcW w:w="1234" w:type="dxa"/>
            <w:tcBorders>
              <w:top w:val="single" w:sz="4" w:space="0" w:color="auto"/>
              <w:bottom w:val="single" w:sz="4" w:space="0" w:color="auto"/>
            </w:tcBorders>
          </w:tcPr>
          <w:p w14:paraId="563B28BC" w14:textId="77777777" w:rsidR="006F00CC" w:rsidRPr="00A81BAD" w:rsidRDefault="000E4B23" w:rsidP="00036AE4">
            <w:pPr>
              <w:spacing w:after="0" w:line="240" w:lineRule="auto"/>
              <w:jc w:val="center"/>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lang w:val="en-US"/>
              </w:rPr>
              <w:t>Number of branches plant</w:t>
            </w:r>
            <w:r w:rsidRPr="00A81BAD">
              <w:rPr>
                <w:rFonts w:asciiTheme="minorBidi" w:hAnsiTheme="minorBidi" w:cstheme="minorBidi"/>
                <w:b/>
                <w:bCs/>
                <w:color w:val="000000" w:themeColor="text1"/>
                <w:sz w:val="20"/>
                <w:szCs w:val="20"/>
                <w:vertAlign w:val="superscript"/>
                <w:lang w:val="en-US"/>
              </w:rPr>
              <w:t>-1</w:t>
            </w:r>
          </w:p>
        </w:tc>
        <w:tc>
          <w:tcPr>
            <w:tcW w:w="1318" w:type="dxa"/>
            <w:tcBorders>
              <w:top w:val="single" w:sz="4" w:space="0" w:color="auto"/>
              <w:bottom w:val="single" w:sz="4" w:space="0" w:color="auto"/>
            </w:tcBorders>
          </w:tcPr>
          <w:p w14:paraId="36968BF7" w14:textId="77777777" w:rsidR="006F00CC" w:rsidRPr="00A81BAD" w:rsidRDefault="000E4B23" w:rsidP="00036AE4">
            <w:pPr>
              <w:spacing w:after="0" w:line="240" w:lineRule="auto"/>
              <w:jc w:val="center"/>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lang w:val="en-US"/>
              </w:rPr>
              <w:t>Number of siliquae plant</w:t>
            </w:r>
            <w:r w:rsidRPr="00A81BAD">
              <w:rPr>
                <w:rFonts w:asciiTheme="minorBidi" w:hAnsiTheme="minorBidi" w:cstheme="minorBidi"/>
                <w:b/>
                <w:bCs/>
                <w:color w:val="000000" w:themeColor="text1"/>
                <w:sz w:val="20"/>
                <w:szCs w:val="20"/>
                <w:vertAlign w:val="superscript"/>
                <w:lang w:val="en-US"/>
              </w:rPr>
              <w:t>-1</w:t>
            </w:r>
          </w:p>
        </w:tc>
        <w:tc>
          <w:tcPr>
            <w:tcW w:w="1540" w:type="dxa"/>
            <w:tcBorders>
              <w:top w:val="single" w:sz="4" w:space="0" w:color="auto"/>
              <w:bottom w:val="single" w:sz="4" w:space="0" w:color="auto"/>
            </w:tcBorders>
          </w:tcPr>
          <w:p w14:paraId="48844A23" w14:textId="77777777" w:rsidR="006F00CC" w:rsidRPr="00A81BAD" w:rsidRDefault="000E4B23" w:rsidP="00036AE4">
            <w:pPr>
              <w:spacing w:after="0" w:line="240" w:lineRule="auto"/>
              <w:jc w:val="center"/>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lang w:val="en-US"/>
              </w:rPr>
              <w:t>Seed yield plot</w:t>
            </w:r>
            <w:r w:rsidRPr="00A81BAD">
              <w:rPr>
                <w:rFonts w:asciiTheme="minorBidi" w:hAnsiTheme="minorBidi" w:cstheme="minorBidi"/>
                <w:b/>
                <w:bCs/>
                <w:color w:val="000000" w:themeColor="text1"/>
                <w:sz w:val="20"/>
                <w:szCs w:val="20"/>
                <w:vertAlign w:val="superscript"/>
                <w:lang w:val="en-US"/>
              </w:rPr>
              <w:t>-1</w:t>
            </w:r>
            <w:r w:rsidRPr="00A81BAD">
              <w:rPr>
                <w:rFonts w:asciiTheme="minorBidi" w:hAnsiTheme="minorBidi" w:cstheme="minorBidi"/>
                <w:b/>
                <w:bCs/>
                <w:color w:val="000000" w:themeColor="text1"/>
                <w:sz w:val="20"/>
                <w:szCs w:val="20"/>
                <w:lang w:val="en-US"/>
              </w:rPr>
              <w:t xml:space="preserve"> (g)</w:t>
            </w:r>
          </w:p>
        </w:tc>
      </w:tr>
      <w:tr w:rsidR="00A81BAD" w:rsidRPr="00A81BAD" w14:paraId="331240D4" w14:textId="77777777">
        <w:trPr>
          <w:trHeight w:val="263"/>
        </w:trPr>
        <w:tc>
          <w:tcPr>
            <w:tcW w:w="0" w:type="auto"/>
            <w:tcBorders>
              <w:top w:val="single" w:sz="4" w:space="0" w:color="auto"/>
            </w:tcBorders>
          </w:tcPr>
          <w:p w14:paraId="715D4467" w14:textId="77777777" w:rsidR="006F00CC" w:rsidRPr="00A81BAD" w:rsidRDefault="000E4B23" w:rsidP="00036AE4">
            <w:pPr>
              <w:spacing w:after="0" w:line="240" w:lineRule="auto"/>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rPr>
              <w:t>Genotype</w:t>
            </w:r>
          </w:p>
        </w:tc>
        <w:tc>
          <w:tcPr>
            <w:tcW w:w="723" w:type="dxa"/>
            <w:tcBorders>
              <w:top w:val="single" w:sz="4" w:space="0" w:color="auto"/>
            </w:tcBorders>
          </w:tcPr>
          <w:p w14:paraId="22160893"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lang w:val="en-US"/>
              </w:rPr>
              <w:t>9</w:t>
            </w:r>
          </w:p>
        </w:tc>
        <w:tc>
          <w:tcPr>
            <w:tcW w:w="1220" w:type="dxa"/>
            <w:tcBorders>
              <w:top w:val="single" w:sz="4" w:space="0" w:color="auto"/>
            </w:tcBorders>
            <w:shd w:val="clear" w:color="auto" w:fill="auto"/>
          </w:tcPr>
          <w:p w14:paraId="4253AB45"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78.09**</w:t>
            </w:r>
          </w:p>
        </w:tc>
        <w:tc>
          <w:tcPr>
            <w:tcW w:w="1206" w:type="dxa"/>
            <w:tcBorders>
              <w:top w:val="single" w:sz="4" w:space="0" w:color="auto"/>
            </w:tcBorders>
            <w:shd w:val="clear" w:color="auto" w:fill="auto"/>
          </w:tcPr>
          <w:p w14:paraId="1EDE54EE"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781.79**</w:t>
            </w:r>
          </w:p>
        </w:tc>
        <w:tc>
          <w:tcPr>
            <w:tcW w:w="1234" w:type="dxa"/>
            <w:tcBorders>
              <w:top w:val="single" w:sz="4" w:space="0" w:color="auto"/>
            </w:tcBorders>
            <w:shd w:val="clear" w:color="auto" w:fill="auto"/>
          </w:tcPr>
          <w:p w14:paraId="526CE04A"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0.44*</w:t>
            </w:r>
          </w:p>
        </w:tc>
        <w:tc>
          <w:tcPr>
            <w:tcW w:w="1318" w:type="dxa"/>
            <w:tcBorders>
              <w:top w:val="single" w:sz="4" w:space="0" w:color="auto"/>
            </w:tcBorders>
            <w:shd w:val="clear" w:color="auto" w:fill="auto"/>
          </w:tcPr>
          <w:p w14:paraId="35E548B5"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3347.43**</w:t>
            </w:r>
          </w:p>
        </w:tc>
        <w:tc>
          <w:tcPr>
            <w:tcW w:w="1540" w:type="dxa"/>
            <w:tcBorders>
              <w:top w:val="single" w:sz="4" w:space="0" w:color="auto"/>
            </w:tcBorders>
            <w:shd w:val="clear" w:color="auto" w:fill="auto"/>
          </w:tcPr>
          <w:p w14:paraId="382308B8"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357221.27**</w:t>
            </w:r>
          </w:p>
        </w:tc>
      </w:tr>
      <w:tr w:rsidR="00A81BAD" w:rsidRPr="00A81BAD" w14:paraId="6DB2CE0E" w14:textId="77777777">
        <w:trPr>
          <w:trHeight w:val="171"/>
        </w:trPr>
        <w:tc>
          <w:tcPr>
            <w:tcW w:w="0" w:type="auto"/>
          </w:tcPr>
          <w:p w14:paraId="5E4DD184" w14:textId="77777777" w:rsidR="006F00CC" w:rsidRPr="00A81BAD" w:rsidRDefault="000E4B23" w:rsidP="00036AE4">
            <w:pPr>
              <w:spacing w:after="0" w:line="240" w:lineRule="auto"/>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rPr>
              <w:t>Environment</w:t>
            </w:r>
          </w:p>
        </w:tc>
        <w:tc>
          <w:tcPr>
            <w:tcW w:w="723" w:type="dxa"/>
          </w:tcPr>
          <w:p w14:paraId="6A6BA040"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lang w:val="en-US"/>
              </w:rPr>
              <w:t>15</w:t>
            </w:r>
          </w:p>
        </w:tc>
        <w:tc>
          <w:tcPr>
            <w:tcW w:w="1220" w:type="dxa"/>
            <w:shd w:val="clear" w:color="auto" w:fill="auto"/>
          </w:tcPr>
          <w:p w14:paraId="3DEF9549"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1274.91**</w:t>
            </w:r>
          </w:p>
        </w:tc>
        <w:tc>
          <w:tcPr>
            <w:tcW w:w="1206" w:type="dxa"/>
            <w:shd w:val="clear" w:color="auto" w:fill="auto"/>
          </w:tcPr>
          <w:p w14:paraId="2B3EE9C9"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4371.02**</w:t>
            </w:r>
          </w:p>
        </w:tc>
        <w:tc>
          <w:tcPr>
            <w:tcW w:w="1234" w:type="dxa"/>
            <w:shd w:val="clear" w:color="auto" w:fill="auto"/>
          </w:tcPr>
          <w:p w14:paraId="279B9CD0"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5.58**</w:t>
            </w:r>
          </w:p>
        </w:tc>
        <w:tc>
          <w:tcPr>
            <w:tcW w:w="1318" w:type="dxa"/>
            <w:shd w:val="clear" w:color="auto" w:fill="auto"/>
          </w:tcPr>
          <w:p w14:paraId="17DB9468"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12246.02**</w:t>
            </w:r>
          </w:p>
        </w:tc>
        <w:tc>
          <w:tcPr>
            <w:tcW w:w="1540" w:type="dxa"/>
            <w:shd w:val="clear" w:color="auto" w:fill="auto"/>
          </w:tcPr>
          <w:p w14:paraId="5DD92023"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1067483.90**</w:t>
            </w:r>
          </w:p>
        </w:tc>
      </w:tr>
      <w:tr w:rsidR="00A81BAD" w:rsidRPr="00A81BAD" w14:paraId="1AAB7705" w14:textId="77777777">
        <w:trPr>
          <w:trHeight w:val="189"/>
        </w:trPr>
        <w:tc>
          <w:tcPr>
            <w:tcW w:w="0" w:type="auto"/>
          </w:tcPr>
          <w:p w14:paraId="7F97EC23" w14:textId="77777777" w:rsidR="006F00CC" w:rsidRPr="00A81BAD" w:rsidRDefault="000E4B23" w:rsidP="00036AE4">
            <w:pPr>
              <w:spacing w:after="0" w:line="240" w:lineRule="auto"/>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rPr>
              <w:t xml:space="preserve">Gen x </w:t>
            </w:r>
            <w:proofErr w:type="spellStart"/>
            <w:r w:rsidRPr="00A81BAD">
              <w:rPr>
                <w:rFonts w:asciiTheme="minorBidi" w:hAnsiTheme="minorBidi" w:cstheme="minorBidi"/>
                <w:b/>
                <w:bCs/>
                <w:color w:val="000000" w:themeColor="text1"/>
                <w:sz w:val="20"/>
                <w:szCs w:val="20"/>
              </w:rPr>
              <w:t>Env</w:t>
            </w:r>
            <w:proofErr w:type="spellEnd"/>
          </w:p>
        </w:tc>
        <w:tc>
          <w:tcPr>
            <w:tcW w:w="723" w:type="dxa"/>
          </w:tcPr>
          <w:p w14:paraId="024B0111"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lang w:val="en-US"/>
              </w:rPr>
              <w:t>135</w:t>
            </w:r>
          </w:p>
        </w:tc>
        <w:tc>
          <w:tcPr>
            <w:tcW w:w="1220" w:type="dxa"/>
            <w:shd w:val="clear" w:color="auto" w:fill="auto"/>
          </w:tcPr>
          <w:p w14:paraId="12749084"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11.35*</w:t>
            </w:r>
          </w:p>
        </w:tc>
        <w:tc>
          <w:tcPr>
            <w:tcW w:w="1206" w:type="dxa"/>
            <w:shd w:val="clear" w:color="auto" w:fill="auto"/>
          </w:tcPr>
          <w:p w14:paraId="1CD8D94C"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107.95*</w:t>
            </w:r>
          </w:p>
        </w:tc>
        <w:tc>
          <w:tcPr>
            <w:tcW w:w="1234" w:type="dxa"/>
            <w:shd w:val="clear" w:color="auto" w:fill="auto"/>
          </w:tcPr>
          <w:p w14:paraId="4614EBB6"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0.19*</w:t>
            </w:r>
          </w:p>
        </w:tc>
        <w:tc>
          <w:tcPr>
            <w:tcW w:w="1318" w:type="dxa"/>
            <w:shd w:val="clear" w:color="auto" w:fill="auto"/>
          </w:tcPr>
          <w:p w14:paraId="2BA37A50"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512.73*</w:t>
            </w:r>
          </w:p>
        </w:tc>
        <w:tc>
          <w:tcPr>
            <w:tcW w:w="1540" w:type="dxa"/>
            <w:shd w:val="clear" w:color="auto" w:fill="auto"/>
          </w:tcPr>
          <w:p w14:paraId="399816B2"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25425.57*</w:t>
            </w:r>
          </w:p>
        </w:tc>
      </w:tr>
      <w:tr w:rsidR="00A81BAD" w:rsidRPr="00A81BAD" w14:paraId="7A403DD0" w14:textId="77777777">
        <w:trPr>
          <w:trHeight w:val="518"/>
        </w:trPr>
        <w:tc>
          <w:tcPr>
            <w:tcW w:w="0" w:type="auto"/>
            <w:tcBorders>
              <w:bottom w:val="single" w:sz="4" w:space="0" w:color="auto"/>
            </w:tcBorders>
          </w:tcPr>
          <w:p w14:paraId="3F01B1D0" w14:textId="77777777" w:rsidR="006F00CC" w:rsidRPr="00A81BAD" w:rsidRDefault="000E4B23" w:rsidP="00036AE4">
            <w:pPr>
              <w:spacing w:after="0" w:line="240" w:lineRule="auto"/>
              <w:rPr>
                <w:rFonts w:asciiTheme="minorBidi" w:hAnsiTheme="minorBidi" w:cstheme="minorBidi"/>
                <w:b/>
                <w:bCs/>
                <w:color w:val="000000" w:themeColor="text1"/>
                <w:sz w:val="20"/>
                <w:szCs w:val="20"/>
                <w:lang w:val="en-US"/>
              </w:rPr>
            </w:pPr>
            <w:proofErr w:type="spellStart"/>
            <w:r w:rsidRPr="00A81BAD">
              <w:rPr>
                <w:rFonts w:asciiTheme="minorBidi" w:hAnsiTheme="minorBidi" w:cstheme="minorBidi"/>
                <w:b/>
                <w:bCs/>
                <w:color w:val="000000" w:themeColor="text1"/>
                <w:sz w:val="20"/>
                <w:szCs w:val="20"/>
              </w:rPr>
              <w:t>Env</w:t>
            </w:r>
            <w:proofErr w:type="spellEnd"/>
            <w:r w:rsidRPr="00A81BAD">
              <w:rPr>
                <w:rFonts w:asciiTheme="minorBidi" w:hAnsiTheme="minorBidi" w:cstheme="minorBidi"/>
                <w:b/>
                <w:bCs/>
                <w:color w:val="000000" w:themeColor="text1"/>
                <w:sz w:val="20"/>
                <w:szCs w:val="20"/>
              </w:rPr>
              <w:t xml:space="preserve"> + (Gen x Env)</w:t>
            </w:r>
          </w:p>
        </w:tc>
        <w:tc>
          <w:tcPr>
            <w:tcW w:w="723" w:type="dxa"/>
            <w:tcBorders>
              <w:bottom w:val="single" w:sz="4" w:space="0" w:color="auto"/>
            </w:tcBorders>
          </w:tcPr>
          <w:p w14:paraId="3F0F5ED7"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lang w:val="en-US"/>
              </w:rPr>
              <w:t>150</w:t>
            </w:r>
          </w:p>
        </w:tc>
        <w:tc>
          <w:tcPr>
            <w:tcW w:w="1220" w:type="dxa"/>
            <w:tcBorders>
              <w:bottom w:val="single" w:sz="4" w:space="0" w:color="auto"/>
            </w:tcBorders>
            <w:shd w:val="clear" w:color="auto" w:fill="auto"/>
          </w:tcPr>
          <w:p w14:paraId="4BB6359F"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137.71</w:t>
            </w:r>
          </w:p>
        </w:tc>
        <w:tc>
          <w:tcPr>
            <w:tcW w:w="1206" w:type="dxa"/>
            <w:tcBorders>
              <w:bottom w:val="single" w:sz="4" w:space="0" w:color="auto"/>
            </w:tcBorders>
            <w:shd w:val="clear" w:color="auto" w:fill="auto"/>
          </w:tcPr>
          <w:p w14:paraId="2833F499"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534.26</w:t>
            </w:r>
          </w:p>
        </w:tc>
        <w:tc>
          <w:tcPr>
            <w:tcW w:w="1234" w:type="dxa"/>
            <w:tcBorders>
              <w:bottom w:val="single" w:sz="4" w:space="0" w:color="auto"/>
            </w:tcBorders>
            <w:shd w:val="clear" w:color="auto" w:fill="auto"/>
          </w:tcPr>
          <w:p w14:paraId="6C3B5145"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0.73</w:t>
            </w:r>
          </w:p>
        </w:tc>
        <w:tc>
          <w:tcPr>
            <w:tcW w:w="1318" w:type="dxa"/>
            <w:tcBorders>
              <w:bottom w:val="single" w:sz="4" w:space="0" w:color="auto"/>
            </w:tcBorders>
            <w:shd w:val="clear" w:color="auto" w:fill="auto"/>
          </w:tcPr>
          <w:p w14:paraId="3AA9AD0B"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1686.06</w:t>
            </w:r>
          </w:p>
        </w:tc>
        <w:tc>
          <w:tcPr>
            <w:tcW w:w="1540" w:type="dxa"/>
            <w:tcBorders>
              <w:bottom w:val="single" w:sz="4" w:space="0" w:color="auto"/>
            </w:tcBorders>
            <w:shd w:val="clear" w:color="auto" w:fill="auto"/>
          </w:tcPr>
          <w:p w14:paraId="1A6044E8"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129631.40</w:t>
            </w:r>
          </w:p>
        </w:tc>
      </w:tr>
      <w:tr w:rsidR="00A81BAD" w:rsidRPr="00A81BAD" w14:paraId="7E1B9161" w14:textId="77777777">
        <w:trPr>
          <w:trHeight w:val="143"/>
        </w:trPr>
        <w:tc>
          <w:tcPr>
            <w:tcW w:w="0" w:type="auto"/>
            <w:tcBorders>
              <w:top w:val="single" w:sz="4" w:space="0" w:color="auto"/>
            </w:tcBorders>
          </w:tcPr>
          <w:p w14:paraId="0D9043FC" w14:textId="77777777" w:rsidR="006F00CC" w:rsidRPr="00A81BAD" w:rsidRDefault="000E4B23" w:rsidP="00036AE4">
            <w:pPr>
              <w:spacing w:after="0" w:line="240" w:lineRule="auto"/>
              <w:rPr>
                <w:rFonts w:asciiTheme="minorBidi" w:hAnsiTheme="minorBidi" w:cstheme="minorBidi"/>
                <w:b/>
                <w:bCs/>
                <w:color w:val="000000" w:themeColor="text1"/>
                <w:sz w:val="20"/>
                <w:szCs w:val="20"/>
                <w:lang w:val="en-US"/>
              </w:rPr>
            </w:pPr>
            <w:proofErr w:type="spellStart"/>
            <w:r w:rsidRPr="00A81BAD">
              <w:rPr>
                <w:rFonts w:asciiTheme="minorBidi" w:hAnsiTheme="minorBidi" w:cstheme="minorBidi"/>
                <w:b/>
                <w:bCs/>
                <w:color w:val="000000" w:themeColor="text1"/>
                <w:sz w:val="20"/>
                <w:szCs w:val="20"/>
              </w:rPr>
              <w:t>Env</w:t>
            </w:r>
            <w:proofErr w:type="spellEnd"/>
            <w:r w:rsidRPr="00A81BAD">
              <w:rPr>
                <w:rFonts w:asciiTheme="minorBidi" w:hAnsiTheme="minorBidi" w:cstheme="minorBidi"/>
                <w:b/>
                <w:bCs/>
                <w:color w:val="000000" w:themeColor="text1"/>
                <w:sz w:val="20"/>
                <w:szCs w:val="20"/>
              </w:rPr>
              <w:t xml:space="preserve"> (Lin.)</w:t>
            </w:r>
          </w:p>
        </w:tc>
        <w:tc>
          <w:tcPr>
            <w:tcW w:w="723" w:type="dxa"/>
            <w:tcBorders>
              <w:top w:val="single" w:sz="4" w:space="0" w:color="auto"/>
            </w:tcBorders>
          </w:tcPr>
          <w:p w14:paraId="728CD1EB"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lang w:val="en-US"/>
              </w:rPr>
              <w:t>1</w:t>
            </w:r>
          </w:p>
        </w:tc>
        <w:tc>
          <w:tcPr>
            <w:tcW w:w="1220" w:type="dxa"/>
            <w:tcBorders>
              <w:top w:val="single" w:sz="4" w:space="0" w:color="auto"/>
            </w:tcBorders>
            <w:shd w:val="clear" w:color="auto" w:fill="auto"/>
          </w:tcPr>
          <w:p w14:paraId="1F5E0721"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19123.60**</w:t>
            </w:r>
          </w:p>
        </w:tc>
        <w:tc>
          <w:tcPr>
            <w:tcW w:w="1206" w:type="dxa"/>
            <w:tcBorders>
              <w:top w:val="single" w:sz="4" w:space="0" w:color="auto"/>
            </w:tcBorders>
            <w:shd w:val="clear" w:color="auto" w:fill="auto"/>
          </w:tcPr>
          <w:p w14:paraId="7544400C"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65565.35**</w:t>
            </w:r>
          </w:p>
        </w:tc>
        <w:tc>
          <w:tcPr>
            <w:tcW w:w="1234" w:type="dxa"/>
            <w:tcBorders>
              <w:top w:val="single" w:sz="4" w:space="0" w:color="auto"/>
            </w:tcBorders>
            <w:shd w:val="clear" w:color="auto" w:fill="auto"/>
          </w:tcPr>
          <w:p w14:paraId="5659FC00"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83.70**</w:t>
            </w:r>
          </w:p>
        </w:tc>
        <w:tc>
          <w:tcPr>
            <w:tcW w:w="1318" w:type="dxa"/>
            <w:tcBorders>
              <w:top w:val="single" w:sz="4" w:space="0" w:color="auto"/>
            </w:tcBorders>
            <w:shd w:val="clear" w:color="auto" w:fill="auto"/>
          </w:tcPr>
          <w:p w14:paraId="55257EB7"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183690.22**</w:t>
            </w:r>
          </w:p>
        </w:tc>
        <w:tc>
          <w:tcPr>
            <w:tcW w:w="1540" w:type="dxa"/>
            <w:tcBorders>
              <w:top w:val="single" w:sz="4" w:space="0" w:color="auto"/>
            </w:tcBorders>
            <w:shd w:val="clear" w:color="auto" w:fill="auto"/>
          </w:tcPr>
          <w:p w14:paraId="1A7B0FD8"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16012258.56**</w:t>
            </w:r>
          </w:p>
        </w:tc>
      </w:tr>
      <w:tr w:rsidR="00A81BAD" w:rsidRPr="00A81BAD" w14:paraId="3AC6D957" w14:textId="77777777">
        <w:trPr>
          <w:trHeight w:val="518"/>
        </w:trPr>
        <w:tc>
          <w:tcPr>
            <w:tcW w:w="0" w:type="auto"/>
          </w:tcPr>
          <w:p w14:paraId="02A5341F" w14:textId="77777777" w:rsidR="006F00CC" w:rsidRPr="00A81BAD" w:rsidRDefault="000E4B23" w:rsidP="00036AE4">
            <w:pPr>
              <w:spacing w:after="0" w:line="240" w:lineRule="auto"/>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rPr>
              <w:t xml:space="preserve">Gen x </w:t>
            </w:r>
            <w:proofErr w:type="spellStart"/>
            <w:r w:rsidRPr="00A81BAD">
              <w:rPr>
                <w:rFonts w:asciiTheme="minorBidi" w:hAnsiTheme="minorBidi" w:cstheme="minorBidi"/>
                <w:b/>
                <w:bCs/>
                <w:color w:val="000000" w:themeColor="text1"/>
                <w:sz w:val="20"/>
                <w:szCs w:val="20"/>
              </w:rPr>
              <w:t>Env</w:t>
            </w:r>
            <w:proofErr w:type="spellEnd"/>
            <w:r w:rsidRPr="00A81BAD">
              <w:rPr>
                <w:rFonts w:asciiTheme="minorBidi" w:hAnsiTheme="minorBidi" w:cstheme="minorBidi"/>
                <w:b/>
                <w:bCs/>
                <w:color w:val="000000" w:themeColor="text1"/>
                <w:sz w:val="20"/>
                <w:szCs w:val="20"/>
              </w:rPr>
              <w:t xml:space="preserve"> (Lin.)</w:t>
            </w:r>
          </w:p>
        </w:tc>
        <w:tc>
          <w:tcPr>
            <w:tcW w:w="723" w:type="dxa"/>
          </w:tcPr>
          <w:p w14:paraId="16CD42BC"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lang w:val="en-US"/>
              </w:rPr>
              <w:t>9</w:t>
            </w:r>
          </w:p>
        </w:tc>
        <w:tc>
          <w:tcPr>
            <w:tcW w:w="1220" w:type="dxa"/>
            <w:tcBorders>
              <w:top w:val="nil"/>
            </w:tcBorders>
            <w:shd w:val="clear" w:color="auto" w:fill="auto"/>
          </w:tcPr>
          <w:p w14:paraId="5B85E5FD"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9.71**</w:t>
            </w:r>
          </w:p>
        </w:tc>
        <w:tc>
          <w:tcPr>
            <w:tcW w:w="1206" w:type="dxa"/>
            <w:tcBorders>
              <w:top w:val="nil"/>
            </w:tcBorders>
            <w:shd w:val="clear" w:color="auto" w:fill="auto"/>
          </w:tcPr>
          <w:p w14:paraId="3AD4F486"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160.55**</w:t>
            </w:r>
          </w:p>
        </w:tc>
        <w:tc>
          <w:tcPr>
            <w:tcW w:w="1234" w:type="dxa"/>
            <w:tcBorders>
              <w:top w:val="nil"/>
            </w:tcBorders>
            <w:shd w:val="clear" w:color="auto" w:fill="auto"/>
          </w:tcPr>
          <w:p w14:paraId="16B59BD0"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0.29*</w:t>
            </w:r>
          </w:p>
        </w:tc>
        <w:tc>
          <w:tcPr>
            <w:tcW w:w="1318" w:type="dxa"/>
            <w:tcBorders>
              <w:top w:val="nil"/>
            </w:tcBorders>
            <w:shd w:val="clear" w:color="auto" w:fill="auto"/>
          </w:tcPr>
          <w:p w14:paraId="502739F4"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767.32**</w:t>
            </w:r>
          </w:p>
        </w:tc>
        <w:tc>
          <w:tcPr>
            <w:tcW w:w="1540" w:type="dxa"/>
            <w:tcBorders>
              <w:top w:val="nil"/>
            </w:tcBorders>
            <w:shd w:val="clear" w:color="auto" w:fill="auto"/>
          </w:tcPr>
          <w:p w14:paraId="0BE712BF"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36733.33**</w:t>
            </w:r>
          </w:p>
        </w:tc>
      </w:tr>
      <w:tr w:rsidR="00A81BAD" w:rsidRPr="00A81BAD" w14:paraId="530978BA" w14:textId="77777777">
        <w:trPr>
          <w:trHeight w:val="518"/>
        </w:trPr>
        <w:tc>
          <w:tcPr>
            <w:tcW w:w="0" w:type="auto"/>
          </w:tcPr>
          <w:p w14:paraId="798CC208" w14:textId="77777777" w:rsidR="006F00CC" w:rsidRPr="00A81BAD" w:rsidRDefault="000E4B23" w:rsidP="00036AE4">
            <w:pPr>
              <w:spacing w:after="0" w:line="240" w:lineRule="auto"/>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rPr>
              <w:t>Pooled Deviation</w:t>
            </w:r>
          </w:p>
        </w:tc>
        <w:tc>
          <w:tcPr>
            <w:tcW w:w="723" w:type="dxa"/>
          </w:tcPr>
          <w:p w14:paraId="27FCAE89"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lang w:val="en-US"/>
              </w:rPr>
              <w:t>140</w:t>
            </w:r>
          </w:p>
        </w:tc>
        <w:tc>
          <w:tcPr>
            <w:tcW w:w="1220" w:type="dxa"/>
            <w:tcBorders>
              <w:top w:val="nil"/>
            </w:tcBorders>
            <w:shd w:val="clear" w:color="auto" w:fill="auto"/>
          </w:tcPr>
          <w:p w14:paraId="23C07A8A"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10.32**</w:t>
            </w:r>
          </w:p>
        </w:tc>
        <w:tc>
          <w:tcPr>
            <w:tcW w:w="1206" w:type="dxa"/>
            <w:tcBorders>
              <w:top w:val="nil"/>
            </w:tcBorders>
            <w:shd w:val="clear" w:color="auto" w:fill="auto"/>
          </w:tcPr>
          <w:p w14:paraId="2A29BF86"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93.78**</w:t>
            </w:r>
          </w:p>
        </w:tc>
        <w:tc>
          <w:tcPr>
            <w:tcW w:w="1234" w:type="dxa"/>
            <w:tcBorders>
              <w:top w:val="nil"/>
            </w:tcBorders>
            <w:shd w:val="clear" w:color="auto" w:fill="auto"/>
          </w:tcPr>
          <w:p w14:paraId="1EA544C9"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0.16**</w:t>
            </w:r>
          </w:p>
        </w:tc>
        <w:tc>
          <w:tcPr>
            <w:tcW w:w="1318" w:type="dxa"/>
            <w:tcBorders>
              <w:top w:val="nil"/>
            </w:tcBorders>
            <w:shd w:val="clear" w:color="auto" w:fill="auto"/>
          </w:tcPr>
          <w:p w14:paraId="454C82F9"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445.09**</w:t>
            </w:r>
          </w:p>
        </w:tc>
        <w:tc>
          <w:tcPr>
            <w:tcW w:w="1540" w:type="dxa"/>
            <w:tcBorders>
              <w:top w:val="nil"/>
            </w:tcBorders>
            <w:shd w:val="clear" w:color="auto" w:fill="auto"/>
          </w:tcPr>
          <w:p w14:paraId="23496DE4"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22156.09**</w:t>
            </w:r>
          </w:p>
        </w:tc>
      </w:tr>
      <w:tr w:rsidR="00A81BAD" w:rsidRPr="00A81BAD" w14:paraId="5EABAAA3" w14:textId="77777777">
        <w:trPr>
          <w:trHeight w:val="297"/>
        </w:trPr>
        <w:tc>
          <w:tcPr>
            <w:tcW w:w="0" w:type="auto"/>
            <w:tcBorders>
              <w:bottom w:val="single" w:sz="4" w:space="0" w:color="auto"/>
            </w:tcBorders>
          </w:tcPr>
          <w:p w14:paraId="2D695A8D" w14:textId="77777777" w:rsidR="006F00CC" w:rsidRPr="00A81BAD" w:rsidRDefault="000E4B23" w:rsidP="00036AE4">
            <w:pPr>
              <w:spacing w:after="0" w:line="240" w:lineRule="auto"/>
              <w:rPr>
                <w:rFonts w:asciiTheme="minorBidi" w:hAnsiTheme="minorBidi" w:cstheme="minorBidi"/>
                <w:b/>
                <w:bCs/>
                <w:color w:val="000000" w:themeColor="text1"/>
                <w:sz w:val="20"/>
                <w:szCs w:val="20"/>
                <w:lang w:val="en-US"/>
              </w:rPr>
            </w:pPr>
            <w:r w:rsidRPr="00A81BAD">
              <w:rPr>
                <w:rFonts w:asciiTheme="minorBidi" w:hAnsiTheme="minorBidi" w:cstheme="minorBidi"/>
                <w:b/>
                <w:bCs/>
                <w:color w:val="000000" w:themeColor="text1"/>
                <w:sz w:val="20"/>
                <w:szCs w:val="20"/>
              </w:rPr>
              <w:t>Pooled Error</w:t>
            </w:r>
          </w:p>
        </w:tc>
        <w:tc>
          <w:tcPr>
            <w:tcW w:w="723" w:type="dxa"/>
            <w:tcBorders>
              <w:bottom w:val="single" w:sz="4" w:space="0" w:color="auto"/>
            </w:tcBorders>
          </w:tcPr>
          <w:p w14:paraId="3DC3AB0A"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lang w:val="en-US"/>
              </w:rPr>
              <w:t>288</w:t>
            </w:r>
          </w:p>
        </w:tc>
        <w:tc>
          <w:tcPr>
            <w:tcW w:w="1220" w:type="dxa"/>
            <w:tcBorders>
              <w:top w:val="nil"/>
              <w:bottom w:val="single" w:sz="4" w:space="0" w:color="auto"/>
            </w:tcBorders>
            <w:shd w:val="clear" w:color="auto" w:fill="auto"/>
          </w:tcPr>
          <w:p w14:paraId="168573FB"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9.31</w:t>
            </w:r>
          </w:p>
        </w:tc>
        <w:tc>
          <w:tcPr>
            <w:tcW w:w="1206" w:type="dxa"/>
            <w:tcBorders>
              <w:top w:val="nil"/>
              <w:bottom w:val="single" w:sz="4" w:space="0" w:color="auto"/>
            </w:tcBorders>
            <w:shd w:val="clear" w:color="auto" w:fill="auto"/>
          </w:tcPr>
          <w:p w14:paraId="18BF1364"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129.53</w:t>
            </w:r>
          </w:p>
        </w:tc>
        <w:tc>
          <w:tcPr>
            <w:tcW w:w="1234" w:type="dxa"/>
            <w:tcBorders>
              <w:top w:val="nil"/>
              <w:bottom w:val="single" w:sz="4" w:space="0" w:color="auto"/>
            </w:tcBorders>
            <w:shd w:val="clear" w:color="auto" w:fill="auto"/>
          </w:tcPr>
          <w:p w14:paraId="7557A76F"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0.15</w:t>
            </w:r>
          </w:p>
        </w:tc>
        <w:tc>
          <w:tcPr>
            <w:tcW w:w="1318" w:type="dxa"/>
            <w:tcBorders>
              <w:top w:val="nil"/>
              <w:bottom w:val="single" w:sz="4" w:space="0" w:color="auto"/>
            </w:tcBorders>
            <w:shd w:val="clear" w:color="auto" w:fill="auto"/>
          </w:tcPr>
          <w:p w14:paraId="3EBF51CC"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342.58</w:t>
            </w:r>
          </w:p>
        </w:tc>
        <w:tc>
          <w:tcPr>
            <w:tcW w:w="1540" w:type="dxa"/>
            <w:tcBorders>
              <w:top w:val="nil"/>
              <w:bottom w:val="single" w:sz="4" w:space="0" w:color="auto"/>
            </w:tcBorders>
            <w:shd w:val="clear" w:color="auto" w:fill="auto"/>
          </w:tcPr>
          <w:p w14:paraId="4CB1DE58" w14:textId="77777777" w:rsidR="006F00CC" w:rsidRPr="00A81BAD" w:rsidRDefault="000E4B23" w:rsidP="00036AE4">
            <w:pPr>
              <w:spacing w:after="0" w:line="240" w:lineRule="auto"/>
              <w:jc w:val="center"/>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rPr>
              <w:t>28461.18</w:t>
            </w:r>
          </w:p>
        </w:tc>
      </w:tr>
    </w:tbl>
    <w:p w14:paraId="7ABE12CB" w14:textId="056AAE7F" w:rsidR="006F00CC" w:rsidRPr="00A81BAD" w:rsidRDefault="000E4B23" w:rsidP="00995624">
      <w:pPr>
        <w:spacing w:line="240" w:lineRule="auto"/>
        <w:rPr>
          <w:rFonts w:asciiTheme="minorBidi" w:hAnsiTheme="minorBidi" w:cstheme="minorBidi"/>
          <w:color w:val="000000" w:themeColor="text1"/>
          <w:sz w:val="20"/>
          <w:szCs w:val="20"/>
          <w:lang w:val="en-US"/>
        </w:rPr>
      </w:pPr>
      <w:r w:rsidRPr="00A81BAD">
        <w:rPr>
          <w:rFonts w:asciiTheme="minorBidi" w:hAnsiTheme="minorBidi" w:cstheme="minorBidi"/>
          <w:color w:val="000000" w:themeColor="text1"/>
          <w:sz w:val="20"/>
          <w:szCs w:val="20"/>
          <w:lang w:val="en-US"/>
        </w:rPr>
        <w:t>*, ** = significant at 5% and 1% respectively</w:t>
      </w:r>
    </w:p>
    <w:p w14:paraId="68E3DEF1" w14:textId="77777777" w:rsidR="006F00CC" w:rsidRPr="00A81BAD" w:rsidRDefault="000E4B23" w:rsidP="00036AE4">
      <w:pPr>
        <w:spacing w:line="240" w:lineRule="auto"/>
        <w:ind w:firstLine="720"/>
        <w:jc w:val="both"/>
        <w:rPr>
          <w:rFonts w:asciiTheme="minorBidi" w:hAnsiTheme="minorBidi" w:cstheme="minorBidi"/>
          <w:b/>
          <w:bCs/>
          <w:color w:val="000000" w:themeColor="text1"/>
          <w:sz w:val="20"/>
          <w:szCs w:val="22"/>
          <w:lang w:val="en-US"/>
        </w:rPr>
      </w:pPr>
      <w:r w:rsidRPr="00A81BAD">
        <w:rPr>
          <w:rFonts w:asciiTheme="minorBidi" w:hAnsiTheme="minorBidi" w:cstheme="minorBidi"/>
          <w:color w:val="000000" w:themeColor="text1"/>
          <w:sz w:val="20"/>
          <w:szCs w:val="20"/>
        </w:rPr>
        <w:t xml:space="preserve">Partitioning of </w:t>
      </w:r>
      <w:r w:rsidRPr="00A81BAD">
        <w:rPr>
          <w:rFonts w:asciiTheme="minorBidi" w:hAnsiTheme="minorBidi" w:cstheme="minorBidi"/>
          <w:color w:val="000000" w:themeColor="text1"/>
          <w:sz w:val="20"/>
          <w:szCs w:val="20"/>
        </w:rPr>
        <w:t>environment + (genotype x environment) interaction into environment (linear), genotype x environment (linear) and pooled deviation showed that significant mean square due to environment (linear) for all characters under study, indicated that significant di</w:t>
      </w:r>
      <w:r w:rsidRPr="00A81BAD">
        <w:rPr>
          <w:rFonts w:asciiTheme="minorBidi" w:hAnsiTheme="minorBidi" w:cstheme="minorBidi"/>
          <w:color w:val="000000" w:themeColor="text1"/>
          <w:sz w:val="20"/>
          <w:szCs w:val="20"/>
        </w:rPr>
        <w:t>fferences were present between environments</w:t>
      </w:r>
      <w:r w:rsidRPr="00A81BAD">
        <w:rPr>
          <w:rFonts w:asciiTheme="minorBidi" w:hAnsiTheme="minorBidi" w:cstheme="minorBidi"/>
          <w:color w:val="000000" w:themeColor="text1"/>
          <w:sz w:val="20"/>
          <w:szCs w:val="22"/>
        </w:rPr>
        <w:t xml:space="preserve"> and had exhibited the considerable influence on expression of seed yield and its contributing characters. The environment (linear) component differed significantly indicating that environments affect significantl</w:t>
      </w:r>
      <w:r w:rsidRPr="00A81BAD">
        <w:rPr>
          <w:rFonts w:asciiTheme="minorBidi" w:hAnsiTheme="minorBidi" w:cstheme="minorBidi"/>
          <w:color w:val="000000" w:themeColor="text1"/>
          <w:sz w:val="20"/>
          <w:szCs w:val="22"/>
        </w:rPr>
        <w:t xml:space="preserve">y to the expression of genotypes. G (genotypes) x E (environment) (linear) showed significance for all the characters indicated divergent linear response to environmental changes. Similar results were reported by </w:t>
      </w:r>
      <w:r w:rsidRPr="00A81BAD">
        <w:rPr>
          <w:rFonts w:asciiTheme="minorBidi" w:hAnsiTheme="minorBidi" w:cstheme="minorBidi"/>
          <w:color w:val="000000" w:themeColor="text1"/>
          <w:sz w:val="20"/>
          <w:szCs w:val="22"/>
        </w:rPr>
        <w:t>Kana</w:t>
      </w:r>
      <w:r w:rsidRPr="00A81BAD">
        <w:rPr>
          <w:rFonts w:asciiTheme="minorBidi" w:hAnsiTheme="minorBidi" w:cstheme="minorBidi"/>
          <w:color w:val="000000" w:themeColor="text1"/>
          <w:sz w:val="20"/>
          <w:szCs w:val="22"/>
        </w:rPr>
        <w:t xml:space="preserve"> Ram </w:t>
      </w:r>
      <w:r w:rsidRPr="00A81BAD">
        <w:rPr>
          <w:rFonts w:asciiTheme="minorBidi" w:hAnsiTheme="minorBidi" w:cstheme="minorBidi"/>
          <w:i/>
          <w:iCs/>
          <w:color w:val="000000" w:themeColor="text1"/>
          <w:sz w:val="20"/>
          <w:szCs w:val="22"/>
        </w:rPr>
        <w:t>et al.,</w:t>
      </w:r>
      <w:r w:rsidRPr="00A81BAD">
        <w:rPr>
          <w:rFonts w:asciiTheme="minorBidi" w:hAnsiTheme="minorBidi" w:cstheme="minorBidi"/>
          <w:color w:val="000000" w:themeColor="text1"/>
          <w:sz w:val="20"/>
          <w:szCs w:val="22"/>
        </w:rPr>
        <w:t xml:space="preserve"> 2016 </w:t>
      </w:r>
      <w:commentRangeStart w:id="13"/>
      <w:r w:rsidRPr="00A81BAD">
        <w:rPr>
          <w:rFonts w:asciiTheme="minorBidi" w:hAnsiTheme="minorBidi" w:cstheme="minorBidi"/>
          <w:color w:val="000000" w:themeColor="text1"/>
          <w:sz w:val="20"/>
          <w:szCs w:val="22"/>
        </w:rPr>
        <w:t>[8]</w:t>
      </w:r>
      <w:commentRangeEnd w:id="13"/>
      <w:r w:rsidR="0023229E" w:rsidRPr="00A81BAD">
        <w:rPr>
          <w:rStyle w:val="CommentReference"/>
          <w:color w:val="000000" w:themeColor="text1"/>
        </w:rPr>
        <w:commentReference w:id="13"/>
      </w:r>
      <w:r w:rsidRPr="00A81BAD">
        <w:rPr>
          <w:rFonts w:asciiTheme="minorBidi" w:hAnsiTheme="minorBidi" w:cstheme="minorBidi"/>
          <w:color w:val="000000" w:themeColor="text1"/>
          <w:sz w:val="20"/>
          <w:szCs w:val="22"/>
        </w:rPr>
        <w:t xml:space="preserve"> for days to 50 per cent flowering, primary branches plant</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secondary branches plant</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length of siliqua, seed yield plant</w:t>
      </w:r>
      <w:r w:rsidRPr="00A81BAD">
        <w:rPr>
          <w:rFonts w:asciiTheme="minorBidi" w:hAnsiTheme="minorBidi" w:cstheme="minorBidi"/>
          <w:color w:val="000000" w:themeColor="text1"/>
          <w:sz w:val="20"/>
          <w:szCs w:val="22"/>
          <w:vertAlign w:val="superscript"/>
        </w:rPr>
        <w:t xml:space="preserve">-1 </w:t>
      </w:r>
      <w:r w:rsidRPr="00A81BAD">
        <w:rPr>
          <w:rFonts w:asciiTheme="minorBidi" w:hAnsiTheme="minorBidi" w:cstheme="minorBidi"/>
          <w:color w:val="000000" w:themeColor="text1"/>
          <w:sz w:val="20"/>
          <w:szCs w:val="22"/>
        </w:rPr>
        <w:t xml:space="preserve">and test weight. Jakhar and </w:t>
      </w:r>
      <w:proofErr w:type="spellStart"/>
      <w:r w:rsidRPr="00A81BAD">
        <w:rPr>
          <w:rFonts w:asciiTheme="minorBidi" w:hAnsiTheme="minorBidi" w:cstheme="minorBidi"/>
          <w:color w:val="000000" w:themeColor="text1"/>
          <w:sz w:val="20"/>
          <w:szCs w:val="22"/>
        </w:rPr>
        <w:t>Yadava</w:t>
      </w:r>
      <w:proofErr w:type="spellEnd"/>
      <w:r w:rsidRPr="00A81BAD">
        <w:rPr>
          <w:rFonts w:asciiTheme="minorBidi" w:hAnsiTheme="minorBidi" w:cstheme="minorBidi"/>
          <w:color w:val="000000" w:themeColor="text1"/>
          <w:sz w:val="20"/>
          <w:szCs w:val="22"/>
        </w:rPr>
        <w:t xml:space="preserve">, 2010 </w:t>
      </w:r>
      <w:commentRangeStart w:id="14"/>
      <w:r w:rsidRPr="00A81BAD">
        <w:rPr>
          <w:rFonts w:asciiTheme="minorBidi" w:hAnsiTheme="minorBidi" w:cstheme="minorBidi"/>
          <w:color w:val="000000" w:themeColor="text1"/>
          <w:sz w:val="20"/>
          <w:szCs w:val="22"/>
        </w:rPr>
        <w:t xml:space="preserve">[9] </w:t>
      </w:r>
      <w:commentRangeEnd w:id="14"/>
      <w:r w:rsidR="0023229E" w:rsidRPr="00A81BAD">
        <w:rPr>
          <w:rStyle w:val="CommentReference"/>
          <w:color w:val="000000" w:themeColor="text1"/>
        </w:rPr>
        <w:commentReference w:id="14"/>
      </w:r>
      <w:r w:rsidRPr="00A81BAD">
        <w:rPr>
          <w:rFonts w:asciiTheme="minorBidi" w:hAnsiTheme="minorBidi" w:cstheme="minorBidi"/>
          <w:color w:val="000000" w:themeColor="text1"/>
          <w:sz w:val="20"/>
          <w:szCs w:val="22"/>
        </w:rPr>
        <w:t>also reported similar results by creating different environmental conditio</w:t>
      </w:r>
      <w:r w:rsidRPr="00A81BAD">
        <w:rPr>
          <w:rFonts w:asciiTheme="minorBidi" w:hAnsiTheme="minorBidi" w:cstheme="minorBidi"/>
          <w:color w:val="000000" w:themeColor="text1"/>
          <w:sz w:val="20"/>
          <w:szCs w:val="22"/>
        </w:rPr>
        <w:t xml:space="preserve">ns through different sowing dates. The pooled deviation also reported significant deviation for all characters under study, similar results were reported by </w:t>
      </w:r>
      <w:proofErr w:type="spellStart"/>
      <w:r w:rsidRPr="00A81BAD">
        <w:rPr>
          <w:rFonts w:asciiTheme="minorBidi" w:hAnsiTheme="minorBidi" w:cstheme="minorBidi"/>
          <w:color w:val="000000" w:themeColor="text1"/>
          <w:sz w:val="20"/>
          <w:szCs w:val="22"/>
        </w:rPr>
        <w:t>Priyamedha</w:t>
      </w:r>
      <w:proofErr w:type="spellEnd"/>
      <w:r w:rsidRPr="00A81BAD">
        <w:rPr>
          <w:rFonts w:asciiTheme="minorBidi" w:hAnsiTheme="minorBidi" w:cstheme="minorBidi"/>
          <w:color w:val="000000" w:themeColor="text1"/>
          <w:sz w:val="20"/>
          <w:szCs w:val="22"/>
        </w:rPr>
        <w:t xml:space="preserve"> </w:t>
      </w:r>
      <w:r w:rsidRPr="00A81BAD">
        <w:rPr>
          <w:rFonts w:asciiTheme="minorBidi" w:hAnsiTheme="minorBidi" w:cstheme="minorBidi"/>
          <w:i/>
          <w:iCs/>
          <w:color w:val="000000" w:themeColor="text1"/>
          <w:sz w:val="20"/>
          <w:szCs w:val="22"/>
        </w:rPr>
        <w:t>et al.</w:t>
      </w:r>
      <w:r w:rsidRPr="00A81BAD">
        <w:rPr>
          <w:rFonts w:asciiTheme="minorBidi" w:hAnsiTheme="minorBidi" w:cstheme="minorBidi"/>
          <w:color w:val="000000" w:themeColor="text1"/>
          <w:sz w:val="20"/>
          <w:szCs w:val="22"/>
        </w:rPr>
        <w:t xml:space="preserve"> 2017 </w:t>
      </w:r>
      <w:commentRangeStart w:id="15"/>
      <w:r w:rsidRPr="00A81BAD">
        <w:rPr>
          <w:rFonts w:asciiTheme="minorBidi" w:hAnsiTheme="minorBidi" w:cstheme="minorBidi"/>
          <w:color w:val="000000" w:themeColor="text1"/>
          <w:sz w:val="20"/>
          <w:szCs w:val="22"/>
        </w:rPr>
        <w:t xml:space="preserve">[10] </w:t>
      </w:r>
      <w:commentRangeEnd w:id="15"/>
      <w:r w:rsidR="0023229E" w:rsidRPr="00A81BAD">
        <w:rPr>
          <w:rStyle w:val="CommentReference"/>
          <w:color w:val="000000" w:themeColor="text1"/>
        </w:rPr>
        <w:commentReference w:id="15"/>
      </w:r>
      <w:r w:rsidRPr="00A81BAD">
        <w:rPr>
          <w:rFonts w:asciiTheme="minorBidi" w:hAnsiTheme="minorBidi" w:cstheme="minorBidi"/>
          <w:color w:val="000000" w:themeColor="text1"/>
          <w:sz w:val="20"/>
          <w:szCs w:val="22"/>
        </w:rPr>
        <w:t>for plant height, number of siliquae on main shoot, number of seeds sil</w:t>
      </w:r>
      <w:r w:rsidRPr="00A81BAD">
        <w:rPr>
          <w:rFonts w:asciiTheme="minorBidi" w:hAnsiTheme="minorBidi" w:cstheme="minorBidi"/>
          <w:color w:val="000000" w:themeColor="text1"/>
          <w:sz w:val="20"/>
          <w:szCs w:val="22"/>
        </w:rPr>
        <w:t>iqua</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number of siliqua plant</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1000 seed weight, days to maturity and seed yield plant</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xml:space="preserve"> suggesting a significant genotype x environment interaction effect between the environments under study. </w:t>
      </w:r>
      <w:r w:rsidRPr="00A81BAD">
        <w:rPr>
          <w:rFonts w:asciiTheme="minorBidi" w:hAnsiTheme="minorBidi" w:cstheme="minorBidi"/>
          <w:color w:val="000000" w:themeColor="text1"/>
          <w:sz w:val="20"/>
          <w:szCs w:val="22"/>
        </w:rPr>
        <w:t>Kumawat and Sharma</w:t>
      </w:r>
      <w:r w:rsidRPr="00A81BAD">
        <w:rPr>
          <w:rFonts w:asciiTheme="minorBidi" w:hAnsiTheme="minorBidi" w:cstheme="minorBidi"/>
          <w:color w:val="000000" w:themeColor="text1"/>
          <w:sz w:val="20"/>
          <w:szCs w:val="22"/>
        </w:rPr>
        <w:t xml:space="preserve">, 2022 </w:t>
      </w:r>
      <w:commentRangeStart w:id="16"/>
      <w:r w:rsidRPr="00A81BAD">
        <w:rPr>
          <w:rFonts w:asciiTheme="minorBidi" w:hAnsiTheme="minorBidi" w:cstheme="minorBidi"/>
          <w:color w:val="000000" w:themeColor="text1"/>
          <w:sz w:val="20"/>
          <w:szCs w:val="22"/>
        </w:rPr>
        <w:t>[3]</w:t>
      </w:r>
      <w:commentRangeEnd w:id="16"/>
      <w:r w:rsidR="0023229E" w:rsidRPr="00A81BAD">
        <w:rPr>
          <w:rStyle w:val="CommentReference"/>
          <w:color w:val="000000" w:themeColor="text1"/>
        </w:rPr>
        <w:commentReference w:id="16"/>
      </w:r>
      <w:r w:rsidRPr="00A81BAD">
        <w:rPr>
          <w:rFonts w:asciiTheme="minorBidi" w:hAnsiTheme="minorBidi" w:cstheme="minorBidi"/>
          <w:color w:val="000000" w:themeColor="text1"/>
          <w:sz w:val="20"/>
          <w:szCs w:val="22"/>
        </w:rPr>
        <w:t xml:space="preserve"> evaluated Indian mustard vari</w:t>
      </w:r>
      <w:r w:rsidRPr="00A81BAD">
        <w:rPr>
          <w:rFonts w:asciiTheme="minorBidi" w:hAnsiTheme="minorBidi" w:cstheme="minorBidi"/>
          <w:color w:val="000000" w:themeColor="text1"/>
          <w:sz w:val="20"/>
          <w:szCs w:val="22"/>
        </w:rPr>
        <w:t>eties for stability over three different environments created by three different dates of sowing which revealed that in all three environments significant differences were observed for all the characters.</w:t>
      </w:r>
      <w:r w:rsidRPr="00A81BAD">
        <w:rPr>
          <w:rFonts w:asciiTheme="minorBidi" w:hAnsiTheme="minorBidi" w:cstheme="minorBidi"/>
          <w:b/>
          <w:bCs/>
          <w:color w:val="000000" w:themeColor="text1"/>
          <w:sz w:val="20"/>
          <w:szCs w:val="22"/>
          <w:lang w:val="en-US"/>
        </w:rPr>
        <w:t xml:space="preserve"> </w:t>
      </w:r>
    </w:p>
    <w:p w14:paraId="08ECC4A8" w14:textId="77777777" w:rsidR="006F00CC" w:rsidRPr="00A81BAD" w:rsidRDefault="000E4B23">
      <w:pPr>
        <w:spacing w:line="240" w:lineRule="auto"/>
        <w:rPr>
          <w:rFonts w:asciiTheme="minorBidi" w:hAnsiTheme="minorBidi" w:cstheme="minorBidi"/>
          <w:b/>
          <w:bCs/>
          <w:color w:val="000000" w:themeColor="text1"/>
          <w:sz w:val="20"/>
          <w:szCs w:val="22"/>
          <w:lang w:val="en-US"/>
        </w:rPr>
      </w:pPr>
      <w:r w:rsidRPr="00A81BAD">
        <w:rPr>
          <w:rFonts w:asciiTheme="minorBidi" w:hAnsiTheme="minorBidi" w:cstheme="minorBidi"/>
          <w:b/>
          <w:bCs/>
          <w:color w:val="000000" w:themeColor="text1"/>
          <w:sz w:val="20"/>
          <w:szCs w:val="22"/>
          <w:lang w:val="en-US"/>
        </w:rPr>
        <w:t>3.2 Stability Parameters</w:t>
      </w:r>
    </w:p>
    <w:p w14:paraId="7E41133B" w14:textId="77777777" w:rsidR="006F00CC" w:rsidRPr="00A81BAD" w:rsidRDefault="000E4B23">
      <w:pPr>
        <w:widowControl w:val="0"/>
        <w:tabs>
          <w:tab w:val="left" w:pos="1440"/>
        </w:tabs>
        <w:overflowPunct w:val="0"/>
        <w:autoSpaceDE w:val="0"/>
        <w:autoSpaceDN w:val="0"/>
        <w:adjustRightInd w:val="0"/>
        <w:spacing w:after="100" w:line="240" w:lineRule="auto"/>
        <w:ind w:firstLine="720"/>
        <w:jc w:val="both"/>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2"/>
          <w:lang w:val="en-US"/>
        </w:rPr>
        <w:t xml:space="preserve">Selection criteria to identify stable genotypes in different environment under study was considered as </w:t>
      </w:r>
      <w:r w:rsidRPr="00A81BAD">
        <w:rPr>
          <w:rFonts w:asciiTheme="minorBidi" w:hAnsiTheme="minorBidi" w:cstheme="minorBidi"/>
          <w:color w:val="000000" w:themeColor="text1"/>
          <w:sz w:val="20"/>
          <w:szCs w:val="20"/>
        </w:rPr>
        <w:t>regression slope (b</w:t>
      </w:r>
      <w:r w:rsidRPr="00A81BAD">
        <w:rPr>
          <w:rFonts w:asciiTheme="minorBidi" w:hAnsiTheme="minorBidi" w:cstheme="minorBidi"/>
          <w:color w:val="000000" w:themeColor="text1"/>
          <w:sz w:val="20"/>
          <w:szCs w:val="20"/>
          <w:vertAlign w:val="subscript"/>
        </w:rPr>
        <w:t>i</w:t>
      </w:r>
      <w:r w:rsidRPr="00A81BAD">
        <w:rPr>
          <w:rFonts w:asciiTheme="minorBidi" w:hAnsiTheme="minorBidi" w:cstheme="minorBidi"/>
          <w:color w:val="000000" w:themeColor="text1"/>
          <w:sz w:val="20"/>
          <w:szCs w:val="20"/>
        </w:rPr>
        <w:t xml:space="preserve">) as measure of stability according to Finlay and Wilkinson, 1963 </w:t>
      </w:r>
      <w:commentRangeStart w:id="17"/>
      <w:r w:rsidRPr="00A81BAD">
        <w:rPr>
          <w:rFonts w:asciiTheme="minorBidi" w:hAnsiTheme="minorBidi" w:cstheme="minorBidi"/>
          <w:color w:val="000000" w:themeColor="text1"/>
          <w:sz w:val="20"/>
          <w:szCs w:val="20"/>
        </w:rPr>
        <w:t xml:space="preserve">[11]. </w:t>
      </w:r>
      <w:commentRangeEnd w:id="17"/>
      <w:r w:rsidR="00EB047B" w:rsidRPr="00A81BAD">
        <w:rPr>
          <w:rStyle w:val="CommentReference"/>
          <w:color w:val="000000" w:themeColor="text1"/>
        </w:rPr>
        <w:commentReference w:id="17"/>
      </w:r>
      <w:r w:rsidRPr="00A81BAD">
        <w:rPr>
          <w:rFonts w:asciiTheme="minorBidi" w:hAnsiTheme="minorBidi" w:cstheme="minorBidi"/>
          <w:color w:val="000000" w:themeColor="text1"/>
          <w:sz w:val="20"/>
          <w:szCs w:val="20"/>
        </w:rPr>
        <w:t xml:space="preserve">Further, </w:t>
      </w:r>
      <w:proofErr w:type="spellStart"/>
      <w:r w:rsidRPr="00A81BAD">
        <w:rPr>
          <w:rFonts w:asciiTheme="minorBidi" w:hAnsiTheme="minorBidi" w:cstheme="minorBidi"/>
          <w:color w:val="000000" w:themeColor="text1"/>
          <w:sz w:val="20"/>
          <w:szCs w:val="20"/>
        </w:rPr>
        <w:t>Eberhart</w:t>
      </w:r>
      <w:proofErr w:type="spellEnd"/>
      <w:r w:rsidRPr="00A81BAD">
        <w:rPr>
          <w:rFonts w:asciiTheme="minorBidi" w:hAnsiTheme="minorBidi" w:cstheme="minorBidi"/>
          <w:color w:val="000000" w:themeColor="text1"/>
          <w:sz w:val="20"/>
          <w:szCs w:val="20"/>
        </w:rPr>
        <w:t xml:space="preserve"> and Russell, 1966 </w:t>
      </w:r>
      <w:commentRangeStart w:id="18"/>
      <w:r w:rsidRPr="00A81BAD">
        <w:rPr>
          <w:rFonts w:asciiTheme="minorBidi" w:hAnsiTheme="minorBidi" w:cstheme="minorBidi"/>
          <w:color w:val="000000" w:themeColor="text1"/>
          <w:sz w:val="20"/>
          <w:szCs w:val="20"/>
        </w:rPr>
        <w:t xml:space="preserve">[4] </w:t>
      </w:r>
      <w:commentRangeEnd w:id="18"/>
      <w:r w:rsidR="0023229E" w:rsidRPr="00A81BAD">
        <w:rPr>
          <w:rStyle w:val="CommentReference"/>
          <w:color w:val="000000" w:themeColor="text1"/>
        </w:rPr>
        <w:commentReference w:id="18"/>
      </w:r>
      <w:r w:rsidRPr="00A81BAD">
        <w:rPr>
          <w:rFonts w:asciiTheme="minorBidi" w:hAnsiTheme="minorBidi" w:cstheme="minorBidi"/>
          <w:color w:val="000000" w:themeColor="text1"/>
          <w:sz w:val="20"/>
          <w:szCs w:val="20"/>
        </w:rPr>
        <w:t>showed the need of bo</w:t>
      </w:r>
      <w:r w:rsidRPr="00A81BAD">
        <w:rPr>
          <w:rFonts w:asciiTheme="minorBidi" w:hAnsiTheme="minorBidi" w:cstheme="minorBidi"/>
          <w:color w:val="000000" w:themeColor="text1"/>
          <w:sz w:val="20"/>
          <w:szCs w:val="20"/>
        </w:rPr>
        <w:t>th linear (b</w:t>
      </w:r>
      <w:r w:rsidRPr="00A81BAD">
        <w:rPr>
          <w:rFonts w:asciiTheme="minorBidi" w:hAnsiTheme="minorBidi" w:cstheme="minorBidi"/>
          <w:color w:val="000000" w:themeColor="text1"/>
          <w:sz w:val="20"/>
          <w:szCs w:val="20"/>
          <w:vertAlign w:val="subscript"/>
        </w:rPr>
        <w:t>i</w:t>
      </w:r>
      <w:r w:rsidRPr="00A81BAD">
        <w:rPr>
          <w:rFonts w:asciiTheme="minorBidi" w:hAnsiTheme="minorBidi" w:cstheme="minorBidi"/>
          <w:color w:val="000000" w:themeColor="text1"/>
          <w:sz w:val="20"/>
          <w:szCs w:val="20"/>
        </w:rPr>
        <w:t>) and non-linear regression (S</w:t>
      </w:r>
      <w:r w:rsidRPr="00A81BAD">
        <w:rPr>
          <w:rFonts w:asciiTheme="minorBidi" w:hAnsiTheme="minorBidi" w:cstheme="minorBidi"/>
          <w:color w:val="000000" w:themeColor="text1"/>
          <w:sz w:val="20"/>
          <w:szCs w:val="20"/>
          <w:vertAlign w:val="superscript"/>
        </w:rPr>
        <w:t>2</w:t>
      </w:r>
      <w:r w:rsidRPr="00A81BAD">
        <w:rPr>
          <w:rFonts w:asciiTheme="minorBidi" w:hAnsiTheme="minorBidi" w:cstheme="minorBidi"/>
          <w:color w:val="000000" w:themeColor="text1"/>
          <w:sz w:val="20"/>
          <w:szCs w:val="20"/>
        </w:rPr>
        <w:t>d</w:t>
      </w:r>
      <w:r w:rsidRPr="00A81BAD">
        <w:rPr>
          <w:rFonts w:asciiTheme="minorBidi" w:hAnsiTheme="minorBidi" w:cstheme="minorBidi"/>
          <w:color w:val="000000" w:themeColor="text1"/>
          <w:sz w:val="20"/>
          <w:szCs w:val="20"/>
          <w:vertAlign w:val="subscript"/>
        </w:rPr>
        <w:t>i</w:t>
      </w:r>
      <w:r w:rsidRPr="00A81BAD">
        <w:rPr>
          <w:rFonts w:asciiTheme="minorBidi" w:hAnsiTheme="minorBidi" w:cstheme="minorBidi"/>
          <w:color w:val="000000" w:themeColor="text1"/>
          <w:sz w:val="20"/>
          <w:szCs w:val="20"/>
        </w:rPr>
        <w:t xml:space="preserve">) in evaluating genotypes for phenotypic stability by measuring G x E interactions. The most stable genotypes would be the one with high mean </w:t>
      </w:r>
      <w:r w:rsidRPr="00A81BAD">
        <w:rPr>
          <w:rFonts w:asciiTheme="minorBidi" w:hAnsiTheme="minorBidi" w:cstheme="minorBidi"/>
          <w:color w:val="000000" w:themeColor="text1"/>
          <w:sz w:val="20"/>
          <w:szCs w:val="20"/>
        </w:rPr>
        <w:lastRenderedPageBreak/>
        <w:t xml:space="preserve">performance and regression coefficient </w:t>
      </w:r>
      <w:r w:rsidRPr="00A81BAD">
        <w:rPr>
          <w:rFonts w:asciiTheme="minorBidi" w:hAnsiTheme="minorBidi" w:cstheme="minorBidi"/>
          <w:color w:val="000000" w:themeColor="text1"/>
          <w:sz w:val="20"/>
          <w:szCs w:val="22"/>
          <w:lang w:val="en-US"/>
        </w:rPr>
        <w:t>(b</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xml:space="preserve">) </w:t>
      </w:r>
      <w:r w:rsidRPr="00A81BAD">
        <w:rPr>
          <w:rFonts w:asciiTheme="minorBidi" w:hAnsiTheme="minorBidi" w:cstheme="minorBidi"/>
          <w:color w:val="000000" w:themeColor="text1"/>
          <w:sz w:val="20"/>
          <w:szCs w:val="20"/>
        </w:rPr>
        <w:t xml:space="preserve">close to unity as well </w:t>
      </w:r>
      <w:r w:rsidRPr="00A81BAD">
        <w:rPr>
          <w:rFonts w:asciiTheme="minorBidi" w:hAnsiTheme="minorBidi" w:cstheme="minorBidi"/>
          <w:color w:val="000000" w:themeColor="text1"/>
          <w:sz w:val="20"/>
          <w:szCs w:val="20"/>
        </w:rPr>
        <w:t>as mean squares approaching to zero. They further proposed that the genotype with mean yield less than the grand mean were considered to be poorly adapted irrespective of their b</w:t>
      </w:r>
      <w:r w:rsidRPr="00A81BAD">
        <w:rPr>
          <w:rFonts w:asciiTheme="minorBidi" w:hAnsiTheme="minorBidi" w:cstheme="minorBidi"/>
          <w:color w:val="000000" w:themeColor="text1"/>
          <w:sz w:val="20"/>
          <w:szCs w:val="20"/>
          <w:vertAlign w:val="subscript"/>
        </w:rPr>
        <w:t>i</w:t>
      </w:r>
      <w:r w:rsidRPr="00A81BAD">
        <w:rPr>
          <w:rFonts w:asciiTheme="minorBidi" w:hAnsiTheme="minorBidi" w:cstheme="minorBidi"/>
          <w:color w:val="000000" w:themeColor="text1"/>
          <w:sz w:val="20"/>
          <w:szCs w:val="20"/>
        </w:rPr>
        <w:t xml:space="preserve"> and S</w:t>
      </w:r>
      <w:r w:rsidRPr="00A81BAD">
        <w:rPr>
          <w:rFonts w:asciiTheme="minorBidi" w:hAnsiTheme="minorBidi" w:cstheme="minorBidi"/>
          <w:color w:val="000000" w:themeColor="text1"/>
          <w:sz w:val="20"/>
          <w:szCs w:val="20"/>
          <w:vertAlign w:val="superscript"/>
        </w:rPr>
        <w:t>2</w:t>
      </w:r>
      <w:r w:rsidRPr="00A81BAD">
        <w:rPr>
          <w:rFonts w:asciiTheme="minorBidi" w:hAnsiTheme="minorBidi" w:cstheme="minorBidi"/>
          <w:color w:val="000000" w:themeColor="text1"/>
          <w:sz w:val="20"/>
          <w:szCs w:val="20"/>
        </w:rPr>
        <w:t>d</w:t>
      </w:r>
      <w:r w:rsidRPr="00A81BAD">
        <w:rPr>
          <w:rFonts w:asciiTheme="minorBidi" w:hAnsiTheme="minorBidi" w:cstheme="minorBidi"/>
          <w:color w:val="000000" w:themeColor="text1"/>
          <w:sz w:val="20"/>
          <w:szCs w:val="20"/>
          <w:vertAlign w:val="subscript"/>
        </w:rPr>
        <w:t>i</w:t>
      </w:r>
      <w:r w:rsidRPr="00A81BAD">
        <w:rPr>
          <w:rFonts w:asciiTheme="minorBidi" w:hAnsiTheme="minorBidi" w:cstheme="minorBidi"/>
          <w:color w:val="000000" w:themeColor="text1"/>
          <w:sz w:val="20"/>
          <w:szCs w:val="20"/>
        </w:rPr>
        <w:t xml:space="preserve"> values (Bains and Gupta, 1972) [</w:t>
      </w:r>
      <w:commentRangeStart w:id="19"/>
      <w:r w:rsidRPr="00A81BAD">
        <w:rPr>
          <w:rFonts w:asciiTheme="minorBidi" w:hAnsiTheme="minorBidi" w:cstheme="minorBidi"/>
          <w:color w:val="000000" w:themeColor="text1"/>
          <w:sz w:val="20"/>
          <w:szCs w:val="20"/>
        </w:rPr>
        <w:t>12</w:t>
      </w:r>
      <w:commentRangeEnd w:id="19"/>
      <w:r w:rsidR="00EB047B" w:rsidRPr="00A81BAD">
        <w:rPr>
          <w:rStyle w:val="CommentReference"/>
          <w:color w:val="000000" w:themeColor="text1"/>
        </w:rPr>
        <w:commentReference w:id="19"/>
      </w:r>
      <w:r w:rsidRPr="00A81BAD">
        <w:rPr>
          <w:rFonts w:asciiTheme="minorBidi" w:hAnsiTheme="minorBidi" w:cstheme="minorBidi"/>
          <w:color w:val="000000" w:themeColor="text1"/>
          <w:sz w:val="20"/>
          <w:szCs w:val="20"/>
        </w:rPr>
        <w:t>].</w:t>
      </w:r>
    </w:p>
    <w:p w14:paraId="218BB319" w14:textId="77777777" w:rsidR="006F00CC" w:rsidRPr="00A81BAD" w:rsidRDefault="000E4B23">
      <w:pPr>
        <w:spacing w:line="240" w:lineRule="auto"/>
        <w:ind w:firstLine="720"/>
        <w:jc w:val="both"/>
        <w:rPr>
          <w:rFonts w:asciiTheme="minorBidi" w:hAnsiTheme="minorBidi" w:cstheme="minorBidi"/>
          <w:color w:val="000000" w:themeColor="text1"/>
          <w:sz w:val="20"/>
          <w:szCs w:val="22"/>
          <w:lang w:val="en-US"/>
        </w:rPr>
      </w:pPr>
      <w:r w:rsidRPr="00A81BAD">
        <w:rPr>
          <w:rFonts w:asciiTheme="minorBidi" w:hAnsiTheme="minorBidi" w:cstheme="minorBidi"/>
          <w:color w:val="000000" w:themeColor="text1"/>
          <w:sz w:val="20"/>
          <w:szCs w:val="22"/>
          <w:lang w:val="en-US"/>
        </w:rPr>
        <w:t>Considering all above-mentione</w:t>
      </w:r>
      <w:r w:rsidRPr="00A81BAD">
        <w:rPr>
          <w:rFonts w:asciiTheme="minorBidi" w:hAnsiTheme="minorBidi" w:cstheme="minorBidi"/>
          <w:color w:val="000000" w:themeColor="text1"/>
          <w:sz w:val="20"/>
          <w:szCs w:val="22"/>
          <w:lang w:val="en-US"/>
        </w:rPr>
        <w:t>d points, for days to maturity ACN-237 (104 days) were found to exhibit significantly lower mean than population mean (106 days) for early maturity along with regression coefficient (b</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xml:space="preserve">) tends to unity and non-significant deviations from linear regression </w:t>
      </w:r>
      <w:r w:rsidRPr="00A81BAD">
        <w:rPr>
          <w:rFonts w:asciiTheme="minorBidi" w:hAnsiTheme="minorBidi" w:cstheme="minorBidi"/>
          <w:color w:val="000000" w:themeColor="text1"/>
          <w:sz w:val="20"/>
          <w:szCs w:val="22"/>
          <w:lang w:val="en-US"/>
        </w:rPr>
        <w:t>deviation (S</w:t>
      </w:r>
      <w:r w:rsidRPr="00A81BAD">
        <w:rPr>
          <w:rFonts w:asciiTheme="minorBidi" w:hAnsiTheme="minorBidi" w:cstheme="minorBidi"/>
          <w:color w:val="000000" w:themeColor="text1"/>
          <w:sz w:val="20"/>
          <w:szCs w:val="22"/>
          <w:vertAlign w:val="superscript"/>
          <w:lang w:val="en-US"/>
        </w:rPr>
        <w:t>2</w:t>
      </w:r>
      <w:r w:rsidRPr="00A81BAD">
        <w:rPr>
          <w:rFonts w:asciiTheme="minorBidi" w:hAnsiTheme="minorBidi" w:cstheme="minorBidi"/>
          <w:color w:val="000000" w:themeColor="text1"/>
          <w:sz w:val="20"/>
          <w:szCs w:val="22"/>
          <w:lang w:val="en-US"/>
        </w:rPr>
        <w:t>d</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which are suitable for all environment for days to maturity, whereas ACN-240, SKM-1626 and ACN-226  (106 days) showed equal mean performance compared to population mean with regression coefficient (b</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tends to unity and non-significant de</w:t>
      </w:r>
      <w:r w:rsidRPr="00A81BAD">
        <w:rPr>
          <w:rFonts w:asciiTheme="minorBidi" w:hAnsiTheme="minorBidi" w:cstheme="minorBidi"/>
          <w:color w:val="000000" w:themeColor="text1"/>
          <w:sz w:val="20"/>
          <w:szCs w:val="22"/>
          <w:lang w:val="en-US"/>
        </w:rPr>
        <w:t>viation form linear regression (S</w:t>
      </w:r>
      <w:r w:rsidRPr="00A81BAD">
        <w:rPr>
          <w:rFonts w:asciiTheme="minorBidi" w:hAnsiTheme="minorBidi" w:cstheme="minorBidi"/>
          <w:color w:val="000000" w:themeColor="text1"/>
          <w:sz w:val="20"/>
          <w:szCs w:val="22"/>
          <w:vertAlign w:val="superscript"/>
          <w:lang w:val="en-US"/>
        </w:rPr>
        <w:t>2</w:t>
      </w:r>
      <w:r w:rsidRPr="00A81BAD">
        <w:rPr>
          <w:rFonts w:asciiTheme="minorBidi" w:hAnsiTheme="minorBidi" w:cstheme="minorBidi"/>
          <w:color w:val="000000" w:themeColor="text1"/>
          <w:sz w:val="20"/>
          <w:szCs w:val="22"/>
          <w:lang w:val="en-US"/>
        </w:rPr>
        <w:t>d</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xml:space="preserve">) which perform as stable genotype in all environment. Similar study conducted by </w:t>
      </w:r>
      <w:proofErr w:type="spellStart"/>
      <w:r w:rsidRPr="00A81BAD">
        <w:rPr>
          <w:rFonts w:asciiTheme="minorBidi" w:hAnsiTheme="minorBidi" w:cstheme="minorBidi"/>
          <w:color w:val="000000" w:themeColor="text1"/>
          <w:sz w:val="20"/>
          <w:szCs w:val="22"/>
          <w:lang w:val="en-US"/>
        </w:rPr>
        <w:t>Priyamedha</w:t>
      </w:r>
      <w:proofErr w:type="spellEnd"/>
      <w:r w:rsidRPr="00A81BAD">
        <w:rPr>
          <w:rFonts w:asciiTheme="minorBidi" w:hAnsiTheme="minorBidi" w:cstheme="minorBidi"/>
          <w:color w:val="000000" w:themeColor="text1"/>
          <w:sz w:val="20"/>
          <w:szCs w:val="22"/>
          <w:lang w:val="en-US"/>
        </w:rPr>
        <w:t xml:space="preserve"> </w:t>
      </w:r>
      <w:r w:rsidRPr="00A81BAD">
        <w:rPr>
          <w:rFonts w:asciiTheme="minorBidi" w:hAnsiTheme="minorBidi" w:cstheme="minorBidi"/>
          <w:i/>
          <w:iCs/>
          <w:color w:val="000000" w:themeColor="text1"/>
          <w:sz w:val="20"/>
          <w:szCs w:val="22"/>
          <w:lang w:val="en-US"/>
        </w:rPr>
        <w:t>et al.</w:t>
      </w:r>
      <w:r w:rsidRPr="00A81BAD">
        <w:rPr>
          <w:rFonts w:asciiTheme="minorBidi" w:hAnsiTheme="minorBidi" w:cstheme="minorBidi"/>
          <w:color w:val="000000" w:themeColor="text1"/>
          <w:sz w:val="20"/>
          <w:szCs w:val="22"/>
          <w:lang w:val="en-US"/>
        </w:rPr>
        <w:t xml:space="preserve">, 2017 </w:t>
      </w:r>
      <w:commentRangeStart w:id="20"/>
      <w:r w:rsidRPr="00A81BAD">
        <w:rPr>
          <w:rFonts w:asciiTheme="minorBidi" w:hAnsiTheme="minorBidi" w:cstheme="minorBidi"/>
          <w:color w:val="000000" w:themeColor="text1"/>
          <w:sz w:val="20"/>
          <w:szCs w:val="22"/>
          <w:lang w:val="en-US"/>
        </w:rPr>
        <w:t xml:space="preserve">[10] </w:t>
      </w:r>
      <w:commentRangeEnd w:id="20"/>
      <w:r w:rsidR="00EB047B" w:rsidRPr="00A81BAD">
        <w:rPr>
          <w:rStyle w:val="CommentReference"/>
          <w:color w:val="000000" w:themeColor="text1"/>
        </w:rPr>
        <w:commentReference w:id="20"/>
      </w:r>
      <w:r w:rsidRPr="00A81BAD">
        <w:rPr>
          <w:rFonts w:asciiTheme="minorBidi" w:hAnsiTheme="minorBidi" w:cstheme="minorBidi"/>
          <w:color w:val="000000" w:themeColor="text1"/>
          <w:sz w:val="20"/>
          <w:szCs w:val="22"/>
          <w:lang w:val="en-US"/>
        </w:rPr>
        <w:t xml:space="preserve">in Indian mustard reported that Pusa Bold, BAUSM-92-1-1, JN032 and RGN-73 having stable performance for days </w:t>
      </w:r>
      <w:r w:rsidRPr="00A81BAD">
        <w:rPr>
          <w:rFonts w:asciiTheme="minorBidi" w:hAnsiTheme="minorBidi" w:cstheme="minorBidi"/>
          <w:color w:val="000000" w:themeColor="text1"/>
          <w:sz w:val="20"/>
          <w:szCs w:val="22"/>
          <w:lang w:val="en-US"/>
        </w:rPr>
        <w:t>to maturity along with other yield attributing characters.</w:t>
      </w:r>
    </w:p>
    <w:p w14:paraId="076298E2" w14:textId="77777777" w:rsidR="006F00CC" w:rsidRPr="00A81BAD" w:rsidRDefault="000E4B23">
      <w:pPr>
        <w:spacing w:line="240" w:lineRule="auto"/>
        <w:ind w:firstLine="720"/>
        <w:jc w:val="both"/>
        <w:rPr>
          <w:rFonts w:asciiTheme="minorBidi" w:hAnsiTheme="minorBidi" w:cstheme="minorBidi"/>
          <w:color w:val="000000" w:themeColor="text1"/>
          <w:sz w:val="20"/>
          <w:szCs w:val="22"/>
          <w:lang w:val="en-US"/>
        </w:rPr>
      </w:pPr>
      <w:r w:rsidRPr="00A81BAD">
        <w:rPr>
          <w:rFonts w:asciiTheme="minorBidi" w:hAnsiTheme="minorBidi" w:cstheme="minorBidi"/>
          <w:color w:val="000000" w:themeColor="text1"/>
          <w:sz w:val="20"/>
          <w:szCs w:val="22"/>
          <w:lang w:val="en-US"/>
        </w:rPr>
        <w:t>In case of plant height, ACN-237 (161.94 cm) and ACN-226 (159.66 cm) were observed to be associated with high mean performance and non-significant linear regression deviation (S</w:t>
      </w:r>
      <w:r w:rsidRPr="00A81BAD">
        <w:rPr>
          <w:rFonts w:asciiTheme="minorBidi" w:hAnsiTheme="minorBidi" w:cstheme="minorBidi"/>
          <w:color w:val="000000" w:themeColor="text1"/>
          <w:sz w:val="20"/>
          <w:szCs w:val="22"/>
          <w:vertAlign w:val="superscript"/>
          <w:lang w:val="en-US"/>
        </w:rPr>
        <w:t>2</w:t>
      </w:r>
      <w:r w:rsidRPr="00A81BAD">
        <w:rPr>
          <w:rFonts w:asciiTheme="minorBidi" w:hAnsiTheme="minorBidi" w:cstheme="minorBidi"/>
          <w:color w:val="000000" w:themeColor="text1"/>
          <w:sz w:val="20"/>
          <w:szCs w:val="22"/>
          <w:lang w:val="en-US"/>
        </w:rPr>
        <w:t>d</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xml:space="preserve">) and regression </w:t>
      </w:r>
      <w:r w:rsidRPr="00A81BAD">
        <w:rPr>
          <w:rFonts w:asciiTheme="minorBidi" w:hAnsiTheme="minorBidi" w:cstheme="minorBidi"/>
          <w:color w:val="000000" w:themeColor="text1"/>
          <w:sz w:val="20"/>
          <w:szCs w:val="22"/>
          <w:lang w:val="en-US"/>
        </w:rPr>
        <w:t>coefficient (b</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0.924, 0.935 respectively) less than unity which is less sensitive to environmental changes and can be adopted for poor environment for plant height. The genotype ACN-244 (157.65 cm) tends to population mean (158.59 cm) with non-significan</w:t>
      </w:r>
      <w:r w:rsidRPr="00A81BAD">
        <w:rPr>
          <w:rFonts w:asciiTheme="minorBidi" w:hAnsiTheme="minorBidi" w:cstheme="minorBidi"/>
          <w:color w:val="000000" w:themeColor="text1"/>
          <w:sz w:val="20"/>
          <w:szCs w:val="22"/>
          <w:lang w:val="en-US"/>
        </w:rPr>
        <w:t>t linear regression deviation (S</w:t>
      </w:r>
      <w:r w:rsidRPr="00A81BAD">
        <w:rPr>
          <w:rFonts w:asciiTheme="minorBidi" w:hAnsiTheme="minorBidi" w:cstheme="minorBidi"/>
          <w:color w:val="000000" w:themeColor="text1"/>
          <w:sz w:val="20"/>
          <w:szCs w:val="22"/>
          <w:vertAlign w:val="superscript"/>
          <w:lang w:val="en-US"/>
        </w:rPr>
        <w:t>2</w:t>
      </w:r>
      <w:r w:rsidRPr="00A81BAD">
        <w:rPr>
          <w:rFonts w:asciiTheme="minorBidi" w:hAnsiTheme="minorBidi" w:cstheme="minorBidi"/>
          <w:color w:val="000000" w:themeColor="text1"/>
          <w:sz w:val="20"/>
          <w:szCs w:val="22"/>
          <w:lang w:val="en-US"/>
        </w:rPr>
        <w:t>d</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and regression coefficient (b</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=1.052) nearly equals to unity was reported as average sensitivity to environment and adapted to all environments. The genotypes NDRE-4, Urvashi, Rohini, Varuna, Maya along with other 22 ge</w:t>
      </w:r>
      <w:r w:rsidRPr="00A81BAD">
        <w:rPr>
          <w:rFonts w:asciiTheme="minorBidi" w:hAnsiTheme="minorBidi" w:cstheme="minorBidi"/>
          <w:color w:val="000000" w:themeColor="text1"/>
          <w:sz w:val="20"/>
          <w:szCs w:val="22"/>
          <w:lang w:val="en-US"/>
        </w:rPr>
        <w:t xml:space="preserve">notypes under study were reported to show stable performance for plant height over different environment under rainfed and irrigated condition as per the study of Gupta </w:t>
      </w:r>
      <w:r w:rsidRPr="00A81BAD">
        <w:rPr>
          <w:rFonts w:asciiTheme="minorBidi" w:hAnsiTheme="minorBidi" w:cstheme="minorBidi"/>
          <w:i/>
          <w:iCs/>
          <w:color w:val="000000" w:themeColor="text1"/>
          <w:sz w:val="20"/>
          <w:szCs w:val="22"/>
          <w:lang w:val="en-US"/>
        </w:rPr>
        <w:t>et al.,</w:t>
      </w:r>
      <w:r w:rsidRPr="00A81BAD">
        <w:rPr>
          <w:rFonts w:asciiTheme="minorBidi" w:hAnsiTheme="minorBidi" w:cstheme="minorBidi"/>
          <w:color w:val="000000" w:themeColor="text1"/>
          <w:sz w:val="20"/>
          <w:szCs w:val="22"/>
          <w:lang w:val="en-US"/>
        </w:rPr>
        <w:t xml:space="preserve"> 2021 [</w:t>
      </w:r>
      <w:commentRangeStart w:id="21"/>
      <w:r w:rsidRPr="00A81BAD">
        <w:rPr>
          <w:rFonts w:asciiTheme="minorBidi" w:hAnsiTheme="minorBidi" w:cstheme="minorBidi"/>
          <w:color w:val="000000" w:themeColor="text1"/>
          <w:sz w:val="20"/>
          <w:szCs w:val="22"/>
          <w:lang w:val="en-US"/>
        </w:rPr>
        <w:t>13]</w:t>
      </w:r>
      <w:commentRangeEnd w:id="21"/>
      <w:r w:rsidR="00EB047B" w:rsidRPr="00A81BAD">
        <w:rPr>
          <w:rStyle w:val="CommentReference"/>
          <w:color w:val="000000" w:themeColor="text1"/>
        </w:rPr>
        <w:commentReference w:id="21"/>
      </w:r>
      <w:r w:rsidRPr="00A81BAD">
        <w:rPr>
          <w:rFonts w:asciiTheme="minorBidi" w:hAnsiTheme="minorBidi" w:cstheme="minorBidi"/>
          <w:color w:val="000000" w:themeColor="text1"/>
          <w:sz w:val="20"/>
          <w:szCs w:val="22"/>
          <w:lang w:val="en-US"/>
        </w:rPr>
        <w:t>.</w:t>
      </w:r>
    </w:p>
    <w:p w14:paraId="6C8FBE8F" w14:textId="77777777" w:rsidR="006F00CC" w:rsidRPr="00A81BAD" w:rsidRDefault="000E4B23">
      <w:pPr>
        <w:spacing w:line="240" w:lineRule="auto"/>
        <w:ind w:firstLine="720"/>
        <w:jc w:val="both"/>
        <w:rPr>
          <w:rFonts w:asciiTheme="minorBidi" w:hAnsiTheme="minorBidi" w:cstheme="minorBidi"/>
          <w:color w:val="000000" w:themeColor="text1"/>
          <w:sz w:val="20"/>
          <w:szCs w:val="22"/>
          <w:lang w:val="en-US"/>
        </w:rPr>
      </w:pPr>
      <w:r w:rsidRPr="00A81BAD">
        <w:rPr>
          <w:rFonts w:asciiTheme="minorBidi" w:hAnsiTheme="minorBidi" w:cstheme="minorBidi"/>
          <w:color w:val="000000" w:themeColor="text1"/>
          <w:sz w:val="20"/>
          <w:szCs w:val="22"/>
          <w:lang w:val="en-US"/>
        </w:rPr>
        <w:t>For the trait number of branches plant</w:t>
      </w:r>
      <w:r w:rsidRPr="00A81BAD">
        <w:rPr>
          <w:rFonts w:asciiTheme="minorBidi" w:hAnsiTheme="minorBidi" w:cstheme="minorBidi"/>
          <w:color w:val="000000" w:themeColor="text1"/>
          <w:sz w:val="20"/>
          <w:szCs w:val="22"/>
          <w:vertAlign w:val="superscript"/>
          <w:lang w:val="en-US"/>
        </w:rPr>
        <w:t>-1</w:t>
      </w:r>
      <w:r w:rsidRPr="00A81BAD">
        <w:rPr>
          <w:rFonts w:asciiTheme="minorBidi" w:hAnsiTheme="minorBidi" w:cstheme="minorBidi"/>
          <w:color w:val="000000" w:themeColor="text1"/>
          <w:sz w:val="20"/>
          <w:szCs w:val="22"/>
          <w:lang w:val="en-US"/>
        </w:rPr>
        <w:t xml:space="preserve">, the genotype ACN-240 </w:t>
      </w:r>
      <w:r w:rsidRPr="00A81BAD">
        <w:rPr>
          <w:rFonts w:asciiTheme="minorBidi" w:hAnsiTheme="minorBidi" w:cstheme="minorBidi"/>
          <w:color w:val="000000" w:themeColor="text1"/>
          <w:sz w:val="20"/>
          <w:szCs w:val="22"/>
          <w:lang w:val="en-US"/>
        </w:rPr>
        <w:t>(3.47), ACN-250 (3.55), ACN-237 (3.55), PM 26 (3.56) and TAM 108-1 (3.73) showed higher mean as compared to population mean (3.45), whereas none of the genotype showed non-significant deviation from linear regression (S</w:t>
      </w:r>
      <w:r w:rsidRPr="00A81BAD">
        <w:rPr>
          <w:rFonts w:asciiTheme="minorBidi" w:hAnsiTheme="minorBidi" w:cstheme="minorBidi"/>
          <w:color w:val="000000" w:themeColor="text1"/>
          <w:sz w:val="20"/>
          <w:szCs w:val="22"/>
          <w:vertAlign w:val="superscript"/>
          <w:lang w:val="en-US"/>
        </w:rPr>
        <w:t>2</w:t>
      </w:r>
      <w:r w:rsidRPr="00A81BAD">
        <w:rPr>
          <w:rFonts w:asciiTheme="minorBidi" w:hAnsiTheme="minorBidi" w:cstheme="minorBidi"/>
          <w:color w:val="000000" w:themeColor="text1"/>
          <w:sz w:val="20"/>
          <w:szCs w:val="22"/>
          <w:lang w:val="en-US"/>
        </w:rPr>
        <w:t>d</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However, ACN-255 (3.36) reporte</w:t>
      </w:r>
      <w:r w:rsidRPr="00A81BAD">
        <w:rPr>
          <w:rFonts w:asciiTheme="minorBidi" w:hAnsiTheme="minorBidi" w:cstheme="minorBidi"/>
          <w:color w:val="000000" w:themeColor="text1"/>
          <w:sz w:val="20"/>
          <w:szCs w:val="22"/>
          <w:lang w:val="en-US"/>
        </w:rPr>
        <w:t>d mean performance nearly equals to population mean along with non-significant deviation from linear regression (S</w:t>
      </w:r>
      <w:r w:rsidRPr="00A81BAD">
        <w:rPr>
          <w:rFonts w:asciiTheme="minorBidi" w:hAnsiTheme="minorBidi" w:cstheme="minorBidi"/>
          <w:color w:val="000000" w:themeColor="text1"/>
          <w:sz w:val="20"/>
          <w:szCs w:val="22"/>
          <w:vertAlign w:val="superscript"/>
          <w:lang w:val="en-US"/>
        </w:rPr>
        <w:t>2</w:t>
      </w:r>
      <w:r w:rsidRPr="00A81BAD">
        <w:rPr>
          <w:rFonts w:asciiTheme="minorBidi" w:hAnsiTheme="minorBidi" w:cstheme="minorBidi"/>
          <w:color w:val="000000" w:themeColor="text1"/>
          <w:sz w:val="20"/>
          <w:szCs w:val="22"/>
          <w:lang w:val="en-US"/>
        </w:rPr>
        <w:t>d</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and regression coefficient (b</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xml:space="preserve">) tends to unity which suggest stable performance among all the environments studied. </w:t>
      </w:r>
      <w:proofErr w:type="spellStart"/>
      <w:r w:rsidRPr="00A81BAD">
        <w:rPr>
          <w:rFonts w:asciiTheme="minorBidi" w:hAnsiTheme="minorBidi" w:cstheme="minorBidi"/>
          <w:color w:val="000000" w:themeColor="text1"/>
          <w:sz w:val="20"/>
          <w:szCs w:val="22"/>
          <w:lang w:val="en-US"/>
        </w:rPr>
        <w:t>Sagolsem</w:t>
      </w:r>
      <w:proofErr w:type="spellEnd"/>
      <w:r w:rsidRPr="00A81BAD">
        <w:rPr>
          <w:rFonts w:asciiTheme="minorBidi" w:hAnsiTheme="minorBidi" w:cstheme="minorBidi"/>
          <w:color w:val="000000" w:themeColor="text1"/>
          <w:sz w:val="20"/>
          <w:szCs w:val="22"/>
          <w:lang w:val="en-US"/>
        </w:rPr>
        <w:t xml:space="preserve"> </w:t>
      </w:r>
      <w:r w:rsidRPr="00A81BAD">
        <w:rPr>
          <w:rFonts w:asciiTheme="minorBidi" w:hAnsiTheme="minorBidi" w:cstheme="minorBidi"/>
          <w:i/>
          <w:iCs/>
          <w:color w:val="000000" w:themeColor="text1"/>
          <w:sz w:val="20"/>
          <w:szCs w:val="22"/>
          <w:lang w:val="en-US"/>
        </w:rPr>
        <w:t>et al.</w:t>
      </w:r>
      <w:r w:rsidRPr="00A81BAD">
        <w:rPr>
          <w:rFonts w:asciiTheme="minorBidi" w:hAnsiTheme="minorBidi" w:cstheme="minorBidi"/>
          <w:color w:val="000000" w:themeColor="text1"/>
          <w:sz w:val="20"/>
          <w:szCs w:val="22"/>
          <w:lang w:val="en-US"/>
        </w:rPr>
        <w:t>, 2013</w:t>
      </w:r>
      <w:r w:rsidRPr="00A81BAD">
        <w:rPr>
          <w:rFonts w:asciiTheme="minorBidi" w:hAnsiTheme="minorBidi" w:cstheme="minorBidi"/>
          <w:color w:val="000000" w:themeColor="text1"/>
          <w:sz w:val="20"/>
          <w:szCs w:val="22"/>
          <w:lang w:val="en-US"/>
        </w:rPr>
        <w:t xml:space="preserve"> </w:t>
      </w:r>
      <w:commentRangeStart w:id="22"/>
      <w:r w:rsidRPr="00A81BAD">
        <w:rPr>
          <w:rFonts w:asciiTheme="minorBidi" w:hAnsiTheme="minorBidi" w:cstheme="minorBidi"/>
          <w:color w:val="000000" w:themeColor="text1"/>
          <w:sz w:val="20"/>
          <w:szCs w:val="22"/>
          <w:lang w:val="en-US"/>
        </w:rPr>
        <w:t xml:space="preserve">[14] </w:t>
      </w:r>
      <w:commentRangeEnd w:id="22"/>
      <w:r w:rsidR="00EB047B" w:rsidRPr="00A81BAD">
        <w:rPr>
          <w:rStyle w:val="CommentReference"/>
          <w:color w:val="000000" w:themeColor="text1"/>
        </w:rPr>
        <w:commentReference w:id="22"/>
      </w:r>
      <w:r w:rsidRPr="00A81BAD">
        <w:rPr>
          <w:rFonts w:asciiTheme="minorBidi" w:hAnsiTheme="minorBidi" w:cstheme="minorBidi"/>
          <w:color w:val="000000" w:themeColor="text1"/>
          <w:sz w:val="20"/>
          <w:szCs w:val="22"/>
          <w:lang w:val="en-US"/>
        </w:rPr>
        <w:t>reported similar findings in Indian mustard for the genotypes Sej-2, GM-2, NDRE-22, JD-6 and NDRE-7 for different environmental situations for number of branches plant</w:t>
      </w:r>
      <w:r w:rsidRPr="00A81BAD">
        <w:rPr>
          <w:rFonts w:asciiTheme="minorBidi" w:hAnsiTheme="minorBidi" w:cstheme="minorBidi"/>
          <w:color w:val="000000" w:themeColor="text1"/>
          <w:sz w:val="20"/>
          <w:szCs w:val="22"/>
          <w:vertAlign w:val="superscript"/>
          <w:lang w:val="en-US"/>
        </w:rPr>
        <w:t>-1</w:t>
      </w:r>
      <w:r w:rsidRPr="00A81BAD">
        <w:rPr>
          <w:rFonts w:asciiTheme="minorBidi" w:hAnsiTheme="minorBidi" w:cstheme="minorBidi"/>
          <w:color w:val="000000" w:themeColor="text1"/>
          <w:sz w:val="20"/>
          <w:szCs w:val="22"/>
          <w:lang w:val="en-US"/>
        </w:rPr>
        <w:t>.</w:t>
      </w:r>
    </w:p>
    <w:p w14:paraId="618E7772" w14:textId="77777777" w:rsidR="006F00CC" w:rsidRPr="00A81BAD" w:rsidRDefault="000E4B23">
      <w:pPr>
        <w:spacing w:line="240" w:lineRule="auto"/>
        <w:ind w:firstLine="720"/>
        <w:jc w:val="both"/>
        <w:rPr>
          <w:rFonts w:asciiTheme="minorBidi" w:hAnsiTheme="minorBidi" w:cstheme="minorBidi"/>
          <w:color w:val="000000" w:themeColor="text1"/>
          <w:sz w:val="20"/>
          <w:szCs w:val="22"/>
          <w:lang w:val="en-US"/>
        </w:rPr>
      </w:pPr>
      <w:r w:rsidRPr="00A81BAD">
        <w:rPr>
          <w:rFonts w:asciiTheme="minorBidi" w:hAnsiTheme="minorBidi" w:cstheme="minorBidi"/>
          <w:color w:val="000000" w:themeColor="text1"/>
          <w:sz w:val="20"/>
          <w:szCs w:val="22"/>
          <w:lang w:val="en-US"/>
        </w:rPr>
        <w:t>The genotypes ACN-250 (176.7) and ACN-226 (174.1) reported as highest mean perf</w:t>
      </w:r>
      <w:r w:rsidRPr="00A81BAD">
        <w:rPr>
          <w:rFonts w:asciiTheme="minorBidi" w:hAnsiTheme="minorBidi" w:cstheme="minorBidi"/>
          <w:color w:val="000000" w:themeColor="text1"/>
          <w:sz w:val="20"/>
          <w:szCs w:val="22"/>
          <w:lang w:val="en-US"/>
        </w:rPr>
        <w:t>ormance over population mean (157.7) for number of siliquae plant</w:t>
      </w:r>
      <w:r w:rsidRPr="00A81BAD">
        <w:rPr>
          <w:rFonts w:asciiTheme="minorBidi" w:hAnsiTheme="minorBidi" w:cstheme="minorBidi"/>
          <w:color w:val="000000" w:themeColor="text1"/>
          <w:sz w:val="20"/>
          <w:szCs w:val="22"/>
          <w:vertAlign w:val="superscript"/>
          <w:lang w:val="en-US"/>
        </w:rPr>
        <w:t>-1</w:t>
      </w:r>
      <w:r w:rsidRPr="00A81BAD">
        <w:rPr>
          <w:rFonts w:asciiTheme="minorBidi" w:hAnsiTheme="minorBidi" w:cstheme="minorBidi"/>
          <w:color w:val="000000" w:themeColor="text1"/>
          <w:sz w:val="20"/>
          <w:szCs w:val="22"/>
          <w:lang w:val="en-US"/>
        </w:rPr>
        <w:t xml:space="preserve"> along with non-significant deviation from linear regression and regression coefficient (b</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tends to unity suggesting to perform well in all environment. However, the genotype ACN-237 (175</w:t>
      </w:r>
      <w:r w:rsidRPr="00A81BAD">
        <w:rPr>
          <w:rFonts w:asciiTheme="minorBidi" w:hAnsiTheme="minorBidi" w:cstheme="minorBidi"/>
          <w:color w:val="000000" w:themeColor="text1"/>
          <w:sz w:val="20"/>
          <w:szCs w:val="22"/>
          <w:lang w:val="en-US"/>
        </w:rPr>
        <w:t>.2) reported high mean performance compared to population mean and regression coefficient (b</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less than unity however significant deviation was reported from linear regression (S</w:t>
      </w:r>
      <w:r w:rsidRPr="00A81BAD">
        <w:rPr>
          <w:rFonts w:asciiTheme="minorBidi" w:hAnsiTheme="minorBidi" w:cstheme="minorBidi"/>
          <w:color w:val="000000" w:themeColor="text1"/>
          <w:sz w:val="20"/>
          <w:szCs w:val="22"/>
          <w:vertAlign w:val="superscript"/>
          <w:lang w:val="en-US"/>
        </w:rPr>
        <w:t>2</w:t>
      </w:r>
      <w:r w:rsidRPr="00A81BAD">
        <w:rPr>
          <w:rFonts w:asciiTheme="minorBidi" w:hAnsiTheme="minorBidi" w:cstheme="minorBidi"/>
          <w:color w:val="000000" w:themeColor="text1"/>
          <w:sz w:val="20"/>
          <w:szCs w:val="22"/>
          <w:lang w:val="en-US"/>
        </w:rPr>
        <w:t>d</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xml:space="preserve">) which might showed unstable performance in few environments. Similarly, </w:t>
      </w:r>
      <w:proofErr w:type="spellStart"/>
      <w:r w:rsidRPr="00A81BAD">
        <w:rPr>
          <w:rFonts w:asciiTheme="minorBidi" w:hAnsiTheme="minorBidi" w:cstheme="minorBidi"/>
          <w:color w:val="000000" w:themeColor="text1"/>
          <w:sz w:val="20"/>
          <w:szCs w:val="22"/>
          <w:lang w:val="en-US"/>
        </w:rPr>
        <w:t>Priyamedha</w:t>
      </w:r>
      <w:proofErr w:type="spellEnd"/>
      <w:r w:rsidRPr="00A81BAD">
        <w:rPr>
          <w:rFonts w:asciiTheme="minorBidi" w:hAnsiTheme="minorBidi" w:cstheme="minorBidi"/>
          <w:color w:val="000000" w:themeColor="text1"/>
          <w:sz w:val="20"/>
          <w:szCs w:val="22"/>
          <w:lang w:val="en-US"/>
        </w:rPr>
        <w:t xml:space="preserve"> </w:t>
      </w:r>
      <w:r w:rsidRPr="00A81BAD">
        <w:rPr>
          <w:rFonts w:asciiTheme="minorBidi" w:hAnsiTheme="minorBidi" w:cstheme="minorBidi"/>
          <w:i/>
          <w:iCs/>
          <w:color w:val="000000" w:themeColor="text1"/>
          <w:sz w:val="20"/>
          <w:szCs w:val="22"/>
          <w:lang w:val="en-US"/>
        </w:rPr>
        <w:t xml:space="preserve">et al., </w:t>
      </w:r>
      <w:r w:rsidRPr="00A81BAD">
        <w:rPr>
          <w:rFonts w:asciiTheme="minorBidi" w:hAnsiTheme="minorBidi" w:cstheme="minorBidi"/>
          <w:color w:val="000000" w:themeColor="text1"/>
          <w:sz w:val="20"/>
          <w:szCs w:val="22"/>
          <w:lang w:val="en-US"/>
        </w:rPr>
        <w:t xml:space="preserve">2017 </w:t>
      </w:r>
      <w:commentRangeStart w:id="23"/>
      <w:r w:rsidRPr="00A81BAD">
        <w:rPr>
          <w:rFonts w:asciiTheme="minorBidi" w:hAnsiTheme="minorBidi" w:cstheme="minorBidi"/>
          <w:color w:val="000000" w:themeColor="text1"/>
          <w:sz w:val="20"/>
          <w:szCs w:val="22"/>
          <w:lang w:val="en-US"/>
        </w:rPr>
        <w:t xml:space="preserve">[10] </w:t>
      </w:r>
      <w:commentRangeEnd w:id="23"/>
      <w:r w:rsidR="00EB047B" w:rsidRPr="00A81BAD">
        <w:rPr>
          <w:rStyle w:val="CommentReference"/>
          <w:color w:val="000000" w:themeColor="text1"/>
        </w:rPr>
        <w:commentReference w:id="23"/>
      </w:r>
      <w:r w:rsidRPr="00A81BAD">
        <w:rPr>
          <w:rFonts w:asciiTheme="minorBidi" w:hAnsiTheme="minorBidi" w:cstheme="minorBidi"/>
          <w:color w:val="000000" w:themeColor="text1"/>
          <w:sz w:val="20"/>
          <w:szCs w:val="22"/>
          <w:lang w:val="en-US"/>
        </w:rPr>
        <w:t>reported stable performance of the genotype Kranti on the basis of mean performance, deviation from linear regression (S</w:t>
      </w:r>
      <w:r w:rsidRPr="00A81BAD">
        <w:rPr>
          <w:rFonts w:asciiTheme="minorBidi" w:hAnsiTheme="minorBidi" w:cstheme="minorBidi"/>
          <w:color w:val="000000" w:themeColor="text1"/>
          <w:sz w:val="20"/>
          <w:szCs w:val="22"/>
          <w:vertAlign w:val="superscript"/>
          <w:lang w:val="en-US"/>
        </w:rPr>
        <w:t>2</w:t>
      </w:r>
      <w:r w:rsidRPr="00A81BAD">
        <w:rPr>
          <w:rFonts w:asciiTheme="minorBidi" w:hAnsiTheme="minorBidi" w:cstheme="minorBidi"/>
          <w:color w:val="000000" w:themeColor="text1"/>
          <w:sz w:val="20"/>
          <w:szCs w:val="22"/>
          <w:lang w:val="en-US"/>
        </w:rPr>
        <w:t>d</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and regression coefficient (b</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 for number of siliquae plant</w:t>
      </w:r>
      <w:r w:rsidRPr="00A81BAD">
        <w:rPr>
          <w:rFonts w:asciiTheme="minorBidi" w:hAnsiTheme="minorBidi" w:cstheme="minorBidi"/>
          <w:color w:val="000000" w:themeColor="text1"/>
          <w:sz w:val="20"/>
          <w:szCs w:val="22"/>
          <w:vertAlign w:val="superscript"/>
          <w:lang w:val="en-US"/>
        </w:rPr>
        <w:t>-1</w:t>
      </w:r>
      <w:r w:rsidRPr="00A81BAD">
        <w:rPr>
          <w:rFonts w:asciiTheme="minorBidi" w:hAnsiTheme="minorBidi" w:cstheme="minorBidi"/>
          <w:color w:val="000000" w:themeColor="text1"/>
          <w:sz w:val="20"/>
          <w:szCs w:val="22"/>
          <w:lang w:val="en-US"/>
        </w:rPr>
        <w:t xml:space="preserve"> under different environment studied.</w:t>
      </w:r>
    </w:p>
    <w:p w14:paraId="3189483A" w14:textId="5B74596B" w:rsidR="006F00CC" w:rsidRPr="00A81BAD" w:rsidRDefault="000E4B23">
      <w:pPr>
        <w:spacing w:line="240" w:lineRule="auto"/>
        <w:ind w:firstLine="720"/>
        <w:jc w:val="both"/>
        <w:rPr>
          <w:rFonts w:asciiTheme="minorBidi" w:hAnsiTheme="minorBidi" w:cstheme="minorBidi"/>
          <w:color w:val="000000" w:themeColor="text1"/>
          <w:sz w:val="20"/>
          <w:szCs w:val="22"/>
          <w:lang w:val="en-US"/>
        </w:rPr>
        <w:sectPr w:rsidR="006F00CC" w:rsidRPr="00A81BAD" w:rsidSect="0028523F">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706" w:footer="706" w:gutter="720"/>
          <w:cols w:space="708"/>
          <w:docGrid w:linePitch="360"/>
        </w:sectPr>
      </w:pPr>
      <w:r w:rsidRPr="00A81BAD">
        <w:rPr>
          <w:rFonts w:asciiTheme="minorBidi" w:hAnsiTheme="minorBidi" w:cstheme="minorBidi"/>
          <w:color w:val="000000" w:themeColor="text1"/>
          <w:sz w:val="20"/>
          <w:szCs w:val="22"/>
        </w:rPr>
        <w:t>In case of seed yield plot</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ACN-237 (1783.1 g) and ACN-226 (1731.9 g) reported significantly high mean performance as compared to population mean (1543.3 g) along with non-significant linear regression deviation (S</w:t>
      </w:r>
      <w:r w:rsidRPr="00A81BAD">
        <w:rPr>
          <w:rFonts w:asciiTheme="minorBidi" w:hAnsiTheme="minorBidi" w:cstheme="minorBidi"/>
          <w:color w:val="000000" w:themeColor="text1"/>
          <w:sz w:val="20"/>
          <w:szCs w:val="22"/>
          <w:vertAlign w:val="superscript"/>
        </w:rPr>
        <w:t>2</w:t>
      </w:r>
      <w:r w:rsidRPr="00A81BAD">
        <w:rPr>
          <w:rFonts w:asciiTheme="minorBidi" w:hAnsiTheme="minorBidi" w:cstheme="minorBidi"/>
          <w:color w:val="000000" w:themeColor="text1"/>
          <w:sz w:val="20"/>
          <w:szCs w:val="22"/>
        </w:rPr>
        <w:t>d</w:t>
      </w:r>
      <w:r w:rsidRPr="00A81BAD">
        <w:rPr>
          <w:rFonts w:asciiTheme="minorBidi" w:hAnsiTheme="minorBidi" w:cstheme="minorBidi"/>
          <w:color w:val="000000" w:themeColor="text1"/>
          <w:sz w:val="20"/>
          <w:szCs w:val="22"/>
          <w:vertAlign w:val="subscript"/>
        </w:rPr>
        <w:t>i</w:t>
      </w:r>
      <w:r w:rsidRPr="00A81BAD">
        <w:rPr>
          <w:rFonts w:asciiTheme="minorBidi" w:hAnsiTheme="minorBidi" w:cstheme="minorBidi"/>
          <w:color w:val="000000" w:themeColor="text1"/>
          <w:sz w:val="20"/>
          <w:szCs w:val="22"/>
        </w:rPr>
        <w:t xml:space="preserve">) </w:t>
      </w:r>
      <w:r w:rsidRPr="00A81BAD">
        <w:rPr>
          <w:rFonts w:asciiTheme="minorBidi" w:hAnsiTheme="minorBidi" w:cstheme="minorBidi"/>
          <w:color w:val="000000" w:themeColor="text1"/>
          <w:sz w:val="20"/>
          <w:szCs w:val="22"/>
        </w:rPr>
        <w:t>and regression coefficient (b</w:t>
      </w:r>
      <w:r w:rsidRPr="00A81BAD">
        <w:rPr>
          <w:rFonts w:asciiTheme="minorBidi" w:hAnsiTheme="minorBidi" w:cstheme="minorBidi"/>
          <w:color w:val="000000" w:themeColor="text1"/>
          <w:sz w:val="20"/>
          <w:szCs w:val="22"/>
          <w:vertAlign w:val="subscript"/>
        </w:rPr>
        <w:t>i</w:t>
      </w:r>
      <w:r w:rsidRPr="00A81BAD">
        <w:rPr>
          <w:rFonts w:asciiTheme="minorBidi" w:hAnsiTheme="minorBidi" w:cstheme="minorBidi"/>
          <w:color w:val="000000" w:themeColor="text1"/>
          <w:sz w:val="20"/>
          <w:szCs w:val="22"/>
        </w:rPr>
        <w:t xml:space="preserve">) more than unity </w:t>
      </w:r>
      <w:r w:rsidRPr="00A81BAD">
        <w:rPr>
          <w:rFonts w:asciiTheme="minorBidi" w:hAnsiTheme="minorBidi" w:cstheme="minorBidi"/>
          <w:color w:val="000000" w:themeColor="text1"/>
          <w:sz w:val="20"/>
          <w:szCs w:val="22"/>
          <w:lang w:val="en-US"/>
        </w:rPr>
        <w:t xml:space="preserve">representing sensitivity to environmental fluctuation but adopted to high yielding </w:t>
      </w:r>
    </w:p>
    <w:p w14:paraId="7AA49D8D" w14:textId="032E225E" w:rsidR="006F00CC" w:rsidRPr="00A81BAD" w:rsidRDefault="00A46A3F" w:rsidP="00A46A3F">
      <w:pPr>
        <w:spacing w:after="0" w:line="360" w:lineRule="auto"/>
        <w:jc w:val="both"/>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lastRenderedPageBreak/>
        <w:t>Table 2. Mean value and stability parameters (b</w:t>
      </w:r>
      <w:r w:rsidRPr="00A81BAD">
        <w:rPr>
          <w:rFonts w:asciiTheme="minorBidi" w:hAnsiTheme="minorBidi" w:cstheme="minorBidi"/>
          <w:b/>
          <w:bCs/>
          <w:color w:val="000000" w:themeColor="text1"/>
          <w:sz w:val="20"/>
          <w:szCs w:val="20"/>
          <w:vertAlign w:val="subscript"/>
        </w:rPr>
        <w:t>i</w:t>
      </w:r>
      <w:r w:rsidRPr="00A81BAD">
        <w:rPr>
          <w:rFonts w:asciiTheme="minorBidi" w:hAnsiTheme="minorBidi" w:cstheme="minorBidi"/>
          <w:b/>
          <w:bCs/>
          <w:color w:val="000000" w:themeColor="text1"/>
          <w:sz w:val="20"/>
          <w:szCs w:val="20"/>
        </w:rPr>
        <w:t xml:space="preserve"> and S</w:t>
      </w:r>
      <w:r w:rsidRPr="00A81BAD">
        <w:rPr>
          <w:rFonts w:asciiTheme="minorBidi" w:hAnsiTheme="minorBidi" w:cstheme="minorBidi"/>
          <w:b/>
          <w:bCs/>
          <w:color w:val="000000" w:themeColor="text1"/>
          <w:sz w:val="20"/>
          <w:szCs w:val="20"/>
          <w:vertAlign w:val="superscript"/>
        </w:rPr>
        <w:t>2</w:t>
      </w:r>
      <w:r w:rsidRPr="00A81BAD">
        <w:rPr>
          <w:rFonts w:asciiTheme="minorBidi" w:hAnsiTheme="minorBidi" w:cstheme="minorBidi"/>
          <w:b/>
          <w:bCs/>
          <w:color w:val="000000" w:themeColor="text1"/>
          <w:sz w:val="20"/>
          <w:szCs w:val="20"/>
        </w:rPr>
        <w:t>d</w:t>
      </w:r>
      <w:r w:rsidRPr="00A81BAD">
        <w:rPr>
          <w:rFonts w:asciiTheme="minorBidi" w:hAnsiTheme="minorBidi" w:cstheme="minorBidi"/>
          <w:b/>
          <w:bCs/>
          <w:color w:val="000000" w:themeColor="text1"/>
          <w:sz w:val="20"/>
          <w:szCs w:val="20"/>
          <w:vertAlign w:val="subscript"/>
        </w:rPr>
        <w:t>i</w:t>
      </w:r>
      <w:r w:rsidRPr="00A81BAD">
        <w:rPr>
          <w:rFonts w:asciiTheme="minorBidi" w:hAnsiTheme="minorBidi" w:cstheme="minorBidi"/>
          <w:b/>
          <w:bCs/>
          <w:color w:val="000000" w:themeColor="text1"/>
          <w:sz w:val="20"/>
          <w:szCs w:val="20"/>
        </w:rPr>
        <w:t>) of the mustard varieties for seed yield and its components</w:t>
      </w:r>
    </w:p>
    <w:tbl>
      <w:tblPr>
        <w:tblStyle w:val="TableGrid"/>
        <w:tblW w:w="5293" w:type="pct"/>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1191"/>
        <w:gridCol w:w="728"/>
        <w:gridCol w:w="984"/>
        <w:gridCol w:w="873"/>
        <w:gridCol w:w="828"/>
        <w:gridCol w:w="984"/>
        <w:gridCol w:w="873"/>
        <w:gridCol w:w="817"/>
        <w:gridCol w:w="997"/>
        <w:gridCol w:w="996"/>
        <w:gridCol w:w="818"/>
        <w:gridCol w:w="924"/>
        <w:gridCol w:w="924"/>
        <w:gridCol w:w="828"/>
        <w:gridCol w:w="1095"/>
        <w:gridCol w:w="873"/>
      </w:tblGrid>
      <w:tr w:rsidR="00A81BAD" w:rsidRPr="00A81BAD" w14:paraId="79E411E0" w14:textId="77777777">
        <w:trPr>
          <w:trHeight w:val="290"/>
        </w:trPr>
        <w:tc>
          <w:tcPr>
            <w:tcW w:w="173" w:type="pct"/>
            <w:vMerge w:val="restart"/>
            <w:tcBorders>
              <w:top w:val="single" w:sz="4" w:space="0" w:color="auto"/>
              <w:bottom w:val="nil"/>
            </w:tcBorders>
            <w:shd w:val="clear" w:color="auto" w:fill="auto"/>
            <w:vAlign w:val="center"/>
          </w:tcPr>
          <w:p w14:paraId="183D2B2D"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Sr.</w:t>
            </w:r>
          </w:p>
          <w:p w14:paraId="7DAE280C"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No</w:t>
            </w:r>
            <w:r w:rsidRPr="00A81BAD">
              <w:rPr>
                <w:rFonts w:asciiTheme="minorBidi" w:hAnsiTheme="minorBidi" w:cstheme="minorBidi"/>
                <w:b/>
                <w:bCs/>
                <w:color w:val="000000" w:themeColor="text1"/>
                <w:sz w:val="20"/>
                <w:szCs w:val="20"/>
              </w:rPr>
              <w:t>.</w:t>
            </w:r>
          </w:p>
        </w:tc>
        <w:tc>
          <w:tcPr>
            <w:tcW w:w="393" w:type="pct"/>
            <w:vMerge w:val="restart"/>
            <w:tcBorders>
              <w:top w:val="single" w:sz="4" w:space="0" w:color="auto"/>
              <w:bottom w:val="nil"/>
            </w:tcBorders>
            <w:shd w:val="clear" w:color="auto" w:fill="auto"/>
            <w:noWrap/>
            <w:vAlign w:val="center"/>
            <w:hideMark/>
          </w:tcPr>
          <w:p w14:paraId="1D43583C"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Variety</w:t>
            </w:r>
          </w:p>
        </w:tc>
        <w:tc>
          <w:tcPr>
            <w:tcW w:w="858" w:type="pct"/>
            <w:gridSpan w:val="3"/>
            <w:tcBorders>
              <w:top w:val="single" w:sz="4" w:space="0" w:color="auto"/>
              <w:bottom w:val="single" w:sz="4" w:space="0" w:color="auto"/>
            </w:tcBorders>
            <w:shd w:val="clear" w:color="auto" w:fill="auto"/>
            <w:noWrap/>
            <w:vAlign w:val="center"/>
            <w:hideMark/>
          </w:tcPr>
          <w:p w14:paraId="3B9CC3A6"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Days to maturity</w:t>
            </w:r>
          </w:p>
        </w:tc>
        <w:tc>
          <w:tcPr>
            <w:tcW w:w="913" w:type="pct"/>
            <w:gridSpan w:val="3"/>
            <w:tcBorders>
              <w:top w:val="single" w:sz="4" w:space="0" w:color="auto"/>
              <w:bottom w:val="single" w:sz="4" w:space="0" w:color="auto"/>
            </w:tcBorders>
            <w:shd w:val="clear" w:color="auto" w:fill="auto"/>
            <w:noWrap/>
            <w:vAlign w:val="center"/>
            <w:hideMark/>
          </w:tcPr>
          <w:p w14:paraId="080A8695"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Plant height (cm)</w:t>
            </w:r>
          </w:p>
        </w:tc>
        <w:tc>
          <w:tcPr>
            <w:tcW w:w="871" w:type="pct"/>
            <w:gridSpan w:val="3"/>
            <w:tcBorders>
              <w:top w:val="single" w:sz="4" w:space="0" w:color="auto"/>
              <w:bottom w:val="single" w:sz="4" w:space="0" w:color="auto"/>
            </w:tcBorders>
            <w:shd w:val="clear" w:color="auto" w:fill="auto"/>
            <w:noWrap/>
            <w:vAlign w:val="center"/>
            <w:hideMark/>
          </w:tcPr>
          <w:p w14:paraId="16D9BC5A" w14:textId="77777777" w:rsidR="006F00CC" w:rsidRPr="00A81BAD" w:rsidRDefault="000E4B23">
            <w:pPr>
              <w:jc w:val="center"/>
              <w:rPr>
                <w:rFonts w:asciiTheme="minorBidi" w:hAnsiTheme="minorBidi" w:cstheme="minorBidi"/>
                <w:b/>
                <w:bCs/>
                <w:color w:val="000000" w:themeColor="text1"/>
                <w:sz w:val="20"/>
                <w:szCs w:val="20"/>
                <w:vertAlign w:val="superscript"/>
              </w:rPr>
            </w:pPr>
            <w:r w:rsidRPr="00A81BAD">
              <w:rPr>
                <w:rFonts w:asciiTheme="minorBidi" w:hAnsiTheme="minorBidi" w:cstheme="minorBidi"/>
                <w:b/>
                <w:bCs/>
                <w:color w:val="000000" w:themeColor="text1"/>
                <w:sz w:val="20"/>
                <w:szCs w:val="20"/>
              </w:rPr>
              <w:t>Number of branches plant</w:t>
            </w:r>
            <w:r w:rsidRPr="00A81BAD">
              <w:rPr>
                <w:rFonts w:asciiTheme="minorBidi" w:hAnsiTheme="minorBidi" w:cstheme="minorBidi"/>
                <w:b/>
                <w:bCs/>
                <w:color w:val="000000" w:themeColor="text1"/>
                <w:sz w:val="20"/>
                <w:szCs w:val="20"/>
                <w:vertAlign w:val="superscript"/>
              </w:rPr>
              <w:t>-1</w:t>
            </w:r>
          </w:p>
        </w:tc>
        <w:tc>
          <w:tcPr>
            <w:tcW w:w="845" w:type="pct"/>
            <w:gridSpan w:val="3"/>
            <w:tcBorders>
              <w:top w:val="single" w:sz="4" w:space="0" w:color="auto"/>
              <w:bottom w:val="single" w:sz="4" w:space="0" w:color="auto"/>
            </w:tcBorders>
            <w:shd w:val="clear" w:color="auto" w:fill="auto"/>
            <w:noWrap/>
            <w:vAlign w:val="center"/>
            <w:hideMark/>
          </w:tcPr>
          <w:p w14:paraId="3A1B8157" w14:textId="77777777" w:rsidR="006F00CC" w:rsidRPr="00A81BAD" w:rsidRDefault="000E4B23">
            <w:pPr>
              <w:jc w:val="center"/>
              <w:rPr>
                <w:rFonts w:asciiTheme="minorBidi" w:hAnsiTheme="minorBidi" w:cstheme="minorBidi"/>
                <w:b/>
                <w:bCs/>
                <w:color w:val="000000" w:themeColor="text1"/>
                <w:sz w:val="20"/>
                <w:szCs w:val="20"/>
                <w:vertAlign w:val="superscript"/>
              </w:rPr>
            </w:pPr>
            <w:r w:rsidRPr="00A81BAD">
              <w:rPr>
                <w:rFonts w:asciiTheme="minorBidi" w:hAnsiTheme="minorBidi" w:cstheme="minorBidi"/>
                <w:b/>
                <w:bCs/>
                <w:color w:val="000000" w:themeColor="text1"/>
                <w:sz w:val="20"/>
                <w:szCs w:val="20"/>
              </w:rPr>
              <w:t>Number of siliquae plant</w:t>
            </w:r>
            <w:r w:rsidRPr="00A81BAD">
              <w:rPr>
                <w:rFonts w:asciiTheme="minorBidi" w:hAnsiTheme="minorBidi" w:cstheme="minorBidi"/>
                <w:b/>
                <w:bCs/>
                <w:color w:val="000000" w:themeColor="text1"/>
                <w:sz w:val="20"/>
                <w:szCs w:val="20"/>
                <w:vertAlign w:val="superscript"/>
              </w:rPr>
              <w:t>-1</w:t>
            </w:r>
          </w:p>
        </w:tc>
        <w:tc>
          <w:tcPr>
            <w:tcW w:w="947" w:type="pct"/>
            <w:gridSpan w:val="3"/>
            <w:tcBorders>
              <w:top w:val="single" w:sz="4" w:space="0" w:color="auto"/>
              <w:bottom w:val="single" w:sz="4" w:space="0" w:color="auto"/>
            </w:tcBorders>
            <w:shd w:val="clear" w:color="auto" w:fill="auto"/>
            <w:noWrap/>
            <w:vAlign w:val="center"/>
            <w:hideMark/>
          </w:tcPr>
          <w:p w14:paraId="4C3DCCBB"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Seed yield plot</w:t>
            </w:r>
            <w:r w:rsidRPr="00A81BAD">
              <w:rPr>
                <w:rFonts w:asciiTheme="minorBidi" w:hAnsiTheme="minorBidi" w:cstheme="minorBidi"/>
                <w:b/>
                <w:bCs/>
                <w:color w:val="000000" w:themeColor="text1"/>
                <w:sz w:val="20"/>
                <w:szCs w:val="20"/>
                <w:vertAlign w:val="superscript"/>
              </w:rPr>
              <w:t>-1</w:t>
            </w:r>
            <w:r w:rsidRPr="00A81BAD">
              <w:rPr>
                <w:rFonts w:asciiTheme="minorBidi" w:hAnsiTheme="minorBidi" w:cstheme="minorBidi"/>
                <w:b/>
                <w:bCs/>
                <w:color w:val="000000" w:themeColor="text1"/>
                <w:sz w:val="20"/>
                <w:szCs w:val="20"/>
              </w:rPr>
              <w:t xml:space="preserve"> (g)</w:t>
            </w:r>
          </w:p>
        </w:tc>
      </w:tr>
      <w:tr w:rsidR="00A81BAD" w:rsidRPr="00A81BAD" w14:paraId="50C39093" w14:textId="77777777">
        <w:trPr>
          <w:trHeight w:val="290"/>
        </w:trPr>
        <w:tc>
          <w:tcPr>
            <w:tcW w:w="173" w:type="pct"/>
            <w:vMerge/>
            <w:tcBorders>
              <w:top w:val="nil"/>
              <w:bottom w:val="single" w:sz="4" w:space="0" w:color="auto"/>
            </w:tcBorders>
            <w:shd w:val="clear" w:color="auto" w:fill="auto"/>
            <w:vAlign w:val="center"/>
          </w:tcPr>
          <w:p w14:paraId="3D8EA673" w14:textId="77777777" w:rsidR="006F00CC" w:rsidRPr="00A81BAD" w:rsidRDefault="006F00CC">
            <w:pPr>
              <w:jc w:val="center"/>
              <w:rPr>
                <w:rFonts w:asciiTheme="minorBidi" w:hAnsiTheme="minorBidi" w:cstheme="minorBidi"/>
                <w:color w:val="000000" w:themeColor="text1"/>
                <w:sz w:val="20"/>
                <w:szCs w:val="20"/>
              </w:rPr>
            </w:pPr>
          </w:p>
        </w:tc>
        <w:tc>
          <w:tcPr>
            <w:tcW w:w="393" w:type="pct"/>
            <w:vMerge/>
            <w:tcBorders>
              <w:top w:val="nil"/>
              <w:bottom w:val="single" w:sz="4" w:space="0" w:color="auto"/>
            </w:tcBorders>
            <w:shd w:val="clear" w:color="auto" w:fill="auto"/>
            <w:hideMark/>
          </w:tcPr>
          <w:p w14:paraId="24946F28" w14:textId="77777777" w:rsidR="006F00CC" w:rsidRPr="00A81BAD" w:rsidRDefault="006F00CC">
            <w:pPr>
              <w:rPr>
                <w:rFonts w:asciiTheme="minorBidi" w:hAnsiTheme="minorBidi" w:cstheme="minorBidi"/>
                <w:color w:val="000000" w:themeColor="text1"/>
                <w:sz w:val="20"/>
                <w:szCs w:val="20"/>
              </w:rPr>
            </w:pPr>
          </w:p>
        </w:tc>
        <w:tc>
          <w:tcPr>
            <w:tcW w:w="239" w:type="pct"/>
            <w:tcBorders>
              <w:top w:val="single" w:sz="4" w:space="0" w:color="auto"/>
              <w:bottom w:val="single" w:sz="4" w:space="0" w:color="auto"/>
            </w:tcBorders>
            <w:shd w:val="clear" w:color="auto" w:fill="auto"/>
            <w:noWrap/>
            <w:vAlign w:val="center"/>
            <w:hideMark/>
          </w:tcPr>
          <w:p w14:paraId="6D792227"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Mean</w:t>
            </w:r>
          </w:p>
        </w:tc>
        <w:tc>
          <w:tcPr>
            <w:tcW w:w="327" w:type="pct"/>
            <w:tcBorders>
              <w:top w:val="single" w:sz="4" w:space="0" w:color="auto"/>
              <w:bottom w:val="single" w:sz="4" w:space="0" w:color="auto"/>
            </w:tcBorders>
            <w:shd w:val="clear" w:color="auto" w:fill="auto"/>
            <w:noWrap/>
            <w:vAlign w:val="center"/>
            <w:hideMark/>
          </w:tcPr>
          <w:p w14:paraId="5B201D17"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S</w:t>
            </w:r>
            <w:r w:rsidRPr="00A81BAD">
              <w:rPr>
                <w:rFonts w:asciiTheme="minorBidi" w:hAnsiTheme="minorBidi" w:cstheme="minorBidi"/>
                <w:b/>
                <w:bCs/>
                <w:color w:val="000000" w:themeColor="text1"/>
                <w:sz w:val="20"/>
                <w:szCs w:val="20"/>
                <w:vertAlign w:val="superscript"/>
              </w:rPr>
              <w:t>2</w:t>
            </w:r>
            <w:r w:rsidRPr="00A81BAD">
              <w:rPr>
                <w:rFonts w:asciiTheme="minorBidi" w:hAnsiTheme="minorBidi" w:cstheme="minorBidi"/>
                <w:b/>
                <w:bCs/>
                <w:color w:val="000000" w:themeColor="text1"/>
                <w:sz w:val="20"/>
                <w:szCs w:val="20"/>
              </w:rPr>
              <w:t>d</w:t>
            </w:r>
            <w:r w:rsidRPr="00A81BAD">
              <w:rPr>
                <w:rFonts w:asciiTheme="minorBidi" w:hAnsiTheme="minorBidi" w:cstheme="minorBidi"/>
                <w:b/>
                <w:bCs/>
                <w:color w:val="000000" w:themeColor="text1"/>
                <w:sz w:val="20"/>
                <w:szCs w:val="20"/>
                <w:vertAlign w:val="subscript"/>
              </w:rPr>
              <w:t>i</w:t>
            </w:r>
          </w:p>
        </w:tc>
        <w:tc>
          <w:tcPr>
            <w:tcW w:w="293" w:type="pct"/>
            <w:tcBorders>
              <w:top w:val="single" w:sz="4" w:space="0" w:color="auto"/>
              <w:bottom w:val="single" w:sz="4" w:space="0" w:color="auto"/>
            </w:tcBorders>
            <w:shd w:val="clear" w:color="auto" w:fill="auto"/>
            <w:noWrap/>
            <w:vAlign w:val="center"/>
            <w:hideMark/>
          </w:tcPr>
          <w:p w14:paraId="7A08DCFC"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b</w:t>
            </w:r>
            <w:r w:rsidRPr="00A81BAD">
              <w:rPr>
                <w:rFonts w:asciiTheme="minorBidi" w:hAnsiTheme="minorBidi" w:cstheme="minorBidi"/>
                <w:b/>
                <w:bCs/>
                <w:color w:val="000000" w:themeColor="text1"/>
                <w:sz w:val="20"/>
                <w:szCs w:val="20"/>
                <w:vertAlign w:val="subscript"/>
              </w:rPr>
              <w:t>i</w:t>
            </w:r>
          </w:p>
        </w:tc>
        <w:tc>
          <w:tcPr>
            <w:tcW w:w="293" w:type="pct"/>
            <w:tcBorders>
              <w:top w:val="single" w:sz="4" w:space="0" w:color="auto"/>
              <w:bottom w:val="single" w:sz="4" w:space="0" w:color="auto"/>
            </w:tcBorders>
            <w:shd w:val="clear" w:color="auto" w:fill="auto"/>
            <w:noWrap/>
            <w:vAlign w:val="center"/>
            <w:hideMark/>
          </w:tcPr>
          <w:p w14:paraId="4112A363"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Mean</w:t>
            </w:r>
          </w:p>
        </w:tc>
        <w:tc>
          <w:tcPr>
            <w:tcW w:w="327" w:type="pct"/>
            <w:tcBorders>
              <w:top w:val="single" w:sz="4" w:space="0" w:color="auto"/>
              <w:bottom w:val="single" w:sz="4" w:space="0" w:color="auto"/>
            </w:tcBorders>
            <w:shd w:val="clear" w:color="auto" w:fill="auto"/>
            <w:noWrap/>
            <w:vAlign w:val="center"/>
            <w:hideMark/>
          </w:tcPr>
          <w:p w14:paraId="0312DFEA"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S</w:t>
            </w:r>
            <w:r w:rsidRPr="00A81BAD">
              <w:rPr>
                <w:rFonts w:asciiTheme="minorBidi" w:hAnsiTheme="minorBidi" w:cstheme="minorBidi"/>
                <w:b/>
                <w:bCs/>
                <w:color w:val="000000" w:themeColor="text1"/>
                <w:sz w:val="20"/>
                <w:szCs w:val="20"/>
                <w:vertAlign w:val="superscript"/>
              </w:rPr>
              <w:t>2</w:t>
            </w:r>
            <w:r w:rsidRPr="00A81BAD">
              <w:rPr>
                <w:rFonts w:asciiTheme="minorBidi" w:hAnsiTheme="minorBidi" w:cstheme="minorBidi"/>
                <w:b/>
                <w:bCs/>
                <w:color w:val="000000" w:themeColor="text1"/>
                <w:sz w:val="20"/>
                <w:szCs w:val="20"/>
              </w:rPr>
              <w:t>d</w:t>
            </w:r>
            <w:r w:rsidRPr="00A81BAD">
              <w:rPr>
                <w:rFonts w:asciiTheme="minorBidi" w:hAnsiTheme="minorBidi" w:cstheme="minorBidi"/>
                <w:b/>
                <w:bCs/>
                <w:color w:val="000000" w:themeColor="text1"/>
                <w:sz w:val="20"/>
                <w:szCs w:val="20"/>
                <w:vertAlign w:val="subscript"/>
              </w:rPr>
              <w:t>i</w:t>
            </w:r>
          </w:p>
        </w:tc>
        <w:tc>
          <w:tcPr>
            <w:tcW w:w="293" w:type="pct"/>
            <w:tcBorders>
              <w:top w:val="single" w:sz="4" w:space="0" w:color="auto"/>
              <w:bottom w:val="single" w:sz="4" w:space="0" w:color="auto"/>
            </w:tcBorders>
            <w:shd w:val="clear" w:color="auto" w:fill="auto"/>
            <w:noWrap/>
            <w:vAlign w:val="center"/>
            <w:hideMark/>
          </w:tcPr>
          <w:p w14:paraId="0624CA69"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b</w:t>
            </w:r>
            <w:r w:rsidRPr="00A81BAD">
              <w:rPr>
                <w:rFonts w:asciiTheme="minorBidi" w:hAnsiTheme="minorBidi" w:cstheme="minorBidi"/>
                <w:b/>
                <w:bCs/>
                <w:color w:val="000000" w:themeColor="text1"/>
                <w:sz w:val="20"/>
                <w:szCs w:val="20"/>
                <w:vertAlign w:val="subscript"/>
              </w:rPr>
              <w:t>i</w:t>
            </w:r>
          </w:p>
        </w:tc>
        <w:tc>
          <w:tcPr>
            <w:tcW w:w="253" w:type="pct"/>
            <w:tcBorders>
              <w:top w:val="single" w:sz="4" w:space="0" w:color="auto"/>
              <w:bottom w:val="single" w:sz="4" w:space="0" w:color="auto"/>
            </w:tcBorders>
            <w:shd w:val="clear" w:color="auto" w:fill="auto"/>
            <w:noWrap/>
            <w:vAlign w:val="center"/>
            <w:hideMark/>
          </w:tcPr>
          <w:p w14:paraId="4C75CCAD"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Mean</w:t>
            </w:r>
          </w:p>
        </w:tc>
        <w:tc>
          <w:tcPr>
            <w:tcW w:w="309" w:type="pct"/>
            <w:tcBorders>
              <w:top w:val="single" w:sz="4" w:space="0" w:color="auto"/>
              <w:bottom w:val="single" w:sz="4" w:space="0" w:color="auto"/>
            </w:tcBorders>
            <w:shd w:val="clear" w:color="auto" w:fill="auto"/>
            <w:noWrap/>
            <w:vAlign w:val="center"/>
            <w:hideMark/>
          </w:tcPr>
          <w:p w14:paraId="5E39F1F6"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S</w:t>
            </w:r>
            <w:r w:rsidRPr="00A81BAD">
              <w:rPr>
                <w:rFonts w:asciiTheme="minorBidi" w:hAnsiTheme="minorBidi" w:cstheme="minorBidi"/>
                <w:b/>
                <w:bCs/>
                <w:color w:val="000000" w:themeColor="text1"/>
                <w:sz w:val="20"/>
                <w:szCs w:val="20"/>
                <w:vertAlign w:val="superscript"/>
              </w:rPr>
              <w:t>2</w:t>
            </w:r>
            <w:r w:rsidRPr="00A81BAD">
              <w:rPr>
                <w:rFonts w:asciiTheme="minorBidi" w:hAnsiTheme="minorBidi" w:cstheme="minorBidi"/>
                <w:b/>
                <w:bCs/>
                <w:color w:val="000000" w:themeColor="text1"/>
                <w:sz w:val="20"/>
                <w:szCs w:val="20"/>
              </w:rPr>
              <w:t>d</w:t>
            </w:r>
            <w:r w:rsidRPr="00A81BAD">
              <w:rPr>
                <w:rFonts w:asciiTheme="minorBidi" w:hAnsiTheme="minorBidi" w:cstheme="minorBidi"/>
                <w:b/>
                <w:bCs/>
                <w:color w:val="000000" w:themeColor="text1"/>
                <w:sz w:val="20"/>
                <w:szCs w:val="20"/>
                <w:vertAlign w:val="subscript"/>
              </w:rPr>
              <w:t>i</w:t>
            </w:r>
          </w:p>
        </w:tc>
        <w:tc>
          <w:tcPr>
            <w:tcW w:w="309" w:type="pct"/>
            <w:tcBorders>
              <w:top w:val="single" w:sz="4" w:space="0" w:color="auto"/>
              <w:bottom w:val="single" w:sz="4" w:space="0" w:color="auto"/>
            </w:tcBorders>
            <w:shd w:val="clear" w:color="auto" w:fill="auto"/>
            <w:noWrap/>
            <w:vAlign w:val="center"/>
            <w:hideMark/>
          </w:tcPr>
          <w:p w14:paraId="70045536"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b</w:t>
            </w:r>
            <w:r w:rsidRPr="00A81BAD">
              <w:rPr>
                <w:rFonts w:asciiTheme="minorBidi" w:hAnsiTheme="minorBidi" w:cstheme="minorBidi"/>
                <w:b/>
                <w:bCs/>
                <w:color w:val="000000" w:themeColor="text1"/>
                <w:sz w:val="20"/>
                <w:szCs w:val="20"/>
                <w:vertAlign w:val="subscript"/>
              </w:rPr>
              <w:t>i</w:t>
            </w:r>
          </w:p>
        </w:tc>
        <w:tc>
          <w:tcPr>
            <w:tcW w:w="259" w:type="pct"/>
            <w:tcBorders>
              <w:top w:val="single" w:sz="4" w:space="0" w:color="auto"/>
              <w:bottom w:val="single" w:sz="4" w:space="0" w:color="auto"/>
            </w:tcBorders>
            <w:shd w:val="clear" w:color="auto" w:fill="auto"/>
            <w:noWrap/>
            <w:vAlign w:val="center"/>
            <w:hideMark/>
          </w:tcPr>
          <w:p w14:paraId="7145F991"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Mean</w:t>
            </w:r>
          </w:p>
        </w:tc>
        <w:tc>
          <w:tcPr>
            <w:tcW w:w="293" w:type="pct"/>
            <w:tcBorders>
              <w:top w:val="single" w:sz="4" w:space="0" w:color="auto"/>
              <w:bottom w:val="single" w:sz="4" w:space="0" w:color="auto"/>
            </w:tcBorders>
            <w:shd w:val="clear" w:color="auto" w:fill="auto"/>
            <w:noWrap/>
            <w:vAlign w:val="center"/>
            <w:hideMark/>
          </w:tcPr>
          <w:p w14:paraId="248420BF"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S</w:t>
            </w:r>
            <w:r w:rsidRPr="00A81BAD">
              <w:rPr>
                <w:rFonts w:asciiTheme="minorBidi" w:hAnsiTheme="minorBidi" w:cstheme="minorBidi"/>
                <w:b/>
                <w:bCs/>
                <w:color w:val="000000" w:themeColor="text1"/>
                <w:sz w:val="20"/>
                <w:szCs w:val="20"/>
                <w:vertAlign w:val="superscript"/>
              </w:rPr>
              <w:t>2</w:t>
            </w:r>
            <w:r w:rsidRPr="00A81BAD">
              <w:rPr>
                <w:rFonts w:asciiTheme="minorBidi" w:hAnsiTheme="minorBidi" w:cstheme="minorBidi"/>
                <w:b/>
                <w:bCs/>
                <w:color w:val="000000" w:themeColor="text1"/>
                <w:sz w:val="20"/>
                <w:szCs w:val="20"/>
              </w:rPr>
              <w:t>d</w:t>
            </w:r>
            <w:r w:rsidRPr="00A81BAD">
              <w:rPr>
                <w:rFonts w:asciiTheme="minorBidi" w:hAnsiTheme="minorBidi" w:cstheme="minorBidi"/>
                <w:b/>
                <w:bCs/>
                <w:color w:val="000000" w:themeColor="text1"/>
                <w:sz w:val="20"/>
                <w:szCs w:val="20"/>
                <w:vertAlign w:val="subscript"/>
              </w:rPr>
              <w:t>i</w:t>
            </w:r>
          </w:p>
        </w:tc>
        <w:tc>
          <w:tcPr>
            <w:tcW w:w="293" w:type="pct"/>
            <w:tcBorders>
              <w:top w:val="single" w:sz="4" w:space="0" w:color="auto"/>
              <w:bottom w:val="single" w:sz="4" w:space="0" w:color="auto"/>
            </w:tcBorders>
            <w:shd w:val="clear" w:color="auto" w:fill="auto"/>
            <w:noWrap/>
            <w:vAlign w:val="center"/>
            <w:hideMark/>
          </w:tcPr>
          <w:p w14:paraId="7BE8F69B"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b</w:t>
            </w:r>
            <w:r w:rsidRPr="00A81BAD">
              <w:rPr>
                <w:rFonts w:asciiTheme="minorBidi" w:hAnsiTheme="minorBidi" w:cstheme="minorBidi"/>
                <w:b/>
                <w:bCs/>
                <w:color w:val="000000" w:themeColor="text1"/>
                <w:sz w:val="20"/>
                <w:szCs w:val="20"/>
                <w:vertAlign w:val="subscript"/>
              </w:rPr>
              <w:t>i</w:t>
            </w:r>
          </w:p>
        </w:tc>
        <w:tc>
          <w:tcPr>
            <w:tcW w:w="293" w:type="pct"/>
            <w:tcBorders>
              <w:top w:val="single" w:sz="4" w:space="0" w:color="auto"/>
              <w:bottom w:val="single" w:sz="4" w:space="0" w:color="auto"/>
            </w:tcBorders>
            <w:shd w:val="clear" w:color="auto" w:fill="auto"/>
            <w:noWrap/>
            <w:vAlign w:val="center"/>
            <w:hideMark/>
          </w:tcPr>
          <w:p w14:paraId="3349937E"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Mean</w:t>
            </w:r>
          </w:p>
        </w:tc>
        <w:tc>
          <w:tcPr>
            <w:tcW w:w="361" w:type="pct"/>
            <w:tcBorders>
              <w:top w:val="single" w:sz="4" w:space="0" w:color="auto"/>
              <w:bottom w:val="single" w:sz="4" w:space="0" w:color="auto"/>
            </w:tcBorders>
            <w:shd w:val="clear" w:color="auto" w:fill="auto"/>
            <w:noWrap/>
            <w:vAlign w:val="center"/>
            <w:hideMark/>
          </w:tcPr>
          <w:p w14:paraId="28AC13EE"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S</w:t>
            </w:r>
            <w:r w:rsidRPr="00A81BAD">
              <w:rPr>
                <w:rFonts w:asciiTheme="minorBidi" w:hAnsiTheme="minorBidi" w:cstheme="minorBidi"/>
                <w:b/>
                <w:bCs/>
                <w:color w:val="000000" w:themeColor="text1"/>
                <w:sz w:val="20"/>
                <w:szCs w:val="20"/>
                <w:vertAlign w:val="superscript"/>
              </w:rPr>
              <w:t>2</w:t>
            </w:r>
            <w:r w:rsidRPr="00A81BAD">
              <w:rPr>
                <w:rFonts w:asciiTheme="minorBidi" w:hAnsiTheme="minorBidi" w:cstheme="minorBidi"/>
                <w:b/>
                <w:bCs/>
                <w:color w:val="000000" w:themeColor="text1"/>
                <w:sz w:val="20"/>
                <w:szCs w:val="20"/>
              </w:rPr>
              <w:t>d</w:t>
            </w:r>
            <w:r w:rsidRPr="00A81BAD">
              <w:rPr>
                <w:rFonts w:asciiTheme="minorBidi" w:hAnsiTheme="minorBidi" w:cstheme="minorBidi"/>
                <w:b/>
                <w:bCs/>
                <w:color w:val="000000" w:themeColor="text1"/>
                <w:sz w:val="20"/>
                <w:szCs w:val="20"/>
                <w:vertAlign w:val="subscript"/>
              </w:rPr>
              <w:t>i</w:t>
            </w:r>
          </w:p>
        </w:tc>
        <w:tc>
          <w:tcPr>
            <w:tcW w:w="293" w:type="pct"/>
            <w:tcBorders>
              <w:top w:val="single" w:sz="4" w:space="0" w:color="auto"/>
              <w:bottom w:val="single" w:sz="4" w:space="0" w:color="auto"/>
            </w:tcBorders>
            <w:shd w:val="clear" w:color="auto" w:fill="auto"/>
            <w:noWrap/>
            <w:vAlign w:val="center"/>
            <w:hideMark/>
          </w:tcPr>
          <w:p w14:paraId="6C854C0D"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b</w:t>
            </w:r>
            <w:r w:rsidRPr="00A81BAD">
              <w:rPr>
                <w:rFonts w:asciiTheme="minorBidi" w:hAnsiTheme="minorBidi" w:cstheme="minorBidi"/>
                <w:b/>
                <w:bCs/>
                <w:color w:val="000000" w:themeColor="text1"/>
                <w:sz w:val="20"/>
                <w:szCs w:val="20"/>
                <w:vertAlign w:val="subscript"/>
              </w:rPr>
              <w:t>i</w:t>
            </w:r>
          </w:p>
        </w:tc>
      </w:tr>
      <w:tr w:rsidR="00A81BAD" w:rsidRPr="00A81BAD" w14:paraId="1AFDEFBE" w14:textId="77777777">
        <w:trPr>
          <w:trHeight w:val="290"/>
        </w:trPr>
        <w:tc>
          <w:tcPr>
            <w:tcW w:w="173" w:type="pct"/>
            <w:tcBorders>
              <w:top w:val="single" w:sz="4" w:space="0" w:color="auto"/>
            </w:tcBorders>
            <w:shd w:val="clear" w:color="auto" w:fill="auto"/>
            <w:vAlign w:val="center"/>
          </w:tcPr>
          <w:p w14:paraId="798E28FF" w14:textId="77777777" w:rsidR="006F00CC" w:rsidRPr="00A81BAD" w:rsidRDefault="000E4B23">
            <w:pPr>
              <w:jc w:val="center"/>
              <w:rPr>
                <w:rFonts w:asciiTheme="minorBidi" w:hAnsiTheme="minorBidi" w:cstheme="minorBidi"/>
                <w:color w:val="000000" w:themeColor="text1"/>
                <w:sz w:val="20"/>
                <w:szCs w:val="20"/>
              </w:rPr>
            </w:pPr>
            <w:bookmarkStart w:id="24" w:name="_Hlk159091881"/>
            <w:r w:rsidRPr="00A81BAD">
              <w:rPr>
                <w:rFonts w:asciiTheme="minorBidi" w:hAnsiTheme="minorBidi" w:cstheme="minorBidi"/>
                <w:color w:val="000000" w:themeColor="text1"/>
                <w:sz w:val="20"/>
                <w:szCs w:val="20"/>
              </w:rPr>
              <w:t>1</w:t>
            </w:r>
          </w:p>
        </w:tc>
        <w:tc>
          <w:tcPr>
            <w:tcW w:w="393" w:type="pct"/>
            <w:tcBorders>
              <w:top w:val="single" w:sz="4" w:space="0" w:color="auto"/>
              <w:right w:val="nil"/>
            </w:tcBorders>
            <w:shd w:val="clear" w:color="auto" w:fill="auto"/>
            <w:noWrap/>
            <w:hideMark/>
          </w:tcPr>
          <w:p w14:paraId="5DC7B76B" w14:textId="77777777" w:rsidR="006F00CC" w:rsidRPr="00A81BAD" w:rsidRDefault="000E4B23">
            <w:pP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ACN-240</w:t>
            </w:r>
          </w:p>
        </w:tc>
        <w:tc>
          <w:tcPr>
            <w:tcW w:w="239" w:type="pct"/>
            <w:tcBorders>
              <w:top w:val="single" w:sz="4" w:space="0" w:color="auto"/>
              <w:left w:val="nil"/>
              <w:bottom w:val="nil"/>
              <w:right w:val="nil"/>
            </w:tcBorders>
            <w:shd w:val="clear" w:color="auto" w:fill="auto"/>
            <w:noWrap/>
          </w:tcPr>
          <w:p w14:paraId="51D47C94"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106</w:t>
            </w:r>
          </w:p>
        </w:tc>
        <w:tc>
          <w:tcPr>
            <w:tcW w:w="327" w:type="pct"/>
            <w:tcBorders>
              <w:top w:val="single" w:sz="4" w:space="0" w:color="auto"/>
              <w:left w:val="nil"/>
              <w:bottom w:val="nil"/>
              <w:right w:val="nil"/>
            </w:tcBorders>
            <w:shd w:val="clear" w:color="auto" w:fill="auto"/>
            <w:noWrap/>
          </w:tcPr>
          <w:p w14:paraId="5FBC2B81"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3.267</w:t>
            </w:r>
          </w:p>
        </w:tc>
        <w:tc>
          <w:tcPr>
            <w:tcW w:w="293" w:type="pct"/>
            <w:tcBorders>
              <w:top w:val="single" w:sz="4" w:space="0" w:color="auto"/>
              <w:left w:val="nil"/>
              <w:bottom w:val="nil"/>
              <w:right w:val="nil"/>
            </w:tcBorders>
            <w:shd w:val="clear" w:color="auto" w:fill="auto"/>
            <w:noWrap/>
          </w:tcPr>
          <w:p w14:paraId="50DDE9BA"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1.064**</w:t>
            </w:r>
          </w:p>
        </w:tc>
        <w:tc>
          <w:tcPr>
            <w:tcW w:w="293" w:type="pct"/>
            <w:tcBorders>
              <w:top w:val="single" w:sz="4" w:space="0" w:color="auto"/>
              <w:left w:val="nil"/>
              <w:bottom w:val="nil"/>
              <w:right w:val="nil"/>
            </w:tcBorders>
            <w:shd w:val="clear" w:color="auto" w:fill="auto"/>
            <w:noWrap/>
          </w:tcPr>
          <w:p w14:paraId="6C5C53B1"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153.64</w:t>
            </w:r>
          </w:p>
        </w:tc>
        <w:tc>
          <w:tcPr>
            <w:tcW w:w="327" w:type="pct"/>
            <w:tcBorders>
              <w:top w:val="single" w:sz="4" w:space="0" w:color="auto"/>
              <w:left w:val="nil"/>
              <w:bottom w:val="nil"/>
              <w:right w:val="nil"/>
            </w:tcBorders>
            <w:shd w:val="clear" w:color="auto" w:fill="auto"/>
            <w:noWrap/>
          </w:tcPr>
          <w:p w14:paraId="2D03A650"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51.14*</w:t>
            </w:r>
          </w:p>
        </w:tc>
        <w:tc>
          <w:tcPr>
            <w:tcW w:w="293" w:type="pct"/>
            <w:tcBorders>
              <w:top w:val="single" w:sz="4" w:space="0" w:color="auto"/>
              <w:left w:val="nil"/>
              <w:bottom w:val="nil"/>
              <w:right w:val="nil"/>
            </w:tcBorders>
            <w:shd w:val="clear" w:color="auto" w:fill="auto"/>
            <w:noWrap/>
          </w:tcPr>
          <w:p w14:paraId="00100C08"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1.127**</w:t>
            </w:r>
          </w:p>
        </w:tc>
        <w:tc>
          <w:tcPr>
            <w:tcW w:w="253" w:type="pct"/>
            <w:tcBorders>
              <w:top w:val="single" w:sz="4" w:space="0" w:color="auto"/>
              <w:left w:val="nil"/>
              <w:bottom w:val="nil"/>
              <w:right w:val="nil"/>
            </w:tcBorders>
            <w:shd w:val="clear" w:color="auto" w:fill="auto"/>
            <w:noWrap/>
          </w:tcPr>
          <w:p w14:paraId="02AA2E88"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3.47</w:t>
            </w:r>
          </w:p>
        </w:tc>
        <w:tc>
          <w:tcPr>
            <w:tcW w:w="309" w:type="pct"/>
            <w:tcBorders>
              <w:top w:val="single" w:sz="4" w:space="0" w:color="auto"/>
              <w:left w:val="nil"/>
              <w:bottom w:val="nil"/>
              <w:right w:val="nil"/>
            </w:tcBorders>
            <w:shd w:val="clear" w:color="auto" w:fill="auto"/>
            <w:noWrap/>
          </w:tcPr>
          <w:p w14:paraId="55C7BD8C"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0.09*</w:t>
            </w:r>
          </w:p>
        </w:tc>
        <w:tc>
          <w:tcPr>
            <w:tcW w:w="309" w:type="pct"/>
            <w:tcBorders>
              <w:top w:val="single" w:sz="4" w:space="0" w:color="auto"/>
              <w:left w:val="nil"/>
              <w:bottom w:val="nil"/>
              <w:right w:val="nil"/>
            </w:tcBorders>
            <w:shd w:val="clear" w:color="auto" w:fill="auto"/>
            <w:noWrap/>
          </w:tcPr>
          <w:p w14:paraId="6ABF7672"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1.293**</w:t>
            </w:r>
          </w:p>
        </w:tc>
        <w:tc>
          <w:tcPr>
            <w:tcW w:w="259" w:type="pct"/>
            <w:tcBorders>
              <w:top w:val="single" w:sz="4" w:space="0" w:color="auto"/>
              <w:left w:val="nil"/>
              <w:bottom w:val="nil"/>
              <w:right w:val="nil"/>
            </w:tcBorders>
            <w:shd w:val="clear" w:color="auto" w:fill="auto"/>
            <w:noWrap/>
          </w:tcPr>
          <w:p w14:paraId="4E2FF231"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148.8</w:t>
            </w:r>
          </w:p>
        </w:tc>
        <w:tc>
          <w:tcPr>
            <w:tcW w:w="293" w:type="pct"/>
            <w:tcBorders>
              <w:top w:val="single" w:sz="4" w:space="0" w:color="auto"/>
              <w:left w:val="nil"/>
              <w:bottom w:val="nil"/>
              <w:right w:val="nil"/>
            </w:tcBorders>
            <w:shd w:val="clear" w:color="auto" w:fill="auto"/>
            <w:noWrap/>
          </w:tcPr>
          <w:p w14:paraId="206B2888"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825.9**</w:t>
            </w:r>
          </w:p>
        </w:tc>
        <w:tc>
          <w:tcPr>
            <w:tcW w:w="293" w:type="pct"/>
            <w:tcBorders>
              <w:top w:val="single" w:sz="4" w:space="0" w:color="auto"/>
              <w:left w:val="nil"/>
              <w:bottom w:val="nil"/>
              <w:right w:val="nil"/>
            </w:tcBorders>
            <w:shd w:val="clear" w:color="auto" w:fill="auto"/>
            <w:noWrap/>
          </w:tcPr>
          <w:p w14:paraId="49FE9E01"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1.352**</w:t>
            </w:r>
          </w:p>
        </w:tc>
        <w:tc>
          <w:tcPr>
            <w:tcW w:w="293" w:type="pct"/>
            <w:tcBorders>
              <w:top w:val="single" w:sz="4" w:space="0" w:color="auto"/>
              <w:left w:val="nil"/>
              <w:bottom w:val="nil"/>
              <w:right w:val="nil"/>
            </w:tcBorders>
            <w:shd w:val="clear" w:color="auto" w:fill="auto"/>
            <w:noWrap/>
          </w:tcPr>
          <w:p w14:paraId="480079D5"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1522.1</w:t>
            </w:r>
          </w:p>
        </w:tc>
        <w:tc>
          <w:tcPr>
            <w:tcW w:w="361" w:type="pct"/>
            <w:tcBorders>
              <w:top w:val="single" w:sz="4" w:space="0" w:color="auto"/>
              <w:left w:val="nil"/>
              <w:bottom w:val="nil"/>
              <w:right w:val="nil"/>
            </w:tcBorders>
            <w:shd w:val="clear" w:color="auto" w:fill="auto"/>
            <w:noWrap/>
          </w:tcPr>
          <w:p w14:paraId="554EC8AE"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37153.1**</w:t>
            </w:r>
          </w:p>
        </w:tc>
        <w:tc>
          <w:tcPr>
            <w:tcW w:w="293" w:type="pct"/>
            <w:tcBorders>
              <w:top w:val="single" w:sz="4" w:space="0" w:color="auto"/>
              <w:left w:val="nil"/>
              <w:bottom w:val="nil"/>
              <w:right w:val="nil"/>
            </w:tcBorders>
            <w:shd w:val="clear" w:color="auto" w:fill="auto"/>
            <w:noWrap/>
          </w:tcPr>
          <w:p w14:paraId="4A758F0E"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1.05**</w:t>
            </w:r>
          </w:p>
        </w:tc>
      </w:tr>
      <w:tr w:rsidR="00A81BAD" w:rsidRPr="00A81BAD" w14:paraId="10EB9843" w14:textId="77777777">
        <w:trPr>
          <w:trHeight w:val="290"/>
        </w:trPr>
        <w:tc>
          <w:tcPr>
            <w:tcW w:w="173" w:type="pct"/>
            <w:shd w:val="clear" w:color="auto" w:fill="auto"/>
            <w:vAlign w:val="center"/>
          </w:tcPr>
          <w:p w14:paraId="1AE315D5"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2</w:t>
            </w:r>
          </w:p>
        </w:tc>
        <w:tc>
          <w:tcPr>
            <w:tcW w:w="393" w:type="pct"/>
            <w:tcBorders>
              <w:right w:val="nil"/>
            </w:tcBorders>
            <w:shd w:val="clear" w:color="auto" w:fill="auto"/>
            <w:noWrap/>
            <w:hideMark/>
          </w:tcPr>
          <w:p w14:paraId="14C93CA3" w14:textId="77777777" w:rsidR="006F00CC" w:rsidRPr="00A81BAD" w:rsidRDefault="000E4B23">
            <w:pP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SKM-1626</w:t>
            </w:r>
          </w:p>
        </w:tc>
        <w:tc>
          <w:tcPr>
            <w:tcW w:w="239" w:type="pct"/>
            <w:tcBorders>
              <w:top w:val="nil"/>
              <w:left w:val="nil"/>
              <w:bottom w:val="nil"/>
              <w:right w:val="nil"/>
            </w:tcBorders>
            <w:shd w:val="clear" w:color="auto" w:fill="auto"/>
            <w:noWrap/>
          </w:tcPr>
          <w:p w14:paraId="0727EBCC"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106</w:t>
            </w:r>
          </w:p>
        </w:tc>
        <w:tc>
          <w:tcPr>
            <w:tcW w:w="327" w:type="pct"/>
            <w:tcBorders>
              <w:top w:val="nil"/>
              <w:left w:val="nil"/>
              <w:bottom w:val="nil"/>
              <w:right w:val="nil"/>
            </w:tcBorders>
            <w:shd w:val="clear" w:color="auto" w:fill="auto"/>
            <w:noWrap/>
          </w:tcPr>
          <w:p w14:paraId="218D9587"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3.098</w:t>
            </w:r>
          </w:p>
        </w:tc>
        <w:tc>
          <w:tcPr>
            <w:tcW w:w="293" w:type="pct"/>
            <w:tcBorders>
              <w:top w:val="nil"/>
              <w:left w:val="nil"/>
              <w:bottom w:val="nil"/>
              <w:right w:val="nil"/>
            </w:tcBorders>
            <w:shd w:val="clear" w:color="auto" w:fill="auto"/>
            <w:noWrap/>
          </w:tcPr>
          <w:p w14:paraId="4FAE1A28"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1.076**</w:t>
            </w:r>
          </w:p>
        </w:tc>
        <w:tc>
          <w:tcPr>
            <w:tcW w:w="293" w:type="pct"/>
            <w:tcBorders>
              <w:top w:val="nil"/>
              <w:left w:val="nil"/>
              <w:bottom w:val="nil"/>
              <w:right w:val="nil"/>
            </w:tcBorders>
            <w:shd w:val="clear" w:color="auto" w:fill="auto"/>
            <w:noWrap/>
          </w:tcPr>
          <w:p w14:paraId="652E609F"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156.03</w:t>
            </w:r>
          </w:p>
        </w:tc>
        <w:tc>
          <w:tcPr>
            <w:tcW w:w="327" w:type="pct"/>
            <w:tcBorders>
              <w:top w:val="nil"/>
              <w:left w:val="nil"/>
              <w:bottom w:val="nil"/>
              <w:right w:val="nil"/>
            </w:tcBorders>
            <w:shd w:val="clear" w:color="auto" w:fill="auto"/>
            <w:noWrap/>
          </w:tcPr>
          <w:p w14:paraId="3F3DA9C6"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63.447*</w:t>
            </w:r>
          </w:p>
        </w:tc>
        <w:tc>
          <w:tcPr>
            <w:tcW w:w="293" w:type="pct"/>
            <w:tcBorders>
              <w:top w:val="nil"/>
              <w:left w:val="nil"/>
              <w:bottom w:val="nil"/>
              <w:right w:val="nil"/>
            </w:tcBorders>
            <w:shd w:val="clear" w:color="auto" w:fill="auto"/>
            <w:noWrap/>
          </w:tcPr>
          <w:p w14:paraId="3BA6EDFE"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1.138**</w:t>
            </w:r>
          </w:p>
        </w:tc>
        <w:tc>
          <w:tcPr>
            <w:tcW w:w="253" w:type="pct"/>
            <w:tcBorders>
              <w:top w:val="nil"/>
              <w:left w:val="nil"/>
              <w:bottom w:val="nil"/>
              <w:right w:val="nil"/>
            </w:tcBorders>
            <w:shd w:val="clear" w:color="auto" w:fill="auto"/>
            <w:noWrap/>
          </w:tcPr>
          <w:p w14:paraId="0E04F3AE"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3.42</w:t>
            </w:r>
          </w:p>
        </w:tc>
        <w:tc>
          <w:tcPr>
            <w:tcW w:w="309" w:type="pct"/>
            <w:tcBorders>
              <w:top w:val="nil"/>
              <w:left w:val="nil"/>
              <w:bottom w:val="nil"/>
              <w:right w:val="nil"/>
            </w:tcBorders>
            <w:shd w:val="clear" w:color="auto" w:fill="auto"/>
            <w:noWrap/>
          </w:tcPr>
          <w:p w14:paraId="6F051BD8"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0.081*</w:t>
            </w:r>
          </w:p>
        </w:tc>
        <w:tc>
          <w:tcPr>
            <w:tcW w:w="309" w:type="pct"/>
            <w:tcBorders>
              <w:top w:val="nil"/>
              <w:left w:val="nil"/>
              <w:bottom w:val="nil"/>
              <w:right w:val="nil"/>
            </w:tcBorders>
            <w:shd w:val="clear" w:color="auto" w:fill="auto"/>
            <w:noWrap/>
          </w:tcPr>
          <w:p w14:paraId="320A322B"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1.206**</w:t>
            </w:r>
          </w:p>
        </w:tc>
        <w:tc>
          <w:tcPr>
            <w:tcW w:w="259" w:type="pct"/>
            <w:tcBorders>
              <w:top w:val="nil"/>
              <w:left w:val="nil"/>
              <w:bottom w:val="nil"/>
              <w:right w:val="nil"/>
            </w:tcBorders>
            <w:shd w:val="clear" w:color="auto" w:fill="auto"/>
            <w:noWrap/>
          </w:tcPr>
          <w:p w14:paraId="4C336979"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151.8</w:t>
            </w:r>
          </w:p>
        </w:tc>
        <w:tc>
          <w:tcPr>
            <w:tcW w:w="293" w:type="pct"/>
            <w:tcBorders>
              <w:top w:val="nil"/>
              <w:left w:val="nil"/>
              <w:bottom w:val="nil"/>
              <w:right w:val="nil"/>
            </w:tcBorders>
            <w:shd w:val="clear" w:color="auto" w:fill="auto"/>
            <w:noWrap/>
          </w:tcPr>
          <w:p w14:paraId="6B62163B"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119.8</w:t>
            </w:r>
          </w:p>
        </w:tc>
        <w:tc>
          <w:tcPr>
            <w:tcW w:w="293" w:type="pct"/>
            <w:tcBorders>
              <w:top w:val="nil"/>
              <w:left w:val="nil"/>
              <w:bottom w:val="nil"/>
              <w:right w:val="nil"/>
            </w:tcBorders>
            <w:shd w:val="clear" w:color="auto" w:fill="auto"/>
            <w:noWrap/>
          </w:tcPr>
          <w:p w14:paraId="2CFBB605"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0.889**</w:t>
            </w:r>
          </w:p>
        </w:tc>
        <w:tc>
          <w:tcPr>
            <w:tcW w:w="293" w:type="pct"/>
            <w:tcBorders>
              <w:top w:val="nil"/>
              <w:left w:val="nil"/>
              <w:bottom w:val="nil"/>
              <w:right w:val="nil"/>
            </w:tcBorders>
            <w:shd w:val="clear" w:color="auto" w:fill="auto"/>
            <w:noWrap/>
          </w:tcPr>
          <w:p w14:paraId="4F829689"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1463.3</w:t>
            </w:r>
          </w:p>
        </w:tc>
        <w:tc>
          <w:tcPr>
            <w:tcW w:w="361" w:type="pct"/>
            <w:tcBorders>
              <w:top w:val="nil"/>
              <w:left w:val="nil"/>
              <w:bottom w:val="nil"/>
              <w:right w:val="nil"/>
            </w:tcBorders>
            <w:shd w:val="clear" w:color="auto" w:fill="auto"/>
            <w:noWrap/>
          </w:tcPr>
          <w:p w14:paraId="5FD5F2DD"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32144.4**</w:t>
            </w:r>
          </w:p>
        </w:tc>
        <w:tc>
          <w:tcPr>
            <w:tcW w:w="293" w:type="pct"/>
            <w:tcBorders>
              <w:top w:val="nil"/>
              <w:left w:val="nil"/>
              <w:bottom w:val="nil"/>
              <w:right w:val="nil"/>
            </w:tcBorders>
            <w:shd w:val="clear" w:color="auto" w:fill="auto"/>
            <w:noWrap/>
          </w:tcPr>
          <w:p w14:paraId="2DD2F41C"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1.012**</w:t>
            </w:r>
          </w:p>
        </w:tc>
      </w:tr>
      <w:tr w:rsidR="00A81BAD" w:rsidRPr="00A81BAD" w14:paraId="29A0E7E7" w14:textId="77777777">
        <w:trPr>
          <w:trHeight w:val="290"/>
        </w:trPr>
        <w:tc>
          <w:tcPr>
            <w:tcW w:w="173" w:type="pct"/>
            <w:shd w:val="clear" w:color="auto" w:fill="auto"/>
            <w:vAlign w:val="center"/>
          </w:tcPr>
          <w:p w14:paraId="393CFDC2"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w:t>
            </w:r>
          </w:p>
        </w:tc>
        <w:tc>
          <w:tcPr>
            <w:tcW w:w="393" w:type="pct"/>
            <w:tcBorders>
              <w:right w:val="nil"/>
            </w:tcBorders>
            <w:shd w:val="clear" w:color="auto" w:fill="auto"/>
            <w:noWrap/>
            <w:hideMark/>
          </w:tcPr>
          <w:p w14:paraId="73DFD6E3" w14:textId="77777777" w:rsidR="006F00CC" w:rsidRPr="00A81BAD" w:rsidRDefault="000E4B23">
            <w:pP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ACN-226</w:t>
            </w:r>
          </w:p>
        </w:tc>
        <w:tc>
          <w:tcPr>
            <w:tcW w:w="239" w:type="pct"/>
            <w:tcBorders>
              <w:top w:val="nil"/>
              <w:left w:val="nil"/>
              <w:bottom w:val="nil"/>
              <w:right w:val="nil"/>
            </w:tcBorders>
            <w:shd w:val="clear" w:color="auto" w:fill="auto"/>
            <w:noWrap/>
          </w:tcPr>
          <w:p w14:paraId="6D43B361"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106</w:t>
            </w:r>
          </w:p>
        </w:tc>
        <w:tc>
          <w:tcPr>
            <w:tcW w:w="327" w:type="pct"/>
            <w:tcBorders>
              <w:top w:val="nil"/>
              <w:left w:val="nil"/>
              <w:bottom w:val="nil"/>
              <w:right w:val="nil"/>
            </w:tcBorders>
            <w:shd w:val="clear" w:color="auto" w:fill="auto"/>
            <w:noWrap/>
          </w:tcPr>
          <w:p w14:paraId="59458640"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1.943</w:t>
            </w:r>
          </w:p>
        </w:tc>
        <w:tc>
          <w:tcPr>
            <w:tcW w:w="293" w:type="pct"/>
            <w:tcBorders>
              <w:top w:val="nil"/>
              <w:left w:val="nil"/>
              <w:bottom w:val="nil"/>
              <w:right w:val="nil"/>
            </w:tcBorders>
            <w:shd w:val="clear" w:color="auto" w:fill="auto"/>
            <w:noWrap/>
          </w:tcPr>
          <w:p w14:paraId="5B3C2262"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1.063**</w:t>
            </w:r>
          </w:p>
        </w:tc>
        <w:tc>
          <w:tcPr>
            <w:tcW w:w="293" w:type="pct"/>
            <w:tcBorders>
              <w:top w:val="nil"/>
              <w:left w:val="nil"/>
              <w:bottom w:val="nil"/>
              <w:right w:val="nil"/>
            </w:tcBorders>
            <w:shd w:val="clear" w:color="auto" w:fill="auto"/>
            <w:noWrap/>
          </w:tcPr>
          <w:p w14:paraId="2D000157"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159.66</w:t>
            </w:r>
          </w:p>
        </w:tc>
        <w:tc>
          <w:tcPr>
            <w:tcW w:w="327" w:type="pct"/>
            <w:tcBorders>
              <w:top w:val="nil"/>
              <w:left w:val="nil"/>
              <w:bottom w:val="nil"/>
              <w:right w:val="nil"/>
            </w:tcBorders>
            <w:shd w:val="clear" w:color="auto" w:fill="auto"/>
            <w:noWrap/>
          </w:tcPr>
          <w:p w14:paraId="7440241E"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-3.78</w:t>
            </w:r>
          </w:p>
        </w:tc>
        <w:tc>
          <w:tcPr>
            <w:tcW w:w="293" w:type="pct"/>
            <w:tcBorders>
              <w:top w:val="nil"/>
              <w:left w:val="nil"/>
              <w:bottom w:val="nil"/>
              <w:right w:val="nil"/>
            </w:tcBorders>
            <w:shd w:val="clear" w:color="auto" w:fill="auto"/>
            <w:noWrap/>
          </w:tcPr>
          <w:p w14:paraId="5BB697F8"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0.935**</w:t>
            </w:r>
          </w:p>
        </w:tc>
        <w:tc>
          <w:tcPr>
            <w:tcW w:w="253" w:type="pct"/>
            <w:tcBorders>
              <w:top w:val="nil"/>
              <w:left w:val="nil"/>
              <w:bottom w:val="nil"/>
              <w:right w:val="nil"/>
            </w:tcBorders>
            <w:shd w:val="clear" w:color="auto" w:fill="auto"/>
            <w:noWrap/>
          </w:tcPr>
          <w:p w14:paraId="06F0F5B7"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3.41</w:t>
            </w:r>
          </w:p>
        </w:tc>
        <w:tc>
          <w:tcPr>
            <w:tcW w:w="309" w:type="pct"/>
            <w:tcBorders>
              <w:top w:val="nil"/>
              <w:left w:val="nil"/>
              <w:bottom w:val="nil"/>
              <w:right w:val="nil"/>
            </w:tcBorders>
            <w:shd w:val="clear" w:color="auto" w:fill="auto"/>
            <w:noWrap/>
          </w:tcPr>
          <w:p w14:paraId="650F212E"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0.205**</w:t>
            </w:r>
          </w:p>
        </w:tc>
        <w:tc>
          <w:tcPr>
            <w:tcW w:w="309" w:type="pct"/>
            <w:tcBorders>
              <w:top w:val="nil"/>
              <w:left w:val="nil"/>
              <w:bottom w:val="nil"/>
              <w:right w:val="nil"/>
            </w:tcBorders>
            <w:shd w:val="clear" w:color="auto" w:fill="auto"/>
            <w:noWrap/>
          </w:tcPr>
          <w:p w14:paraId="1078C84A"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0.902**</w:t>
            </w:r>
          </w:p>
        </w:tc>
        <w:tc>
          <w:tcPr>
            <w:tcW w:w="259" w:type="pct"/>
            <w:tcBorders>
              <w:top w:val="nil"/>
              <w:left w:val="nil"/>
              <w:bottom w:val="nil"/>
              <w:right w:val="nil"/>
            </w:tcBorders>
            <w:shd w:val="clear" w:color="auto" w:fill="auto"/>
            <w:noWrap/>
          </w:tcPr>
          <w:p w14:paraId="04A88BEA"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174.1</w:t>
            </w:r>
          </w:p>
        </w:tc>
        <w:tc>
          <w:tcPr>
            <w:tcW w:w="293" w:type="pct"/>
            <w:tcBorders>
              <w:top w:val="nil"/>
              <w:left w:val="nil"/>
              <w:bottom w:val="nil"/>
              <w:right w:val="nil"/>
            </w:tcBorders>
            <w:shd w:val="clear" w:color="auto" w:fill="auto"/>
            <w:noWrap/>
          </w:tcPr>
          <w:p w14:paraId="510C38FE"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111.7</w:t>
            </w:r>
          </w:p>
        </w:tc>
        <w:tc>
          <w:tcPr>
            <w:tcW w:w="293" w:type="pct"/>
            <w:tcBorders>
              <w:top w:val="nil"/>
              <w:left w:val="nil"/>
              <w:bottom w:val="nil"/>
              <w:right w:val="nil"/>
            </w:tcBorders>
            <w:shd w:val="clear" w:color="auto" w:fill="auto"/>
            <w:noWrap/>
          </w:tcPr>
          <w:p w14:paraId="5CF34FD3"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1.013**</w:t>
            </w:r>
          </w:p>
        </w:tc>
        <w:tc>
          <w:tcPr>
            <w:tcW w:w="293" w:type="pct"/>
            <w:tcBorders>
              <w:top w:val="nil"/>
              <w:left w:val="nil"/>
              <w:bottom w:val="nil"/>
              <w:right w:val="nil"/>
            </w:tcBorders>
            <w:shd w:val="clear" w:color="auto" w:fill="auto"/>
            <w:noWrap/>
          </w:tcPr>
          <w:p w14:paraId="7D4A2C89"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1731.9</w:t>
            </w:r>
          </w:p>
        </w:tc>
        <w:tc>
          <w:tcPr>
            <w:tcW w:w="361" w:type="pct"/>
            <w:tcBorders>
              <w:top w:val="nil"/>
              <w:left w:val="nil"/>
              <w:bottom w:val="nil"/>
              <w:right w:val="nil"/>
            </w:tcBorders>
            <w:shd w:val="clear" w:color="auto" w:fill="auto"/>
            <w:noWrap/>
          </w:tcPr>
          <w:p w14:paraId="219B90A3"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1226.7</w:t>
            </w:r>
          </w:p>
        </w:tc>
        <w:tc>
          <w:tcPr>
            <w:tcW w:w="293" w:type="pct"/>
            <w:tcBorders>
              <w:top w:val="nil"/>
              <w:left w:val="nil"/>
              <w:bottom w:val="nil"/>
              <w:right w:val="nil"/>
            </w:tcBorders>
            <w:shd w:val="clear" w:color="auto" w:fill="auto"/>
            <w:noWrap/>
          </w:tcPr>
          <w:p w14:paraId="68088345"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1.192**</w:t>
            </w:r>
          </w:p>
        </w:tc>
      </w:tr>
      <w:tr w:rsidR="00A81BAD" w:rsidRPr="00A81BAD" w14:paraId="6506C888" w14:textId="77777777">
        <w:trPr>
          <w:trHeight w:val="290"/>
        </w:trPr>
        <w:tc>
          <w:tcPr>
            <w:tcW w:w="173" w:type="pct"/>
            <w:shd w:val="clear" w:color="auto" w:fill="auto"/>
            <w:vAlign w:val="center"/>
          </w:tcPr>
          <w:p w14:paraId="1CED49BC"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4</w:t>
            </w:r>
          </w:p>
        </w:tc>
        <w:tc>
          <w:tcPr>
            <w:tcW w:w="393" w:type="pct"/>
            <w:tcBorders>
              <w:right w:val="nil"/>
            </w:tcBorders>
            <w:shd w:val="clear" w:color="auto" w:fill="auto"/>
            <w:noWrap/>
            <w:hideMark/>
          </w:tcPr>
          <w:p w14:paraId="56326958" w14:textId="77777777" w:rsidR="006F00CC" w:rsidRPr="00A81BAD" w:rsidRDefault="000E4B23">
            <w:pP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ACN-244</w:t>
            </w:r>
          </w:p>
        </w:tc>
        <w:tc>
          <w:tcPr>
            <w:tcW w:w="239" w:type="pct"/>
            <w:tcBorders>
              <w:top w:val="nil"/>
              <w:left w:val="nil"/>
              <w:bottom w:val="nil"/>
              <w:right w:val="nil"/>
            </w:tcBorders>
            <w:shd w:val="clear" w:color="auto" w:fill="auto"/>
            <w:noWrap/>
          </w:tcPr>
          <w:p w14:paraId="670029B6"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106</w:t>
            </w:r>
          </w:p>
        </w:tc>
        <w:tc>
          <w:tcPr>
            <w:tcW w:w="327" w:type="pct"/>
            <w:tcBorders>
              <w:top w:val="nil"/>
              <w:left w:val="nil"/>
              <w:bottom w:val="nil"/>
              <w:right w:val="nil"/>
            </w:tcBorders>
            <w:shd w:val="clear" w:color="auto" w:fill="auto"/>
            <w:noWrap/>
          </w:tcPr>
          <w:p w14:paraId="0C4D15AB"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6.408**</w:t>
            </w:r>
          </w:p>
        </w:tc>
        <w:tc>
          <w:tcPr>
            <w:tcW w:w="293" w:type="pct"/>
            <w:tcBorders>
              <w:top w:val="nil"/>
              <w:left w:val="nil"/>
              <w:bottom w:val="nil"/>
              <w:right w:val="nil"/>
            </w:tcBorders>
            <w:shd w:val="clear" w:color="auto" w:fill="auto"/>
            <w:noWrap/>
          </w:tcPr>
          <w:p w14:paraId="0444FFD7"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0.983**</w:t>
            </w:r>
          </w:p>
        </w:tc>
        <w:tc>
          <w:tcPr>
            <w:tcW w:w="293" w:type="pct"/>
            <w:tcBorders>
              <w:top w:val="nil"/>
              <w:left w:val="nil"/>
              <w:bottom w:val="nil"/>
              <w:right w:val="nil"/>
            </w:tcBorders>
            <w:shd w:val="clear" w:color="auto" w:fill="auto"/>
            <w:noWrap/>
          </w:tcPr>
          <w:p w14:paraId="66178FDA"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157.65</w:t>
            </w:r>
          </w:p>
        </w:tc>
        <w:tc>
          <w:tcPr>
            <w:tcW w:w="327" w:type="pct"/>
            <w:tcBorders>
              <w:top w:val="nil"/>
              <w:left w:val="nil"/>
              <w:bottom w:val="nil"/>
              <w:right w:val="nil"/>
            </w:tcBorders>
            <w:shd w:val="clear" w:color="auto" w:fill="auto"/>
            <w:noWrap/>
          </w:tcPr>
          <w:p w14:paraId="30F6999A"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-5.67</w:t>
            </w:r>
          </w:p>
        </w:tc>
        <w:tc>
          <w:tcPr>
            <w:tcW w:w="293" w:type="pct"/>
            <w:tcBorders>
              <w:top w:val="nil"/>
              <w:left w:val="nil"/>
              <w:bottom w:val="nil"/>
              <w:right w:val="nil"/>
            </w:tcBorders>
            <w:shd w:val="clear" w:color="auto" w:fill="auto"/>
            <w:noWrap/>
          </w:tcPr>
          <w:p w14:paraId="7F6F8900"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1.052**</w:t>
            </w:r>
          </w:p>
        </w:tc>
        <w:tc>
          <w:tcPr>
            <w:tcW w:w="253" w:type="pct"/>
            <w:tcBorders>
              <w:top w:val="nil"/>
              <w:left w:val="nil"/>
              <w:bottom w:val="nil"/>
              <w:right w:val="nil"/>
            </w:tcBorders>
            <w:shd w:val="clear" w:color="auto" w:fill="auto"/>
            <w:noWrap/>
          </w:tcPr>
          <w:p w14:paraId="74E7BFF4"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3.10</w:t>
            </w:r>
          </w:p>
        </w:tc>
        <w:tc>
          <w:tcPr>
            <w:tcW w:w="309" w:type="pct"/>
            <w:tcBorders>
              <w:top w:val="nil"/>
              <w:left w:val="nil"/>
              <w:bottom w:val="nil"/>
              <w:right w:val="nil"/>
            </w:tcBorders>
            <w:shd w:val="clear" w:color="auto" w:fill="auto"/>
            <w:noWrap/>
          </w:tcPr>
          <w:p w14:paraId="79BBF6B0"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0.143**</w:t>
            </w:r>
          </w:p>
        </w:tc>
        <w:tc>
          <w:tcPr>
            <w:tcW w:w="309" w:type="pct"/>
            <w:tcBorders>
              <w:top w:val="nil"/>
              <w:left w:val="nil"/>
              <w:bottom w:val="nil"/>
              <w:right w:val="nil"/>
            </w:tcBorders>
            <w:shd w:val="clear" w:color="auto" w:fill="auto"/>
            <w:noWrap/>
          </w:tcPr>
          <w:p w14:paraId="3AF3B24D"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1.099**</w:t>
            </w:r>
          </w:p>
        </w:tc>
        <w:tc>
          <w:tcPr>
            <w:tcW w:w="259" w:type="pct"/>
            <w:tcBorders>
              <w:top w:val="nil"/>
              <w:left w:val="nil"/>
              <w:bottom w:val="nil"/>
              <w:right w:val="nil"/>
            </w:tcBorders>
            <w:shd w:val="clear" w:color="auto" w:fill="auto"/>
            <w:noWrap/>
          </w:tcPr>
          <w:p w14:paraId="320C1142"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142.9</w:t>
            </w:r>
          </w:p>
        </w:tc>
        <w:tc>
          <w:tcPr>
            <w:tcW w:w="293" w:type="pct"/>
            <w:tcBorders>
              <w:top w:val="nil"/>
              <w:left w:val="nil"/>
              <w:bottom w:val="nil"/>
              <w:right w:val="nil"/>
            </w:tcBorders>
            <w:shd w:val="clear" w:color="auto" w:fill="auto"/>
            <w:noWrap/>
          </w:tcPr>
          <w:p w14:paraId="13FEF04A"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548.9**</w:t>
            </w:r>
          </w:p>
        </w:tc>
        <w:tc>
          <w:tcPr>
            <w:tcW w:w="293" w:type="pct"/>
            <w:tcBorders>
              <w:top w:val="nil"/>
              <w:left w:val="nil"/>
              <w:bottom w:val="nil"/>
              <w:right w:val="nil"/>
            </w:tcBorders>
            <w:shd w:val="clear" w:color="auto" w:fill="auto"/>
            <w:noWrap/>
          </w:tcPr>
          <w:p w14:paraId="3654FC28"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0.728**</w:t>
            </w:r>
          </w:p>
        </w:tc>
        <w:tc>
          <w:tcPr>
            <w:tcW w:w="293" w:type="pct"/>
            <w:tcBorders>
              <w:top w:val="nil"/>
              <w:left w:val="nil"/>
              <w:bottom w:val="nil"/>
              <w:right w:val="nil"/>
            </w:tcBorders>
            <w:shd w:val="clear" w:color="auto" w:fill="auto"/>
            <w:noWrap/>
          </w:tcPr>
          <w:p w14:paraId="755A69FD"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1511.0</w:t>
            </w:r>
          </w:p>
        </w:tc>
        <w:tc>
          <w:tcPr>
            <w:tcW w:w="361" w:type="pct"/>
            <w:tcBorders>
              <w:top w:val="nil"/>
              <w:left w:val="nil"/>
              <w:bottom w:val="nil"/>
              <w:right w:val="nil"/>
            </w:tcBorders>
            <w:shd w:val="clear" w:color="auto" w:fill="auto"/>
            <w:noWrap/>
          </w:tcPr>
          <w:p w14:paraId="28A0F87C"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12492.6*</w:t>
            </w:r>
          </w:p>
        </w:tc>
        <w:tc>
          <w:tcPr>
            <w:tcW w:w="293" w:type="pct"/>
            <w:tcBorders>
              <w:top w:val="nil"/>
              <w:left w:val="nil"/>
              <w:bottom w:val="nil"/>
              <w:right w:val="nil"/>
            </w:tcBorders>
            <w:shd w:val="clear" w:color="auto" w:fill="auto"/>
            <w:noWrap/>
          </w:tcPr>
          <w:p w14:paraId="42698457"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1.107**</w:t>
            </w:r>
          </w:p>
        </w:tc>
      </w:tr>
      <w:tr w:rsidR="00A81BAD" w:rsidRPr="00A81BAD" w14:paraId="41761760" w14:textId="77777777">
        <w:trPr>
          <w:trHeight w:val="290"/>
        </w:trPr>
        <w:tc>
          <w:tcPr>
            <w:tcW w:w="173" w:type="pct"/>
            <w:shd w:val="clear" w:color="auto" w:fill="auto"/>
            <w:vAlign w:val="center"/>
          </w:tcPr>
          <w:p w14:paraId="5047FBD2"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5</w:t>
            </w:r>
          </w:p>
        </w:tc>
        <w:tc>
          <w:tcPr>
            <w:tcW w:w="393" w:type="pct"/>
            <w:tcBorders>
              <w:right w:val="nil"/>
            </w:tcBorders>
            <w:shd w:val="clear" w:color="auto" w:fill="auto"/>
            <w:noWrap/>
            <w:hideMark/>
          </w:tcPr>
          <w:p w14:paraId="74948F23" w14:textId="77777777" w:rsidR="006F00CC" w:rsidRPr="00A81BAD" w:rsidRDefault="000E4B23">
            <w:pP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ACN-250</w:t>
            </w:r>
          </w:p>
        </w:tc>
        <w:tc>
          <w:tcPr>
            <w:tcW w:w="239" w:type="pct"/>
            <w:tcBorders>
              <w:top w:val="nil"/>
              <w:left w:val="nil"/>
              <w:bottom w:val="nil"/>
              <w:right w:val="nil"/>
            </w:tcBorders>
            <w:shd w:val="clear" w:color="auto" w:fill="auto"/>
            <w:noWrap/>
          </w:tcPr>
          <w:p w14:paraId="0244287B"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111</w:t>
            </w:r>
          </w:p>
        </w:tc>
        <w:tc>
          <w:tcPr>
            <w:tcW w:w="327" w:type="pct"/>
            <w:tcBorders>
              <w:top w:val="nil"/>
              <w:left w:val="nil"/>
              <w:bottom w:val="nil"/>
              <w:right w:val="nil"/>
            </w:tcBorders>
            <w:shd w:val="clear" w:color="auto" w:fill="auto"/>
            <w:noWrap/>
          </w:tcPr>
          <w:p w14:paraId="0BD1A66B"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4.231*</w:t>
            </w:r>
          </w:p>
        </w:tc>
        <w:tc>
          <w:tcPr>
            <w:tcW w:w="293" w:type="pct"/>
            <w:tcBorders>
              <w:top w:val="nil"/>
              <w:left w:val="nil"/>
              <w:bottom w:val="nil"/>
              <w:right w:val="nil"/>
            </w:tcBorders>
            <w:shd w:val="clear" w:color="auto" w:fill="auto"/>
            <w:noWrap/>
          </w:tcPr>
          <w:p w14:paraId="04E9FF0A"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0.894**</w:t>
            </w:r>
          </w:p>
        </w:tc>
        <w:tc>
          <w:tcPr>
            <w:tcW w:w="293" w:type="pct"/>
            <w:tcBorders>
              <w:top w:val="nil"/>
              <w:left w:val="nil"/>
              <w:bottom w:val="nil"/>
              <w:right w:val="nil"/>
            </w:tcBorders>
            <w:shd w:val="clear" w:color="auto" w:fill="auto"/>
            <w:noWrap/>
          </w:tcPr>
          <w:p w14:paraId="1FE9D487"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174.54</w:t>
            </w:r>
          </w:p>
        </w:tc>
        <w:tc>
          <w:tcPr>
            <w:tcW w:w="327" w:type="pct"/>
            <w:tcBorders>
              <w:top w:val="nil"/>
              <w:left w:val="nil"/>
              <w:bottom w:val="nil"/>
              <w:right w:val="nil"/>
            </w:tcBorders>
            <w:shd w:val="clear" w:color="auto" w:fill="auto"/>
            <w:noWrap/>
          </w:tcPr>
          <w:p w14:paraId="688B0893"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101.02**</w:t>
            </w:r>
          </w:p>
        </w:tc>
        <w:tc>
          <w:tcPr>
            <w:tcW w:w="293" w:type="pct"/>
            <w:tcBorders>
              <w:top w:val="nil"/>
              <w:left w:val="nil"/>
              <w:bottom w:val="nil"/>
              <w:right w:val="nil"/>
            </w:tcBorders>
            <w:shd w:val="clear" w:color="auto" w:fill="auto"/>
            <w:noWrap/>
          </w:tcPr>
          <w:p w14:paraId="38D4D7EE"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0.943**</w:t>
            </w:r>
          </w:p>
        </w:tc>
        <w:tc>
          <w:tcPr>
            <w:tcW w:w="253" w:type="pct"/>
            <w:tcBorders>
              <w:top w:val="nil"/>
              <w:left w:val="nil"/>
              <w:bottom w:val="nil"/>
              <w:right w:val="nil"/>
            </w:tcBorders>
            <w:shd w:val="clear" w:color="auto" w:fill="auto"/>
            <w:noWrap/>
          </w:tcPr>
          <w:p w14:paraId="586C87D9"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3.55</w:t>
            </w:r>
          </w:p>
        </w:tc>
        <w:tc>
          <w:tcPr>
            <w:tcW w:w="309" w:type="pct"/>
            <w:tcBorders>
              <w:top w:val="nil"/>
              <w:left w:val="nil"/>
              <w:bottom w:val="nil"/>
              <w:right w:val="nil"/>
            </w:tcBorders>
            <w:shd w:val="clear" w:color="auto" w:fill="auto"/>
            <w:noWrap/>
          </w:tcPr>
          <w:p w14:paraId="56A4671F"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0.089*</w:t>
            </w:r>
          </w:p>
        </w:tc>
        <w:tc>
          <w:tcPr>
            <w:tcW w:w="309" w:type="pct"/>
            <w:tcBorders>
              <w:top w:val="nil"/>
              <w:left w:val="nil"/>
              <w:bottom w:val="nil"/>
              <w:right w:val="nil"/>
            </w:tcBorders>
            <w:shd w:val="clear" w:color="auto" w:fill="auto"/>
            <w:noWrap/>
          </w:tcPr>
          <w:p w14:paraId="7C15018D"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0.712**</w:t>
            </w:r>
          </w:p>
        </w:tc>
        <w:tc>
          <w:tcPr>
            <w:tcW w:w="259" w:type="pct"/>
            <w:tcBorders>
              <w:top w:val="nil"/>
              <w:left w:val="nil"/>
              <w:bottom w:val="nil"/>
              <w:right w:val="nil"/>
            </w:tcBorders>
            <w:shd w:val="clear" w:color="auto" w:fill="auto"/>
            <w:noWrap/>
          </w:tcPr>
          <w:p w14:paraId="4CE970A3"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176.7</w:t>
            </w:r>
          </w:p>
        </w:tc>
        <w:tc>
          <w:tcPr>
            <w:tcW w:w="293" w:type="pct"/>
            <w:tcBorders>
              <w:top w:val="nil"/>
              <w:left w:val="nil"/>
              <w:bottom w:val="nil"/>
              <w:right w:val="nil"/>
            </w:tcBorders>
            <w:shd w:val="clear" w:color="auto" w:fill="auto"/>
            <w:noWrap/>
          </w:tcPr>
          <w:p w14:paraId="32930524"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52.7</w:t>
            </w:r>
          </w:p>
        </w:tc>
        <w:tc>
          <w:tcPr>
            <w:tcW w:w="293" w:type="pct"/>
            <w:tcBorders>
              <w:top w:val="nil"/>
              <w:left w:val="nil"/>
              <w:bottom w:val="nil"/>
              <w:right w:val="nil"/>
            </w:tcBorders>
            <w:shd w:val="clear" w:color="auto" w:fill="auto"/>
            <w:noWrap/>
          </w:tcPr>
          <w:p w14:paraId="4D390D72"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1.044**</w:t>
            </w:r>
          </w:p>
        </w:tc>
        <w:tc>
          <w:tcPr>
            <w:tcW w:w="293" w:type="pct"/>
            <w:tcBorders>
              <w:top w:val="nil"/>
              <w:left w:val="nil"/>
              <w:bottom w:val="nil"/>
              <w:right w:val="nil"/>
            </w:tcBorders>
            <w:shd w:val="clear" w:color="auto" w:fill="auto"/>
            <w:noWrap/>
          </w:tcPr>
          <w:p w14:paraId="20C5A050"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1724.9</w:t>
            </w:r>
          </w:p>
        </w:tc>
        <w:tc>
          <w:tcPr>
            <w:tcW w:w="361" w:type="pct"/>
            <w:tcBorders>
              <w:top w:val="nil"/>
              <w:left w:val="nil"/>
              <w:bottom w:val="nil"/>
              <w:right w:val="nil"/>
            </w:tcBorders>
            <w:shd w:val="clear" w:color="auto" w:fill="auto"/>
            <w:noWrap/>
          </w:tcPr>
          <w:p w14:paraId="58A3E4FE"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-1976.6</w:t>
            </w:r>
          </w:p>
        </w:tc>
        <w:tc>
          <w:tcPr>
            <w:tcW w:w="293" w:type="pct"/>
            <w:tcBorders>
              <w:top w:val="nil"/>
              <w:left w:val="nil"/>
              <w:bottom w:val="nil"/>
              <w:right w:val="nil"/>
            </w:tcBorders>
            <w:shd w:val="clear" w:color="auto" w:fill="auto"/>
            <w:noWrap/>
          </w:tcPr>
          <w:p w14:paraId="2294CC80"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1.068**</w:t>
            </w:r>
          </w:p>
        </w:tc>
      </w:tr>
      <w:tr w:rsidR="00A81BAD" w:rsidRPr="00A81BAD" w14:paraId="0F68856A" w14:textId="77777777">
        <w:trPr>
          <w:trHeight w:val="290"/>
        </w:trPr>
        <w:tc>
          <w:tcPr>
            <w:tcW w:w="173" w:type="pct"/>
            <w:shd w:val="clear" w:color="auto" w:fill="auto"/>
            <w:vAlign w:val="center"/>
          </w:tcPr>
          <w:p w14:paraId="6A6BA5A6"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6</w:t>
            </w:r>
          </w:p>
        </w:tc>
        <w:tc>
          <w:tcPr>
            <w:tcW w:w="393" w:type="pct"/>
            <w:tcBorders>
              <w:right w:val="nil"/>
            </w:tcBorders>
            <w:shd w:val="clear" w:color="auto" w:fill="auto"/>
            <w:noWrap/>
            <w:hideMark/>
          </w:tcPr>
          <w:p w14:paraId="3EBEC119" w14:textId="77777777" w:rsidR="006F00CC" w:rsidRPr="00A81BAD" w:rsidRDefault="000E4B23">
            <w:pP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ACN-255</w:t>
            </w:r>
          </w:p>
        </w:tc>
        <w:tc>
          <w:tcPr>
            <w:tcW w:w="239" w:type="pct"/>
            <w:tcBorders>
              <w:top w:val="nil"/>
              <w:left w:val="nil"/>
              <w:bottom w:val="nil"/>
              <w:right w:val="nil"/>
            </w:tcBorders>
            <w:shd w:val="clear" w:color="auto" w:fill="auto"/>
            <w:noWrap/>
          </w:tcPr>
          <w:p w14:paraId="3702B639"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108</w:t>
            </w:r>
          </w:p>
        </w:tc>
        <w:tc>
          <w:tcPr>
            <w:tcW w:w="327" w:type="pct"/>
            <w:tcBorders>
              <w:top w:val="nil"/>
              <w:left w:val="nil"/>
              <w:bottom w:val="nil"/>
              <w:right w:val="nil"/>
            </w:tcBorders>
            <w:shd w:val="clear" w:color="auto" w:fill="auto"/>
            <w:noWrap/>
          </w:tcPr>
          <w:p w14:paraId="7E156FE3"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24.896**</w:t>
            </w:r>
          </w:p>
        </w:tc>
        <w:tc>
          <w:tcPr>
            <w:tcW w:w="293" w:type="pct"/>
            <w:tcBorders>
              <w:top w:val="nil"/>
              <w:left w:val="nil"/>
              <w:bottom w:val="nil"/>
              <w:right w:val="nil"/>
            </w:tcBorders>
            <w:shd w:val="clear" w:color="auto" w:fill="auto"/>
            <w:noWrap/>
          </w:tcPr>
          <w:p w14:paraId="177246BC"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1.062**</w:t>
            </w:r>
          </w:p>
        </w:tc>
        <w:tc>
          <w:tcPr>
            <w:tcW w:w="293" w:type="pct"/>
            <w:tcBorders>
              <w:top w:val="nil"/>
              <w:left w:val="nil"/>
              <w:bottom w:val="nil"/>
              <w:right w:val="nil"/>
            </w:tcBorders>
            <w:shd w:val="clear" w:color="auto" w:fill="auto"/>
            <w:noWrap/>
          </w:tcPr>
          <w:p w14:paraId="16106A19"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160.12</w:t>
            </w:r>
          </w:p>
        </w:tc>
        <w:tc>
          <w:tcPr>
            <w:tcW w:w="327" w:type="pct"/>
            <w:tcBorders>
              <w:top w:val="nil"/>
              <w:left w:val="nil"/>
              <w:bottom w:val="nil"/>
              <w:right w:val="nil"/>
            </w:tcBorders>
            <w:shd w:val="clear" w:color="auto" w:fill="auto"/>
            <w:noWrap/>
          </w:tcPr>
          <w:p w14:paraId="0EC305B8"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112.17**</w:t>
            </w:r>
          </w:p>
        </w:tc>
        <w:tc>
          <w:tcPr>
            <w:tcW w:w="293" w:type="pct"/>
            <w:tcBorders>
              <w:top w:val="nil"/>
              <w:left w:val="nil"/>
              <w:bottom w:val="nil"/>
              <w:right w:val="nil"/>
            </w:tcBorders>
            <w:shd w:val="clear" w:color="auto" w:fill="auto"/>
            <w:noWrap/>
          </w:tcPr>
          <w:p w14:paraId="6ABF2601"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1.264**</w:t>
            </w:r>
          </w:p>
        </w:tc>
        <w:tc>
          <w:tcPr>
            <w:tcW w:w="253" w:type="pct"/>
            <w:tcBorders>
              <w:top w:val="nil"/>
              <w:left w:val="nil"/>
              <w:bottom w:val="nil"/>
              <w:right w:val="nil"/>
            </w:tcBorders>
            <w:shd w:val="clear" w:color="auto" w:fill="auto"/>
            <w:noWrap/>
          </w:tcPr>
          <w:p w14:paraId="4221DD1D"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3.36</w:t>
            </w:r>
          </w:p>
        </w:tc>
        <w:tc>
          <w:tcPr>
            <w:tcW w:w="309" w:type="pct"/>
            <w:tcBorders>
              <w:top w:val="nil"/>
              <w:left w:val="nil"/>
              <w:bottom w:val="nil"/>
              <w:right w:val="nil"/>
            </w:tcBorders>
            <w:shd w:val="clear" w:color="auto" w:fill="auto"/>
            <w:noWrap/>
          </w:tcPr>
          <w:p w14:paraId="282C78D4"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0.032</w:t>
            </w:r>
          </w:p>
        </w:tc>
        <w:tc>
          <w:tcPr>
            <w:tcW w:w="309" w:type="pct"/>
            <w:tcBorders>
              <w:top w:val="nil"/>
              <w:left w:val="nil"/>
              <w:bottom w:val="nil"/>
              <w:right w:val="nil"/>
            </w:tcBorders>
            <w:shd w:val="clear" w:color="auto" w:fill="auto"/>
            <w:noWrap/>
          </w:tcPr>
          <w:p w14:paraId="4D2427F2"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0.999**</w:t>
            </w:r>
          </w:p>
        </w:tc>
        <w:tc>
          <w:tcPr>
            <w:tcW w:w="259" w:type="pct"/>
            <w:tcBorders>
              <w:top w:val="nil"/>
              <w:left w:val="nil"/>
              <w:bottom w:val="nil"/>
              <w:right w:val="nil"/>
            </w:tcBorders>
            <w:shd w:val="clear" w:color="auto" w:fill="auto"/>
            <w:noWrap/>
          </w:tcPr>
          <w:p w14:paraId="7F1D3AF6"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151.2</w:t>
            </w:r>
          </w:p>
        </w:tc>
        <w:tc>
          <w:tcPr>
            <w:tcW w:w="293" w:type="pct"/>
            <w:tcBorders>
              <w:top w:val="nil"/>
              <w:left w:val="nil"/>
              <w:bottom w:val="nil"/>
              <w:right w:val="nil"/>
            </w:tcBorders>
            <w:shd w:val="clear" w:color="auto" w:fill="auto"/>
            <w:noWrap/>
          </w:tcPr>
          <w:p w14:paraId="1F6BFD95"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535.2**</w:t>
            </w:r>
          </w:p>
        </w:tc>
        <w:tc>
          <w:tcPr>
            <w:tcW w:w="293" w:type="pct"/>
            <w:tcBorders>
              <w:top w:val="nil"/>
              <w:left w:val="nil"/>
              <w:bottom w:val="nil"/>
              <w:right w:val="nil"/>
            </w:tcBorders>
            <w:shd w:val="clear" w:color="auto" w:fill="auto"/>
            <w:noWrap/>
          </w:tcPr>
          <w:p w14:paraId="0CEC0DAE"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1.072**</w:t>
            </w:r>
          </w:p>
        </w:tc>
        <w:tc>
          <w:tcPr>
            <w:tcW w:w="293" w:type="pct"/>
            <w:tcBorders>
              <w:top w:val="nil"/>
              <w:left w:val="nil"/>
              <w:bottom w:val="nil"/>
              <w:right w:val="nil"/>
            </w:tcBorders>
            <w:shd w:val="clear" w:color="auto" w:fill="auto"/>
            <w:noWrap/>
          </w:tcPr>
          <w:p w14:paraId="56D589CD"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1351.0</w:t>
            </w:r>
          </w:p>
        </w:tc>
        <w:tc>
          <w:tcPr>
            <w:tcW w:w="361" w:type="pct"/>
            <w:tcBorders>
              <w:top w:val="nil"/>
              <w:left w:val="nil"/>
              <w:bottom w:val="nil"/>
              <w:right w:val="nil"/>
            </w:tcBorders>
            <w:shd w:val="clear" w:color="auto" w:fill="auto"/>
            <w:noWrap/>
          </w:tcPr>
          <w:p w14:paraId="59146326"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40271.9**</w:t>
            </w:r>
          </w:p>
        </w:tc>
        <w:tc>
          <w:tcPr>
            <w:tcW w:w="293" w:type="pct"/>
            <w:tcBorders>
              <w:top w:val="nil"/>
              <w:left w:val="nil"/>
              <w:bottom w:val="nil"/>
              <w:right w:val="nil"/>
            </w:tcBorders>
            <w:shd w:val="clear" w:color="auto" w:fill="auto"/>
            <w:noWrap/>
          </w:tcPr>
          <w:p w14:paraId="7E2C954C"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0.693**</w:t>
            </w:r>
          </w:p>
        </w:tc>
      </w:tr>
      <w:tr w:rsidR="00A81BAD" w:rsidRPr="00A81BAD" w14:paraId="068A3934" w14:textId="77777777">
        <w:trPr>
          <w:trHeight w:val="290"/>
        </w:trPr>
        <w:tc>
          <w:tcPr>
            <w:tcW w:w="173" w:type="pct"/>
            <w:shd w:val="clear" w:color="auto" w:fill="auto"/>
            <w:vAlign w:val="center"/>
          </w:tcPr>
          <w:p w14:paraId="37D2F047"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7</w:t>
            </w:r>
          </w:p>
        </w:tc>
        <w:tc>
          <w:tcPr>
            <w:tcW w:w="393" w:type="pct"/>
            <w:tcBorders>
              <w:right w:val="nil"/>
            </w:tcBorders>
            <w:shd w:val="clear" w:color="auto" w:fill="auto"/>
            <w:noWrap/>
            <w:hideMark/>
          </w:tcPr>
          <w:p w14:paraId="3258932F" w14:textId="77777777" w:rsidR="006F00CC" w:rsidRPr="00A81BAD" w:rsidRDefault="000E4B23">
            <w:pP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T-9</w:t>
            </w:r>
          </w:p>
        </w:tc>
        <w:tc>
          <w:tcPr>
            <w:tcW w:w="239" w:type="pct"/>
            <w:tcBorders>
              <w:top w:val="nil"/>
              <w:left w:val="nil"/>
              <w:bottom w:val="nil"/>
              <w:right w:val="nil"/>
            </w:tcBorders>
            <w:shd w:val="clear" w:color="auto" w:fill="auto"/>
            <w:noWrap/>
          </w:tcPr>
          <w:p w14:paraId="0B133F2E"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103</w:t>
            </w:r>
          </w:p>
        </w:tc>
        <w:tc>
          <w:tcPr>
            <w:tcW w:w="327" w:type="pct"/>
            <w:tcBorders>
              <w:top w:val="nil"/>
              <w:left w:val="nil"/>
              <w:bottom w:val="nil"/>
              <w:right w:val="nil"/>
            </w:tcBorders>
            <w:shd w:val="clear" w:color="auto" w:fill="auto"/>
            <w:noWrap/>
          </w:tcPr>
          <w:p w14:paraId="7C6B77A9"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15.686**</w:t>
            </w:r>
          </w:p>
        </w:tc>
        <w:tc>
          <w:tcPr>
            <w:tcW w:w="293" w:type="pct"/>
            <w:tcBorders>
              <w:top w:val="nil"/>
              <w:left w:val="nil"/>
              <w:bottom w:val="nil"/>
              <w:right w:val="nil"/>
            </w:tcBorders>
            <w:shd w:val="clear" w:color="auto" w:fill="auto"/>
            <w:noWrap/>
          </w:tcPr>
          <w:p w14:paraId="41DA9830"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0.898**</w:t>
            </w:r>
          </w:p>
        </w:tc>
        <w:tc>
          <w:tcPr>
            <w:tcW w:w="293" w:type="pct"/>
            <w:tcBorders>
              <w:top w:val="nil"/>
              <w:left w:val="nil"/>
              <w:bottom w:val="nil"/>
              <w:right w:val="nil"/>
            </w:tcBorders>
            <w:shd w:val="clear" w:color="auto" w:fill="auto"/>
            <w:noWrap/>
          </w:tcPr>
          <w:p w14:paraId="7A0D44C6"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150.95</w:t>
            </w:r>
          </w:p>
        </w:tc>
        <w:tc>
          <w:tcPr>
            <w:tcW w:w="327" w:type="pct"/>
            <w:tcBorders>
              <w:top w:val="nil"/>
              <w:left w:val="nil"/>
              <w:bottom w:val="nil"/>
              <w:right w:val="nil"/>
            </w:tcBorders>
            <w:shd w:val="clear" w:color="auto" w:fill="auto"/>
            <w:noWrap/>
          </w:tcPr>
          <w:p w14:paraId="6A1449E0"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48.82*</w:t>
            </w:r>
          </w:p>
        </w:tc>
        <w:tc>
          <w:tcPr>
            <w:tcW w:w="293" w:type="pct"/>
            <w:tcBorders>
              <w:top w:val="nil"/>
              <w:left w:val="nil"/>
              <w:bottom w:val="nil"/>
              <w:right w:val="nil"/>
            </w:tcBorders>
            <w:shd w:val="clear" w:color="auto" w:fill="auto"/>
            <w:noWrap/>
          </w:tcPr>
          <w:p w14:paraId="27631096"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1.024**</w:t>
            </w:r>
          </w:p>
        </w:tc>
        <w:tc>
          <w:tcPr>
            <w:tcW w:w="253" w:type="pct"/>
            <w:tcBorders>
              <w:top w:val="nil"/>
              <w:left w:val="nil"/>
              <w:bottom w:val="nil"/>
              <w:right w:val="nil"/>
            </w:tcBorders>
            <w:shd w:val="clear" w:color="auto" w:fill="auto"/>
            <w:noWrap/>
          </w:tcPr>
          <w:p w14:paraId="1E8007C9"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3.37</w:t>
            </w:r>
          </w:p>
        </w:tc>
        <w:tc>
          <w:tcPr>
            <w:tcW w:w="309" w:type="pct"/>
            <w:tcBorders>
              <w:top w:val="nil"/>
              <w:left w:val="nil"/>
              <w:bottom w:val="nil"/>
              <w:right w:val="nil"/>
            </w:tcBorders>
            <w:shd w:val="clear" w:color="auto" w:fill="auto"/>
            <w:noWrap/>
          </w:tcPr>
          <w:p w14:paraId="30B773D3"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0.117**</w:t>
            </w:r>
          </w:p>
        </w:tc>
        <w:tc>
          <w:tcPr>
            <w:tcW w:w="309" w:type="pct"/>
            <w:tcBorders>
              <w:top w:val="nil"/>
              <w:left w:val="nil"/>
              <w:bottom w:val="nil"/>
              <w:right w:val="nil"/>
            </w:tcBorders>
            <w:shd w:val="clear" w:color="auto" w:fill="auto"/>
            <w:noWrap/>
          </w:tcPr>
          <w:p w14:paraId="08E33C46"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0.983**</w:t>
            </w:r>
          </w:p>
        </w:tc>
        <w:tc>
          <w:tcPr>
            <w:tcW w:w="259" w:type="pct"/>
            <w:tcBorders>
              <w:top w:val="nil"/>
              <w:left w:val="nil"/>
              <w:bottom w:val="nil"/>
              <w:right w:val="nil"/>
            </w:tcBorders>
            <w:shd w:val="clear" w:color="auto" w:fill="auto"/>
            <w:noWrap/>
          </w:tcPr>
          <w:p w14:paraId="108BFC02"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147.7</w:t>
            </w:r>
          </w:p>
        </w:tc>
        <w:tc>
          <w:tcPr>
            <w:tcW w:w="293" w:type="pct"/>
            <w:tcBorders>
              <w:top w:val="nil"/>
              <w:left w:val="nil"/>
              <w:bottom w:val="nil"/>
              <w:right w:val="nil"/>
            </w:tcBorders>
            <w:shd w:val="clear" w:color="auto" w:fill="auto"/>
            <w:noWrap/>
          </w:tcPr>
          <w:p w14:paraId="654FA381"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309.1**</w:t>
            </w:r>
          </w:p>
        </w:tc>
        <w:tc>
          <w:tcPr>
            <w:tcW w:w="293" w:type="pct"/>
            <w:tcBorders>
              <w:top w:val="nil"/>
              <w:left w:val="nil"/>
              <w:bottom w:val="nil"/>
              <w:right w:val="nil"/>
            </w:tcBorders>
            <w:shd w:val="clear" w:color="auto" w:fill="auto"/>
            <w:noWrap/>
          </w:tcPr>
          <w:p w14:paraId="3B407058"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0.941**</w:t>
            </w:r>
          </w:p>
        </w:tc>
        <w:tc>
          <w:tcPr>
            <w:tcW w:w="293" w:type="pct"/>
            <w:tcBorders>
              <w:top w:val="nil"/>
              <w:left w:val="nil"/>
              <w:bottom w:val="nil"/>
              <w:right w:val="nil"/>
            </w:tcBorders>
            <w:shd w:val="clear" w:color="auto" w:fill="auto"/>
            <w:noWrap/>
          </w:tcPr>
          <w:p w14:paraId="3222A9B3"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1455.8</w:t>
            </w:r>
          </w:p>
        </w:tc>
        <w:tc>
          <w:tcPr>
            <w:tcW w:w="361" w:type="pct"/>
            <w:tcBorders>
              <w:top w:val="nil"/>
              <w:left w:val="nil"/>
              <w:bottom w:val="nil"/>
              <w:right w:val="nil"/>
            </w:tcBorders>
            <w:shd w:val="clear" w:color="auto" w:fill="auto"/>
            <w:noWrap/>
          </w:tcPr>
          <w:p w14:paraId="76D507AC"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4180.3</w:t>
            </w:r>
          </w:p>
        </w:tc>
        <w:tc>
          <w:tcPr>
            <w:tcW w:w="293" w:type="pct"/>
            <w:tcBorders>
              <w:top w:val="nil"/>
              <w:left w:val="nil"/>
              <w:bottom w:val="nil"/>
              <w:right w:val="nil"/>
            </w:tcBorders>
            <w:shd w:val="clear" w:color="auto" w:fill="auto"/>
            <w:noWrap/>
          </w:tcPr>
          <w:p w14:paraId="659454E8"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0.897**</w:t>
            </w:r>
          </w:p>
        </w:tc>
      </w:tr>
      <w:tr w:rsidR="00A81BAD" w:rsidRPr="00A81BAD" w14:paraId="2B2F40CA" w14:textId="77777777">
        <w:trPr>
          <w:trHeight w:val="290"/>
        </w:trPr>
        <w:tc>
          <w:tcPr>
            <w:tcW w:w="173" w:type="pct"/>
            <w:shd w:val="clear" w:color="auto" w:fill="auto"/>
            <w:vAlign w:val="center"/>
          </w:tcPr>
          <w:p w14:paraId="7FC12919"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8</w:t>
            </w:r>
          </w:p>
        </w:tc>
        <w:tc>
          <w:tcPr>
            <w:tcW w:w="393" w:type="pct"/>
            <w:tcBorders>
              <w:right w:val="nil"/>
            </w:tcBorders>
            <w:shd w:val="clear" w:color="auto" w:fill="auto"/>
            <w:noWrap/>
            <w:hideMark/>
          </w:tcPr>
          <w:p w14:paraId="3052A08A" w14:textId="77777777" w:rsidR="006F00CC" w:rsidRPr="00A81BAD" w:rsidRDefault="000E4B23">
            <w:pP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ACN-237</w:t>
            </w:r>
          </w:p>
        </w:tc>
        <w:tc>
          <w:tcPr>
            <w:tcW w:w="239" w:type="pct"/>
            <w:tcBorders>
              <w:top w:val="nil"/>
              <w:left w:val="nil"/>
              <w:bottom w:val="nil"/>
              <w:right w:val="nil"/>
            </w:tcBorders>
            <w:shd w:val="clear" w:color="auto" w:fill="auto"/>
            <w:noWrap/>
          </w:tcPr>
          <w:p w14:paraId="6CE59CBB"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104</w:t>
            </w:r>
          </w:p>
        </w:tc>
        <w:tc>
          <w:tcPr>
            <w:tcW w:w="327" w:type="pct"/>
            <w:tcBorders>
              <w:top w:val="nil"/>
              <w:left w:val="nil"/>
              <w:bottom w:val="nil"/>
              <w:right w:val="nil"/>
            </w:tcBorders>
            <w:shd w:val="clear" w:color="auto" w:fill="auto"/>
            <w:noWrap/>
          </w:tcPr>
          <w:p w14:paraId="3FBAA087"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1.203</w:t>
            </w:r>
          </w:p>
        </w:tc>
        <w:tc>
          <w:tcPr>
            <w:tcW w:w="293" w:type="pct"/>
            <w:tcBorders>
              <w:top w:val="nil"/>
              <w:left w:val="nil"/>
              <w:bottom w:val="nil"/>
              <w:right w:val="nil"/>
            </w:tcBorders>
            <w:shd w:val="clear" w:color="auto" w:fill="auto"/>
            <w:noWrap/>
          </w:tcPr>
          <w:p w14:paraId="75AD38C6"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1.025**</w:t>
            </w:r>
          </w:p>
        </w:tc>
        <w:tc>
          <w:tcPr>
            <w:tcW w:w="293" w:type="pct"/>
            <w:tcBorders>
              <w:top w:val="nil"/>
              <w:left w:val="nil"/>
              <w:bottom w:val="nil"/>
              <w:right w:val="nil"/>
            </w:tcBorders>
            <w:shd w:val="clear" w:color="auto" w:fill="auto"/>
            <w:noWrap/>
          </w:tcPr>
          <w:p w14:paraId="11680D0D"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161.94</w:t>
            </w:r>
          </w:p>
        </w:tc>
        <w:tc>
          <w:tcPr>
            <w:tcW w:w="327" w:type="pct"/>
            <w:tcBorders>
              <w:top w:val="nil"/>
              <w:left w:val="nil"/>
              <w:bottom w:val="nil"/>
              <w:right w:val="nil"/>
            </w:tcBorders>
            <w:shd w:val="clear" w:color="auto" w:fill="auto"/>
            <w:noWrap/>
          </w:tcPr>
          <w:p w14:paraId="5FC96EC8"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15.27</w:t>
            </w:r>
          </w:p>
        </w:tc>
        <w:tc>
          <w:tcPr>
            <w:tcW w:w="293" w:type="pct"/>
            <w:tcBorders>
              <w:top w:val="nil"/>
              <w:left w:val="nil"/>
              <w:bottom w:val="nil"/>
              <w:right w:val="nil"/>
            </w:tcBorders>
            <w:shd w:val="clear" w:color="auto" w:fill="auto"/>
            <w:noWrap/>
          </w:tcPr>
          <w:p w14:paraId="4DABDE4D"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0.924**</w:t>
            </w:r>
          </w:p>
        </w:tc>
        <w:tc>
          <w:tcPr>
            <w:tcW w:w="253" w:type="pct"/>
            <w:tcBorders>
              <w:top w:val="nil"/>
              <w:left w:val="nil"/>
              <w:bottom w:val="nil"/>
              <w:right w:val="nil"/>
            </w:tcBorders>
            <w:shd w:val="clear" w:color="auto" w:fill="auto"/>
            <w:noWrap/>
          </w:tcPr>
          <w:p w14:paraId="557BFC2C"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3.55</w:t>
            </w:r>
          </w:p>
        </w:tc>
        <w:tc>
          <w:tcPr>
            <w:tcW w:w="309" w:type="pct"/>
            <w:tcBorders>
              <w:top w:val="nil"/>
              <w:left w:val="nil"/>
              <w:bottom w:val="nil"/>
              <w:right w:val="nil"/>
            </w:tcBorders>
            <w:shd w:val="clear" w:color="auto" w:fill="auto"/>
            <w:noWrap/>
          </w:tcPr>
          <w:p w14:paraId="108619C6"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0.129**</w:t>
            </w:r>
          </w:p>
        </w:tc>
        <w:tc>
          <w:tcPr>
            <w:tcW w:w="309" w:type="pct"/>
            <w:tcBorders>
              <w:top w:val="nil"/>
              <w:left w:val="nil"/>
              <w:bottom w:val="nil"/>
              <w:right w:val="nil"/>
            </w:tcBorders>
            <w:shd w:val="clear" w:color="auto" w:fill="auto"/>
            <w:noWrap/>
          </w:tcPr>
          <w:p w14:paraId="03978917"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0.766**</w:t>
            </w:r>
          </w:p>
        </w:tc>
        <w:tc>
          <w:tcPr>
            <w:tcW w:w="259" w:type="pct"/>
            <w:tcBorders>
              <w:top w:val="nil"/>
              <w:left w:val="nil"/>
              <w:bottom w:val="nil"/>
              <w:right w:val="nil"/>
            </w:tcBorders>
            <w:shd w:val="clear" w:color="auto" w:fill="auto"/>
            <w:noWrap/>
          </w:tcPr>
          <w:p w14:paraId="6772E7C2"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175.2</w:t>
            </w:r>
          </w:p>
        </w:tc>
        <w:tc>
          <w:tcPr>
            <w:tcW w:w="293" w:type="pct"/>
            <w:tcBorders>
              <w:top w:val="nil"/>
              <w:left w:val="nil"/>
              <w:bottom w:val="nil"/>
              <w:right w:val="nil"/>
            </w:tcBorders>
            <w:shd w:val="clear" w:color="auto" w:fill="auto"/>
            <w:noWrap/>
          </w:tcPr>
          <w:p w14:paraId="3E31E45B"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292.3**</w:t>
            </w:r>
          </w:p>
        </w:tc>
        <w:tc>
          <w:tcPr>
            <w:tcW w:w="293" w:type="pct"/>
            <w:tcBorders>
              <w:top w:val="nil"/>
              <w:left w:val="nil"/>
              <w:bottom w:val="nil"/>
              <w:right w:val="nil"/>
            </w:tcBorders>
            <w:shd w:val="clear" w:color="auto" w:fill="auto"/>
            <w:noWrap/>
          </w:tcPr>
          <w:p w14:paraId="1B123999"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0.831**</w:t>
            </w:r>
          </w:p>
        </w:tc>
        <w:tc>
          <w:tcPr>
            <w:tcW w:w="293" w:type="pct"/>
            <w:tcBorders>
              <w:top w:val="nil"/>
              <w:left w:val="nil"/>
              <w:bottom w:val="nil"/>
              <w:right w:val="nil"/>
            </w:tcBorders>
            <w:shd w:val="clear" w:color="auto" w:fill="auto"/>
            <w:noWrap/>
          </w:tcPr>
          <w:p w14:paraId="25386173"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1783.1</w:t>
            </w:r>
          </w:p>
        </w:tc>
        <w:tc>
          <w:tcPr>
            <w:tcW w:w="361" w:type="pct"/>
            <w:tcBorders>
              <w:top w:val="nil"/>
              <w:left w:val="nil"/>
              <w:bottom w:val="nil"/>
              <w:right w:val="nil"/>
            </w:tcBorders>
            <w:shd w:val="clear" w:color="auto" w:fill="auto"/>
            <w:noWrap/>
          </w:tcPr>
          <w:p w14:paraId="7EFF3B76"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3026.9</w:t>
            </w:r>
          </w:p>
        </w:tc>
        <w:tc>
          <w:tcPr>
            <w:tcW w:w="293" w:type="pct"/>
            <w:tcBorders>
              <w:top w:val="nil"/>
              <w:left w:val="nil"/>
              <w:bottom w:val="nil"/>
              <w:right w:val="nil"/>
            </w:tcBorders>
            <w:shd w:val="clear" w:color="auto" w:fill="auto"/>
            <w:noWrap/>
          </w:tcPr>
          <w:p w14:paraId="20991109"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1.166**</w:t>
            </w:r>
          </w:p>
        </w:tc>
      </w:tr>
      <w:tr w:rsidR="00A81BAD" w:rsidRPr="00A81BAD" w14:paraId="706F0120" w14:textId="77777777">
        <w:trPr>
          <w:trHeight w:val="290"/>
        </w:trPr>
        <w:tc>
          <w:tcPr>
            <w:tcW w:w="173" w:type="pct"/>
            <w:shd w:val="clear" w:color="auto" w:fill="auto"/>
            <w:vAlign w:val="center"/>
          </w:tcPr>
          <w:p w14:paraId="4ED559E7"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9</w:t>
            </w:r>
          </w:p>
        </w:tc>
        <w:tc>
          <w:tcPr>
            <w:tcW w:w="393" w:type="pct"/>
            <w:tcBorders>
              <w:right w:val="nil"/>
            </w:tcBorders>
            <w:shd w:val="clear" w:color="auto" w:fill="auto"/>
            <w:noWrap/>
            <w:hideMark/>
          </w:tcPr>
          <w:p w14:paraId="69E6C88F" w14:textId="77777777" w:rsidR="006F00CC" w:rsidRPr="00A81BAD" w:rsidRDefault="000E4B23">
            <w:pP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 xml:space="preserve">PM 26 </w:t>
            </w:r>
          </w:p>
        </w:tc>
        <w:tc>
          <w:tcPr>
            <w:tcW w:w="239" w:type="pct"/>
            <w:tcBorders>
              <w:top w:val="nil"/>
              <w:left w:val="nil"/>
              <w:bottom w:val="nil"/>
              <w:right w:val="nil"/>
            </w:tcBorders>
            <w:shd w:val="clear" w:color="auto" w:fill="auto"/>
            <w:noWrap/>
          </w:tcPr>
          <w:p w14:paraId="55A90764"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105</w:t>
            </w:r>
          </w:p>
        </w:tc>
        <w:tc>
          <w:tcPr>
            <w:tcW w:w="327" w:type="pct"/>
            <w:tcBorders>
              <w:top w:val="nil"/>
              <w:left w:val="nil"/>
              <w:bottom w:val="nil"/>
              <w:right w:val="nil"/>
            </w:tcBorders>
            <w:shd w:val="clear" w:color="auto" w:fill="auto"/>
            <w:noWrap/>
          </w:tcPr>
          <w:p w14:paraId="508D6151"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5.322*</w:t>
            </w:r>
          </w:p>
        </w:tc>
        <w:tc>
          <w:tcPr>
            <w:tcW w:w="293" w:type="pct"/>
            <w:tcBorders>
              <w:top w:val="nil"/>
              <w:left w:val="nil"/>
              <w:bottom w:val="nil"/>
              <w:right w:val="nil"/>
            </w:tcBorders>
            <w:shd w:val="clear" w:color="auto" w:fill="auto"/>
            <w:noWrap/>
          </w:tcPr>
          <w:p w14:paraId="5ADB4008"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1.010**</w:t>
            </w:r>
          </w:p>
        </w:tc>
        <w:tc>
          <w:tcPr>
            <w:tcW w:w="293" w:type="pct"/>
            <w:tcBorders>
              <w:top w:val="nil"/>
              <w:left w:val="nil"/>
              <w:bottom w:val="nil"/>
              <w:right w:val="nil"/>
            </w:tcBorders>
            <w:shd w:val="clear" w:color="auto" w:fill="auto"/>
            <w:noWrap/>
          </w:tcPr>
          <w:p w14:paraId="28346A6B"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150.05</w:t>
            </w:r>
          </w:p>
        </w:tc>
        <w:tc>
          <w:tcPr>
            <w:tcW w:w="327" w:type="pct"/>
            <w:tcBorders>
              <w:top w:val="nil"/>
              <w:left w:val="nil"/>
              <w:bottom w:val="nil"/>
              <w:right w:val="nil"/>
            </w:tcBorders>
            <w:shd w:val="clear" w:color="auto" w:fill="auto"/>
            <w:noWrap/>
          </w:tcPr>
          <w:p w14:paraId="7DE359D8"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21.23</w:t>
            </w:r>
          </w:p>
        </w:tc>
        <w:tc>
          <w:tcPr>
            <w:tcW w:w="293" w:type="pct"/>
            <w:tcBorders>
              <w:top w:val="nil"/>
              <w:left w:val="nil"/>
              <w:bottom w:val="nil"/>
              <w:right w:val="nil"/>
            </w:tcBorders>
            <w:shd w:val="clear" w:color="auto" w:fill="auto"/>
            <w:noWrap/>
          </w:tcPr>
          <w:p w14:paraId="15FA9E8B"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0.887**</w:t>
            </w:r>
          </w:p>
        </w:tc>
        <w:tc>
          <w:tcPr>
            <w:tcW w:w="253" w:type="pct"/>
            <w:tcBorders>
              <w:top w:val="nil"/>
              <w:left w:val="nil"/>
              <w:bottom w:val="nil"/>
              <w:right w:val="nil"/>
            </w:tcBorders>
            <w:shd w:val="clear" w:color="auto" w:fill="auto"/>
            <w:noWrap/>
          </w:tcPr>
          <w:p w14:paraId="4AA103B3"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3.56</w:t>
            </w:r>
          </w:p>
        </w:tc>
        <w:tc>
          <w:tcPr>
            <w:tcW w:w="309" w:type="pct"/>
            <w:tcBorders>
              <w:top w:val="nil"/>
              <w:left w:val="nil"/>
              <w:bottom w:val="nil"/>
              <w:right w:val="nil"/>
            </w:tcBorders>
            <w:shd w:val="clear" w:color="auto" w:fill="auto"/>
            <w:noWrap/>
          </w:tcPr>
          <w:p w14:paraId="1E17D5A0"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0.093*</w:t>
            </w:r>
          </w:p>
        </w:tc>
        <w:tc>
          <w:tcPr>
            <w:tcW w:w="309" w:type="pct"/>
            <w:tcBorders>
              <w:top w:val="nil"/>
              <w:left w:val="nil"/>
              <w:bottom w:val="nil"/>
              <w:right w:val="nil"/>
            </w:tcBorders>
            <w:shd w:val="clear" w:color="auto" w:fill="auto"/>
            <w:noWrap/>
          </w:tcPr>
          <w:p w14:paraId="136B2EAC"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0.902**</w:t>
            </w:r>
          </w:p>
        </w:tc>
        <w:tc>
          <w:tcPr>
            <w:tcW w:w="259" w:type="pct"/>
            <w:tcBorders>
              <w:top w:val="nil"/>
              <w:left w:val="nil"/>
              <w:bottom w:val="nil"/>
              <w:right w:val="nil"/>
            </w:tcBorders>
            <w:shd w:val="clear" w:color="auto" w:fill="auto"/>
            <w:noWrap/>
          </w:tcPr>
          <w:p w14:paraId="11EA4445"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139.4</w:t>
            </w:r>
          </w:p>
        </w:tc>
        <w:tc>
          <w:tcPr>
            <w:tcW w:w="293" w:type="pct"/>
            <w:tcBorders>
              <w:top w:val="nil"/>
              <w:left w:val="nil"/>
              <w:bottom w:val="nil"/>
              <w:right w:val="nil"/>
            </w:tcBorders>
            <w:shd w:val="clear" w:color="auto" w:fill="auto"/>
            <w:noWrap/>
          </w:tcPr>
          <w:p w14:paraId="6349BEFD"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233.7**</w:t>
            </w:r>
          </w:p>
        </w:tc>
        <w:tc>
          <w:tcPr>
            <w:tcW w:w="293" w:type="pct"/>
            <w:tcBorders>
              <w:top w:val="nil"/>
              <w:left w:val="nil"/>
              <w:bottom w:val="nil"/>
              <w:right w:val="nil"/>
            </w:tcBorders>
            <w:shd w:val="clear" w:color="auto" w:fill="auto"/>
            <w:noWrap/>
          </w:tcPr>
          <w:p w14:paraId="1F30EB65"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0.823**</w:t>
            </w:r>
          </w:p>
        </w:tc>
        <w:tc>
          <w:tcPr>
            <w:tcW w:w="293" w:type="pct"/>
            <w:tcBorders>
              <w:top w:val="nil"/>
              <w:left w:val="nil"/>
              <w:bottom w:val="nil"/>
              <w:right w:val="nil"/>
            </w:tcBorders>
            <w:shd w:val="clear" w:color="auto" w:fill="auto"/>
            <w:noWrap/>
          </w:tcPr>
          <w:p w14:paraId="32C3425B"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1406.0</w:t>
            </w:r>
          </w:p>
        </w:tc>
        <w:tc>
          <w:tcPr>
            <w:tcW w:w="361" w:type="pct"/>
            <w:tcBorders>
              <w:top w:val="nil"/>
              <w:left w:val="nil"/>
              <w:bottom w:val="nil"/>
              <w:right w:val="nil"/>
            </w:tcBorders>
            <w:shd w:val="clear" w:color="auto" w:fill="auto"/>
            <w:noWrap/>
          </w:tcPr>
          <w:p w14:paraId="07D56D89"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-2371.5</w:t>
            </w:r>
          </w:p>
        </w:tc>
        <w:tc>
          <w:tcPr>
            <w:tcW w:w="293" w:type="pct"/>
            <w:tcBorders>
              <w:top w:val="nil"/>
              <w:left w:val="nil"/>
              <w:bottom w:val="nil"/>
              <w:right w:val="nil"/>
            </w:tcBorders>
            <w:shd w:val="clear" w:color="auto" w:fill="auto"/>
            <w:noWrap/>
          </w:tcPr>
          <w:p w14:paraId="21D7D765"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0.883**</w:t>
            </w:r>
          </w:p>
        </w:tc>
      </w:tr>
      <w:tr w:rsidR="00A81BAD" w:rsidRPr="00A81BAD" w14:paraId="22ADC8DC" w14:textId="77777777">
        <w:trPr>
          <w:trHeight w:val="290"/>
        </w:trPr>
        <w:tc>
          <w:tcPr>
            <w:tcW w:w="173" w:type="pct"/>
            <w:tcBorders>
              <w:bottom w:val="single" w:sz="4" w:space="0" w:color="auto"/>
            </w:tcBorders>
            <w:shd w:val="clear" w:color="auto" w:fill="auto"/>
            <w:vAlign w:val="center"/>
          </w:tcPr>
          <w:p w14:paraId="6D8B14BE"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w:t>
            </w:r>
          </w:p>
        </w:tc>
        <w:tc>
          <w:tcPr>
            <w:tcW w:w="393" w:type="pct"/>
            <w:tcBorders>
              <w:bottom w:val="single" w:sz="4" w:space="0" w:color="auto"/>
              <w:right w:val="nil"/>
            </w:tcBorders>
            <w:shd w:val="clear" w:color="auto" w:fill="auto"/>
            <w:noWrap/>
            <w:hideMark/>
          </w:tcPr>
          <w:p w14:paraId="0BA7C16D" w14:textId="77777777" w:rsidR="006F00CC" w:rsidRPr="00A81BAD" w:rsidRDefault="000E4B23">
            <w:pP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TAM 108-1</w:t>
            </w:r>
          </w:p>
        </w:tc>
        <w:tc>
          <w:tcPr>
            <w:tcW w:w="239" w:type="pct"/>
            <w:tcBorders>
              <w:top w:val="nil"/>
              <w:left w:val="nil"/>
              <w:bottom w:val="single" w:sz="4" w:space="0" w:color="auto"/>
              <w:right w:val="nil"/>
            </w:tcBorders>
            <w:shd w:val="clear" w:color="auto" w:fill="auto"/>
            <w:noWrap/>
          </w:tcPr>
          <w:p w14:paraId="3DB42493"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107</w:t>
            </w:r>
          </w:p>
        </w:tc>
        <w:tc>
          <w:tcPr>
            <w:tcW w:w="327" w:type="pct"/>
            <w:tcBorders>
              <w:top w:val="nil"/>
              <w:left w:val="nil"/>
              <w:bottom w:val="single" w:sz="4" w:space="0" w:color="auto"/>
              <w:right w:val="nil"/>
            </w:tcBorders>
            <w:shd w:val="clear" w:color="auto" w:fill="auto"/>
            <w:noWrap/>
          </w:tcPr>
          <w:p w14:paraId="42EBFB29"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6.142**</w:t>
            </w:r>
          </w:p>
        </w:tc>
        <w:tc>
          <w:tcPr>
            <w:tcW w:w="293" w:type="pct"/>
            <w:tcBorders>
              <w:top w:val="nil"/>
              <w:left w:val="nil"/>
              <w:bottom w:val="single" w:sz="4" w:space="0" w:color="auto"/>
              <w:right w:val="nil"/>
            </w:tcBorders>
            <w:shd w:val="clear" w:color="auto" w:fill="auto"/>
            <w:noWrap/>
          </w:tcPr>
          <w:p w14:paraId="720F32FA"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0.925**</w:t>
            </w:r>
          </w:p>
        </w:tc>
        <w:tc>
          <w:tcPr>
            <w:tcW w:w="293" w:type="pct"/>
            <w:tcBorders>
              <w:top w:val="nil"/>
              <w:left w:val="nil"/>
              <w:bottom w:val="single" w:sz="4" w:space="0" w:color="auto"/>
              <w:right w:val="nil"/>
            </w:tcBorders>
            <w:shd w:val="clear" w:color="auto" w:fill="auto"/>
            <w:noWrap/>
          </w:tcPr>
          <w:p w14:paraId="4C238DEA"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161.30</w:t>
            </w:r>
          </w:p>
        </w:tc>
        <w:tc>
          <w:tcPr>
            <w:tcW w:w="327" w:type="pct"/>
            <w:tcBorders>
              <w:top w:val="nil"/>
              <w:left w:val="nil"/>
              <w:bottom w:val="single" w:sz="4" w:space="0" w:color="auto"/>
              <w:right w:val="nil"/>
            </w:tcBorders>
            <w:shd w:val="clear" w:color="auto" w:fill="auto"/>
            <w:noWrap/>
          </w:tcPr>
          <w:p w14:paraId="0B0835D5"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102.33**</w:t>
            </w:r>
          </w:p>
        </w:tc>
        <w:tc>
          <w:tcPr>
            <w:tcW w:w="293" w:type="pct"/>
            <w:tcBorders>
              <w:top w:val="nil"/>
              <w:left w:val="nil"/>
              <w:bottom w:val="single" w:sz="4" w:space="0" w:color="auto"/>
              <w:right w:val="nil"/>
            </w:tcBorders>
            <w:shd w:val="clear" w:color="auto" w:fill="auto"/>
            <w:noWrap/>
          </w:tcPr>
          <w:p w14:paraId="5505EE77"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0.706**</w:t>
            </w:r>
          </w:p>
        </w:tc>
        <w:tc>
          <w:tcPr>
            <w:tcW w:w="253" w:type="pct"/>
            <w:tcBorders>
              <w:top w:val="nil"/>
              <w:left w:val="nil"/>
              <w:bottom w:val="single" w:sz="4" w:space="0" w:color="auto"/>
              <w:right w:val="nil"/>
            </w:tcBorders>
            <w:shd w:val="clear" w:color="auto" w:fill="auto"/>
            <w:noWrap/>
          </w:tcPr>
          <w:p w14:paraId="5F9A2D03"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3.73</w:t>
            </w:r>
          </w:p>
        </w:tc>
        <w:tc>
          <w:tcPr>
            <w:tcW w:w="309" w:type="pct"/>
            <w:tcBorders>
              <w:top w:val="nil"/>
              <w:left w:val="nil"/>
              <w:bottom w:val="single" w:sz="4" w:space="0" w:color="auto"/>
              <w:right w:val="nil"/>
            </w:tcBorders>
            <w:shd w:val="clear" w:color="auto" w:fill="auto"/>
            <w:noWrap/>
          </w:tcPr>
          <w:p w14:paraId="38BDA781"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0.107**</w:t>
            </w:r>
          </w:p>
        </w:tc>
        <w:tc>
          <w:tcPr>
            <w:tcW w:w="309" w:type="pct"/>
            <w:tcBorders>
              <w:top w:val="nil"/>
              <w:left w:val="nil"/>
              <w:bottom w:val="single" w:sz="4" w:space="0" w:color="auto"/>
              <w:right w:val="nil"/>
            </w:tcBorders>
            <w:shd w:val="clear" w:color="auto" w:fill="auto"/>
            <w:noWrap/>
          </w:tcPr>
          <w:p w14:paraId="5ECFCA6A"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1.139**</w:t>
            </w:r>
          </w:p>
        </w:tc>
        <w:tc>
          <w:tcPr>
            <w:tcW w:w="259" w:type="pct"/>
            <w:tcBorders>
              <w:top w:val="nil"/>
              <w:left w:val="nil"/>
              <w:bottom w:val="single" w:sz="4" w:space="0" w:color="auto"/>
              <w:right w:val="nil"/>
            </w:tcBorders>
            <w:shd w:val="clear" w:color="auto" w:fill="auto"/>
            <w:noWrap/>
          </w:tcPr>
          <w:p w14:paraId="64953A71"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169.5</w:t>
            </w:r>
          </w:p>
        </w:tc>
        <w:tc>
          <w:tcPr>
            <w:tcW w:w="293" w:type="pct"/>
            <w:tcBorders>
              <w:top w:val="nil"/>
              <w:left w:val="nil"/>
              <w:bottom w:val="single" w:sz="4" w:space="0" w:color="auto"/>
              <w:right w:val="nil"/>
            </w:tcBorders>
            <w:shd w:val="clear" w:color="auto" w:fill="auto"/>
            <w:noWrap/>
          </w:tcPr>
          <w:p w14:paraId="4BEFFD82"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279.5**</w:t>
            </w:r>
          </w:p>
        </w:tc>
        <w:tc>
          <w:tcPr>
            <w:tcW w:w="293" w:type="pct"/>
            <w:tcBorders>
              <w:top w:val="nil"/>
              <w:left w:val="nil"/>
              <w:bottom w:val="single" w:sz="4" w:space="0" w:color="auto"/>
              <w:right w:val="nil"/>
            </w:tcBorders>
            <w:shd w:val="clear" w:color="auto" w:fill="auto"/>
            <w:noWrap/>
          </w:tcPr>
          <w:p w14:paraId="50DD32C0"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1.308**</w:t>
            </w:r>
          </w:p>
        </w:tc>
        <w:tc>
          <w:tcPr>
            <w:tcW w:w="293" w:type="pct"/>
            <w:tcBorders>
              <w:top w:val="nil"/>
              <w:left w:val="nil"/>
              <w:bottom w:val="single" w:sz="4" w:space="0" w:color="auto"/>
              <w:right w:val="nil"/>
            </w:tcBorders>
            <w:shd w:val="clear" w:color="auto" w:fill="auto"/>
            <w:noWrap/>
          </w:tcPr>
          <w:p w14:paraId="50F0D760"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1484.1</w:t>
            </w:r>
          </w:p>
        </w:tc>
        <w:tc>
          <w:tcPr>
            <w:tcW w:w="361" w:type="pct"/>
            <w:tcBorders>
              <w:top w:val="nil"/>
              <w:left w:val="nil"/>
              <w:bottom w:val="single" w:sz="4" w:space="0" w:color="auto"/>
              <w:right w:val="nil"/>
            </w:tcBorders>
            <w:shd w:val="clear" w:color="auto" w:fill="auto"/>
            <w:noWrap/>
          </w:tcPr>
          <w:p w14:paraId="42835FBB"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542.6</w:t>
            </w:r>
          </w:p>
        </w:tc>
        <w:tc>
          <w:tcPr>
            <w:tcW w:w="293" w:type="pct"/>
            <w:tcBorders>
              <w:top w:val="nil"/>
              <w:left w:val="nil"/>
              <w:bottom w:val="single" w:sz="4" w:space="0" w:color="auto"/>
              <w:right w:val="nil"/>
            </w:tcBorders>
            <w:shd w:val="clear" w:color="auto" w:fill="auto"/>
            <w:noWrap/>
          </w:tcPr>
          <w:p w14:paraId="44FC6B51" w14:textId="77777777" w:rsidR="006F00CC" w:rsidRPr="00A81BAD" w:rsidRDefault="000E4B23">
            <w:pPr>
              <w:jc w:val="center"/>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0"/>
              </w:rPr>
              <w:t>0.931**</w:t>
            </w:r>
          </w:p>
        </w:tc>
      </w:tr>
      <w:bookmarkEnd w:id="24"/>
      <w:tr w:rsidR="00A81BAD" w:rsidRPr="00A81BAD" w14:paraId="7A79D1D0" w14:textId="77777777">
        <w:trPr>
          <w:trHeight w:val="290"/>
        </w:trPr>
        <w:tc>
          <w:tcPr>
            <w:tcW w:w="173" w:type="pct"/>
            <w:tcBorders>
              <w:top w:val="single" w:sz="4" w:space="0" w:color="auto"/>
              <w:bottom w:val="single" w:sz="4" w:space="0" w:color="auto"/>
            </w:tcBorders>
            <w:shd w:val="clear" w:color="auto" w:fill="auto"/>
          </w:tcPr>
          <w:p w14:paraId="7FFF6FDE" w14:textId="77777777" w:rsidR="006F00CC" w:rsidRPr="00A81BAD" w:rsidRDefault="006F00CC">
            <w:pPr>
              <w:rPr>
                <w:rFonts w:asciiTheme="minorBidi" w:hAnsiTheme="minorBidi" w:cstheme="minorBidi"/>
                <w:color w:val="000000" w:themeColor="text1"/>
                <w:sz w:val="20"/>
                <w:szCs w:val="20"/>
              </w:rPr>
            </w:pPr>
          </w:p>
        </w:tc>
        <w:tc>
          <w:tcPr>
            <w:tcW w:w="393" w:type="pct"/>
            <w:tcBorders>
              <w:top w:val="single" w:sz="4" w:space="0" w:color="auto"/>
              <w:bottom w:val="single" w:sz="4" w:space="0" w:color="auto"/>
              <w:right w:val="nil"/>
            </w:tcBorders>
            <w:shd w:val="clear" w:color="auto" w:fill="auto"/>
            <w:noWrap/>
            <w:hideMark/>
          </w:tcPr>
          <w:p w14:paraId="05739096" w14:textId="77777777" w:rsidR="006F00CC" w:rsidRPr="00A81BAD" w:rsidRDefault="000E4B23">
            <w:pPr>
              <w:rPr>
                <w:rFonts w:asciiTheme="minorBidi" w:hAnsiTheme="minorBidi" w:cstheme="minorBidi"/>
                <w:b/>
                <w:bCs/>
                <w:color w:val="000000" w:themeColor="text1"/>
                <w:sz w:val="20"/>
                <w:szCs w:val="20"/>
              </w:rPr>
            </w:pPr>
            <w:r w:rsidRPr="00A81BAD">
              <w:rPr>
                <w:rFonts w:asciiTheme="minorBidi" w:hAnsiTheme="minorBidi" w:cstheme="minorBidi"/>
                <w:b/>
                <w:bCs/>
                <w:color w:val="000000" w:themeColor="text1"/>
                <w:sz w:val="20"/>
                <w:szCs w:val="20"/>
              </w:rPr>
              <w:t>G. Mean</w:t>
            </w:r>
          </w:p>
        </w:tc>
        <w:tc>
          <w:tcPr>
            <w:tcW w:w="239" w:type="pct"/>
            <w:tcBorders>
              <w:top w:val="single" w:sz="4" w:space="0" w:color="auto"/>
              <w:left w:val="nil"/>
              <w:bottom w:val="single" w:sz="4" w:space="0" w:color="auto"/>
              <w:right w:val="nil"/>
            </w:tcBorders>
            <w:shd w:val="clear" w:color="auto" w:fill="auto"/>
            <w:noWrap/>
          </w:tcPr>
          <w:p w14:paraId="3D7E8490"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rPr>
              <w:t>106</w:t>
            </w:r>
          </w:p>
        </w:tc>
        <w:tc>
          <w:tcPr>
            <w:tcW w:w="327" w:type="pct"/>
            <w:tcBorders>
              <w:top w:val="single" w:sz="4" w:space="0" w:color="auto"/>
              <w:left w:val="nil"/>
              <w:bottom w:val="single" w:sz="4" w:space="0" w:color="auto"/>
              <w:right w:val="nil"/>
            </w:tcBorders>
            <w:shd w:val="clear" w:color="auto" w:fill="auto"/>
            <w:noWrap/>
            <w:vAlign w:val="bottom"/>
          </w:tcPr>
          <w:p w14:paraId="39B05963"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rPr>
              <w:t> </w:t>
            </w:r>
          </w:p>
        </w:tc>
        <w:tc>
          <w:tcPr>
            <w:tcW w:w="293" w:type="pct"/>
            <w:tcBorders>
              <w:top w:val="single" w:sz="4" w:space="0" w:color="auto"/>
              <w:left w:val="nil"/>
              <w:bottom w:val="single" w:sz="4" w:space="0" w:color="auto"/>
              <w:right w:val="nil"/>
            </w:tcBorders>
            <w:shd w:val="clear" w:color="auto" w:fill="auto"/>
            <w:noWrap/>
            <w:vAlign w:val="bottom"/>
          </w:tcPr>
          <w:p w14:paraId="3D61F2F9"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rPr>
              <w:t> </w:t>
            </w:r>
          </w:p>
        </w:tc>
        <w:tc>
          <w:tcPr>
            <w:tcW w:w="293" w:type="pct"/>
            <w:tcBorders>
              <w:top w:val="single" w:sz="4" w:space="0" w:color="auto"/>
              <w:left w:val="nil"/>
              <w:bottom w:val="single" w:sz="4" w:space="0" w:color="auto"/>
              <w:right w:val="nil"/>
            </w:tcBorders>
            <w:shd w:val="clear" w:color="auto" w:fill="auto"/>
            <w:noWrap/>
          </w:tcPr>
          <w:p w14:paraId="71B30349"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rPr>
              <w:t>158.59</w:t>
            </w:r>
          </w:p>
        </w:tc>
        <w:tc>
          <w:tcPr>
            <w:tcW w:w="327" w:type="pct"/>
            <w:tcBorders>
              <w:top w:val="single" w:sz="4" w:space="0" w:color="auto"/>
              <w:left w:val="nil"/>
              <w:bottom w:val="single" w:sz="4" w:space="0" w:color="auto"/>
              <w:right w:val="nil"/>
            </w:tcBorders>
            <w:shd w:val="clear" w:color="auto" w:fill="auto"/>
            <w:noWrap/>
            <w:vAlign w:val="bottom"/>
          </w:tcPr>
          <w:p w14:paraId="7B91F6A3"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rPr>
              <w:t> </w:t>
            </w:r>
          </w:p>
        </w:tc>
        <w:tc>
          <w:tcPr>
            <w:tcW w:w="293" w:type="pct"/>
            <w:tcBorders>
              <w:top w:val="single" w:sz="4" w:space="0" w:color="auto"/>
              <w:left w:val="nil"/>
              <w:bottom w:val="single" w:sz="4" w:space="0" w:color="auto"/>
              <w:right w:val="nil"/>
            </w:tcBorders>
            <w:shd w:val="clear" w:color="auto" w:fill="auto"/>
            <w:noWrap/>
            <w:vAlign w:val="bottom"/>
          </w:tcPr>
          <w:p w14:paraId="29AFB371"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rPr>
              <w:t> </w:t>
            </w:r>
          </w:p>
        </w:tc>
        <w:tc>
          <w:tcPr>
            <w:tcW w:w="253" w:type="pct"/>
            <w:tcBorders>
              <w:top w:val="single" w:sz="4" w:space="0" w:color="auto"/>
              <w:left w:val="nil"/>
              <w:bottom w:val="single" w:sz="4" w:space="0" w:color="auto"/>
              <w:right w:val="nil"/>
            </w:tcBorders>
            <w:shd w:val="clear" w:color="auto" w:fill="auto"/>
            <w:noWrap/>
          </w:tcPr>
          <w:p w14:paraId="5483C300"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rPr>
              <w:t>3.45</w:t>
            </w:r>
          </w:p>
        </w:tc>
        <w:tc>
          <w:tcPr>
            <w:tcW w:w="309" w:type="pct"/>
            <w:tcBorders>
              <w:top w:val="single" w:sz="4" w:space="0" w:color="auto"/>
              <w:left w:val="nil"/>
              <w:bottom w:val="single" w:sz="4" w:space="0" w:color="auto"/>
              <w:right w:val="nil"/>
            </w:tcBorders>
            <w:shd w:val="clear" w:color="auto" w:fill="auto"/>
            <w:noWrap/>
            <w:vAlign w:val="bottom"/>
          </w:tcPr>
          <w:p w14:paraId="5DDCC5BE"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rPr>
              <w:t> </w:t>
            </w:r>
          </w:p>
        </w:tc>
        <w:tc>
          <w:tcPr>
            <w:tcW w:w="309" w:type="pct"/>
            <w:tcBorders>
              <w:top w:val="single" w:sz="4" w:space="0" w:color="auto"/>
              <w:left w:val="nil"/>
              <w:bottom w:val="single" w:sz="4" w:space="0" w:color="auto"/>
              <w:right w:val="nil"/>
            </w:tcBorders>
            <w:shd w:val="clear" w:color="auto" w:fill="auto"/>
            <w:noWrap/>
            <w:vAlign w:val="bottom"/>
          </w:tcPr>
          <w:p w14:paraId="799AF5B1"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rPr>
              <w:t> </w:t>
            </w:r>
          </w:p>
        </w:tc>
        <w:tc>
          <w:tcPr>
            <w:tcW w:w="259" w:type="pct"/>
            <w:tcBorders>
              <w:top w:val="single" w:sz="4" w:space="0" w:color="auto"/>
              <w:left w:val="nil"/>
              <w:bottom w:val="single" w:sz="4" w:space="0" w:color="auto"/>
              <w:right w:val="nil"/>
            </w:tcBorders>
            <w:shd w:val="clear" w:color="auto" w:fill="auto"/>
            <w:noWrap/>
          </w:tcPr>
          <w:p w14:paraId="48D0882D"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rPr>
              <w:t>157.7</w:t>
            </w:r>
          </w:p>
        </w:tc>
        <w:tc>
          <w:tcPr>
            <w:tcW w:w="293" w:type="pct"/>
            <w:tcBorders>
              <w:top w:val="single" w:sz="4" w:space="0" w:color="auto"/>
              <w:left w:val="nil"/>
              <w:bottom w:val="single" w:sz="4" w:space="0" w:color="auto"/>
              <w:right w:val="nil"/>
            </w:tcBorders>
            <w:shd w:val="clear" w:color="auto" w:fill="auto"/>
            <w:noWrap/>
            <w:vAlign w:val="bottom"/>
          </w:tcPr>
          <w:p w14:paraId="03051060"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rPr>
              <w:t> </w:t>
            </w:r>
          </w:p>
        </w:tc>
        <w:tc>
          <w:tcPr>
            <w:tcW w:w="293" w:type="pct"/>
            <w:tcBorders>
              <w:top w:val="single" w:sz="4" w:space="0" w:color="auto"/>
              <w:left w:val="nil"/>
              <w:bottom w:val="single" w:sz="4" w:space="0" w:color="auto"/>
              <w:right w:val="nil"/>
            </w:tcBorders>
            <w:shd w:val="clear" w:color="auto" w:fill="auto"/>
            <w:noWrap/>
            <w:vAlign w:val="bottom"/>
          </w:tcPr>
          <w:p w14:paraId="7451E72C"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rPr>
              <w:t> </w:t>
            </w:r>
          </w:p>
        </w:tc>
        <w:tc>
          <w:tcPr>
            <w:tcW w:w="293" w:type="pct"/>
            <w:tcBorders>
              <w:top w:val="single" w:sz="4" w:space="0" w:color="auto"/>
              <w:left w:val="nil"/>
              <w:bottom w:val="single" w:sz="4" w:space="0" w:color="auto"/>
              <w:right w:val="nil"/>
            </w:tcBorders>
            <w:shd w:val="clear" w:color="auto" w:fill="auto"/>
            <w:noWrap/>
            <w:vAlign w:val="bottom"/>
          </w:tcPr>
          <w:p w14:paraId="051E7AF3"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rPr>
              <w:t>1543.3</w:t>
            </w:r>
          </w:p>
        </w:tc>
        <w:tc>
          <w:tcPr>
            <w:tcW w:w="361" w:type="pct"/>
            <w:tcBorders>
              <w:top w:val="single" w:sz="4" w:space="0" w:color="auto"/>
              <w:left w:val="nil"/>
              <w:bottom w:val="single" w:sz="4" w:space="0" w:color="auto"/>
              <w:right w:val="nil"/>
            </w:tcBorders>
            <w:shd w:val="clear" w:color="auto" w:fill="auto"/>
            <w:noWrap/>
            <w:vAlign w:val="bottom"/>
          </w:tcPr>
          <w:p w14:paraId="7D5F7F56"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rPr>
              <w:t> </w:t>
            </w:r>
          </w:p>
        </w:tc>
        <w:tc>
          <w:tcPr>
            <w:tcW w:w="293" w:type="pct"/>
            <w:tcBorders>
              <w:top w:val="single" w:sz="4" w:space="0" w:color="auto"/>
              <w:left w:val="nil"/>
              <w:bottom w:val="single" w:sz="4" w:space="0" w:color="auto"/>
              <w:right w:val="nil"/>
            </w:tcBorders>
            <w:shd w:val="clear" w:color="auto" w:fill="auto"/>
            <w:noWrap/>
            <w:vAlign w:val="bottom"/>
          </w:tcPr>
          <w:p w14:paraId="53A4F5E2" w14:textId="77777777" w:rsidR="006F00CC" w:rsidRPr="00A81BAD" w:rsidRDefault="000E4B23">
            <w:pPr>
              <w:jc w:val="center"/>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rPr>
              <w:t> </w:t>
            </w:r>
          </w:p>
        </w:tc>
      </w:tr>
    </w:tbl>
    <w:p w14:paraId="2E731C4A" w14:textId="77777777" w:rsidR="006F00CC" w:rsidRPr="00A81BAD" w:rsidRDefault="000E4B23">
      <w:pPr>
        <w:spacing w:after="0" w:line="360" w:lineRule="auto"/>
        <w:jc w:val="both"/>
        <w:rPr>
          <w:rFonts w:asciiTheme="minorBidi" w:hAnsiTheme="minorBidi" w:cstheme="minorBidi"/>
          <w:b/>
          <w:bCs/>
          <w:color w:val="000000" w:themeColor="text1"/>
          <w:sz w:val="20"/>
          <w:szCs w:val="20"/>
        </w:rPr>
      </w:pPr>
      <w:r w:rsidRPr="00A81BAD">
        <w:rPr>
          <w:rFonts w:asciiTheme="minorBidi" w:hAnsiTheme="minorBidi" w:cstheme="minorBidi"/>
          <w:color w:val="000000" w:themeColor="text1"/>
          <w:sz w:val="20"/>
          <w:szCs w:val="20"/>
          <w:lang w:val="en-US"/>
        </w:rPr>
        <w:t>*, ** = level of significance at 1% and 5%</w:t>
      </w:r>
    </w:p>
    <w:p w14:paraId="111102F3" w14:textId="77777777" w:rsidR="006F00CC" w:rsidRPr="00A81BAD" w:rsidRDefault="006F00CC">
      <w:pPr>
        <w:spacing w:line="240" w:lineRule="auto"/>
        <w:ind w:firstLine="720"/>
        <w:jc w:val="both"/>
        <w:rPr>
          <w:rFonts w:asciiTheme="minorBidi" w:hAnsiTheme="minorBidi" w:cstheme="minorBidi"/>
          <w:color w:val="000000" w:themeColor="text1"/>
          <w:sz w:val="20"/>
          <w:szCs w:val="22"/>
          <w:lang w:val="en-US"/>
        </w:rPr>
        <w:sectPr w:rsidR="006F00CC" w:rsidRPr="00A81BAD" w:rsidSect="0028523F">
          <w:pgSz w:w="16838" w:h="11906" w:orient="landscape"/>
          <w:pgMar w:top="1440" w:right="1440" w:bottom="1440" w:left="1440" w:header="709" w:footer="709" w:gutter="720"/>
          <w:cols w:space="708"/>
          <w:docGrid w:linePitch="360"/>
        </w:sectPr>
      </w:pPr>
    </w:p>
    <w:p w14:paraId="0C4CCDEA" w14:textId="77777777" w:rsidR="00995624" w:rsidRPr="00A81BAD" w:rsidRDefault="00995624" w:rsidP="00995624">
      <w:pPr>
        <w:spacing w:line="240" w:lineRule="auto"/>
        <w:jc w:val="both"/>
        <w:rPr>
          <w:rFonts w:asciiTheme="minorBidi" w:hAnsiTheme="minorBidi" w:cstheme="minorBidi"/>
          <w:color w:val="000000" w:themeColor="text1"/>
          <w:sz w:val="20"/>
          <w:szCs w:val="22"/>
          <w:lang w:val="en-US"/>
        </w:rPr>
      </w:pPr>
      <w:r w:rsidRPr="00A81BAD">
        <w:rPr>
          <w:rFonts w:asciiTheme="minorBidi" w:hAnsiTheme="minorBidi" w:cstheme="minorBidi"/>
          <w:color w:val="000000" w:themeColor="text1"/>
          <w:sz w:val="20"/>
          <w:szCs w:val="22"/>
          <w:lang w:val="en-US"/>
        </w:rPr>
        <w:lastRenderedPageBreak/>
        <w:t xml:space="preserve">condition </w:t>
      </w:r>
      <w:r w:rsidRPr="00A81BAD">
        <w:rPr>
          <w:rFonts w:asciiTheme="minorBidi" w:hAnsiTheme="minorBidi" w:cstheme="minorBidi"/>
          <w:i/>
          <w:iCs/>
          <w:color w:val="000000" w:themeColor="text1"/>
          <w:sz w:val="20"/>
          <w:szCs w:val="22"/>
        </w:rPr>
        <w:t xml:space="preserve">i.e. </w:t>
      </w:r>
      <w:r w:rsidRPr="00A81BAD">
        <w:rPr>
          <w:rFonts w:asciiTheme="minorBidi" w:hAnsiTheme="minorBidi" w:cstheme="minorBidi"/>
          <w:color w:val="000000" w:themeColor="text1"/>
          <w:sz w:val="20"/>
          <w:szCs w:val="22"/>
        </w:rPr>
        <w:t>under timely sown condition in the study. However, ACN-250 (1724.9) also reported high mean performance along with non-significant linear regression deviation (S</w:t>
      </w:r>
      <w:r w:rsidRPr="00A81BAD">
        <w:rPr>
          <w:rFonts w:asciiTheme="minorBidi" w:hAnsiTheme="minorBidi" w:cstheme="minorBidi"/>
          <w:color w:val="000000" w:themeColor="text1"/>
          <w:sz w:val="20"/>
          <w:szCs w:val="22"/>
          <w:vertAlign w:val="superscript"/>
        </w:rPr>
        <w:t>2</w:t>
      </w:r>
      <w:r w:rsidRPr="00A81BAD">
        <w:rPr>
          <w:rFonts w:asciiTheme="minorBidi" w:hAnsiTheme="minorBidi" w:cstheme="minorBidi"/>
          <w:color w:val="000000" w:themeColor="text1"/>
          <w:sz w:val="20"/>
          <w:szCs w:val="22"/>
        </w:rPr>
        <w:t>d</w:t>
      </w:r>
      <w:r w:rsidRPr="00A81BAD">
        <w:rPr>
          <w:rFonts w:asciiTheme="minorBidi" w:hAnsiTheme="minorBidi" w:cstheme="minorBidi"/>
          <w:color w:val="000000" w:themeColor="text1"/>
          <w:sz w:val="20"/>
          <w:szCs w:val="22"/>
          <w:vertAlign w:val="subscript"/>
        </w:rPr>
        <w:t>i</w:t>
      </w:r>
      <w:r w:rsidRPr="00A81BAD">
        <w:rPr>
          <w:rFonts w:asciiTheme="minorBidi" w:hAnsiTheme="minorBidi" w:cstheme="minorBidi"/>
          <w:color w:val="000000" w:themeColor="text1"/>
          <w:sz w:val="20"/>
          <w:szCs w:val="22"/>
        </w:rPr>
        <w:t>) and regression coefficient (b</w:t>
      </w:r>
      <w:r w:rsidRPr="00A81BAD">
        <w:rPr>
          <w:rFonts w:asciiTheme="minorBidi" w:hAnsiTheme="minorBidi" w:cstheme="minorBidi"/>
          <w:color w:val="000000" w:themeColor="text1"/>
          <w:sz w:val="20"/>
          <w:szCs w:val="22"/>
          <w:vertAlign w:val="subscript"/>
        </w:rPr>
        <w:t>i</w:t>
      </w:r>
      <w:r w:rsidRPr="00A81BAD">
        <w:rPr>
          <w:rFonts w:asciiTheme="minorBidi" w:hAnsiTheme="minorBidi" w:cstheme="minorBidi"/>
          <w:color w:val="000000" w:themeColor="text1"/>
          <w:sz w:val="20"/>
          <w:szCs w:val="22"/>
        </w:rPr>
        <w:t xml:space="preserve">) tends to unity which perform stable under all environment </w:t>
      </w:r>
      <w:r w:rsidRPr="00A81BAD">
        <w:rPr>
          <w:rFonts w:asciiTheme="minorBidi" w:hAnsiTheme="minorBidi" w:cstheme="minorBidi"/>
          <w:i/>
          <w:iCs/>
          <w:color w:val="000000" w:themeColor="text1"/>
          <w:sz w:val="20"/>
          <w:szCs w:val="22"/>
        </w:rPr>
        <w:t xml:space="preserve">i.e. </w:t>
      </w:r>
      <w:r w:rsidRPr="00A81BAD">
        <w:rPr>
          <w:rFonts w:asciiTheme="minorBidi" w:hAnsiTheme="minorBidi" w:cstheme="minorBidi"/>
          <w:color w:val="000000" w:themeColor="text1"/>
          <w:sz w:val="20"/>
          <w:szCs w:val="22"/>
        </w:rPr>
        <w:t xml:space="preserve">under all dates of sowing creating stressed environment. </w:t>
      </w:r>
      <w:r w:rsidRPr="00A81BAD">
        <w:rPr>
          <w:rFonts w:asciiTheme="minorBidi" w:hAnsiTheme="minorBidi" w:cstheme="minorBidi"/>
          <w:color w:val="000000" w:themeColor="text1"/>
          <w:sz w:val="20"/>
          <w:szCs w:val="22"/>
          <w:lang w:val="en-US"/>
        </w:rPr>
        <w:t xml:space="preserve">These results were supported by findings of </w:t>
      </w:r>
      <w:proofErr w:type="spellStart"/>
      <w:r w:rsidRPr="00A81BAD">
        <w:rPr>
          <w:rFonts w:asciiTheme="minorBidi" w:hAnsiTheme="minorBidi" w:cstheme="minorBidi"/>
          <w:color w:val="000000" w:themeColor="text1"/>
          <w:sz w:val="20"/>
          <w:szCs w:val="22"/>
          <w:lang w:val="en-US"/>
        </w:rPr>
        <w:t>Sagolsem</w:t>
      </w:r>
      <w:proofErr w:type="spellEnd"/>
      <w:r w:rsidRPr="00A81BAD">
        <w:rPr>
          <w:rFonts w:asciiTheme="minorBidi" w:hAnsiTheme="minorBidi" w:cstheme="minorBidi"/>
          <w:color w:val="000000" w:themeColor="text1"/>
          <w:sz w:val="20"/>
          <w:szCs w:val="22"/>
          <w:lang w:val="en-US"/>
        </w:rPr>
        <w:t xml:space="preserve"> </w:t>
      </w:r>
      <w:r w:rsidRPr="00A81BAD">
        <w:rPr>
          <w:rFonts w:asciiTheme="minorBidi" w:hAnsiTheme="minorBidi" w:cstheme="minorBidi"/>
          <w:i/>
          <w:iCs/>
          <w:color w:val="000000" w:themeColor="text1"/>
          <w:sz w:val="20"/>
          <w:szCs w:val="22"/>
          <w:lang w:val="en-US"/>
        </w:rPr>
        <w:t>et al.,</w:t>
      </w:r>
      <w:r w:rsidRPr="00A81BAD">
        <w:rPr>
          <w:rFonts w:asciiTheme="minorBidi" w:hAnsiTheme="minorBidi" w:cstheme="minorBidi"/>
          <w:color w:val="000000" w:themeColor="text1"/>
          <w:sz w:val="20"/>
          <w:szCs w:val="22"/>
          <w:lang w:val="en-US"/>
        </w:rPr>
        <w:t xml:space="preserve"> 2013 </w:t>
      </w:r>
      <w:commentRangeStart w:id="25"/>
      <w:r w:rsidRPr="00A81BAD">
        <w:rPr>
          <w:rFonts w:asciiTheme="minorBidi" w:hAnsiTheme="minorBidi" w:cstheme="minorBidi"/>
          <w:color w:val="000000" w:themeColor="text1"/>
          <w:sz w:val="20"/>
          <w:szCs w:val="22"/>
          <w:lang w:val="en-US"/>
        </w:rPr>
        <w:t xml:space="preserve">[14], </w:t>
      </w:r>
      <w:commentRangeEnd w:id="25"/>
      <w:r w:rsidR="00EB047B" w:rsidRPr="00A81BAD">
        <w:rPr>
          <w:rStyle w:val="CommentReference"/>
          <w:color w:val="000000" w:themeColor="text1"/>
        </w:rPr>
        <w:commentReference w:id="25"/>
      </w:r>
      <w:proofErr w:type="spellStart"/>
      <w:r w:rsidRPr="00A81BAD">
        <w:rPr>
          <w:rFonts w:asciiTheme="minorBidi" w:hAnsiTheme="minorBidi" w:cstheme="minorBidi"/>
          <w:color w:val="000000" w:themeColor="text1"/>
          <w:sz w:val="20"/>
          <w:szCs w:val="22"/>
          <w:lang w:val="en-US"/>
        </w:rPr>
        <w:t>Priyamedha</w:t>
      </w:r>
      <w:proofErr w:type="spellEnd"/>
      <w:r w:rsidRPr="00A81BAD">
        <w:rPr>
          <w:rFonts w:asciiTheme="minorBidi" w:hAnsiTheme="minorBidi" w:cstheme="minorBidi"/>
          <w:color w:val="000000" w:themeColor="text1"/>
          <w:sz w:val="20"/>
          <w:szCs w:val="22"/>
          <w:lang w:val="en-US"/>
        </w:rPr>
        <w:t xml:space="preserve"> </w:t>
      </w:r>
      <w:r w:rsidRPr="00A81BAD">
        <w:rPr>
          <w:rFonts w:asciiTheme="minorBidi" w:hAnsiTheme="minorBidi" w:cstheme="minorBidi"/>
          <w:i/>
          <w:iCs/>
          <w:color w:val="000000" w:themeColor="text1"/>
          <w:sz w:val="20"/>
          <w:szCs w:val="22"/>
          <w:lang w:val="en-US"/>
        </w:rPr>
        <w:t>et al</w:t>
      </w:r>
      <w:r w:rsidRPr="00A81BAD">
        <w:rPr>
          <w:rFonts w:asciiTheme="minorBidi" w:hAnsiTheme="minorBidi" w:cstheme="minorBidi"/>
          <w:color w:val="000000" w:themeColor="text1"/>
          <w:sz w:val="20"/>
          <w:szCs w:val="22"/>
          <w:lang w:val="en-US"/>
        </w:rPr>
        <w:t>., 2017 [</w:t>
      </w:r>
      <w:commentRangeStart w:id="26"/>
      <w:r w:rsidRPr="00A81BAD">
        <w:rPr>
          <w:rFonts w:asciiTheme="minorBidi" w:hAnsiTheme="minorBidi" w:cstheme="minorBidi"/>
          <w:color w:val="000000" w:themeColor="text1"/>
          <w:sz w:val="20"/>
          <w:szCs w:val="22"/>
          <w:lang w:val="en-US"/>
        </w:rPr>
        <w:t>10</w:t>
      </w:r>
      <w:commentRangeEnd w:id="26"/>
      <w:r w:rsidR="00EB047B" w:rsidRPr="00A81BAD">
        <w:rPr>
          <w:rStyle w:val="CommentReference"/>
          <w:color w:val="000000" w:themeColor="text1"/>
        </w:rPr>
        <w:commentReference w:id="26"/>
      </w:r>
      <w:r w:rsidRPr="00A81BAD">
        <w:rPr>
          <w:rFonts w:asciiTheme="minorBidi" w:hAnsiTheme="minorBidi" w:cstheme="minorBidi"/>
          <w:color w:val="000000" w:themeColor="text1"/>
          <w:sz w:val="20"/>
          <w:szCs w:val="22"/>
          <w:lang w:val="en-US"/>
        </w:rPr>
        <w:t xml:space="preserve">], Gupta </w:t>
      </w:r>
      <w:r w:rsidRPr="00A81BAD">
        <w:rPr>
          <w:rFonts w:asciiTheme="minorBidi" w:hAnsiTheme="minorBidi" w:cstheme="minorBidi"/>
          <w:i/>
          <w:iCs/>
          <w:color w:val="000000" w:themeColor="text1"/>
          <w:sz w:val="20"/>
          <w:szCs w:val="22"/>
          <w:lang w:val="en-US"/>
        </w:rPr>
        <w:t>et al.,</w:t>
      </w:r>
      <w:r w:rsidRPr="00A81BAD">
        <w:rPr>
          <w:rFonts w:asciiTheme="minorBidi" w:hAnsiTheme="minorBidi" w:cstheme="minorBidi"/>
          <w:color w:val="000000" w:themeColor="text1"/>
          <w:sz w:val="20"/>
          <w:szCs w:val="22"/>
          <w:lang w:val="en-US"/>
        </w:rPr>
        <w:t xml:space="preserve"> 2021 [13] and </w:t>
      </w:r>
      <w:proofErr w:type="spellStart"/>
      <w:r w:rsidRPr="00A81BAD">
        <w:rPr>
          <w:rFonts w:asciiTheme="minorBidi" w:hAnsiTheme="minorBidi" w:cstheme="minorBidi"/>
          <w:color w:val="000000" w:themeColor="text1"/>
          <w:sz w:val="20"/>
          <w:szCs w:val="22"/>
          <w:lang w:val="en-US"/>
        </w:rPr>
        <w:t>Kamdi</w:t>
      </w:r>
      <w:proofErr w:type="spellEnd"/>
      <w:r w:rsidRPr="00A81BAD">
        <w:rPr>
          <w:rFonts w:asciiTheme="minorBidi" w:hAnsiTheme="minorBidi" w:cstheme="minorBidi"/>
          <w:color w:val="000000" w:themeColor="text1"/>
          <w:sz w:val="20"/>
          <w:szCs w:val="22"/>
          <w:lang w:val="en-US"/>
        </w:rPr>
        <w:t xml:space="preserve"> </w:t>
      </w:r>
      <w:r w:rsidRPr="00A81BAD">
        <w:rPr>
          <w:rFonts w:asciiTheme="minorBidi" w:hAnsiTheme="minorBidi" w:cstheme="minorBidi"/>
          <w:i/>
          <w:iCs/>
          <w:color w:val="000000" w:themeColor="text1"/>
          <w:sz w:val="20"/>
          <w:szCs w:val="22"/>
          <w:lang w:val="en-US"/>
        </w:rPr>
        <w:t>et al.,</w:t>
      </w:r>
      <w:r w:rsidRPr="00A81BAD">
        <w:rPr>
          <w:rFonts w:asciiTheme="minorBidi" w:hAnsiTheme="minorBidi" w:cstheme="minorBidi"/>
          <w:color w:val="000000" w:themeColor="text1"/>
          <w:sz w:val="20"/>
          <w:szCs w:val="22"/>
          <w:lang w:val="en-US"/>
        </w:rPr>
        <w:t xml:space="preserve"> 2022 </w:t>
      </w:r>
      <w:commentRangeStart w:id="27"/>
      <w:r w:rsidRPr="00A81BAD">
        <w:rPr>
          <w:rFonts w:asciiTheme="minorBidi" w:hAnsiTheme="minorBidi" w:cstheme="minorBidi"/>
          <w:color w:val="000000" w:themeColor="text1"/>
          <w:sz w:val="20"/>
          <w:szCs w:val="22"/>
          <w:lang w:val="en-US"/>
        </w:rPr>
        <w:t xml:space="preserve">[15] </w:t>
      </w:r>
      <w:commentRangeEnd w:id="27"/>
      <w:r w:rsidR="00EB047B" w:rsidRPr="00A81BAD">
        <w:rPr>
          <w:rStyle w:val="CommentReference"/>
          <w:color w:val="000000" w:themeColor="text1"/>
        </w:rPr>
        <w:commentReference w:id="27"/>
      </w:r>
      <w:r w:rsidRPr="00A81BAD">
        <w:rPr>
          <w:rFonts w:asciiTheme="minorBidi" w:hAnsiTheme="minorBidi" w:cstheme="minorBidi"/>
          <w:color w:val="000000" w:themeColor="text1"/>
          <w:sz w:val="20"/>
          <w:szCs w:val="22"/>
          <w:lang w:val="en-US"/>
        </w:rPr>
        <w:t>in Indian mustard under different environmental conditions.</w:t>
      </w:r>
    </w:p>
    <w:p w14:paraId="54AAE35E" w14:textId="5DA7E018" w:rsidR="006F00CC" w:rsidRPr="00A81BAD" w:rsidRDefault="000E4B23">
      <w:pPr>
        <w:spacing w:line="240" w:lineRule="auto"/>
        <w:ind w:firstLine="72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Considering all characters under study (table 2) it was concluded that not all of the genotypes were ideally stable for all char</w:t>
      </w:r>
      <w:r w:rsidRPr="00A81BAD">
        <w:rPr>
          <w:rFonts w:asciiTheme="minorBidi" w:hAnsiTheme="minorBidi" w:cstheme="minorBidi"/>
          <w:color w:val="000000" w:themeColor="text1"/>
          <w:sz w:val="20"/>
          <w:szCs w:val="22"/>
        </w:rPr>
        <w:t xml:space="preserve">acters. The stability parameters exhibited by ACN-237 reported high mean performance for all the characters under study along with stable performance for the characters </w:t>
      </w:r>
      <w:r w:rsidRPr="00A81BAD">
        <w:rPr>
          <w:rFonts w:asciiTheme="minorBidi" w:hAnsiTheme="minorBidi" w:cstheme="minorBidi"/>
          <w:i/>
          <w:iCs/>
          <w:color w:val="000000" w:themeColor="text1"/>
          <w:sz w:val="20"/>
          <w:szCs w:val="22"/>
        </w:rPr>
        <w:t xml:space="preserve">viz. </w:t>
      </w:r>
      <w:r w:rsidRPr="00A81BAD">
        <w:rPr>
          <w:rFonts w:asciiTheme="minorBidi" w:hAnsiTheme="minorBidi" w:cstheme="minorBidi"/>
          <w:color w:val="000000" w:themeColor="text1"/>
          <w:sz w:val="20"/>
          <w:szCs w:val="22"/>
        </w:rPr>
        <w:t>days to maturity, plant height and seed yield plot</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xml:space="preserve"> in all high yielding environm</w:t>
      </w:r>
      <w:r w:rsidRPr="00A81BAD">
        <w:rPr>
          <w:rFonts w:asciiTheme="minorBidi" w:hAnsiTheme="minorBidi" w:cstheme="minorBidi"/>
          <w:color w:val="000000" w:themeColor="text1"/>
          <w:sz w:val="20"/>
          <w:szCs w:val="22"/>
        </w:rPr>
        <w:t>ents, non-significant deviation from linear regression (S</w:t>
      </w:r>
      <w:r w:rsidRPr="00A81BAD">
        <w:rPr>
          <w:rFonts w:asciiTheme="minorBidi" w:hAnsiTheme="minorBidi" w:cstheme="minorBidi"/>
          <w:color w:val="000000" w:themeColor="text1"/>
          <w:sz w:val="20"/>
          <w:szCs w:val="22"/>
          <w:vertAlign w:val="superscript"/>
        </w:rPr>
        <w:t>2</w:t>
      </w:r>
      <w:r w:rsidRPr="00A81BAD">
        <w:rPr>
          <w:rFonts w:asciiTheme="minorBidi" w:hAnsiTheme="minorBidi" w:cstheme="minorBidi"/>
          <w:color w:val="000000" w:themeColor="text1"/>
          <w:sz w:val="20"/>
          <w:szCs w:val="22"/>
        </w:rPr>
        <w:t>d</w:t>
      </w:r>
      <w:r w:rsidRPr="00A81BAD">
        <w:rPr>
          <w:rFonts w:asciiTheme="minorBidi" w:hAnsiTheme="minorBidi" w:cstheme="minorBidi"/>
          <w:color w:val="000000" w:themeColor="text1"/>
          <w:sz w:val="20"/>
          <w:szCs w:val="22"/>
          <w:vertAlign w:val="subscript"/>
        </w:rPr>
        <w:t>i</w:t>
      </w:r>
      <w:r w:rsidRPr="00A81BAD">
        <w:rPr>
          <w:rFonts w:asciiTheme="minorBidi" w:hAnsiTheme="minorBidi" w:cstheme="minorBidi"/>
          <w:color w:val="000000" w:themeColor="text1"/>
          <w:sz w:val="20"/>
          <w:szCs w:val="22"/>
        </w:rPr>
        <w:t xml:space="preserve">) and regression coefficient </w:t>
      </w:r>
      <w:r w:rsidRPr="00A81BAD">
        <w:rPr>
          <w:rFonts w:asciiTheme="minorBidi" w:hAnsiTheme="minorBidi" w:cstheme="minorBidi"/>
          <w:color w:val="000000" w:themeColor="text1"/>
          <w:sz w:val="20"/>
          <w:szCs w:val="22"/>
          <w:lang w:val="en-US"/>
        </w:rPr>
        <w:t>(b</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w:t>
      </w:r>
      <w:r w:rsidRPr="00A81BAD">
        <w:rPr>
          <w:rFonts w:asciiTheme="minorBidi" w:hAnsiTheme="minorBidi" w:cstheme="minorBidi"/>
          <w:color w:val="000000" w:themeColor="text1"/>
          <w:sz w:val="20"/>
          <w:szCs w:val="22"/>
        </w:rPr>
        <w:t xml:space="preserve"> tends to unity. The genotype ACN-226 also showed stable performance for seed yield plot</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number of siliquae plant</w:t>
      </w:r>
      <w:r w:rsidRPr="00A81BAD">
        <w:rPr>
          <w:rFonts w:asciiTheme="minorBidi" w:hAnsiTheme="minorBidi" w:cstheme="minorBidi"/>
          <w:color w:val="000000" w:themeColor="text1"/>
          <w:sz w:val="20"/>
          <w:szCs w:val="22"/>
          <w:vertAlign w:val="superscript"/>
        </w:rPr>
        <w:t>-1</w:t>
      </w:r>
      <w:r w:rsidRPr="00A81BAD">
        <w:rPr>
          <w:rFonts w:asciiTheme="minorBidi" w:hAnsiTheme="minorBidi" w:cstheme="minorBidi"/>
          <w:color w:val="000000" w:themeColor="text1"/>
          <w:sz w:val="20"/>
          <w:szCs w:val="22"/>
        </w:rPr>
        <w:t xml:space="preserve">, plant height and days to maturity in all </w:t>
      </w:r>
      <w:r w:rsidRPr="00A81BAD">
        <w:rPr>
          <w:rFonts w:asciiTheme="minorBidi" w:hAnsiTheme="minorBidi" w:cstheme="minorBidi"/>
          <w:color w:val="000000" w:themeColor="text1"/>
          <w:sz w:val="20"/>
          <w:szCs w:val="22"/>
        </w:rPr>
        <w:t>environments as it showed high mean performance, non-significant deviation from linear regression (S</w:t>
      </w:r>
      <w:r w:rsidRPr="00A81BAD">
        <w:rPr>
          <w:rFonts w:asciiTheme="minorBidi" w:hAnsiTheme="minorBidi" w:cstheme="minorBidi"/>
          <w:color w:val="000000" w:themeColor="text1"/>
          <w:sz w:val="20"/>
          <w:szCs w:val="22"/>
          <w:vertAlign w:val="superscript"/>
        </w:rPr>
        <w:t>2</w:t>
      </w:r>
      <w:r w:rsidRPr="00A81BAD">
        <w:rPr>
          <w:rFonts w:asciiTheme="minorBidi" w:hAnsiTheme="minorBidi" w:cstheme="minorBidi"/>
          <w:color w:val="000000" w:themeColor="text1"/>
          <w:sz w:val="20"/>
          <w:szCs w:val="22"/>
        </w:rPr>
        <w:t>d</w:t>
      </w:r>
      <w:r w:rsidRPr="00A81BAD">
        <w:rPr>
          <w:rFonts w:asciiTheme="minorBidi" w:hAnsiTheme="minorBidi" w:cstheme="minorBidi"/>
          <w:color w:val="000000" w:themeColor="text1"/>
          <w:sz w:val="20"/>
          <w:szCs w:val="22"/>
          <w:vertAlign w:val="subscript"/>
        </w:rPr>
        <w:t>i</w:t>
      </w:r>
      <w:r w:rsidRPr="00A81BAD">
        <w:rPr>
          <w:rFonts w:asciiTheme="minorBidi" w:hAnsiTheme="minorBidi" w:cstheme="minorBidi"/>
          <w:color w:val="000000" w:themeColor="text1"/>
          <w:sz w:val="20"/>
          <w:szCs w:val="22"/>
        </w:rPr>
        <w:t xml:space="preserve">) and regression coefficient </w:t>
      </w:r>
      <w:r w:rsidRPr="00A81BAD">
        <w:rPr>
          <w:rFonts w:asciiTheme="minorBidi" w:hAnsiTheme="minorBidi" w:cstheme="minorBidi"/>
          <w:color w:val="000000" w:themeColor="text1"/>
          <w:sz w:val="20"/>
          <w:szCs w:val="22"/>
          <w:lang w:val="en-US"/>
        </w:rPr>
        <w:t>(b</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w:t>
      </w:r>
      <w:r w:rsidRPr="00A81BAD">
        <w:rPr>
          <w:rFonts w:asciiTheme="minorBidi" w:hAnsiTheme="minorBidi" w:cstheme="minorBidi"/>
          <w:color w:val="000000" w:themeColor="text1"/>
          <w:sz w:val="20"/>
          <w:szCs w:val="22"/>
        </w:rPr>
        <w:t xml:space="preserve"> not deviating from unity. The genotype ACN-237 and ACN-226 reported stable performance not just only in timely sown con</w:t>
      </w:r>
      <w:r w:rsidRPr="00A81BAD">
        <w:rPr>
          <w:rFonts w:asciiTheme="minorBidi" w:hAnsiTheme="minorBidi" w:cstheme="minorBidi"/>
          <w:color w:val="000000" w:themeColor="text1"/>
          <w:sz w:val="20"/>
          <w:szCs w:val="22"/>
        </w:rPr>
        <w:t xml:space="preserve">ditions but also under late sown (stressed) environment. The results were in accordance with </w:t>
      </w:r>
      <w:r w:rsidRPr="00A81BAD">
        <w:rPr>
          <w:rFonts w:asciiTheme="minorBidi" w:hAnsiTheme="minorBidi" w:cstheme="minorBidi"/>
          <w:color w:val="000000" w:themeColor="text1"/>
          <w:sz w:val="20"/>
          <w:szCs w:val="22"/>
        </w:rPr>
        <w:t>Kumawat and Sharma</w:t>
      </w:r>
      <w:r w:rsidRPr="00A81BAD">
        <w:rPr>
          <w:rFonts w:asciiTheme="minorBidi" w:hAnsiTheme="minorBidi" w:cstheme="minorBidi"/>
          <w:color w:val="000000" w:themeColor="text1"/>
          <w:sz w:val="20"/>
          <w:szCs w:val="22"/>
        </w:rPr>
        <w:t xml:space="preserve">, 2022 </w:t>
      </w:r>
      <w:commentRangeStart w:id="28"/>
      <w:r w:rsidRPr="00A81BAD">
        <w:rPr>
          <w:rFonts w:asciiTheme="minorBidi" w:hAnsiTheme="minorBidi" w:cstheme="minorBidi"/>
          <w:color w:val="000000" w:themeColor="text1"/>
          <w:sz w:val="20"/>
          <w:szCs w:val="22"/>
        </w:rPr>
        <w:t xml:space="preserve">[3] </w:t>
      </w:r>
      <w:commentRangeEnd w:id="28"/>
      <w:r w:rsidR="00EB047B" w:rsidRPr="00A81BAD">
        <w:rPr>
          <w:rStyle w:val="CommentReference"/>
          <w:color w:val="000000" w:themeColor="text1"/>
        </w:rPr>
        <w:commentReference w:id="28"/>
      </w:r>
      <w:r w:rsidRPr="00A81BAD">
        <w:rPr>
          <w:rFonts w:asciiTheme="minorBidi" w:hAnsiTheme="minorBidi" w:cstheme="minorBidi"/>
          <w:color w:val="000000" w:themeColor="text1"/>
          <w:sz w:val="20"/>
          <w:szCs w:val="22"/>
        </w:rPr>
        <w:t xml:space="preserve">in Indian mustard reported that the varieties namely RGN-48, RGN-73, Maya, PCR-7, CS-52 and RH-749 had higher mean for seed yield and </w:t>
      </w:r>
      <w:r w:rsidRPr="00A81BAD">
        <w:rPr>
          <w:rFonts w:asciiTheme="minorBidi" w:hAnsiTheme="minorBidi" w:cstheme="minorBidi"/>
          <w:color w:val="000000" w:themeColor="text1"/>
          <w:sz w:val="20"/>
          <w:szCs w:val="22"/>
        </w:rPr>
        <w:t>bi =1 which can be used as stable varieties over the environments and varieties RGN-13, RGN-229, RGN-236 and RGN-303 have superior performance and responsive to optimum sowing conditions as they showed greater mean with significantly higher regression coef</w:t>
      </w:r>
      <w:r w:rsidRPr="00A81BAD">
        <w:rPr>
          <w:rFonts w:asciiTheme="minorBidi" w:hAnsiTheme="minorBidi" w:cstheme="minorBidi"/>
          <w:color w:val="000000" w:themeColor="text1"/>
          <w:sz w:val="20"/>
          <w:szCs w:val="22"/>
        </w:rPr>
        <w:t xml:space="preserve">ficient </w:t>
      </w:r>
      <w:r w:rsidRPr="00A81BAD">
        <w:rPr>
          <w:rFonts w:asciiTheme="minorBidi" w:hAnsiTheme="minorBidi" w:cstheme="minorBidi"/>
          <w:color w:val="000000" w:themeColor="text1"/>
          <w:sz w:val="20"/>
          <w:szCs w:val="22"/>
          <w:lang w:val="en-US"/>
        </w:rPr>
        <w:t>(b</w:t>
      </w:r>
      <w:r w:rsidRPr="00A81BAD">
        <w:rPr>
          <w:rFonts w:asciiTheme="minorBidi" w:hAnsiTheme="minorBidi" w:cstheme="minorBidi"/>
          <w:color w:val="000000" w:themeColor="text1"/>
          <w:sz w:val="20"/>
          <w:szCs w:val="22"/>
          <w:vertAlign w:val="subscript"/>
          <w:lang w:val="en-US"/>
        </w:rPr>
        <w:t>i</w:t>
      </w:r>
      <w:r w:rsidRPr="00A81BAD">
        <w:rPr>
          <w:rFonts w:asciiTheme="minorBidi" w:hAnsiTheme="minorBidi" w:cstheme="minorBidi"/>
          <w:color w:val="000000" w:themeColor="text1"/>
          <w:sz w:val="20"/>
          <w:szCs w:val="22"/>
          <w:lang w:val="en-US"/>
        </w:rPr>
        <w:t>)</w:t>
      </w:r>
      <w:r w:rsidRPr="00A81BAD">
        <w:rPr>
          <w:rFonts w:asciiTheme="minorBidi" w:hAnsiTheme="minorBidi" w:cstheme="minorBidi"/>
          <w:color w:val="000000" w:themeColor="text1"/>
          <w:sz w:val="20"/>
          <w:szCs w:val="22"/>
        </w:rPr>
        <w:t>.</w:t>
      </w:r>
    </w:p>
    <w:p w14:paraId="3AE164BE" w14:textId="1BE374BE" w:rsidR="006F00CC" w:rsidRPr="00A81BAD" w:rsidRDefault="005621C8">
      <w:pPr>
        <w:pStyle w:val="ListParagraph"/>
        <w:numPr>
          <w:ilvl w:val="0"/>
          <w:numId w:val="5"/>
        </w:numPr>
        <w:spacing w:line="240" w:lineRule="auto"/>
        <w:ind w:left="360"/>
        <w:jc w:val="both"/>
        <w:rPr>
          <w:rFonts w:asciiTheme="minorBidi" w:hAnsiTheme="minorBidi" w:cstheme="minorBidi"/>
          <w:b/>
          <w:bCs/>
          <w:color w:val="000000" w:themeColor="text1"/>
          <w:sz w:val="22"/>
          <w:szCs w:val="24"/>
        </w:rPr>
      </w:pPr>
      <w:r w:rsidRPr="00A81BAD">
        <w:rPr>
          <w:rFonts w:asciiTheme="minorBidi" w:hAnsiTheme="minorBidi" w:cstheme="minorBidi"/>
          <w:b/>
          <w:bCs/>
          <w:color w:val="000000" w:themeColor="text1"/>
          <w:sz w:val="22"/>
          <w:szCs w:val="24"/>
        </w:rPr>
        <w:t>CONCLUSION</w:t>
      </w:r>
    </w:p>
    <w:p w14:paraId="73E28D75" w14:textId="77777777" w:rsidR="006F00CC" w:rsidRPr="00A81BAD" w:rsidRDefault="000E4B23" w:rsidP="00C73AF5">
      <w:pPr>
        <w:spacing w:line="240" w:lineRule="auto"/>
        <w:ind w:firstLine="720"/>
        <w:jc w:val="both"/>
        <w:rPr>
          <w:rFonts w:asciiTheme="minorBidi" w:hAnsiTheme="minorBidi" w:cstheme="minorBidi"/>
          <w:color w:val="000000" w:themeColor="text1"/>
          <w:sz w:val="20"/>
          <w:szCs w:val="20"/>
        </w:rPr>
      </w:pPr>
      <w:r w:rsidRPr="00A81BAD">
        <w:rPr>
          <w:rFonts w:asciiTheme="minorBidi" w:hAnsiTheme="minorBidi" w:cstheme="minorBidi"/>
          <w:color w:val="000000" w:themeColor="text1"/>
          <w:sz w:val="20"/>
          <w:szCs w:val="22"/>
        </w:rPr>
        <w:t>It was concluded from this study that the genotypes ACN-237 and ACN-226 were identified as best stable genotypes under all environmental conditions of date of sowing (30</w:t>
      </w:r>
      <w:r w:rsidRPr="00A81BAD">
        <w:rPr>
          <w:rFonts w:asciiTheme="minorBidi" w:hAnsiTheme="minorBidi" w:cstheme="minorBidi"/>
          <w:color w:val="000000" w:themeColor="text1"/>
          <w:sz w:val="20"/>
          <w:szCs w:val="22"/>
          <w:vertAlign w:val="superscript"/>
        </w:rPr>
        <w:t>th</w:t>
      </w:r>
      <w:r w:rsidRPr="00A81BAD">
        <w:rPr>
          <w:rFonts w:asciiTheme="minorBidi" w:hAnsiTheme="minorBidi" w:cstheme="minorBidi"/>
          <w:color w:val="000000" w:themeColor="text1"/>
          <w:sz w:val="20"/>
          <w:szCs w:val="22"/>
        </w:rPr>
        <w:t xml:space="preserve"> October, 15</w:t>
      </w:r>
      <w:r w:rsidRPr="00A81BAD">
        <w:rPr>
          <w:rFonts w:asciiTheme="minorBidi" w:hAnsiTheme="minorBidi" w:cstheme="minorBidi"/>
          <w:color w:val="000000" w:themeColor="text1"/>
          <w:sz w:val="20"/>
          <w:szCs w:val="22"/>
          <w:vertAlign w:val="superscript"/>
        </w:rPr>
        <w:t>th</w:t>
      </w:r>
      <w:r w:rsidRPr="00A81BAD">
        <w:rPr>
          <w:rFonts w:asciiTheme="minorBidi" w:hAnsiTheme="minorBidi" w:cstheme="minorBidi"/>
          <w:color w:val="000000" w:themeColor="text1"/>
          <w:sz w:val="20"/>
          <w:szCs w:val="22"/>
        </w:rPr>
        <w:t xml:space="preserve"> November, 30</w:t>
      </w:r>
      <w:r w:rsidRPr="00A81BAD">
        <w:rPr>
          <w:rFonts w:asciiTheme="minorBidi" w:hAnsiTheme="minorBidi" w:cstheme="minorBidi"/>
          <w:color w:val="000000" w:themeColor="text1"/>
          <w:sz w:val="20"/>
          <w:szCs w:val="22"/>
          <w:vertAlign w:val="superscript"/>
        </w:rPr>
        <w:t>th</w:t>
      </w:r>
      <w:r w:rsidRPr="00A81BAD">
        <w:rPr>
          <w:rFonts w:asciiTheme="minorBidi" w:hAnsiTheme="minorBidi" w:cstheme="minorBidi"/>
          <w:color w:val="000000" w:themeColor="text1"/>
          <w:sz w:val="20"/>
          <w:szCs w:val="22"/>
        </w:rPr>
        <w:t xml:space="preserve"> November, 15</w:t>
      </w:r>
      <w:r w:rsidRPr="00A81BAD">
        <w:rPr>
          <w:rFonts w:asciiTheme="minorBidi" w:hAnsiTheme="minorBidi" w:cstheme="minorBidi"/>
          <w:color w:val="000000" w:themeColor="text1"/>
          <w:sz w:val="20"/>
          <w:szCs w:val="22"/>
          <w:vertAlign w:val="superscript"/>
        </w:rPr>
        <w:t>th</w:t>
      </w:r>
      <w:r w:rsidRPr="00A81BAD">
        <w:rPr>
          <w:rFonts w:asciiTheme="minorBidi" w:hAnsiTheme="minorBidi" w:cstheme="minorBidi"/>
          <w:color w:val="000000" w:themeColor="text1"/>
          <w:sz w:val="20"/>
          <w:szCs w:val="22"/>
        </w:rPr>
        <w:t xml:space="preserve"> December) for c</w:t>
      </w:r>
      <w:r w:rsidRPr="00A81BAD">
        <w:rPr>
          <w:rFonts w:asciiTheme="minorBidi" w:hAnsiTheme="minorBidi" w:cstheme="minorBidi"/>
          <w:color w:val="000000" w:themeColor="text1"/>
          <w:sz w:val="20"/>
          <w:szCs w:val="22"/>
        </w:rPr>
        <w:t xml:space="preserve">onsecutive four years, it was suggested that these genotypes are stress tolerant in all the late sown conditions for almost all characters. </w:t>
      </w:r>
      <w:r w:rsidRPr="00A81BAD">
        <w:rPr>
          <w:rFonts w:asciiTheme="minorBidi" w:hAnsiTheme="minorBidi" w:cstheme="minorBidi"/>
          <w:color w:val="000000" w:themeColor="text1"/>
          <w:sz w:val="20"/>
          <w:szCs w:val="20"/>
          <w:lang w:val="en-US"/>
        </w:rPr>
        <w:t>These genotypes can be utilized under stressed environment for higher yield along with stable performance and to dev</w:t>
      </w:r>
      <w:r w:rsidRPr="00A81BAD">
        <w:rPr>
          <w:rFonts w:asciiTheme="minorBidi" w:hAnsiTheme="minorBidi" w:cstheme="minorBidi"/>
          <w:color w:val="000000" w:themeColor="text1"/>
          <w:sz w:val="20"/>
          <w:szCs w:val="20"/>
          <w:lang w:val="en-US"/>
        </w:rPr>
        <w:t xml:space="preserve">elop </w:t>
      </w:r>
      <w:r w:rsidRPr="00A81BAD">
        <w:rPr>
          <w:rFonts w:asciiTheme="minorBidi" w:hAnsiTheme="minorBidi" w:cstheme="minorBidi"/>
          <w:color w:val="000000" w:themeColor="text1"/>
          <w:sz w:val="20"/>
          <w:szCs w:val="20"/>
        </w:rPr>
        <w:t xml:space="preserve">stable strains having wider adaptability for different sowing times. </w:t>
      </w:r>
    </w:p>
    <w:p w14:paraId="7167BDAB" w14:textId="77777777" w:rsidR="0028523F" w:rsidRPr="00A81BAD" w:rsidRDefault="0028523F" w:rsidP="005621C8">
      <w:pPr>
        <w:spacing w:line="360" w:lineRule="auto"/>
        <w:jc w:val="both"/>
        <w:rPr>
          <w:rFonts w:asciiTheme="minorBidi" w:hAnsiTheme="minorBidi" w:cstheme="minorBidi"/>
          <w:b/>
          <w:bCs/>
          <w:color w:val="000000" w:themeColor="text1"/>
          <w:sz w:val="22"/>
          <w:szCs w:val="24"/>
          <w:lang w:val="en-US"/>
        </w:rPr>
      </w:pPr>
    </w:p>
    <w:p w14:paraId="5559C9CC" w14:textId="2004C0DE" w:rsidR="006F00CC" w:rsidRPr="00A81BAD" w:rsidRDefault="000E4B23" w:rsidP="005621C8">
      <w:pPr>
        <w:spacing w:line="360" w:lineRule="auto"/>
        <w:jc w:val="both"/>
        <w:rPr>
          <w:rFonts w:asciiTheme="minorBidi" w:hAnsiTheme="minorBidi" w:cstheme="minorBidi"/>
          <w:b/>
          <w:bCs/>
          <w:color w:val="000000" w:themeColor="text1"/>
          <w:sz w:val="22"/>
          <w:szCs w:val="24"/>
          <w:lang w:val="en-US"/>
        </w:rPr>
      </w:pPr>
      <w:r w:rsidRPr="00A81BAD">
        <w:rPr>
          <w:rFonts w:asciiTheme="minorBidi" w:hAnsiTheme="minorBidi" w:cstheme="minorBidi"/>
          <w:b/>
          <w:bCs/>
          <w:color w:val="000000" w:themeColor="text1"/>
          <w:sz w:val="22"/>
          <w:szCs w:val="24"/>
          <w:lang w:val="en-US"/>
        </w:rPr>
        <w:t>REFERENCES</w:t>
      </w:r>
    </w:p>
    <w:p w14:paraId="709F8088" w14:textId="77777777" w:rsidR="006F00CC" w:rsidRPr="00A81BAD" w:rsidRDefault="000E4B23">
      <w:pPr>
        <w:pStyle w:val="ListParagraph"/>
        <w:numPr>
          <w:ilvl w:val="0"/>
          <w:numId w:val="6"/>
        </w:numPr>
        <w:spacing w:line="240" w:lineRule="auto"/>
        <w:ind w:left="36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Bains</w:t>
      </w:r>
      <w:r w:rsidRPr="00A81BAD">
        <w:rPr>
          <w:rFonts w:asciiTheme="minorBidi" w:hAnsiTheme="minorBidi" w:cstheme="minorBidi"/>
          <w:color w:val="000000" w:themeColor="text1"/>
          <w:sz w:val="20"/>
          <w:szCs w:val="22"/>
        </w:rPr>
        <w:t>, K. S. and V. R. Gupta. Stability of yield and yield components in bread wheat. Indian J. Genet., 1972; 32: 306-312.</w:t>
      </w:r>
    </w:p>
    <w:p w14:paraId="3212D10D" w14:textId="77777777" w:rsidR="006F00CC" w:rsidRPr="00A81BAD" w:rsidRDefault="000E4B23">
      <w:pPr>
        <w:pStyle w:val="ListParagraph"/>
        <w:numPr>
          <w:ilvl w:val="0"/>
          <w:numId w:val="6"/>
        </w:numPr>
        <w:spacing w:line="240" w:lineRule="auto"/>
        <w:ind w:left="36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Eberhart</w:t>
      </w:r>
      <w:r w:rsidRPr="00A81BAD">
        <w:rPr>
          <w:rFonts w:asciiTheme="minorBidi" w:hAnsiTheme="minorBidi" w:cstheme="minorBidi"/>
          <w:color w:val="000000" w:themeColor="text1"/>
          <w:sz w:val="20"/>
          <w:szCs w:val="22"/>
        </w:rPr>
        <w:t xml:space="preserve"> S. A. and W. A. Russell. Stability </w:t>
      </w:r>
      <w:r w:rsidRPr="00A81BAD">
        <w:rPr>
          <w:rFonts w:asciiTheme="minorBidi" w:hAnsiTheme="minorBidi" w:cstheme="minorBidi"/>
          <w:color w:val="000000" w:themeColor="text1"/>
          <w:sz w:val="20"/>
          <w:szCs w:val="22"/>
        </w:rPr>
        <w:t>parameter for comparing varieties. Crop Sci. 1966; 6:36-40.</w:t>
      </w:r>
    </w:p>
    <w:p w14:paraId="16EAAC14" w14:textId="77777777" w:rsidR="006F00CC" w:rsidRPr="00A81BAD" w:rsidRDefault="000E4B23">
      <w:pPr>
        <w:pStyle w:val="ListParagraph"/>
        <w:numPr>
          <w:ilvl w:val="0"/>
          <w:numId w:val="6"/>
        </w:numPr>
        <w:spacing w:line="240" w:lineRule="auto"/>
        <w:ind w:left="36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Finlay</w:t>
      </w:r>
      <w:r w:rsidRPr="00A81BAD">
        <w:rPr>
          <w:rFonts w:asciiTheme="minorBidi" w:hAnsiTheme="minorBidi" w:cstheme="minorBidi"/>
          <w:color w:val="000000" w:themeColor="text1"/>
          <w:sz w:val="20"/>
          <w:szCs w:val="22"/>
        </w:rPr>
        <w:t>, K. W. and G. N. Wilkinson. Analysis of adaptation in a plant breeding programme. Aust. J. agric. Res., 1963; 14: 742-754.</w:t>
      </w:r>
    </w:p>
    <w:p w14:paraId="43D83243" w14:textId="77777777" w:rsidR="006F00CC" w:rsidRPr="00A81BAD" w:rsidRDefault="000E4B23">
      <w:pPr>
        <w:pStyle w:val="ListParagraph"/>
        <w:numPr>
          <w:ilvl w:val="0"/>
          <w:numId w:val="6"/>
        </w:numPr>
        <w:spacing w:line="240" w:lineRule="auto"/>
        <w:ind w:left="36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 xml:space="preserve">Freeman, G. H. and Perkins, J. M. Environmental and </w:t>
      </w:r>
      <w:r w:rsidRPr="00A81BAD">
        <w:rPr>
          <w:rFonts w:asciiTheme="minorBidi" w:hAnsiTheme="minorBidi" w:cstheme="minorBidi"/>
          <w:color w:val="000000" w:themeColor="text1"/>
          <w:sz w:val="20"/>
          <w:szCs w:val="22"/>
        </w:rPr>
        <w:t>Genotype-environmental components of variability VIII. Relations between genotypes grown in different environments and measures of these environments. Heredity, 1971; 27: 15-23.</w:t>
      </w:r>
    </w:p>
    <w:p w14:paraId="580D1A9E" w14:textId="77777777" w:rsidR="006F00CC" w:rsidRPr="00A81BAD" w:rsidRDefault="000E4B23">
      <w:pPr>
        <w:pStyle w:val="ListParagraph"/>
        <w:numPr>
          <w:ilvl w:val="0"/>
          <w:numId w:val="6"/>
        </w:numPr>
        <w:spacing w:line="240" w:lineRule="auto"/>
        <w:ind w:left="36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Gupta</w:t>
      </w:r>
      <w:r w:rsidRPr="00A81BAD">
        <w:rPr>
          <w:rFonts w:asciiTheme="minorBidi" w:hAnsiTheme="minorBidi" w:cstheme="minorBidi"/>
          <w:color w:val="000000" w:themeColor="text1"/>
          <w:sz w:val="20"/>
          <w:szCs w:val="22"/>
        </w:rPr>
        <w:t xml:space="preserve"> M., R. D. S. Yadav, S. C. Vimal, D. Katiyar and J. Bhati. Stability beha</w:t>
      </w:r>
      <w:r w:rsidRPr="00A81BAD">
        <w:rPr>
          <w:rFonts w:asciiTheme="minorBidi" w:hAnsiTheme="minorBidi" w:cstheme="minorBidi"/>
          <w:color w:val="000000" w:themeColor="text1"/>
          <w:sz w:val="20"/>
          <w:szCs w:val="22"/>
        </w:rPr>
        <w:t>viour in Indian mustard (</w:t>
      </w:r>
      <w:r w:rsidRPr="00A81BAD">
        <w:rPr>
          <w:rFonts w:asciiTheme="minorBidi" w:hAnsiTheme="minorBidi" w:cstheme="minorBidi"/>
          <w:i/>
          <w:iCs/>
          <w:color w:val="000000" w:themeColor="text1"/>
          <w:sz w:val="20"/>
          <w:szCs w:val="22"/>
        </w:rPr>
        <w:t>Brassica juncea</w:t>
      </w:r>
      <w:r w:rsidRPr="00A81BAD">
        <w:rPr>
          <w:rFonts w:asciiTheme="minorBidi" w:hAnsiTheme="minorBidi" w:cstheme="minorBidi"/>
          <w:color w:val="000000" w:themeColor="text1"/>
          <w:sz w:val="20"/>
          <w:szCs w:val="22"/>
        </w:rPr>
        <w:t xml:space="preserve"> L.). J. Pharm. Innov., 2021; 10(4): 802-806.</w:t>
      </w:r>
    </w:p>
    <w:p w14:paraId="09C2F6EB" w14:textId="77777777" w:rsidR="006F00CC" w:rsidRPr="00A81BAD" w:rsidRDefault="000E4B23">
      <w:pPr>
        <w:pStyle w:val="ListParagraph"/>
        <w:numPr>
          <w:ilvl w:val="0"/>
          <w:numId w:val="6"/>
        </w:numPr>
        <w:spacing w:line="240" w:lineRule="auto"/>
        <w:ind w:left="36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Ingole</w:t>
      </w:r>
      <w:r w:rsidRPr="00A81BAD">
        <w:rPr>
          <w:rFonts w:asciiTheme="minorBidi" w:hAnsiTheme="minorBidi" w:cstheme="minorBidi"/>
          <w:color w:val="000000" w:themeColor="text1"/>
          <w:sz w:val="20"/>
          <w:szCs w:val="22"/>
        </w:rPr>
        <w:t xml:space="preserve">, H. P., S. R. </w:t>
      </w:r>
      <w:proofErr w:type="spellStart"/>
      <w:r w:rsidRPr="00A81BAD">
        <w:rPr>
          <w:rFonts w:asciiTheme="minorBidi" w:hAnsiTheme="minorBidi" w:cstheme="minorBidi"/>
          <w:color w:val="000000" w:themeColor="text1"/>
          <w:sz w:val="20"/>
          <w:szCs w:val="22"/>
        </w:rPr>
        <w:t>Kamdi</w:t>
      </w:r>
      <w:proofErr w:type="spellEnd"/>
      <w:r w:rsidRPr="00A81BAD">
        <w:rPr>
          <w:rFonts w:asciiTheme="minorBidi" w:hAnsiTheme="minorBidi" w:cstheme="minorBidi"/>
          <w:color w:val="000000" w:themeColor="text1"/>
          <w:sz w:val="20"/>
          <w:szCs w:val="22"/>
        </w:rPr>
        <w:t xml:space="preserve">, Shanti R. Patil, S. S. </w:t>
      </w:r>
      <w:proofErr w:type="spellStart"/>
      <w:r w:rsidRPr="00A81BAD">
        <w:rPr>
          <w:rFonts w:asciiTheme="minorBidi" w:hAnsiTheme="minorBidi" w:cstheme="minorBidi"/>
          <w:color w:val="000000" w:themeColor="text1"/>
          <w:sz w:val="20"/>
          <w:szCs w:val="22"/>
        </w:rPr>
        <w:t>Bhure</w:t>
      </w:r>
      <w:proofErr w:type="spellEnd"/>
      <w:r w:rsidRPr="00A81BAD">
        <w:rPr>
          <w:rFonts w:asciiTheme="minorBidi" w:hAnsiTheme="minorBidi" w:cstheme="minorBidi"/>
          <w:color w:val="000000" w:themeColor="text1"/>
          <w:sz w:val="20"/>
          <w:szCs w:val="22"/>
        </w:rPr>
        <w:t xml:space="preserve">, </w:t>
      </w:r>
      <w:proofErr w:type="spellStart"/>
      <w:r w:rsidRPr="00A81BAD">
        <w:rPr>
          <w:rFonts w:asciiTheme="minorBidi" w:hAnsiTheme="minorBidi" w:cstheme="minorBidi"/>
          <w:color w:val="000000" w:themeColor="text1"/>
          <w:sz w:val="20"/>
          <w:szCs w:val="22"/>
        </w:rPr>
        <w:t>Aditi</w:t>
      </w:r>
      <w:proofErr w:type="spellEnd"/>
      <w:r w:rsidRPr="00A81BAD">
        <w:rPr>
          <w:rFonts w:asciiTheme="minorBidi" w:hAnsiTheme="minorBidi" w:cstheme="minorBidi"/>
          <w:color w:val="000000" w:themeColor="text1"/>
          <w:sz w:val="20"/>
          <w:szCs w:val="22"/>
        </w:rPr>
        <w:t xml:space="preserve"> S. Deshmukh and D. S. </w:t>
      </w:r>
      <w:proofErr w:type="spellStart"/>
      <w:r w:rsidRPr="00A81BAD">
        <w:rPr>
          <w:rFonts w:asciiTheme="minorBidi" w:hAnsiTheme="minorBidi" w:cstheme="minorBidi"/>
          <w:color w:val="000000" w:themeColor="text1"/>
          <w:sz w:val="20"/>
          <w:szCs w:val="22"/>
        </w:rPr>
        <w:t>Thikare</w:t>
      </w:r>
      <w:proofErr w:type="spellEnd"/>
      <w:r w:rsidRPr="00A81BAD">
        <w:rPr>
          <w:rFonts w:asciiTheme="minorBidi" w:hAnsiTheme="minorBidi" w:cstheme="minorBidi"/>
          <w:color w:val="000000" w:themeColor="text1"/>
          <w:sz w:val="20"/>
          <w:szCs w:val="22"/>
        </w:rPr>
        <w:t>. Stability analysis in Indian mustard. J. Soils and Crops., 2021; 31(2): 360</w:t>
      </w:r>
      <w:r w:rsidRPr="00A81BAD">
        <w:rPr>
          <w:rFonts w:asciiTheme="minorBidi" w:hAnsiTheme="minorBidi" w:cstheme="minorBidi"/>
          <w:color w:val="000000" w:themeColor="text1"/>
          <w:sz w:val="20"/>
          <w:szCs w:val="22"/>
        </w:rPr>
        <w:t>-364.</w:t>
      </w:r>
    </w:p>
    <w:p w14:paraId="17874ED8" w14:textId="77777777" w:rsidR="006F00CC" w:rsidRPr="00A81BAD" w:rsidRDefault="000E4B23">
      <w:pPr>
        <w:pStyle w:val="ListParagraph"/>
        <w:numPr>
          <w:ilvl w:val="0"/>
          <w:numId w:val="6"/>
        </w:numPr>
        <w:spacing w:line="240" w:lineRule="auto"/>
        <w:ind w:left="36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Jakha</w:t>
      </w:r>
      <w:r w:rsidRPr="00A81BAD">
        <w:rPr>
          <w:rFonts w:asciiTheme="minorBidi" w:hAnsiTheme="minorBidi" w:cstheme="minorBidi"/>
          <w:color w:val="000000" w:themeColor="text1"/>
          <w:sz w:val="20"/>
          <w:szCs w:val="22"/>
        </w:rPr>
        <w:t xml:space="preserve">r M. L. and S. S. Yadava. Stability analysis for seed yield and its component characters in </w:t>
      </w:r>
      <w:proofErr w:type="spellStart"/>
      <w:r w:rsidRPr="00A81BAD">
        <w:rPr>
          <w:rFonts w:asciiTheme="minorBidi" w:hAnsiTheme="minorBidi" w:cstheme="minorBidi"/>
          <w:color w:val="000000" w:themeColor="text1"/>
          <w:sz w:val="20"/>
          <w:szCs w:val="22"/>
        </w:rPr>
        <w:t>taramira</w:t>
      </w:r>
      <w:proofErr w:type="spellEnd"/>
      <w:r w:rsidRPr="00A81BAD">
        <w:rPr>
          <w:rFonts w:asciiTheme="minorBidi" w:hAnsiTheme="minorBidi" w:cstheme="minorBidi"/>
          <w:color w:val="000000" w:themeColor="text1"/>
          <w:sz w:val="20"/>
          <w:szCs w:val="22"/>
        </w:rPr>
        <w:t xml:space="preserve"> (</w:t>
      </w:r>
      <w:proofErr w:type="spellStart"/>
      <w:r w:rsidRPr="00A81BAD">
        <w:rPr>
          <w:rFonts w:asciiTheme="minorBidi" w:hAnsiTheme="minorBidi" w:cstheme="minorBidi"/>
          <w:i/>
          <w:iCs/>
          <w:color w:val="000000" w:themeColor="text1"/>
          <w:sz w:val="20"/>
          <w:szCs w:val="22"/>
        </w:rPr>
        <w:t>Eruca</w:t>
      </w:r>
      <w:proofErr w:type="spellEnd"/>
      <w:r w:rsidRPr="00A81BAD">
        <w:rPr>
          <w:rFonts w:asciiTheme="minorBidi" w:hAnsiTheme="minorBidi" w:cstheme="minorBidi"/>
          <w:i/>
          <w:iCs/>
          <w:color w:val="000000" w:themeColor="text1"/>
          <w:sz w:val="20"/>
          <w:szCs w:val="22"/>
        </w:rPr>
        <w:t xml:space="preserve"> </w:t>
      </w:r>
      <w:proofErr w:type="spellStart"/>
      <w:r w:rsidRPr="00A81BAD">
        <w:rPr>
          <w:rFonts w:asciiTheme="minorBidi" w:hAnsiTheme="minorBidi" w:cstheme="minorBidi"/>
          <w:i/>
          <w:iCs/>
          <w:color w:val="000000" w:themeColor="text1"/>
          <w:sz w:val="20"/>
          <w:szCs w:val="22"/>
        </w:rPr>
        <w:t>sativa</w:t>
      </w:r>
      <w:proofErr w:type="spellEnd"/>
      <w:r w:rsidRPr="00A81BAD">
        <w:rPr>
          <w:rFonts w:asciiTheme="minorBidi" w:hAnsiTheme="minorBidi" w:cstheme="minorBidi"/>
          <w:color w:val="000000" w:themeColor="text1"/>
          <w:sz w:val="20"/>
          <w:szCs w:val="22"/>
        </w:rPr>
        <w:t xml:space="preserve"> Mill.). J. Oilseed Brassica, 2010; 1(1): 28-32.</w:t>
      </w:r>
    </w:p>
    <w:p w14:paraId="3CE87429" w14:textId="77777777" w:rsidR="006F00CC" w:rsidRPr="00A81BAD" w:rsidRDefault="000E4B23">
      <w:pPr>
        <w:pStyle w:val="ListParagraph"/>
        <w:numPr>
          <w:ilvl w:val="0"/>
          <w:numId w:val="6"/>
        </w:numPr>
        <w:spacing w:line="240" w:lineRule="auto"/>
        <w:ind w:left="360"/>
        <w:jc w:val="both"/>
        <w:rPr>
          <w:rFonts w:asciiTheme="minorBidi" w:hAnsiTheme="minorBidi" w:cstheme="minorBidi"/>
          <w:color w:val="000000" w:themeColor="text1"/>
          <w:sz w:val="20"/>
          <w:szCs w:val="22"/>
        </w:rPr>
      </w:pPr>
      <w:proofErr w:type="spellStart"/>
      <w:r w:rsidRPr="00A81BAD">
        <w:rPr>
          <w:rFonts w:asciiTheme="minorBidi" w:hAnsiTheme="minorBidi" w:cstheme="minorBidi"/>
          <w:color w:val="000000" w:themeColor="text1"/>
          <w:sz w:val="20"/>
          <w:szCs w:val="22"/>
        </w:rPr>
        <w:t>Kamdi</w:t>
      </w:r>
      <w:proofErr w:type="spellEnd"/>
      <w:r w:rsidRPr="00A81BAD">
        <w:rPr>
          <w:rFonts w:asciiTheme="minorBidi" w:hAnsiTheme="minorBidi" w:cstheme="minorBidi"/>
          <w:color w:val="000000" w:themeColor="text1"/>
          <w:sz w:val="20"/>
          <w:szCs w:val="22"/>
        </w:rPr>
        <w:t xml:space="preserve"> S., H. Ingole, S. </w:t>
      </w:r>
      <w:proofErr w:type="spellStart"/>
      <w:r w:rsidRPr="00A81BAD">
        <w:rPr>
          <w:rFonts w:asciiTheme="minorBidi" w:hAnsiTheme="minorBidi" w:cstheme="minorBidi"/>
          <w:color w:val="000000" w:themeColor="text1"/>
          <w:sz w:val="20"/>
          <w:szCs w:val="22"/>
        </w:rPr>
        <w:t>Bhure</w:t>
      </w:r>
      <w:proofErr w:type="spellEnd"/>
      <w:r w:rsidRPr="00A81BAD">
        <w:rPr>
          <w:rFonts w:asciiTheme="minorBidi" w:hAnsiTheme="minorBidi" w:cstheme="minorBidi"/>
          <w:color w:val="000000" w:themeColor="text1"/>
          <w:sz w:val="20"/>
          <w:szCs w:val="22"/>
        </w:rPr>
        <w:t>, M. Meshram, D. Tajane and P. Patil. Stability analy</w:t>
      </w:r>
      <w:r w:rsidRPr="00A81BAD">
        <w:rPr>
          <w:rFonts w:asciiTheme="minorBidi" w:hAnsiTheme="minorBidi" w:cstheme="minorBidi"/>
          <w:color w:val="000000" w:themeColor="text1"/>
          <w:sz w:val="20"/>
          <w:szCs w:val="22"/>
        </w:rPr>
        <w:t>sis in Indian mustard. J. Pharm. Innov., 2022; 11(7): 4351-4354.</w:t>
      </w:r>
    </w:p>
    <w:p w14:paraId="3CBD0B82" w14:textId="77777777" w:rsidR="006F00CC" w:rsidRPr="00A81BAD" w:rsidRDefault="000E4B23">
      <w:pPr>
        <w:pStyle w:val="ListParagraph"/>
        <w:numPr>
          <w:ilvl w:val="0"/>
          <w:numId w:val="6"/>
        </w:numPr>
        <w:spacing w:line="240" w:lineRule="auto"/>
        <w:ind w:left="36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Kana</w:t>
      </w:r>
      <w:r w:rsidRPr="00A81BAD">
        <w:rPr>
          <w:rFonts w:asciiTheme="minorBidi" w:hAnsiTheme="minorBidi" w:cstheme="minorBidi"/>
          <w:color w:val="000000" w:themeColor="text1"/>
          <w:sz w:val="20"/>
          <w:szCs w:val="22"/>
        </w:rPr>
        <w:t xml:space="preserve"> Rama, R. </w:t>
      </w:r>
      <w:proofErr w:type="spellStart"/>
      <w:r w:rsidRPr="00A81BAD">
        <w:rPr>
          <w:rFonts w:asciiTheme="minorBidi" w:hAnsiTheme="minorBidi" w:cstheme="minorBidi"/>
          <w:color w:val="000000" w:themeColor="text1"/>
          <w:sz w:val="20"/>
          <w:szCs w:val="22"/>
        </w:rPr>
        <w:t>Mundiyara</w:t>
      </w:r>
      <w:proofErr w:type="spellEnd"/>
      <w:r w:rsidRPr="00A81BAD">
        <w:rPr>
          <w:rFonts w:asciiTheme="minorBidi" w:hAnsiTheme="minorBidi" w:cstheme="minorBidi"/>
          <w:color w:val="000000" w:themeColor="text1"/>
          <w:sz w:val="20"/>
          <w:szCs w:val="22"/>
        </w:rPr>
        <w:t xml:space="preserve"> and K. C. Sharma. Stability Analysis in Mustard [</w:t>
      </w:r>
      <w:r w:rsidRPr="00A81BAD">
        <w:rPr>
          <w:rFonts w:asciiTheme="minorBidi" w:hAnsiTheme="minorBidi" w:cstheme="minorBidi"/>
          <w:i/>
          <w:iCs/>
          <w:color w:val="000000" w:themeColor="text1"/>
          <w:sz w:val="20"/>
          <w:szCs w:val="22"/>
        </w:rPr>
        <w:t>Brassica jun</w:t>
      </w:r>
      <w:bookmarkStart w:id="29" w:name="_GoBack"/>
      <w:bookmarkEnd w:id="29"/>
      <w:r w:rsidRPr="00A81BAD">
        <w:rPr>
          <w:rFonts w:asciiTheme="minorBidi" w:hAnsiTheme="minorBidi" w:cstheme="minorBidi"/>
          <w:i/>
          <w:iCs/>
          <w:color w:val="000000" w:themeColor="text1"/>
          <w:sz w:val="20"/>
          <w:szCs w:val="22"/>
        </w:rPr>
        <w:t>cea</w:t>
      </w:r>
      <w:r w:rsidRPr="00A81BAD">
        <w:rPr>
          <w:rFonts w:asciiTheme="minorBidi" w:hAnsiTheme="minorBidi" w:cstheme="minorBidi"/>
          <w:color w:val="000000" w:themeColor="text1"/>
          <w:sz w:val="20"/>
          <w:szCs w:val="22"/>
        </w:rPr>
        <w:t xml:space="preserve"> (L.) </w:t>
      </w:r>
      <w:proofErr w:type="spellStart"/>
      <w:r w:rsidRPr="00A81BAD">
        <w:rPr>
          <w:rFonts w:asciiTheme="minorBidi" w:hAnsiTheme="minorBidi" w:cstheme="minorBidi"/>
          <w:i/>
          <w:iCs/>
          <w:color w:val="000000" w:themeColor="text1"/>
          <w:sz w:val="20"/>
          <w:szCs w:val="22"/>
        </w:rPr>
        <w:t>Czern</w:t>
      </w:r>
      <w:proofErr w:type="spellEnd"/>
      <w:r w:rsidRPr="00A81BAD">
        <w:rPr>
          <w:rFonts w:asciiTheme="minorBidi" w:hAnsiTheme="minorBidi" w:cstheme="minorBidi"/>
          <w:color w:val="000000" w:themeColor="text1"/>
          <w:sz w:val="20"/>
          <w:szCs w:val="22"/>
        </w:rPr>
        <w:t xml:space="preserve"> &amp; </w:t>
      </w:r>
      <w:proofErr w:type="spellStart"/>
      <w:r w:rsidRPr="00A81BAD">
        <w:rPr>
          <w:rFonts w:asciiTheme="minorBidi" w:hAnsiTheme="minorBidi" w:cstheme="minorBidi"/>
          <w:i/>
          <w:iCs/>
          <w:color w:val="000000" w:themeColor="text1"/>
          <w:sz w:val="20"/>
          <w:szCs w:val="22"/>
        </w:rPr>
        <w:t>Coss</w:t>
      </w:r>
      <w:proofErr w:type="spellEnd"/>
      <w:r w:rsidRPr="00A81BAD">
        <w:rPr>
          <w:rFonts w:asciiTheme="minorBidi" w:hAnsiTheme="minorBidi" w:cstheme="minorBidi"/>
          <w:color w:val="000000" w:themeColor="text1"/>
          <w:sz w:val="20"/>
          <w:szCs w:val="22"/>
        </w:rPr>
        <w:t xml:space="preserve">]. </w:t>
      </w:r>
      <w:proofErr w:type="spellStart"/>
      <w:r w:rsidRPr="00A81BAD">
        <w:rPr>
          <w:rFonts w:asciiTheme="minorBidi" w:hAnsiTheme="minorBidi" w:cstheme="minorBidi"/>
          <w:color w:val="000000" w:themeColor="text1"/>
          <w:sz w:val="20"/>
          <w:szCs w:val="22"/>
        </w:rPr>
        <w:t>Biosci</w:t>
      </w:r>
      <w:proofErr w:type="spellEnd"/>
      <w:r w:rsidRPr="00A81BAD">
        <w:rPr>
          <w:rFonts w:asciiTheme="minorBidi" w:hAnsiTheme="minorBidi" w:cstheme="minorBidi"/>
          <w:color w:val="000000" w:themeColor="text1"/>
          <w:sz w:val="20"/>
          <w:szCs w:val="22"/>
        </w:rPr>
        <w:t>. Trends., 2016; 9(11): 675-681.</w:t>
      </w:r>
    </w:p>
    <w:p w14:paraId="3B6F400F" w14:textId="77777777" w:rsidR="006F00CC" w:rsidRPr="00A81BAD" w:rsidRDefault="000E4B23">
      <w:pPr>
        <w:pStyle w:val="ListParagraph"/>
        <w:numPr>
          <w:ilvl w:val="0"/>
          <w:numId w:val="6"/>
        </w:numPr>
        <w:spacing w:line="240" w:lineRule="auto"/>
        <w:ind w:left="36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Kumawat</w:t>
      </w:r>
      <w:r w:rsidRPr="00A81BAD">
        <w:rPr>
          <w:rFonts w:asciiTheme="minorBidi" w:hAnsiTheme="minorBidi" w:cstheme="minorBidi"/>
          <w:color w:val="000000" w:themeColor="text1"/>
          <w:sz w:val="20"/>
          <w:szCs w:val="22"/>
        </w:rPr>
        <w:t xml:space="preserve"> G. and S. Sharma. Stability analysi</w:t>
      </w:r>
      <w:r w:rsidRPr="00A81BAD">
        <w:rPr>
          <w:rFonts w:asciiTheme="minorBidi" w:hAnsiTheme="minorBidi" w:cstheme="minorBidi"/>
          <w:color w:val="000000" w:themeColor="text1"/>
          <w:sz w:val="20"/>
          <w:szCs w:val="22"/>
        </w:rPr>
        <w:t>s in Indian mustard (</w:t>
      </w:r>
      <w:r w:rsidRPr="00A81BAD">
        <w:rPr>
          <w:rFonts w:asciiTheme="minorBidi" w:hAnsiTheme="minorBidi" w:cstheme="minorBidi"/>
          <w:i/>
          <w:iCs/>
          <w:color w:val="000000" w:themeColor="text1"/>
          <w:sz w:val="20"/>
          <w:szCs w:val="22"/>
        </w:rPr>
        <w:t>Brassica juncea</w:t>
      </w:r>
      <w:r w:rsidRPr="00A81BAD">
        <w:rPr>
          <w:rFonts w:asciiTheme="minorBidi" w:hAnsiTheme="minorBidi" w:cstheme="minorBidi"/>
          <w:color w:val="000000" w:themeColor="text1"/>
          <w:sz w:val="20"/>
          <w:szCs w:val="22"/>
        </w:rPr>
        <w:t xml:space="preserve"> (L.)] varieties. J. Pharm. Innov., 2022; 11(11): 797-801.</w:t>
      </w:r>
    </w:p>
    <w:p w14:paraId="35F96461" w14:textId="77777777" w:rsidR="006F00CC" w:rsidRPr="00A81BAD" w:rsidRDefault="000E4B23">
      <w:pPr>
        <w:pStyle w:val="ListParagraph"/>
        <w:numPr>
          <w:ilvl w:val="0"/>
          <w:numId w:val="6"/>
        </w:numPr>
        <w:spacing w:line="240" w:lineRule="auto"/>
        <w:ind w:left="36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t xml:space="preserve">Panse V. G. and P. V. </w:t>
      </w:r>
      <w:proofErr w:type="spellStart"/>
      <w:r w:rsidRPr="00A81BAD">
        <w:rPr>
          <w:rFonts w:asciiTheme="minorBidi" w:hAnsiTheme="minorBidi" w:cstheme="minorBidi"/>
          <w:color w:val="000000" w:themeColor="text1"/>
          <w:sz w:val="20"/>
          <w:szCs w:val="22"/>
        </w:rPr>
        <w:t>Sukhatme</w:t>
      </w:r>
      <w:proofErr w:type="spellEnd"/>
      <w:r w:rsidRPr="00A81BAD">
        <w:rPr>
          <w:rFonts w:asciiTheme="minorBidi" w:hAnsiTheme="minorBidi" w:cstheme="minorBidi"/>
          <w:color w:val="000000" w:themeColor="text1"/>
          <w:sz w:val="20"/>
          <w:szCs w:val="22"/>
        </w:rPr>
        <w:t>. Statistical method for agricultural workers, Indian Council of Agricultural Research, New Delhi, 1954; 54-57.</w:t>
      </w:r>
    </w:p>
    <w:p w14:paraId="3B8CAA6A" w14:textId="77777777" w:rsidR="006F00CC" w:rsidRPr="00A81BAD" w:rsidRDefault="000E4B23">
      <w:pPr>
        <w:pStyle w:val="ListParagraph"/>
        <w:numPr>
          <w:ilvl w:val="0"/>
          <w:numId w:val="6"/>
        </w:numPr>
        <w:spacing w:line="240" w:lineRule="auto"/>
        <w:ind w:left="360"/>
        <w:jc w:val="both"/>
        <w:rPr>
          <w:rFonts w:asciiTheme="minorBidi" w:hAnsiTheme="minorBidi" w:cstheme="minorBidi"/>
          <w:color w:val="000000" w:themeColor="text1"/>
          <w:sz w:val="20"/>
          <w:szCs w:val="22"/>
        </w:rPr>
      </w:pPr>
      <w:r w:rsidRPr="00A81BAD">
        <w:rPr>
          <w:rFonts w:asciiTheme="minorBidi" w:hAnsiTheme="minorBidi" w:cstheme="minorBidi"/>
          <w:color w:val="000000" w:themeColor="text1"/>
          <w:sz w:val="20"/>
          <w:szCs w:val="22"/>
        </w:rPr>
        <w:lastRenderedPageBreak/>
        <w:t>Perkins</w:t>
      </w:r>
      <w:r w:rsidRPr="00A81BAD">
        <w:rPr>
          <w:rFonts w:asciiTheme="minorBidi" w:hAnsiTheme="minorBidi" w:cstheme="minorBidi"/>
          <w:color w:val="000000" w:themeColor="text1"/>
          <w:sz w:val="20"/>
          <w:szCs w:val="22"/>
        </w:rPr>
        <w:t xml:space="preserve">, J. M. and </w:t>
      </w:r>
      <w:r w:rsidRPr="00A81BAD">
        <w:rPr>
          <w:rFonts w:asciiTheme="minorBidi" w:hAnsiTheme="minorBidi" w:cstheme="minorBidi"/>
          <w:color w:val="000000" w:themeColor="text1"/>
          <w:sz w:val="20"/>
          <w:szCs w:val="22"/>
        </w:rPr>
        <w:t>Jinks, J. L. Environmental and genotype environmental components of variability III. Multiple lines and crosses. Heredity, 1968; 23: 339-356.</w:t>
      </w:r>
    </w:p>
    <w:p w14:paraId="1E7281CC" w14:textId="77777777" w:rsidR="006F00CC" w:rsidRPr="00A81BAD" w:rsidRDefault="000E4B23">
      <w:pPr>
        <w:pStyle w:val="ListParagraph"/>
        <w:numPr>
          <w:ilvl w:val="0"/>
          <w:numId w:val="6"/>
        </w:numPr>
        <w:spacing w:line="240" w:lineRule="auto"/>
        <w:ind w:left="360"/>
        <w:jc w:val="both"/>
        <w:rPr>
          <w:rFonts w:asciiTheme="minorBidi" w:hAnsiTheme="minorBidi" w:cstheme="minorBidi"/>
          <w:color w:val="000000" w:themeColor="text1"/>
          <w:sz w:val="20"/>
          <w:szCs w:val="22"/>
        </w:rPr>
      </w:pPr>
      <w:proofErr w:type="spellStart"/>
      <w:r w:rsidRPr="00A81BAD">
        <w:rPr>
          <w:rFonts w:asciiTheme="minorBidi" w:hAnsiTheme="minorBidi" w:cstheme="minorBidi"/>
          <w:color w:val="000000" w:themeColor="text1"/>
          <w:sz w:val="20"/>
          <w:szCs w:val="22"/>
        </w:rPr>
        <w:t>Priyamedha</w:t>
      </w:r>
      <w:proofErr w:type="spellEnd"/>
      <w:r w:rsidRPr="00A81BAD">
        <w:rPr>
          <w:rFonts w:asciiTheme="minorBidi" w:hAnsiTheme="minorBidi" w:cstheme="minorBidi"/>
          <w:color w:val="000000" w:themeColor="text1"/>
          <w:sz w:val="20"/>
          <w:szCs w:val="22"/>
        </w:rPr>
        <w:t>, A. Kumar and Z. A. Haider. Stability for seed yield and component traits in Indian mustard (</w:t>
      </w:r>
      <w:r w:rsidRPr="00A81BAD">
        <w:rPr>
          <w:rFonts w:asciiTheme="minorBidi" w:hAnsiTheme="minorBidi" w:cstheme="minorBidi"/>
          <w:i/>
          <w:iCs/>
          <w:color w:val="000000" w:themeColor="text1"/>
          <w:sz w:val="20"/>
          <w:szCs w:val="22"/>
        </w:rPr>
        <w:t>Brassica j</w:t>
      </w:r>
      <w:r w:rsidRPr="00A81BAD">
        <w:rPr>
          <w:rFonts w:asciiTheme="minorBidi" w:hAnsiTheme="minorBidi" w:cstheme="minorBidi"/>
          <w:i/>
          <w:iCs/>
          <w:color w:val="000000" w:themeColor="text1"/>
          <w:sz w:val="20"/>
          <w:szCs w:val="22"/>
        </w:rPr>
        <w:t>uncea</w:t>
      </w:r>
      <w:r w:rsidRPr="00A81BAD">
        <w:rPr>
          <w:rFonts w:asciiTheme="minorBidi" w:hAnsiTheme="minorBidi" w:cstheme="minorBidi"/>
          <w:color w:val="000000" w:themeColor="text1"/>
          <w:sz w:val="20"/>
          <w:szCs w:val="22"/>
        </w:rPr>
        <w:t xml:space="preserve"> L.) under Jharkhand condition. J. Oilseed Brassica, 2017; 8(1): 37-42.</w:t>
      </w:r>
    </w:p>
    <w:p w14:paraId="29EA280E" w14:textId="77777777" w:rsidR="006F00CC" w:rsidRPr="00A81BAD" w:rsidRDefault="000E4B23">
      <w:pPr>
        <w:pStyle w:val="ListParagraph"/>
        <w:numPr>
          <w:ilvl w:val="0"/>
          <w:numId w:val="6"/>
        </w:numPr>
        <w:spacing w:line="240" w:lineRule="auto"/>
        <w:ind w:left="360"/>
        <w:jc w:val="both"/>
        <w:rPr>
          <w:rFonts w:asciiTheme="minorBidi" w:hAnsiTheme="minorBidi" w:cstheme="minorBidi"/>
          <w:color w:val="000000" w:themeColor="text1"/>
          <w:sz w:val="20"/>
          <w:szCs w:val="22"/>
        </w:rPr>
      </w:pPr>
      <w:proofErr w:type="spellStart"/>
      <w:r w:rsidRPr="00A81BAD">
        <w:rPr>
          <w:rFonts w:asciiTheme="minorBidi" w:hAnsiTheme="minorBidi" w:cstheme="minorBidi"/>
          <w:color w:val="000000" w:themeColor="text1"/>
          <w:sz w:val="20"/>
          <w:szCs w:val="22"/>
        </w:rPr>
        <w:t>Sagolsem</w:t>
      </w:r>
      <w:proofErr w:type="spellEnd"/>
      <w:r w:rsidRPr="00A81BAD">
        <w:rPr>
          <w:rFonts w:asciiTheme="minorBidi" w:hAnsiTheme="minorBidi" w:cstheme="minorBidi"/>
          <w:color w:val="000000" w:themeColor="text1"/>
          <w:sz w:val="20"/>
          <w:szCs w:val="22"/>
        </w:rPr>
        <w:t xml:space="preserve"> D., N. B. Singh, Th. Renuka Devi, S. H. Wani, A. </w:t>
      </w:r>
      <w:proofErr w:type="spellStart"/>
      <w:r w:rsidRPr="00A81BAD">
        <w:rPr>
          <w:rFonts w:asciiTheme="minorBidi" w:hAnsiTheme="minorBidi" w:cstheme="minorBidi"/>
          <w:color w:val="000000" w:themeColor="text1"/>
          <w:sz w:val="20"/>
          <w:szCs w:val="22"/>
        </w:rPr>
        <w:t>Haribhushan</w:t>
      </w:r>
      <w:proofErr w:type="spellEnd"/>
      <w:r w:rsidRPr="00A81BAD">
        <w:rPr>
          <w:rFonts w:asciiTheme="minorBidi" w:hAnsiTheme="minorBidi" w:cstheme="minorBidi"/>
          <w:color w:val="000000" w:themeColor="text1"/>
          <w:sz w:val="20"/>
          <w:szCs w:val="22"/>
        </w:rPr>
        <w:t>, N. G. Singh and J. M. Laishram. Genotype x environment interaction in Indian mustard (</w:t>
      </w:r>
      <w:r w:rsidRPr="00A81BAD">
        <w:rPr>
          <w:rFonts w:asciiTheme="minorBidi" w:hAnsiTheme="minorBidi" w:cstheme="minorBidi"/>
          <w:i/>
          <w:iCs/>
          <w:color w:val="000000" w:themeColor="text1"/>
          <w:sz w:val="20"/>
          <w:szCs w:val="22"/>
        </w:rPr>
        <w:t>Brassica juncea</w:t>
      </w:r>
      <w:r w:rsidRPr="00A81BAD">
        <w:rPr>
          <w:rFonts w:asciiTheme="minorBidi" w:hAnsiTheme="minorBidi" w:cstheme="minorBidi"/>
          <w:color w:val="000000" w:themeColor="text1"/>
          <w:sz w:val="20"/>
          <w:szCs w:val="22"/>
        </w:rPr>
        <w:t xml:space="preserve"> L. </w:t>
      </w:r>
      <w:proofErr w:type="spellStart"/>
      <w:r w:rsidRPr="00A81BAD">
        <w:rPr>
          <w:rFonts w:asciiTheme="minorBidi" w:hAnsiTheme="minorBidi" w:cstheme="minorBidi"/>
          <w:i/>
          <w:iCs/>
          <w:color w:val="000000" w:themeColor="text1"/>
          <w:sz w:val="20"/>
          <w:szCs w:val="22"/>
        </w:rPr>
        <w:t>Czern</w:t>
      </w:r>
      <w:proofErr w:type="spellEnd"/>
      <w:r w:rsidRPr="00A81BAD">
        <w:rPr>
          <w:rFonts w:asciiTheme="minorBidi" w:hAnsiTheme="minorBidi" w:cstheme="minorBidi"/>
          <w:color w:val="000000" w:themeColor="text1"/>
          <w:sz w:val="20"/>
          <w:szCs w:val="22"/>
        </w:rPr>
        <w:t xml:space="preserve"> and </w:t>
      </w:r>
      <w:proofErr w:type="spellStart"/>
      <w:r w:rsidRPr="00A81BAD">
        <w:rPr>
          <w:rFonts w:asciiTheme="minorBidi" w:hAnsiTheme="minorBidi" w:cstheme="minorBidi"/>
          <w:color w:val="000000" w:themeColor="text1"/>
          <w:sz w:val="20"/>
          <w:szCs w:val="22"/>
        </w:rPr>
        <w:t>C</w:t>
      </w:r>
      <w:r w:rsidRPr="00A81BAD">
        <w:rPr>
          <w:rFonts w:asciiTheme="minorBidi" w:hAnsiTheme="minorBidi" w:cstheme="minorBidi"/>
          <w:i/>
          <w:iCs/>
          <w:color w:val="000000" w:themeColor="text1"/>
          <w:sz w:val="20"/>
          <w:szCs w:val="22"/>
        </w:rPr>
        <w:t>oss</w:t>
      </w:r>
      <w:proofErr w:type="spellEnd"/>
      <w:r w:rsidRPr="00A81BAD">
        <w:rPr>
          <w:rFonts w:asciiTheme="minorBidi" w:hAnsiTheme="minorBidi" w:cstheme="minorBidi"/>
          <w:color w:val="000000" w:themeColor="text1"/>
          <w:sz w:val="20"/>
          <w:szCs w:val="22"/>
        </w:rPr>
        <w:t>) under Manipur valley conditions. Indian J. Genet., 2013; 73(3): 332-334.</w:t>
      </w:r>
    </w:p>
    <w:p w14:paraId="18A3142C" w14:textId="57491D5C" w:rsidR="006F00CC" w:rsidRPr="00A81BAD" w:rsidRDefault="000E4B23" w:rsidP="008B335F">
      <w:pPr>
        <w:pStyle w:val="ListParagraph"/>
        <w:numPr>
          <w:ilvl w:val="0"/>
          <w:numId w:val="6"/>
        </w:numPr>
        <w:spacing w:after="0" w:line="240" w:lineRule="auto"/>
        <w:ind w:left="360"/>
        <w:jc w:val="both"/>
        <w:rPr>
          <w:rFonts w:asciiTheme="minorBidi" w:hAnsiTheme="minorBidi" w:cstheme="minorBidi"/>
          <w:b/>
          <w:bCs/>
          <w:color w:val="000000" w:themeColor="text1"/>
          <w:sz w:val="20"/>
          <w:szCs w:val="20"/>
        </w:rPr>
      </w:pPr>
      <w:proofErr w:type="spellStart"/>
      <w:r w:rsidRPr="00A81BAD">
        <w:rPr>
          <w:rFonts w:asciiTheme="minorBidi" w:hAnsiTheme="minorBidi" w:cstheme="minorBidi"/>
          <w:color w:val="000000" w:themeColor="text1"/>
          <w:sz w:val="20"/>
          <w:szCs w:val="22"/>
        </w:rPr>
        <w:t>Sapkal</w:t>
      </w:r>
      <w:proofErr w:type="spellEnd"/>
      <w:r w:rsidRPr="00A81BAD">
        <w:rPr>
          <w:rFonts w:asciiTheme="minorBidi" w:hAnsiTheme="minorBidi" w:cstheme="minorBidi"/>
          <w:color w:val="000000" w:themeColor="text1"/>
          <w:sz w:val="20"/>
          <w:szCs w:val="22"/>
        </w:rPr>
        <w:t xml:space="preserve"> A. D., S. R. </w:t>
      </w:r>
      <w:proofErr w:type="spellStart"/>
      <w:r w:rsidRPr="00A81BAD">
        <w:rPr>
          <w:rFonts w:asciiTheme="minorBidi" w:hAnsiTheme="minorBidi" w:cstheme="minorBidi"/>
          <w:color w:val="000000" w:themeColor="text1"/>
          <w:sz w:val="20"/>
          <w:szCs w:val="22"/>
        </w:rPr>
        <w:t>Kamdi</w:t>
      </w:r>
      <w:proofErr w:type="spellEnd"/>
      <w:r w:rsidRPr="00A81BAD">
        <w:rPr>
          <w:rFonts w:asciiTheme="minorBidi" w:hAnsiTheme="minorBidi" w:cstheme="minorBidi"/>
          <w:color w:val="000000" w:themeColor="text1"/>
          <w:sz w:val="20"/>
          <w:szCs w:val="22"/>
        </w:rPr>
        <w:t>, Rani A. Jadhav and M. P. Meshram. Genetic analysis of yield and its components in F</w:t>
      </w:r>
      <w:r w:rsidRPr="00A81BAD">
        <w:rPr>
          <w:rFonts w:asciiTheme="minorBidi" w:hAnsiTheme="minorBidi" w:cstheme="minorBidi"/>
          <w:color w:val="000000" w:themeColor="text1"/>
          <w:sz w:val="20"/>
          <w:szCs w:val="22"/>
          <w:vertAlign w:val="subscript"/>
        </w:rPr>
        <w:t>1</w:t>
      </w:r>
      <w:r w:rsidRPr="00A81BAD">
        <w:rPr>
          <w:rFonts w:asciiTheme="minorBidi" w:hAnsiTheme="minorBidi" w:cstheme="minorBidi"/>
          <w:color w:val="000000" w:themeColor="text1"/>
          <w:sz w:val="20"/>
          <w:szCs w:val="22"/>
        </w:rPr>
        <w:t xml:space="preserve"> and F</w:t>
      </w:r>
      <w:r w:rsidRPr="00A81BAD">
        <w:rPr>
          <w:rFonts w:asciiTheme="minorBidi" w:hAnsiTheme="minorBidi" w:cstheme="minorBidi"/>
          <w:color w:val="000000" w:themeColor="text1"/>
          <w:sz w:val="20"/>
          <w:szCs w:val="22"/>
          <w:vertAlign w:val="subscript"/>
        </w:rPr>
        <w:t>2</w:t>
      </w:r>
      <w:r w:rsidRPr="00A81BAD">
        <w:rPr>
          <w:rFonts w:asciiTheme="minorBidi" w:hAnsiTheme="minorBidi" w:cstheme="minorBidi"/>
          <w:color w:val="000000" w:themeColor="text1"/>
          <w:sz w:val="20"/>
          <w:szCs w:val="22"/>
        </w:rPr>
        <w:t xml:space="preserve"> population of Indian mustard [</w:t>
      </w:r>
      <w:r w:rsidRPr="00A81BAD">
        <w:rPr>
          <w:rFonts w:asciiTheme="minorBidi" w:hAnsiTheme="minorBidi" w:cstheme="minorBidi"/>
          <w:i/>
          <w:iCs/>
          <w:color w:val="000000" w:themeColor="text1"/>
          <w:sz w:val="20"/>
          <w:szCs w:val="22"/>
        </w:rPr>
        <w:t>Brassica juncea</w:t>
      </w:r>
      <w:r w:rsidRPr="00A81BAD">
        <w:rPr>
          <w:rFonts w:asciiTheme="minorBidi" w:hAnsiTheme="minorBidi" w:cstheme="minorBidi"/>
          <w:color w:val="000000" w:themeColor="text1"/>
          <w:sz w:val="20"/>
          <w:szCs w:val="22"/>
        </w:rPr>
        <w:t xml:space="preserve"> (L</w:t>
      </w:r>
      <w:r w:rsidRPr="00A81BAD">
        <w:rPr>
          <w:rFonts w:asciiTheme="minorBidi" w:hAnsiTheme="minorBidi" w:cstheme="minorBidi"/>
          <w:color w:val="000000" w:themeColor="text1"/>
          <w:sz w:val="20"/>
          <w:szCs w:val="22"/>
        </w:rPr>
        <w:t xml:space="preserve">.) </w:t>
      </w:r>
      <w:proofErr w:type="spellStart"/>
      <w:r w:rsidRPr="00A81BAD">
        <w:rPr>
          <w:rFonts w:asciiTheme="minorBidi" w:hAnsiTheme="minorBidi" w:cstheme="minorBidi"/>
          <w:i/>
          <w:iCs/>
          <w:color w:val="000000" w:themeColor="text1"/>
          <w:sz w:val="20"/>
          <w:szCs w:val="22"/>
        </w:rPr>
        <w:t>Czern</w:t>
      </w:r>
      <w:proofErr w:type="spellEnd"/>
      <w:r w:rsidRPr="00A81BAD">
        <w:rPr>
          <w:rFonts w:asciiTheme="minorBidi" w:hAnsiTheme="minorBidi" w:cstheme="minorBidi"/>
          <w:color w:val="000000" w:themeColor="text1"/>
          <w:sz w:val="20"/>
          <w:szCs w:val="22"/>
        </w:rPr>
        <w:t xml:space="preserve"> and </w:t>
      </w:r>
      <w:proofErr w:type="spellStart"/>
      <w:r w:rsidRPr="00A81BAD">
        <w:rPr>
          <w:rFonts w:asciiTheme="minorBidi" w:hAnsiTheme="minorBidi" w:cstheme="minorBidi"/>
          <w:i/>
          <w:iCs/>
          <w:color w:val="000000" w:themeColor="text1"/>
          <w:sz w:val="20"/>
          <w:szCs w:val="22"/>
        </w:rPr>
        <w:t>Coss</w:t>
      </w:r>
      <w:proofErr w:type="spellEnd"/>
      <w:r w:rsidRPr="00A81BAD">
        <w:rPr>
          <w:rFonts w:asciiTheme="minorBidi" w:hAnsiTheme="minorBidi" w:cstheme="minorBidi"/>
          <w:color w:val="000000" w:themeColor="text1"/>
          <w:sz w:val="20"/>
          <w:szCs w:val="22"/>
        </w:rPr>
        <w:t>]. AATCC Rev., 2023 (1): 28-39.</w:t>
      </w:r>
    </w:p>
    <w:sectPr w:rsidR="006F00CC" w:rsidRPr="00A81BAD" w:rsidSect="0028523F">
      <w:type w:val="continuous"/>
      <w:pgSz w:w="11906" w:h="16838"/>
      <w:pgMar w:top="1440" w:right="1440" w:bottom="1440" w:left="1440" w:header="709" w:footer="709" w:gutter="72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masa" w:date="2025-05-15T23:01:00Z" w:initials="A">
    <w:p w14:paraId="66A6DAFD" w14:textId="0D89B5B4" w:rsidR="00F329A7" w:rsidRDefault="00F329A7" w:rsidP="00F329A7">
      <w:pPr>
        <w:pStyle w:val="CommentText"/>
      </w:pPr>
      <w:r>
        <w:rPr>
          <w:rStyle w:val="CommentReference"/>
        </w:rPr>
        <w:annotationRef/>
      </w:r>
      <w:r>
        <w:t xml:space="preserve">Only remove the year, not allowed to write the sources in the abstract. </w:t>
      </w:r>
    </w:p>
  </w:comment>
  <w:comment w:id="2" w:author="Almasa" w:date="2025-05-15T22:40:00Z" w:initials="A">
    <w:p w14:paraId="253FB277" w14:textId="779250AF" w:rsidR="007A19D7" w:rsidRDefault="007A19D7" w:rsidP="0076269C">
      <w:pPr>
        <w:pStyle w:val="CommentText"/>
      </w:pPr>
      <w:r>
        <w:rPr>
          <w:rStyle w:val="CommentReference"/>
        </w:rPr>
        <w:annotationRef/>
      </w:r>
      <w:r w:rsidRPr="007A19D7">
        <w:t xml:space="preserve">Here </w:t>
      </w:r>
      <w:r>
        <w:t xml:space="preserve">you </w:t>
      </w:r>
      <w:r w:rsidRPr="007A19D7">
        <w:t xml:space="preserve">used the numerical sequence as well as the source with the name and year. You must delete one of them, either the number or the name (according to the journal's instructions). Notice the mistake in the sources, where here </w:t>
      </w:r>
      <w:r>
        <w:t>you</w:t>
      </w:r>
      <w:r w:rsidRPr="007A19D7">
        <w:t xml:space="preserve"> put the number [1] while in the </w:t>
      </w:r>
      <w:r w:rsidR="0076269C">
        <w:t>list of the</w:t>
      </w:r>
      <w:r w:rsidRPr="007A19D7">
        <w:t xml:space="preserve"> sources the sequence is 15!!! This is not allowed. When you give it the number 1, it will be in order 1 in the sources.</w:t>
      </w:r>
    </w:p>
  </w:comment>
  <w:comment w:id="3" w:author="Almasa" w:date="2025-05-15T22:43:00Z" w:initials="A">
    <w:p w14:paraId="432E3998" w14:textId="24B6EC9C" w:rsidR="0076269C" w:rsidRDefault="0076269C">
      <w:pPr>
        <w:pStyle w:val="CommentText"/>
      </w:pPr>
      <w:r>
        <w:rPr>
          <w:rStyle w:val="CommentReference"/>
        </w:rPr>
        <w:annotationRef/>
      </w:r>
      <w:r>
        <w:t>???</w:t>
      </w:r>
    </w:p>
  </w:comment>
  <w:comment w:id="4" w:author="Almasa" w:date="2025-05-15T22:43:00Z" w:initials="A">
    <w:p w14:paraId="189FE295" w14:textId="29FEC9D1" w:rsidR="0076269C" w:rsidRDefault="0076269C">
      <w:pPr>
        <w:pStyle w:val="CommentText"/>
      </w:pPr>
      <w:r>
        <w:rPr>
          <w:rStyle w:val="CommentReference"/>
        </w:rPr>
        <w:annotationRef/>
      </w:r>
      <w:r>
        <w:t>????</w:t>
      </w:r>
    </w:p>
  </w:comment>
  <w:comment w:id="5" w:author="Almasa" w:date="2025-05-15T22:43:00Z" w:initials="A">
    <w:p w14:paraId="2E910E39" w14:textId="3843DB2B" w:rsidR="0076269C" w:rsidRDefault="0076269C">
      <w:pPr>
        <w:pStyle w:val="CommentText"/>
      </w:pPr>
      <w:r>
        <w:rPr>
          <w:rStyle w:val="CommentReference"/>
        </w:rPr>
        <w:annotationRef/>
      </w:r>
      <w:r>
        <w:t>????</w:t>
      </w:r>
    </w:p>
  </w:comment>
  <w:comment w:id="6" w:author="Almasa" w:date="2025-05-15T22:44:00Z" w:initials="A">
    <w:p w14:paraId="1E3BE1F5" w14:textId="22A78E97" w:rsidR="0076269C" w:rsidRDefault="0076269C">
      <w:pPr>
        <w:pStyle w:val="CommentText"/>
      </w:pPr>
      <w:r>
        <w:rPr>
          <w:rStyle w:val="CommentReference"/>
        </w:rPr>
        <w:annotationRef/>
      </w:r>
      <w:r>
        <w:t>???</w:t>
      </w:r>
    </w:p>
  </w:comment>
  <w:comment w:id="7" w:author="Almasa" w:date="2025-05-15T23:05:00Z" w:initials="A">
    <w:p w14:paraId="1052823E" w14:textId="6F21226D" w:rsidR="003A1BB8" w:rsidRDefault="003A1BB8">
      <w:pPr>
        <w:pStyle w:val="CommentText"/>
      </w:pPr>
      <w:r>
        <w:rPr>
          <w:rStyle w:val="CommentReference"/>
        </w:rPr>
        <w:annotationRef/>
      </w:r>
      <w:r>
        <w:t xml:space="preserve">GPS is better to be mentioned! </w:t>
      </w:r>
    </w:p>
  </w:comment>
  <w:comment w:id="8" w:author="Almasa" w:date="2025-05-15T23:08:00Z" w:initials="A">
    <w:p w14:paraId="6532AEC0" w14:textId="5987033B" w:rsidR="003A1BB8" w:rsidRDefault="003A1BB8">
      <w:pPr>
        <w:pStyle w:val="CommentText"/>
      </w:pPr>
      <w:r>
        <w:rPr>
          <w:rStyle w:val="CommentReference"/>
        </w:rPr>
        <w:annotationRef/>
      </w:r>
      <w:r>
        <w:t>??</w:t>
      </w:r>
    </w:p>
  </w:comment>
  <w:comment w:id="9" w:author="Almasa" w:date="2025-05-15T23:08:00Z" w:initials="A">
    <w:p w14:paraId="2B93D9A8" w14:textId="61C27078" w:rsidR="003A1BB8" w:rsidRDefault="003A1BB8">
      <w:pPr>
        <w:pStyle w:val="CommentText"/>
      </w:pPr>
      <w:r>
        <w:rPr>
          <w:rStyle w:val="CommentReference"/>
        </w:rPr>
        <w:annotationRef/>
      </w:r>
      <w:r>
        <w:t>??</w:t>
      </w:r>
    </w:p>
  </w:comment>
  <w:comment w:id="10" w:author="Almasa" w:date="2025-05-15T23:09:00Z" w:initials="A">
    <w:p w14:paraId="7B618401" w14:textId="3E80682E" w:rsidR="003A1BB8" w:rsidRDefault="003A1BB8">
      <w:pPr>
        <w:pStyle w:val="CommentText"/>
      </w:pPr>
      <w:r>
        <w:rPr>
          <w:rStyle w:val="CommentReference"/>
        </w:rPr>
        <w:annotationRef/>
      </w:r>
      <w:r>
        <w:t>??</w:t>
      </w:r>
    </w:p>
  </w:comment>
  <w:comment w:id="11" w:author="Almasa" w:date="2025-05-15T23:10:00Z" w:initials="A">
    <w:p w14:paraId="5F297AC9" w14:textId="38C959BF" w:rsidR="003A1BB8" w:rsidRDefault="003A1BB8">
      <w:pPr>
        <w:pStyle w:val="CommentText"/>
      </w:pPr>
      <w:r>
        <w:rPr>
          <w:rStyle w:val="CommentReference"/>
        </w:rPr>
        <w:annotationRef/>
      </w:r>
      <w:r>
        <w:t>??</w:t>
      </w:r>
    </w:p>
  </w:comment>
  <w:comment w:id="12" w:author="Almasa" w:date="2025-05-15T23:19:00Z" w:initials="A">
    <w:p w14:paraId="6441FF2C" w14:textId="07B4A1B4" w:rsidR="0023229E" w:rsidRDefault="0023229E">
      <w:pPr>
        <w:pStyle w:val="CommentText"/>
      </w:pPr>
      <w:r>
        <w:rPr>
          <w:rStyle w:val="CommentReference"/>
        </w:rPr>
        <w:annotationRef/>
      </w:r>
      <w:r>
        <w:t>??</w:t>
      </w:r>
    </w:p>
  </w:comment>
  <w:comment w:id="13" w:author="Almasa" w:date="2025-05-15T23:15:00Z" w:initials="A">
    <w:p w14:paraId="1EF6CD82" w14:textId="361FA6CE" w:rsidR="0023229E" w:rsidRDefault="0023229E">
      <w:pPr>
        <w:pStyle w:val="CommentText"/>
      </w:pPr>
      <w:r>
        <w:rPr>
          <w:rStyle w:val="CommentReference"/>
        </w:rPr>
        <w:annotationRef/>
      </w:r>
      <w:r>
        <w:t>??</w:t>
      </w:r>
    </w:p>
  </w:comment>
  <w:comment w:id="14" w:author="Almasa" w:date="2025-05-15T23:20:00Z" w:initials="A">
    <w:p w14:paraId="37AC3DCC" w14:textId="4EB65918" w:rsidR="0023229E" w:rsidRDefault="0023229E">
      <w:pPr>
        <w:pStyle w:val="CommentText"/>
      </w:pPr>
      <w:r>
        <w:rPr>
          <w:rStyle w:val="CommentReference"/>
        </w:rPr>
        <w:annotationRef/>
      </w:r>
      <w:r>
        <w:t>??</w:t>
      </w:r>
    </w:p>
  </w:comment>
  <w:comment w:id="15" w:author="Almasa" w:date="2025-05-15T23:15:00Z" w:initials="A">
    <w:p w14:paraId="7B983D9A" w14:textId="4466302C" w:rsidR="0023229E" w:rsidRDefault="0023229E">
      <w:pPr>
        <w:pStyle w:val="CommentText"/>
      </w:pPr>
      <w:r>
        <w:rPr>
          <w:rStyle w:val="CommentReference"/>
        </w:rPr>
        <w:annotationRef/>
      </w:r>
      <w:r>
        <w:t>??</w:t>
      </w:r>
    </w:p>
  </w:comment>
  <w:comment w:id="16" w:author="Almasa" w:date="2025-05-15T23:15:00Z" w:initials="A">
    <w:p w14:paraId="774EEC4C" w14:textId="160FEA32" w:rsidR="0023229E" w:rsidRDefault="0023229E">
      <w:pPr>
        <w:pStyle w:val="CommentText"/>
      </w:pPr>
      <w:r>
        <w:rPr>
          <w:rStyle w:val="CommentReference"/>
        </w:rPr>
        <w:annotationRef/>
      </w:r>
      <w:r>
        <w:t>??</w:t>
      </w:r>
    </w:p>
  </w:comment>
  <w:comment w:id="17" w:author="Almasa" w:date="2025-05-15T23:25:00Z" w:initials="A">
    <w:p w14:paraId="4B9BDE8C" w14:textId="0E0018E7" w:rsidR="00EB047B" w:rsidRDefault="00EB047B">
      <w:pPr>
        <w:pStyle w:val="CommentText"/>
      </w:pPr>
      <w:r>
        <w:rPr>
          <w:rStyle w:val="CommentReference"/>
        </w:rPr>
        <w:annotationRef/>
      </w:r>
      <w:r>
        <w:t>??</w:t>
      </w:r>
    </w:p>
  </w:comment>
  <w:comment w:id="18" w:author="Almasa" w:date="2025-05-15T23:17:00Z" w:initials="A">
    <w:p w14:paraId="1F52E8A5" w14:textId="6D154697" w:rsidR="0023229E" w:rsidRDefault="0023229E">
      <w:pPr>
        <w:pStyle w:val="CommentText"/>
      </w:pPr>
      <w:r>
        <w:rPr>
          <w:rStyle w:val="CommentReference"/>
        </w:rPr>
        <w:annotationRef/>
      </w:r>
      <w:r>
        <w:t>??</w:t>
      </w:r>
    </w:p>
  </w:comment>
  <w:comment w:id="19" w:author="Almasa" w:date="2025-05-15T23:26:00Z" w:initials="A">
    <w:p w14:paraId="34C80247" w14:textId="050D3291" w:rsidR="00EB047B" w:rsidRDefault="00EB047B">
      <w:pPr>
        <w:pStyle w:val="CommentText"/>
      </w:pPr>
      <w:r>
        <w:rPr>
          <w:rStyle w:val="CommentReference"/>
        </w:rPr>
        <w:annotationRef/>
      </w:r>
      <w:r>
        <w:t>??</w:t>
      </w:r>
    </w:p>
  </w:comment>
  <w:comment w:id="20" w:author="Almasa" w:date="2025-05-15T23:22:00Z" w:initials="A">
    <w:p w14:paraId="0032A375" w14:textId="1B533E7A" w:rsidR="00EB047B" w:rsidRDefault="00EB047B">
      <w:pPr>
        <w:pStyle w:val="CommentText"/>
      </w:pPr>
      <w:r>
        <w:rPr>
          <w:rStyle w:val="CommentReference"/>
        </w:rPr>
        <w:annotationRef/>
      </w:r>
      <w:r>
        <w:t>??</w:t>
      </w:r>
    </w:p>
  </w:comment>
  <w:comment w:id="21" w:author="Almasa" w:date="2025-05-15T23:22:00Z" w:initials="A">
    <w:p w14:paraId="63909307" w14:textId="189534E7" w:rsidR="00EB047B" w:rsidRDefault="00EB047B">
      <w:pPr>
        <w:pStyle w:val="CommentText"/>
      </w:pPr>
      <w:r>
        <w:rPr>
          <w:rStyle w:val="CommentReference"/>
        </w:rPr>
        <w:annotationRef/>
      </w:r>
      <w:r>
        <w:t>??</w:t>
      </w:r>
    </w:p>
  </w:comment>
  <w:comment w:id="22" w:author="Almasa" w:date="2025-05-15T23:22:00Z" w:initials="A">
    <w:p w14:paraId="2F1B3339" w14:textId="39FE0B59" w:rsidR="00EB047B" w:rsidRDefault="00EB047B">
      <w:pPr>
        <w:pStyle w:val="CommentText"/>
      </w:pPr>
      <w:r>
        <w:rPr>
          <w:rStyle w:val="CommentReference"/>
        </w:rPr>
        <w:annotationRef/>
      </w:r>
      <w:r>
        <w:t>??</w:t>
      </w:r>
    </w:p>
  </w:comment>
  <w:comment w:id="23" w:author="Almasa" w:date="2025-05-15T23:23:00Z" w:initials="A">
    <w:p w14:paraId="620618B1" w14:textId="30D2FB39" w:rsidR="00EB047B" w:rsidRDefault="00EB047B">
      <w:pPr>
        <w:pStyle w:val="CommentText"/>
      </w:pPr>
      <w:r>
        <w:rPr>
          <w:rStyle w:val="CommentReference"/>
        </w:rPr>
        <w:annotationRef/>
      </w:r>
      <w:r>
        <w:t>??</w:t>
      </w:r>
    </w:p>
  </w:comment>
  <w:comment w:id="25" w:author="Almasa" w:date="2025-05-15T23:23:00Z" w:initials="A">
    <w:p w14:paraId="1A4C3535" w14:textId="792A43BF" w:rsidR="00EB047B" w:rsidRDefault="00EB047B">
      <w:pPr>
        <w:pStyle w:val="CommentText"/>
      </w:pPr>
      <w:r>
        <w:rPr>
          <w:rStyle w:val="CommentReference"/>
        </w:rPr>
        <w:annotationRef/>
      </w:r>
      <w:r>
        <w:t>??</w:t>
      </w:r>
    </w:p>
  </w:comment>
  <w:comment w:id="26" w:author="Almasa" w:date="2025-05-15T23:23:00Z" w:initials="A">
    <w:p w14:paraId="28FC8AA2" w14:textId="0BCB88CF" w:rsidR="00EB047B" w:rsidRDefault="00EB047B">
      <w:pPr>
        <w:pStyle w:val="CommentText"/>
      </w:pPr>
      <w:r>
        <w:rPr>
          <w:rStyle w:val="CommentReference"/>
        </w:rPr>
        <w:annotationRef/>
      </w:r>
      <w:r>
        <w:t>??</w:t>
      </w:r>
    </w:p>
  </w:comment>
  <w:comment w:id="27" w:author="Almasa" w:date="2025-05-15T23:23:00Z" w:initials="A">
    <w:p w14:paraId="1B782D8F" w14:textId="6517581B" w:rsidR="00EB047B" w:rsidRDefault="00EB047B">
      <w:pPr>
        <w:pStyle w:val="CommentText"/>
      </w:pPr>
      <w:r>
        <w:rPr>
          <w:rStyle w:val="CommentReference"/>
        </w:rPr>
        <w:annotationRef/>
      </w:r>
      <w:r>
        <w:t>??</w:t>
      </w:r>
    </w:p>
  </w:comment>
  <w:comment w:id="28" w:author="Almasa" w:date="2025-05-15T23:23:00Z" w:initials="A">
    <w:p w14:paraId="6575DE9C" w14:textId="2C28274B" w:rsidR="00EB047B" w:rsidRDefault="00EB047B">
      <w:pPr>
        <w:pStyle w:val="CommentText"/>
      </w:pPr>
      <w:r>
        <w:rPr>
          <w:rStyle w:val="CommentReference"/>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F43D3" w14:textId="77777777" w:rsidR="000E4B23" w:rsidRDefault="000E4B23">
      <w:pPr>
        <w:spacing w:after="0" w:line="240" w:lineRule="auto"/>
      </w:pPr>
      <w:r>
        <w:separator/>
      </w:r>
    </w:p>
  </w:endnote>
  <w:endnote w:type="continuationSeparator" w:id="0">
    <w:p w14:paraId="46B59170" w14:textId="77777777" w:rsidR="000E4B23" w:rsidRDefault="000E4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00007843"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27160" w14:textId="77777777" w:rsidR="0028523F" w:rsidRDefault="00285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5AF61" w14:textId="77777777" w:rsidR="0028523F" w:rsidRDefault="002852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B356C" w14:textId="77777777" w:rsidR="0028523F" w:rsidRDefault="00285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AB0FC" w14:textId="77777777" w:rsidR="000E4B23" w:rsidRDefault="000E4B23">
      <w:pPr>
        <w:spacing w:after="0" w:line="240" w:lineRule="auto"/>
      </w:pPr>
      <w:r>
        <w:separator/>
      </w:r>
    </w:p>
  </w:footnote>
  <w:footnote w:type="continuationSeparator" w:id="0">
    <w:p w14:paraId="676F2B2F" w14:textId="77777777" w:rsidR="000E4B23" w:rsidRDefault="000E4B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4DBB8" w14:textId="37BE37D4" w:rsidR="0028523F" w:rsidRDefault="000E4B23">
    <w:pPr>
      <w:pStyle w:val="Header"/>
    </w:pPr>
    <w:r>
      <w:rPr>
        <w:noProof/>
      </w:rPr>
      <w:pict w14:anchorId="79DD3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8704"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EAB21" w14:textId="64549934" w:rsidR="0028523F" w:rsidRDefault="000E4B23">
    <w:pPr>
      <w:pStyle w:val="Header"/>
    </w:pPr>
    <w:r>
      <w:rPr>
        <w:noProof/>
      </w:rPr>
      <w:pict w14:anchorId="096AE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8705"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B7ED4" w14:textId="157A4F44" w:rsidR="0028523F" w:rsidRDefault="000E4B23">
    <w:pPr>
      <w:pStyle w:val="Header"/>
    </w:pPr>
    <w:r>
      <w:rPr>
        <w:noProof/>
      </w:rPr>
      <w:pict w14:anchorId="71DBB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8703"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66B"/>
    <w:multiLevelType w:val="hybridMultilevel"/>
    <w:tmpl w:val="D9205ABA"/>
    <w:lvl w:ilvl="0" w:tplc="B464D988">
      <w:start w:val="532"/>
      <w:numFmt w:val="bullet"/>
      <w:lvlText w:val=""/>
      <w:lvlJc w:val="left"/>
      <w:pPr>
        <w:ind w:left="1080" w:hanging="360"/>
      </w:pPr>
      <w:rPr>
        <w:rFonts w:ascii="Symbol" w:eastAsiaTheme="minorHAnsi" w:hAnsi="Symbol" w:cstheme="maj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1A711302"/>
    <w:multiLevelType w:val="hybridMultilevel"/>
    <w:tmpl w:val="C4E05B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C03278B"/>
    <w:multiLevelType w:val="hybridMultilevel"/>
    <w:tmpl w:val="C59468B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29228FC"/>
    <w:multiLevelType w:val="hybridMultilevel"/>
    <w:tmpl w:val="1ECCDAA2"/>
    <w:lvl w:ilvl="0" w:tplc="F5B4B7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243C08"/>
    <w:multiLevelType w:val="hybridMultilevel"/>
    <w:tmpl w:val="A9D281F4"/>
    <w:lvl w:ilvl="0" w:tplc="F97EDCB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631016CC"/>
    <w:multiLevelType w:val="hybridMultilevel"/>
    <w:tmpl w:val="EA1E405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CC"/>
    <w:rsid w:val="00036AE4"/>
    <w:rsid w:val="00074A16"/>
    <w:rsid w:val="000E4B23"/>
    <w:rsid w:val="00123A3B"/>
    <w:rsid w:val="00133DDF"/>
    <w:rsid w:val="0013420D"/>
    <w:rsid w:val="001E2773"/>
    <w:rsid w:val="001F49A2"/>
    <w:rsid w:val="0023229E"/>
    <w:rsid w:val="0028523F"/>
    <w:rsid w:val="002A29CC"/>
    <w:rsid w:val="002F2774"/>
    <w:rsid w:val="00353A3C"/>
    <w:rsid w:val="003A1BB8"/>
    <w:rsid w:val="00422962"/>
    <w:rsid w:val="00451F15"/>
    <w:rsid w:val="004E005C"/>
    <w:rsid w:val="005621C8"/>
    <w:rsid w:val="0067026D"/>
    <w:rsid w:val="006F00CC"/>
    <w:rsid w:val="00724804"/>
    <w:rsid w:val="0076269C"/>
    <w:rsid w:val="0077621B"/>
    <w:rsid w:val="007A19D7"/>
    <w:rsid w:val="007D3B7E"/>
    <w:rsid w:val="008662B7"/>
    <w:rsid w:val="008851AB"/>
    <w:rsid w:val="008B335F"/>
    <w:rsid w:val="008B52DC"/>
    <w:rsid w:val="008D06ED"/>
    <w:rsid w:val="00995624"/>
    <w:rsid w:val="00A210B6"/>
    <w:rsid w:val="00A46A3F"/>
    <w:rsid w:val="00A81BAD"/>
    <w:rsid w:val="00AA6B47"/>
    <w:rsid w:val="00AA75D1"/>
    <w:rsid w:val="00B24B3D"/>
    <w:rsid w:val="00BA111D"/>
    <w:rsid w:val="00BB133F"/>
    <w:rsid w:val="00BD251F"/>
    <w:rsid w:val="00BF1F50"/>
    <w:rsid w:val="00C07CD6"/>
    <w:rsid w:val="00C73AF5"/>
    <w:rsid w:val="00C752A0"/>
    <w:rsid w:val="00CB2D29"/>
    <w:rsid w:val="00D422C9"/>
    <w:rsid w:val="00DA1B58"/>
    <w:rsid w:val="00E316EB"/>
    <w:rsid w:val="00EB047B"/>
    <w:rsid w:val="00F329A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D0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ajorBidi"/>
        <w:color w:val="2F5496" w:themeColor="accent1" w:themeShade="BF"/>
        <w:kern w:val="2"/>
        <w:sz w:val="24"/>
        <w:szCs w:val="26"/>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sz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szCs w:val="24"/>
    </w:rPr>
  </w:style>
  <w:style w:type="character" w:customStyle="1" w:styleId="Heading3Char">
    <w:name w:val="Heading 3 Char"/>
    <w:basedOn w:val="DefaultParagraphFont"/>
    <w:link w:val="Heading3"/>
    <w:uiPriority w:val="9"/>
    <w:rPr>
      <w:rFonts w:asciiTheme="majorHAnsi" w:eastAsiaTheme="majorEastAsia" w:hAnsiTheme="majorHAnsi"/>
      <w:color w:val="1F3763" w:themeColor="accent1" w:themeShade="7F"/>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66666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ReferHead">
    <w:name w:val="Refer Head"/>
    <w:basedOn w:val="Normal"/>
    <w:rsid w:val="00422962"/>
    <w:pPr>
      <w:keepNext/>
      <w:spacing w:after="240" w:line="240" w:lineRule="auto"/>
    </w:pPr>
    <w:rPr>
      <w:rFonts w:ascii="Helvetica" w:eastAsia="Times New Roman" w:hAnsi="Helvetica" w:cs="Times New Roman"/>
      <w:b/>
      <w:caps/>
      <w:color w:val="auto"/>
      <w:kern w:val="0"/>
      <w:sz w:val="22"/>
      <w:szCs w:val="20"/>
      <w:lang w:val="en-US"/>
      <w14:ligatures w14:val="none"/>
    </w:rPr>
  </w:style>
  <w:style w:type="paragraph" w:customStyle="1" w:styleId="AcknHead">
    <w:name w:val="Ackn Head"/>
    <w:basedOn w:val="Normal"/>
    <w:rsid w:val="00BA111D"/>
    <w:pPr>
      <w:keepNext/>
      <w:spacing w:after="240" w:line="240" w:lineRule="auto"/>
    </w:pPr>
    <w:rPr>
      <w:rFonts w:ascii="Helvetica" w:eastAsia="Times New Roman" w:hAnsi="Helvetica" w:cs="Times New Roman"/>
      <w:b/>
      <w:caps/>
      <w:color w:val="auto"/>
      <w:kern w:val="0"/>
      <w:sz w:val="22"/>
      <w:szCs w:val="20"/>
      <w:lang w:val="en-US"/>
      <w14:ligatures w14:val="none"/>
    </w:rPr>
  </w:style>
  <w:style w:type="character" w:styleId="Hyperlink">
    <w:name w:val="Hyperlink"/>
    <w:basedOn w:val="DefaultParagraphFont"/>
    <w:uiPriority w:val="99"/>
    <w:unhideWhenUsed/>
    <w:rsid w:val="00133DDF"/>
    <w:rPr>
      <w:color w:val="0563C1" w:themeColor="hyperlink"/>
      <w:u w:val="single"/>
    </w:rPr>
  </w:style>
  <w:style w:type="character" w:customStyle="1" w:styleId="UnresolvedMention">
    <w:name w:val="Unresolved Mention"/>
    <w:basedOn w:val="DefaultParagraphFont"/>
    <w:uiPriority w:val="99"/>
    <w:semiHidden/>
    <w:unhideWhenUsed/>
    <w:rsid w:val="00133DDF"/>
    <w:rPr>
      <w:color w:val="605E5C"/>
      <w:shd w:val="clear" w:color="auto" w:fill="E1DFDD"/>
    </w:rPr>
  </w:style>
  <w:style w:type="character" w:styleId="LineNumber">
    <w:name w:val="line number"/>
    <w:basedOn w:val="DefaultParagraphFont"/>
    <w:uiPriority w:val="99"/>
    <w:semiHidden/>
    <w:unhideWhenUsed/>
    <w:rsid w:val="008B335F"/>
  </w:style>
  <w:style w:type="character" w:styleId="CommentReference">
    <w:name w:val="annotation reference"/>
    <w:basedOn w:val="DefaultParagraphFont"/>
    <w:uiPriority w:val="99"/>
    <w:semiHidden/>
    <w:unhideWhenUsed/>
    <w:rsid w:val="007A19D7"/>
    <w:rPr>
      <w:sz w:val="16"/>
      <w:szCs w:val="16"/>
    </w:rPr>
  </w:style>
  <w:style w:type="paragraph" w:styleId="CommentText">
    <w:name w:val="annotation text"/>
    <w:basedOn w:val="Normal"/>
    <w:link w:val="CommentTextChar"/>
    <w:uiPriority w:val="99"/>
    <w:semiHidden/>
    <w:unhideWhenUsed/>
    <w:rsid w:val="007A19D7"/>
    <w:pPr>
      <w:spacing w:line="240" w:lineRule="auto"/>
    </w:pPr>
    <w:rPr>
      <w:sz w:val="20"/>
      <w:szCs w:val="20"/>
    </w:rPr>
  </w:style>
  <w:style w:type="character" w:customStyle="1" w:styleId="CommentTextChar">
    <w:name w:val="Comment Text Char"/>
    <w:basedOn w:val="DefaultParagraphFont"/>
    <w:link w:val="CommentText"/>
    <w:uiPriority w:val="99"/>
    <w:semiHidden/>
    <w:rsid w:val="007A19D7"/>
    <w:rPr>
      <w:sz w:val="20"/>
      <w:szCs w:val="20"/>
    </w:rPr>
  </w:style>
  <w:style w:type="paragraph" w:styleId="CommentSubject">
    <w:name w:val="annotation subject"/>
    <w:basedOn w:val="CommentText"/>
    <w:next w:val="CommentText"/>
    <w:link w:val="CommentSubjectChar"/>
    <w:uiPriority w:val="99"/>
    <w:semiHidden/>
    <w:unhideWhenUsed/>
    <w:rsid w:val="007A19D7"/>
    <w:rPr>
      <w:b/>
      <w:bCs/>
    </w:rPr>
  </w:style>
  <w:style w:type="character" w:customStyle="1" w:styleId="CommentSubjectChar">
    <w:name w:val="Comment Subject Char"/>
    <w:basedOn w:val="CommentTextChar"/>
    <w:link w:val="CommentSubject"/>
    <w:uiPriority w:val="99"/>
    <w:semiHidden/>
    <w:rsid w:val="007A19D7"/>
    <w:rPr>
      <w:b/>
      <w:bCs/>
      <w:sz w:val="20"/>
      <w:szCs w:val="20"/>
    </w:rPr>
  </w:style>
  <w:style w:type="paragraph" w:styleId="BalloonText">
    <w:name w:val="Balloon Text"/>
    <w:basedOn w:val="Normal"/>
    <w:link w:val="BalloonTextChar"/>
    <w:uiPriority w:val="99"/>
    <w:semiHidden/>
    <w:unhideWhenUsed/>
    <w:rsid w:val="007A1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9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color w:val="2F5496" w:themeColor="accent1" w:themeShade="BF"/>
        <w:kern w:val="2"/>
        <w:sz w:val="24"/>
        <w:szCs w:val="26"/>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sz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szCs w:val="24"/>
    </w:rPr>
  </w:style>
  <w:style w:type="character" w:customStyle="1" w:styleId="Heading3Char">
    <w:name w:val="Heading 3 Char"/>
    <w:basedOn w:val="DefaultParagraphFont"/>
    <w:link w:val="Heading3"/>
    <w:uiPriority w:val="9"/>
    <w:rPr>
      <w:rFonts w:asciiTheme="majorHAnsi" w:eastAsiaTheme="majorEastAsia" w:hAnsiTheme="majorHAnsi"/>
      <w:color w:val="1F3763" w:themeColor="accent1" w:themeShade="7F"/>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66666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ReferHead">
    <w:name w:val="Refer Head"/>
    <w:basedOn w:val="Normal"/>
    <w:rsid w:val="00422962"/>
    <w:pPr>
      <w:keepNext/>
      <w:spacing w:after="240" w:line="240" w:lineRule="auto"/>
    </w:pPr>
    <w:rPr>
      <w:rFonts w:ascii="Helvetica" w:eastAsia="Times New Roman" w:hAnsi="Helvetica" w:cs="Times New Roman"/>
      <w:b/>
      <w:caps/>
      <w:color w:val="auto"/>
      <w:kern w:val="0"/>
      <w:sz w:val="22"/>
      <w:szCs w:val="20"/>
      <w:lang w:val="en-US"/>
      <w14:ligatures w14:val="none"/>
    </w:rPr>
  </w:style>
  <w:style w:type="paragraph" w:customStyle="1" w:styleId="AcknHead">
    <w:name w:val="Ackn Head"/>
    <w:basedOn w:val="Normal"/>
    <w:rsid w:val="00BA111D"/>
    <w:pPr>
      <w:keepNext/>
      <w:spacing w:after="240" w:line="240" w:lineRule="auto"/>
    </w:pPr>
    <w:rPr>
      <w:rFonts w:ascii="Helvetica" w:eastAsia="Times New Roman" w:hAnsi="Helvetica" w:cs="Times New Roman"/>
      <w:b/>
      <w:caps/>
      <w:color w:val="auto"/>
      <w:kern w:val="0"/>
      <w:sz w:val="22"/>
      <w:szCs w:val="20"/>
      <w:lang w:val="en-US"/>
      <w14:ligatures w14:val="none"/>
    </w:rPr>
  </w:style>
  <w:style w:type="character" w:styleId="Hyperlink">
    <w:name w:val="Hyperlink"/>
    <w:basedOn w:val="DefaultParagraphFont"/>
    <w:uiPriority w:val="99"/>
    <w:unhideWhenUsed/>
    <w:rsid w:val="00133DDF"/>
    <w:rPr>
      <w:color w:val="0563C1" w:themeColor="hyperlink"/>
      <w:u w:val="single"/>
    </w:rPr>
  </w:style>
  <w:style w:type="character" w:customStyle="1" w:styleId="UnresolvedMention">
    <w:name w:val="Unresolved Mention"/>
    <w:basedOn w:val="DefaultParagraphFont"/>
    <w:uiPriority w:val="99"/>
    <w:semiHidden/>
    <w:unhideWhenUsed/>
    <w:rsid w:val="00133DDF"/>
    <w:rPr>
      <w:color w:val="605E5C"/>
      <w:shd w:val="clear" w:color="auto" w:fill="E1DFDD"/>
    </w:rPr>
  </w:style>
  <w:style w:type="character" w:styleId="LineNumber">
    <w:name w:val="line number"/>
    <w:basedOn w:val="DefaultParagraphFont"/>
    <w:uiPriority w:val="99"/>
    <w:semiHidden/>
    <w:unhideWhenUsed/>
    <w:rsid w:val="008B335F"/>
  </w:style>
  <w:style w:type="character" w:styleId="CommentReference">
    <w:name w:val="annotation reference"/>
    <w:basedOn w:val="DefaultParagraphFont"/>
    <w:uiPriority w:val="99"/>
    <w:semiHidden/>
    <w:unhideWhenUsed/>
    <w:rsid w:val="007A19D7"/>
    <w:rPr>
      <w:sz w:val="16"/>
      <w:szCs w:val="16"/>
    </w:rPr>
  </w:style>
  <w:style w:type="paragraph" w:styleId="CommentText">
    <w:name w:val="annotation text"/>
    <w:basedOn w:val="Normal"/>
    <w:link w:val="CommentTextChar"/>
    <w:uiPriority w:val="99"/>
    <w:semiHidden/>
    <w:unhideWhenUsed/>
    <w:rsid w:val="007A19D7"/>
    <w:pPr>
      <w:spacing w:line="240" w:lineRule="auto"/>
    </w:pPr>
    <w:rPr>
      <w:sz w:val="20"/>
      <w:szCs w:val="20"/>
    </w:rPr>
  </w:style>
  <w:style w:type="character" w:customStyle="1" w:styleId="CommentTextChar">
    <w:name w:val="Comment Text Char"/>
    <w:basedOn w:val="DefaultParagraphFont"/>
    <w:link w:val="CommentText"/>
    <w:uiPriority w:val="99"/>
    <w:semiHidden/>
    <w:rsid w:val="007A19D7"/>
    <w:rPr>
      <w:sz w:val="20"/>
      <w:szCs w:val="20"/>
    </w:rPr>
  </w:style>
  <w:style w:type="paragraph" w:styleId="CommentSubject">
    <w:name w:val="annotation subject"/>
    <w:basedOn w:val="CommentText"/>
    <w:next w:val="CommentText"/>
    <w:link w:val="CommentSubjectChar"/>
    <w:uiPriority w:val="99"/>
    <w:semiHidden/>
    <w:unhideWhenUsed/>
    <w:rsid w:val="007A19D7"/>
    <w:rPr>
      <w:b/>
      <w:bCs/>
    </w:rPr>
  </w:style>
  <w:style w:type="character" w:customStyle="1" w:styleId="CommentSubjectChar">
    <w:name w:val="Comment Subject Char"/>
    <w:basedOn w:val="CommentTextChar"/>
    <w:link w:val="CommentSubject"/>
    <w:uiPriority w:val="99"/>
    <w:semiHidden/>
    <w:rsid w:val="007A19D7"/>
    <w:rPr>
      <w:b/>
      <w:bCs/>
      <w:sz w:val="20"/>
      <w:szCs w:val="20"/>
    </w:rPr>
  </w:style>
  <w:style w:type="paragraph" w:styleId="BalloonText">
    <w:name w:val="Balloon Text"/>
    <w:basedOn w:val="Normal"/>
    <w:link w:val="BalloonTextChar"/>
    <w:uiPriority w:val="99"/>
    <w:semiHidden/>
    <w:unhideWhenUsed/>
    <w:rsid w:val="007A1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9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3558">
      <w:bodyDiv w:val="1"/>
      <w:marLeft w:val="0"/>
      <w:marRight w:val="0"/>
      <w:marTop w:val="0"/>
      <w:marBottom w:val="0"/>
      <w:divBdr>
        <w:top w:val="none" w:sz="0" w:space="0" w:color="auto"/>
        <w:left w:val="none" w:sz="0" w:space="0" w:color="auto"/>
        <w:bottom w:val="none" w:sz="0" w:space="0" w:color="auto"/>
        <w:right w:val="none" w:sz="0" w:space="0" w:color="auto"/>
      </w:divBdr>
    </w:div>
    <w:div w:id="102727430">
      <w:bodyDiv w:val="1"/>
      <w:marLeft w:val="0"/>
      <w:marRight w:val="0"/>
      <w:marTop w:val="0"/>
      <w:marBottom w:val="0"/>
      <w:divBdr>
        <w:top w:val="none" w:sz="0" w:space="0" w:color="auto"/>
        <w:left w:val="none" w:sz="0" w:space="0" w:color="auto"/>
        <w:bottom w:val="none" w:sz="0" w:space="0" w:color="auto"/>
        <w:right w:val="none" w:sz="0" w:space="0" w:color="auto"/>
      </w:divBdr>
    </w:div>
    <w:div w:id="218905393">
      <w:bodyDiv w:val="1"/>
      <w:marLeft w:val="0"/>
      <w:marRight w:val="0"/>
      <w:marTop w:val="0"/>
      <w:marBottom w:val="0"/>
      <w:divBdr>
        <w:top w:val="none" w:sz="0" w:space="0" w:color="auto"/>
        <w:left w:val="none" w:sz="0" w:space="0" w:color="auto"/>
        <w:bottom w:val="none" w:sz="0" w:space="0" w:color="auto"/>
        <w:right w:val="none" w:sz="0" w:space="0" w:color="auto"/>
      </w:divBdr>
    </w:div>
    <w:div w:id="361126373">
      <w:bodyDiv w:val="1"/>
      <w:marLeft w:val="0"/>
      <w:marRight w:val="0"/>
      <w:marTop w:val="0"/>
      <w:marBottom w:val="0"/>
      <w:divBdr>
        <w:top w:val="none" w:sz="0" w:space="0" w:color="auto"/>
        <w:left w:val="none" w:sz="0" w:space="0" w:color="auto"/>
        <w:bottom w:val="none" w:sz="0" w:space="0" w:color="auto"/>
        <w:right w:val="none" w:sz="0" w:space="0" w:color="auto"/>
      </w:divBdr>
    </w:div>
    <w:div w:id="479345218">
      <w:bodyDiv w:val="1"/>
      <w:marLeft w:val="0"/>
      <w:marRight w:val="0"/>
      <w:marTop w:val="0"/>
      <w:marBottom w:val="0"/>
      <w:divBdr>
        <w:top w:val="none" w:sz="0" w:space="0" w:color="auto"/>
        <w:left w:val="none" w:sz="0" w:space="0" w:color="auto"/>
        <w:bottom w:val="none" w:sz="0" w:space="0" w:color="auto"/>
        <w:right w:val="none" w:sz="0" w:space="0" w:color="auto"/>
      </w:divBdr>
    </w:div>
    <w:div w:id="498273109">
      <w:bodyDiv w:val="1"/>
      <w:marLeft w:val="0"/>
      <w:marRight w:val="0"/>
      <w:marTop w:val="0"/>
      <w:marBottom w:val="0"/>
      <w:divBdr>
        <w:top w:val="none" w:sz="0" w:space="0" w:color="auto"/>
        <w:left w:val="none" w:sz="0" w:space="0" w:color="auto"/>
        <w:bottom w:val="none" w:sz="0" w:space="0" w:color="auto"/>
        <w:right w:val="none" w:sz="0" w:space="0" w:color="auto"/>
      </w:divBdr>
    </w:div>
    <w:div w:id="516040759">
      <w:bodyDiv w:val="1"/>
      <w:marLeft w:val="0"/>
      <w:marRight w:val="0"/>
      <w:marTop w:val="0"/>
      <w:marBottom w:val="0"/>
      <w:divBdr>
        <w:top w:val="none" w:sz="0" w:space="0" w:color="auto"/>
        <w:left w:val="none" w:sz="0" w:space="0" w:color="auto"/>
        <w:bottom w:val="none" w:sz="0" w:space="0" w:color="auto"/>
        <w:right w:val="none" w:sz="0" w:space="0" w:color="auto"/>
      </w:divBdr>
    </w:div>
    <w:div w:id="565726924">
      <w:bodyDiv w:val="1"/>
      <w:marLeft w:val="0"/>
      <w:marRight w:val="0"/>
      <w:marTop w:val="0"/>
      <w:marBottom w:val="0"/>
      <w:divBdr>
        <w:top w:val="none" w:sz="0" w:space="0" w:color="auto"/>
        <w:left w:val="none" w:sz="0" w:space="0" w:color="auto"/>
        <w:bottom w:val="none" w:sz="0" w:space="0" w:color="auto"/>
        <w:right w:val="none" w:sz="0" w:space="0" w:color="auto"/>
      </w:divBdr>
    </w:div>
    <w:div w:id="588972744">
      <w:bodyDiv w:val="1"/>
      <w:marLeft w:val="0"/>
      <w:marRight w:val="0"/>
      <w:marTop w:val="0"/>
      <w:marBottom w:val="0"/>
      <w:divBdr>
        <w:top w:val="none" w:sz="0" w:space="0" w:color="auto"/>
        <w:left w:val="none" w:sz="0" w:space="0" w:color="auto"/>
        <w:bottom w:val="none" w:sz="0" w:space="0" w:color="auto"/>
        <w:right w:val="none" w:sz="0" w:space="0" w:color="auto"/>
      </w:divBdr>
    </w:div>
    <w:div w:id="618413869">
      <w:bodyDiv w:val="1"/>
      <w:marLeft w:val="0"/>
      <w:marRight w:val="0"/>
      <w:marTop w:val="0"/>
      <w:marBottom w:val="0"/>
      <w:divBdr>
        <w:top w:val="none" w:sz="0" w:space="0" w:color="auto"/>
        <w:left w:val="none" w:sz="0" w:space="0" w:color="auto"/>
        <w:bottom w:val="none" w:sz="0" w:space="0" w:color="auto"/>
        <w:right w:val="none" w:sz="0" w:space="0" w:color="auto"/>
      </w:divBdr>
    </w:div>
    <w:div w:id="669065067">
      <w:bodyDiv w:val="1"/>
      <w:marLeft w:val="0"/>
      <w:marRight w:val="0"/>
      <w:marTop w:val="0"/>
      <w:marBottom w:val="0"/>
      <w:divBdr>
        <w:top w:val="none" w:sz="0" w:space="0" w:color="auto"/>
        <w:left w:val="none" w:sz="0" w:space="0" w:color="auto"/>
        <w:bottom w:val="none" w:sz="0" w:space="0" w:color="auto"/>
        <w:right w:val="none" w:sz="0" w:space="0" w:color="auto"/>
      </w:divBdr>
    </w:div>
    <w:div w:id="672805554">
      <w:bodyDiv w:val="1"/>
      <w:marLeft w:val="0"/>
      <w:marRight w:val="0"/>
      <w:marTop w:val="0"/>
      <w:marBottom w:val="0"/>
      <w:divBdr>
        <w:top w:val="none" w:sz="0" w:space="0" w:color="auto"/>
        <w:left w:val="none" w:sz="0" w:space="0" w:color="auto"/>
        <w:bottom w:val="none" w:sz="0" w:space="0" w:color="auto"/>
        <w:right w:val="none" w:sz="0" w:space="0" w:color="auto"/>
      </w:divBdr>
    </w:div>
    <w:div w:id="714889977">
      <w:bodyDiv w:val="1"/>
      <w:marLeft w:val="0"/>
      <w:marRight w:val="0"/>
      <w:marTop w:val="0"/>
      <w:marBottom w:val="0"/>
      <w:divBdr>
        <w:top w:val="none" w:sz="0" w:space="0" w:color="auto"/>
        <w:left w:val="none" w:sz="0" w:space="0" w:color="auto"/>
        <w:bottom w:val="none" w:sz="0" w:space="0" w:color="auto"/>
        <w:right w:val="none" w:sz="0" w:space="0" w:color="auto"/>
      </w:divBdr>
    </w:div>
    <w:div w:id="732507076">
      <w:bodyDiv w:val="1"/>
      <w:marLeft w:val="0"/>
      <w:marRight w:val="0"/>
      <w:marTop w:val="0"/>
      <w:marBottom w:val="0"/>
      <w:divBdr>
        <w:top w:val="none" w:sz="0" w:space="0" w:color="auto"/>
        <w:left w:val="none" w:sz="0" w:space="0" w:color="auto"/>
        <w:bottom w:val="none" w:sz="0" w:space="0" w:color="auto"/>
        <w:right w:val="none" w:sz="0" w:space="0" w:color="auto"/>
      </w:divBdr>
    </w:div>
    <w:div w:id="827595686">
      <w:bodyDiv w:val="1"/>
      <w:marLeft w:val="0"/>
      <w:marRight w:val="0"/>
      <w:marTop w:val="0"/>
      <w:marBottom w:val="0"/>
      <w:divBdr>
        <w:top w:val="none" w:sz="0" w:space="0" w:color="auto"/>
        <w:left w:val="none" w:sz="0" w:space="0" w:color="auto"/>
        <w:bottom w:val="none" w:sz="0" w:space="0" w:color="auto"/>
        <w:right w:val="none" w:sz="0" w:space="0" w:color="auto"/>
      </w:divBdr>
    </w:div>
    <w:div w:id="858545529">
      <w:bodyDiv w:val="1"/>
      <w:marLeft w:val="0"/>
      <w:marRight w:val="0"/>
      <w:marTop w:val="0"/>
      <w:marBottom w:val="0"/>
      <w:divBdr>
        <w:top w:val="none" w:sz="0" w:space="0" w:color="auto"/>
        <w:left w:val="none" w:sz="0" w:space="0" w:color="auto"/>
        <w:bottom w:val="none" w:sz="0" w:space="0" w:color="auto"/>
        <w:right w:val="none" w:sz="0" w:space="0" w:color="auto"/>
      </w:divBdr>
    </w:div>
    <w:div w:id="880169717">
      <w:bodyDiv w:val="1"/>
      <w:marLeft w:val="0"/>
      <w:marRight w:val="0"/>
      <w:marTop w:val="0"/>
      <w:marBottom w:val="0"/>
      <w:divBdr>
        <w:top w:val="none" w:sz="0" w:space="0" w:color="auto"/>
        <w:left w:val="none" w:sz="0" w:space="0" w:color="auto"/>
        <w:bottom w:val="none" w:sz="0" w:space="0" w:color="auto"/>
        <w:right w:val="none" w:sz="0" w:space="0" w:color="auto"/>
      </w:divBdr>
    </w:div>
    <w:div w:id="885994523">
      <w:bodyDiv w:val="1"/>
      <w:marLeft w:val="0"/>
      <w:marRight w:val="0"/>
      <w:marTop w:val="0"/>
      <w:marBottom w:val="0"/>
      <w:divBdr>
        <w:top w:val="none" w:sz="0" w:space="0" w:color="auto"/>
        <w:left w:val="none" w:sz="0" w:space="0" w:color="auto"/>
        <w:bottom w:val="none" w:sz="0" w:space="0" w:color="auto"/>
        <w:right w:val="none" w:sz="0" w:space="0" w:color="auto"/>
      </w:divBdr>
    </w:div>
    <w:div w:id="1244415591">
      <w:bodyDiv w:val="1"/>
      <w:marLeft w:val="0"/>
      <w:marRight w:val="0"/>
      <w:marTop w:val="0"/>
      <w:marBottom w:val="0"/>
      <w:divBdr>
        <w:top w:val="none" w:sz="0" w:space="0" w:color="auto"/>
        <w:left w:val="none" w:sz="0" w:space="0" w:color="auto"/>
        <w:bottom w:val="none" w:sz="0" w:space="0" w:color="auto"/>
        <w:right w:val="none" w:sz="0" w:space="0" w:color="auto"/>
      </w:divBdr>
    </w:div>
    <w:div w:id="1276207825">
      <w:bodyDiv w:val="1"/>
      <w:marLeft w:val="0"/>
      <w:marRight w:val="0"/>
      <w:marTop w:val="0"/>
      <w:marBottom w:val="0"/>
      <w:divBdr>
        <w:top w:val="none" w:sz="0" w:space="0" w:color="auto"/>
        <w:left w:val="none" w:sz="0" w:space="0" w:color="auto"/>
        <w:bottom w:val="none" w:sz="0" w:space="0" w:color="auto"/>
        <w:right w:val="none" w:sz="0" w:space="0" w:color="auto"/>
      </w:divBdr>
    </w:div>
    <w:div w:id="1367363669">
      <w:bodyDiv w:val="1"/>
      <w:marLeft w:val="0"/>
      <w:marRight w:val="0"/>
      <w:marTop w:val="0"/>
      <w:marBottom w:val="0"/>
      <w:divBdr>
        <w:top w:val="none" w:sz="0" w:space="0" w:color="auto"/>
        <w:left w:val="none" w:sz="0" w:space="0" w:color="auto"/>
        <w:bottom w:val="none" w:sz="0" w:space="0" w:color="auto"/>
        <w:right w:val="none" w:sz="0" w:space="0" w:color="auto"/>
      </w:divBdr>
    </w:div>
    <w:div w:id="1372917137">
      <w:bodyDiv w:val="1"/>
      <w:marLeft w:val="0"/>
      <w:marRight w:val="0"/>
      <w:marTop w:val="0"/>
      <w:marBottom w:val="0"/>
      <w:divBdr>
        <w:top w:val="none" w:sz="0" w:space="0" w:color="auto"/>
        <w:left w:val="none" w:sz="0" w:space="0" w:color="auto"/>
        <w:bottom w:val="none" w:sz="0" w:space="0" w:color="auto"/>
        <w:right w:val="none" w:sz="0" w:space="0" w:color="auto"/>
      </w:divBdr>
    </w:div>
    <w:div w:id="1402482344">
      <w:bodyDiv w:val="1"/>
      <w:marLeft w:val="0"/>
      <w:marRight w:val="0"/>
      <w:marTop w:val="0"/>
      <w:marBottom w:val="0"/>
      <w:divBdr>
        <w:top w:val="none" w:sz="0" w:space="0" w:color="auto"/>
        <w:left w:val="none" w:sz="0" w:space="0" w:color="auto"/>
        <w:bottom w:val="none" w:sz="0" w:space="0" w:color="auto"/>
        <w:right w:val="none" w:sz="0" w:space="0" w:color="auto"/>
      </w:divBdr>
    </w:div>
    <w:div w:id="1487621906">
      <w:bodyDiv w:val="1"/>
      <w:marLeft w:val="0"/>
      <w:marRight w:val="0"/>
      <w:marTop w:val="0"/>
      <w:marBottom w:val="0"/>
      <w:divBdr>
        <w:top w:val="none" w:sz="0" w:space="0" w:color="auto"/>
        <w:left w:val="none" w:sz="0" w:space="0" w:color="auto"/>
        <w:bottom w:val="none" w:sz="0" w:space="0" w:color="auto"/>
        <w:right w:val="none" w:sz="0" w:space="0" w:color="auto"/>
      </w:divBdr>
    </w:div>
    <w:div w:id="1560050851">
      <w:bodyDiv w:val="1"/>
      <w:marLeft w:val="0"/>
      <w:marRight w:val="0"/>
      <w:marTop w:val="0"/>
      <w:marBottom w:val="0"/>
      <w:divBdr>
        <w:top w:val="none" w:sz="0" w:space="0" w:color="auto"/>
        <w:left w:val="none" w:sz="0" w:space="0" w:color="auto"/>
        <w:bottom w:val="none" w:sz="0" w:space="0" w:color="auto"/>
        <w:right w:val="none" w:sz="0" w:space="0" w:color="auto"/>
      </w:divBdr>
    </w:div>
    <w:div w:id="1947880343">
      <w:bodyDiv w:val="1"/>
      <w:marLeft w:val="0"/>
      <w:marRight w:val="0"/>
      <w:marTop w:val="0"/>
      <w:marBottom w:val="0"/>
      <w:divBdr>
        <w:top w:val="none" w:sz="0" w:space="0" w:color="auto"/>
        <w:left w:val="none" w:sz="0" w:space="0" w:color="auto"/>
        <w:bottom w:val="none" w:sz="0" w:space="0" w:color="auto"/>
        <w:right w:val="none" w:sz="0" w:space="0" w:color="auto"/>
      </w:divBdr>
    </w:div>
    <w:div w:id="1979530687">
      <w:bodyDiv w:val="1"/>
      <w:marLeft w:val="0"/>
      <w:marRight w:val="0"/>
      <w:marTop w:val="0"/>
      <w:marBottom w:val="0"/>
      <w:divBdr>
        <w:top w:val="none" w:sz="0" w:space="0" w:color="auto"/>
        <w:left w:val="none" w:sz="0" w:space="0" w:color="auto"/>
        <w:bottom w:val="none" w:sz="0" w:space="0" w:color="auto"/>
        <w:right w:val="none" w:sz="0" w:space="0" w:color="auto"/>
      </w:divBdr>
    </w:div>
    <w:div w:id="2033721429">
      <w:bodyDiv w:val="1"/>
      <w:marLeft w:val="0"/>
      <w:marRight w:val="0"/>
      <w:marTop w:val="0"/>
      <w:marBottom w:val="0"/>
      <w:divBdr>
        <w:top w:val="none" w:sz="0" w:space="0" w:color="auto"/>
        <w:left w:val="none" w:sz="0" w:space="0" w:color="auto"/>
        <w:bottom w:val="none" w:sz="0" w:space="0" w:color="auto"/>
        <w:right w:val="none" w:sz="0" w:space="0" w:color="auto"/>
      </w:divBdr>
    </w:div>
    <w:div w:id="2075739321">
      <w:bodyDiv w:val="1"/>
      <w:marLeft w:val="0"/>
      <w:marRight w:val="0"/>
      <w:marTop w:val="0"/>
      <w:marBottom w:val="0"/>
      <w:divBdr>
        <w:top w:val="none" w:sz="0" w:space="0" w:color="auto"/>
        <w:left w:val="none" w:sz="0" w:space="0" w:color="auto"/>
        <w:bottom w:val="none" w:sz="0" w:space="0" w:color="auto"/>
        <w:right w:val="none" w:sz="0" w:space="0" w:color="auto"/>
      </w:divBdr>
    </w:div>
    <w:div w:id="212187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ECD2B-B495-475C-A4AC-BF04BFF3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3389</Words>
  <Characters>19322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Prathamesh Kalpande</dc:creator>
  <cp:lastModifiedBy>Almasa</cp:lastModifiedBy>
  <cp:revision>37</cp:revision>
  <cp:lastPrinted>2024-01-18T09:28:00Z</cp:lastPrinted>
  <dcterms:created xsi:type="dcterms:W3CDTF">2025-05-10T17:58:00Z</dcterms:created>
  <dcterms:modified xsi:type="dcterms:W3CDTF">2025-05-15T20:37:00Z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id="inEER2TQ"/&gt;&lt;style id="http://www.zotero.org/styles/chicago-note-bibliography" locale="en-US"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ies>
</file>