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E8B8" w14:textId="6803132C" w:rsidR="00A35557" w:rsidRPr="00A35557" w:rsidRDefault="00A35557" w:rsidP="00A35557">
      <w:pPr>
        <w:rPr>
          <w:rFonts w:ascii="Arial" w:hAnsi="Arial" w:cs="Arial"/>
          <w:b/>
          <w:bCs/>
          <w:i/>
          <w:iCs/>
          <w:sz w:val="28"/>
          <w:szCs w:val="22"/>
          <w:u w:val="single"/>
        </w:rPr>
      </w:pPr>
      <w:r w:rsidRPr="00A35557">
        <w:rPr>
          <w:rFonts w:ascii="Arial" w:hAnsi="Arial" w:cs="Arial"/>
          <w:b/>
          <w:bCs/>
          <w:i/>
          <w:iCs/>
          <w:sz w:val="28"/>
          <w:szCs w:val="22"/>
          <w:u w:val="single"/>
        </w:rPr>
        <w:t>Original Research Article</w:t>
      </w:r>
    </w:p>
    <w:p w14:paraId="6E8BCFDE" w14:textId="63A6ABB3" w:rsidR="008C1348" w:rsidRPr="00AA2A27" w:rsidRDefault="00DA7DEF" w:rsidP="00260A78">
      <w:pPr>
        <w:jc w:val="right"/>
        <w:rPr>
          <w:rFonts w:ascii="Arial" w:hAnsi="Arial" w:cs="Arial"/>
          <w:szCs w:val="20"/>
        </w:rPr>
      </w:pPr>
      <w:r w:rsidRPr="00AA2A27">
        <w:rPr>
          <w:rFonts w:ascii="Arial" w:hAnsi="Arial" w:cs="Arial"/>
          <w:b/>
          <w:bCs/>
          <w:sz w:val="28"/>
          <w:szCs w:val="22"/>
        </w:rPr>
        <w:t xml:space="preserve">Impact of Integrated Nutrient Management on </w:t>
      </w:r>
      <w:r w:rsidR="00590EEB" w:rsidRPr="00AA2A27">
        <w:rPr>
          <w:rFonts w:ascii="Arial" w:hAnsi="Arial" w:cs="Arial"/>
          <w:b/>
          <w:bCs/>
          <w:sz w:val="28"/>
          <w:szCs w:val="22"/>
        </w:rPr>
        <w:t>V</w:t>
      </w:r>
      <w:r w:rsidR="00FA48A2" w:rsidRPr="00AA2A27">
        <w:rPr>
          <w:rFonts w:ascii="Arial" w:hAnsi="Arial" w:cs="Arial"/>
          <w:b/>
          <w:bCs/>
          <w:sz w:val="28"/>
          <w:szCs w:val="22"/>
        </w:rPr>
        <w:t>egeta</w:t>
      </w:r>
      <w:r w:rsidR="00590EEB" w:rsidRPr="00AA2A27">
        <w:rPr>
          <w:rFonts w:ascii="Arial" w:hAnsi="Arial" w:cs="Arial"/>
          <w:b/>
          <w:bCs/>
          <w:sz w:val="28"/>
          <w:szCs w:val="22"/>
        </w:rPr>
        <w:t xml:space="preserve">tive Characteristics </w:t>
      </w:r>
      <w:r w:rsidRPr="00AA2A27">
        <w:rPr>
          <w:rFonts w:ascii="Arial" w:hAnsi="Arial" w:cs="Arial"/>
          <w:b/>
          <w:bCs/>
          <w:sz w:val="28"/>
          <w:szCs w:val="22"/>
        </w:rPr>
        <w:t xml:space="preserve">and </w:t>
      </w:r>
      <w:r w:rsidR="00590EEB" w:rsidRPr="00AA2A27">
        <w:rPr>
          <w:rFonts w:ascii="Arial" w:hAnsi="Arial" w:cs="Arial"/>
          <w:b/>
          <w:bCs/>
          <w:sz w:val="28"/>
          <w:szCs w:val="22"/>
        </w:rPr>
        <w:t>Y</w:t>
      </w:r>
      <w:r w:rsidRPr="00AA2A27">
        <w:rPr>
          <w:rFonts w:ascii="Arial" w:hAnsi="Arial" w:cs="Arial"/>
          <w:b/>
          <w:bCs/>
          <w:sz w:val="28"/>
          <w:szCs w:val="22"/>
        </w:rPr>
        <w:t xml:space="preserve">ield of </w:t>
      </w:r>
      <w:r w:rsidR="00590EEB" w:rsidRPr="00AA2A27">
        <w:rPr>
          <w:rFonts w:ascii="Arial" w:hAnsi="Arial" w:cs="Arial"/>
          <w:b/>
          <w:bCs/>
          <w:sz w:val="28"/>
          <w:szCs w:val="22"/>
        </w:rPr>
        <w:t>B</w:t>
      </w:r>
      <w:r w:rsidRPr="00AA2A27">
        <w:rPr>
          <w:rFonts w:ascii="Arial" w:hAnsi="Arial" w:cs="Arial"/>
          <w:b/>
          <w:bCs/>
          <w:sz w:val="28"/>
          <w:szCs w:val="22"/>
        </w:rPr>
        <w:t>ottle gourd [</w:t>
      </w:r>
      <w:r w:rsidRPr="00AA2A27">
        <w:rPr>
          <w:rFonts w:ascii="Arial" w:hAnsi="Arial" w:cs="Arial"/>
          <w:b/>
          <w:bCs/>
          <w:i/>
          <w:iCs/>
          <w:sz w:val="28"/>
          <w:szCs w:val="22"/>
        </w:rPr>
        <w:t>Lagenaria siceraria</w:t>
      </w:r>
      <w:r w:rsidRPr="00AA2A27">
        <w:rPr>
          <w:rFonts w:ascii="Arial" w:hAnsi="Arial" w:cs="Arial"/>
          <w:b/>
          <w:bCs/>
          <w:sz w:val="28"/>
          <w:szCs w:val="22"/>
        </w:rPr>
        <w:t xml:space="preserve"> (Mol.) </w:t>
      </w:r>
      <w:proofErr w:type="spellStart"/>
      <w:r w:rsidRPr="00AA2A27">
        <w:rPr>
          <w:rFonts w:ascii="Arial" w:hAnsi="Arial" w:cs="Arial"/>
          <w:b/>
          <w:bCs/>
          <w:sz w:val="28"/>
          <w:szCs w:val="22"/>
        </w:rPr>
        <w:t>Standl</w:t>
      </w:r>
      <w:proofErr w:type="spellEnd"/>
      <w:r w:rsidRPr="00AA2A27">
        <w:rPr>
          <w:rFonts w:ascii="Arial" w:hAnsi="Arial" w:cs="Arial"/>
          <w:b/>
          <w:bCs/>
          <w:sz w:val="28"/>
          <w:szCs w:val="22"/>
        </w:rPr>
        <w:t>.] cv. Pusa Naveen</w:t>
      </w:r>
      <w:r w:rsidR="004E7E31" w:rsidRPr="00AA2A27">
        <w:rPr>
          <w:rFonts w:ascii="Arial" w:hAnsi="Arial" w:cs="Arial"/>
          <w:sz w:val="28"/>
          <w:szCs w:val="22"/>
        </w:rPr>
        <w:t xml:space="preserve"> </w:t>
      </w:r>
    </w:p>
    <w:p w14:paraId="7EC33B99" w14:textId="77777777" w:rsidR="00F52138" w:rsidRDefault="00F52138" w:rsidP="00153D40">
      <w:pPr>
        <w:spacing w:after="0"/>
        <w:jc w:val="both"/>
        <w:rPr>
          <w:rFonts w:ascii="Arial" w:hAnsi="Arial" w:cs="Arial"/>
          <w:sz w:val="20"/>
          <w:szCs w:val="16"/>
        </w:rPr>
      </w:pPr>
    </w:p>
    <w:p w14:paraId="04AD160B" w14:textId="77777777" w:rsidR="002F3C27" w:rsidRPr="00AE5218" w:rsidRDefault="002F3C27" w:rsidP="00153D40">
      <w:pPr>
        <w:spacing w:after="0"/>
        <w:jc w:val="both"/>
        <w:rPr>
          <w:rFonts w:ascii="Arial" w:hAnsi="Arial" w:cs="Arial"/>
          <w:sz w:val="20"/>
          <w:szCs w:val="16"/>
        </w:rPr>
      </w:pPr>
    </w:p>
    <w:p w14:paraId="10A483FB" w14:textId="380B8888" w:rsidR="0043090A" w:rsidRPr="00697D44" w:rsidRDefault="00060A97" w:rsidP="00FC6931">
      <w:pPr>
        <w:spacing w:before="240" w:after="0"/>
        <w:jc w:val="both"/>
        <w:rPr>
          <w:rFonts w:ascii="Arial" w:hAnsi="Arial" w:cs="Arial"/>
          <w:b/>
          <w:bCs/>
          <w:sz w:val="22"/>
          <w:szCs w:val="18"/>
        </w:rPr>
      </w:pPr>
      <w:commentRangeStart w:id="0"/>
      <w:r w:rsidRPr="00697D44">
        <w:rPr>
          <w:rFonts w:ascii="Arial" w:hAnsi="Arial" w:cs="Arial"/>
          <w:b/>
          <w:bCs/>
          <w:sz w:val="22"/>
          <w:szCs w:val="18"/>
        </w:rPr>
        <w:t>ABSTRACT</w:t>
      </w:r>
      <w:commentRangeEnd w:id="0"/>
      <w:r w:rsidR="00DD31C0">
        <w:rPr>
          <w:rStyle w:val="CommentReference"/>
        </w:rPr>
        <w:commentReference w:id="0"/>
      </w:r>
    </w:p>
    <w:p w14:paraId="067153AC" w14:textId="1F8FD0EA" w:rsidR="002225E9" w:rsidRDefault="002225E9" w:rsidP="003B2C99">
      <w:pPr>
        <w:spacing w:line="276" w:lineRule="auto"/>
        <w:jc w:val="both"/>
        <w:rPr>
          <w:rFonts w:ascii="Arial" w:hAnsi="Arial" w:cs="Arial"/>
          <w:sz w:val="20"/>
          <w:szCs w:val="20"/>
        </w:rPr>
      </w:pPr>
      <w:r w:rsidRPr="00AA2A27">
        <w:rPr>
          <w:rFonts w:ascii="Arial" w:hAnsi="Arial" w:cs="Arial"/>
          <w:sz w:val="20"/>
          <w:szCs w:val="20"/>
        </w:rPr>
        <w:t>The present investigation entitled “Impact of Integrated Nutrient Management on Growth and Yield of Bottle Gourd [</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cv. Pusa Naveen” was conducted during the </w:t>
      </w:r>
      <w:r w:rsidRPr="00B60E84">
        <w:rPr>
          <w:rFonts w:ascii="Arial" w:hAnsi="Arial" w:cs="Arial"/>
          <w:i/>
          <w:iCs/>
          <w:sz w:val="20"/>
          <w:szCs w:val="20"/>
        </w:rPr>
        <w:t>Kharif</w:t>
      </w:r>
      <w:r w:rsidRPr="00AA2A27">
        <w:rPr>
          <w:rFonts w:ascii="Arial" w:hAnsi="Arial" w:cs="Arial"/>
          <w:sz w:val="20"/>
          <w:szCs w:val="20"/>
        </w:rPr>
        <w:t xml:space="preserve"> season of 202</w:t>
      </w:r>
      <w:r w:rsidR="00192071">
        <w:rPr>
          <w:rFonts w:ascii="Arial" w:hAnsi="Arial" w:cs="Arial"/>
          <w:sz w:val="20"/>
          <w:szCs w:val="20"/>
        </w:rPr>
        <w:t>4</w:t>
      </w:r>
      <w:r w:rsidRPr="00AA2A27">
        <w:rPr>
          <w:rFonts w:ascii="Arial" w:hAnsi="Arial" w:cs="Arial"/>
          <w:sz w:val="20"/>
          <w:szCs w:val="20"/>
        </w:rPr>
        <w:t xml:space="preserve"> at the Horticulture Experimental Field, College of Agriculture, RVSKVV, Gwalior (M.P.). The main objective of the study was to evaluate the influence of integrated nutrient management (INM) on growth, yield and quality attributes of bottle gourd. The experiment comprised 13 treatments replicated thrice in a Randomized Block Design (RBD). Among the treatments, T</w:t>
      </w:r>
      <w:r w:rsidRPr="00AA2A27">
        <w:rPr>
          <w:rFonts w:ascii="Arial" w:hAnsi="Arial" w:cs="Arial"/>
          <w:sz w:val="20"/>
          <w:szCs w:val="20"/>
          <w:vertAlign w:val="subscript"/>
        </w:rPr>
        <w:t>13</w:t>
      </w:r>
      <w:r w:rsidRPr="00AA2A27">
        <w:rPr>
          <w:rFonts w:ascii="Arial" w:hAnsi="Arial" w:cs="Arial"/>
          <w:sz w:val="20"/>
          <w:szCs w:val="20"/>
        </w:rPr>
        <w:t>- 75% RDF + Vermicompost (12 t/ha) + Azotobacter (5 kg/ha) + PSB (5 kg/ha) + KSB (5 lit/ha) recorded significantly superior performance across all observed parameters. In contrast, the control treatment T</w:t>
      </w:r>
      <w:r w:rsidRPr="00AA2A27">
        <w:rPr>
          <w:rFonts w:ascii="Arial" w:hAnsi="Arial" w:cs="Arial"/>
          <w:sz w:val="20"/>
          <w:szCs w:val="20"/>
          <w:vertAlign w:val="subscript"/>
        </w:rPr>
        <w:t>1</w:t>
      </w:r>
      <w:r w:rsidRPr="00AA2A27">
        <w:rPr>
          <w:rFonts w:ascii="Arial" w:hAnsi="Arial" w:cs="Arial"/>
          <w:sz w:val="20"/>
          <w:szCs w:val="20"/>
        </w:rPr>
        <w:t xml:space="preserve"> (100% RDF alone) exhibited the least performance. Treatment T</w:t>
      </w:r>
      <w:r w:rsidRPr="00AA2A27">
        <w:rPr>
          <w:rFonts w:ascii="Arial" w:hAnsi="Arial" w:cs="Arial"/>
          <w:sz w:val="20"/>
          <w:szCs w:val="20"/>
          <w:vertAlign w:val="subscript"/>
        </w:rPr>
        <w:t>13</w:t>
      </w:r>
      <w:r w:rsidRPr="00AA2A27">
        <w:rPr>
          <w:rFonts w:ascii="Arial" w:hAnsi="Arial" w:cs="Arial"/>
          <w:sz w:val="20"/>
          <w:szCs w:val="20"/>
        </w:rPr>
        <w:t xml:space="preserve"> showed remarkable improvements in morphological parameters such as germination percentage, vine length, number of primary branches per vine, number of nodes per vine up to the first male and female flowers and internodal length. In terms of phenological traits, it also showed first appearance of male and female flower. Yield attributes including days to first picking, number of fruits per plant, fruit length and diameter, pedicel length and average fruit weight were significantly influenced by the application of different INM combinations. The highest values for all these yield parameters were observed in treatment T</w:t>
      </w:r>
      <w:r w:rsidRPr="00AA2A27">
        <w:rPr>
          <w:rFonts w:ascii="Arial" w:hAnsi="Arial" w:cs="Arial"/>
          <w:sz w:val="20"/>
          <w:szCs w:val="20"/>
          <w:vertAlign w:val="subscript"/>
        </w:rPr>
        <w:t>13</w:t>
      </w:r>
      <w:r w:rsidRPr="00AA2A27">
        <w:rPr>
          <w:rFonts w:ascii="Arial" w:hAnsi="Arial" w:cs="Arial"/>
          <w:sz w:val="20"/>
          <w:szCs w:val="20"/>
        </w:rPr>
        <w:t>, while the lowest were recorded in the control (T</w:t>
      </w:r>
      <w:r w:rsidRPr="00AA2A27">
        <w:rPr>
          <w:rFonts w:ascii="Arial" w:hAnsi="Arial" w:cs="Arial"/>
          <w:sz w:val="20"/>
          <w:szCs w:val="20"/>
          <w:vertAlign w:val="subscript"/>
        </w:rPr>
        <w:t>1</w:t>
      </w:r>
      <w:r w:rsidRPr="00AA2A27">
        <w:rPr>
          <w:rFonts w:ascii="Arial" w:hAnsi="Arial" w:cs="Arial"/>
          <w:sz w:val="20"/>
          <w:szCs w:val="20"/>
        </w:rPr>
        <w:t>), confirming the beneficial effects of integrated nutrient management in enhancing the overall performance of bottle gourd.</w:t>
      </w:r>
    </w:p>
    <w:p w14:paraId="6C380220" w14:textId="290F0D5F" w:rsidR="00ED33DE" w:rsidRPr="00AA2A27" w:rsidRDefault="00ED33DE" w:rsidP="003B2C99">
      <w:pPr>
        <w:spacing w:line="276" w:lineRule="auto"/>
        <w:jc w:val="both"/>
        <w:rPr>
          <w:rFonts w:ascii="Arial" w:hAnsi="Arial" w:cs="Arial"/>
          <w:sz w:val="20"/>
          <w:szCs w:val="20"/>
        </w:rPr>
      </w:pPr>
      <w:r>
        <w:rPr>
          <w:rFonts w:ascii="Arial" w:hAnsi="Arial" w:cs="Arial"/>
          <w:sz w:val="20"/>
          <w:szCs w:val="20"/>
        </w:rPr>
        <w:t xml:space="preserve">Keywords: </w:t>
      </w:r>
      <w:r w:rsidR="00A97E35">
        <w:rPr>
          <w:rFonts w:ascii="Arial" w:hAnsi="Arial" w:cs="Arial"/>
          <w:sz w:val="20"/>
          <w:szCs w:val="20"/>
        </w:rPr>
        <w:t>Bioferti</w:t>
      </w:r>
      <w:r w:rsidR="002856CA">
        <w:rPr>
          <w:rFonts w:ascii="Arial" w:hAnsi="Arial" w:cs="Arial"/>
          <w:sz w:val="20"/>
          <w:szCs w:val="20"/>
        </w:rPr>
        <w:t xml:space="preserve">lizers, </w:t>
      </w:r>
      <w:r w:rsidR="006E6AB8">
        <w:rPr>
          <w:rFonts w:ascii="Arial" w:hAnsi="Arial" w:cs="Arial"/>
          <w:sz w:val="20"/>
          <w:szCs w:val="20"/>
        </w:rPr>
        <w:t xml:space="preserve">Bottle gourd, </w:t>
      </w:r>
      <w:r w:rsidR="00BA6BFF">
        <w:rPr>
          <w:rFonts w:ascii="Arial" w:hAnsi="Arial" w:cs="Arial"/>
          <w:sz w:val="20"/>
          <w:szCs w:val="20"/>
        </w:rPr>
        <w:t>Growth and Yield</w:t>
      </w:r>
      <w:r w:rsidR="00E52F91">
        <w:rPr>
          <w:rFonts w:ascii="Arial" w:hAnsi="Arial" w:cs="Arial"/>
          <w:sz w:val="20"/>
          <w:szCs w:val="20"/>
        </w:rPr>
        <w:t xml:space="preserve"> attributes,</w:t>
      </w:r>
      <w:r w:rsidR="002856CA">
        <w:rPr>
          <w:rFonts w:ascii="Arial" w:hAnsi="Arial" w:cs="Arial"/>
          <w:sz w:val="20"/>
          <w:szCs w:val="20"/>
        </w:rPr>
        <w:t xml:space="preserve"> </w:t>
      </w:r>
      <w:r w:rsidR="00212451">
        <w:rPr>
          <w:rFonts w:ascii="Arial" w:hAnsi="Arial" w:cs="Arial"/>
          <w:sz w:val="20"/>
          <w:szCs w:val="20"/>
        </w:rPr>
        <w:t xml:space="preserve">Morphological </w:t>
      </w:r>
      <w:r w:rsidR="00DF27A6">
        <w:rPr>
          <w:rFonts w:ascii="Arial" w:hAnsi="Arial" w:cs="Arial"/>
          <w:sz w:val="20"/>
          <w:szCs w:val="20"/>
        </w:rPr>
        <w:t>and Phenological trai</w:t>
      </w:r>
      <w:r w:rsidR="00455F48">
        <w:rPr>
          <w:rFonts w:ascii="Arial" w:hAnsi="Arial" w:cs="Arial"/>
          <w:sz w:val="20"/>
          <w:szCs w:val="20"/>
        </w:rPr>
        <w:t>ts</w:t>
      </w:r>
      <w:r w:rsidR="00DF27A6">
        <w:rPr>
          <w:rFonts w:ascii="Arial" w:hAnsi="Arial" w:cs="Arial"/>
          <w:sz w:val="20"/>
          <w:szCs w:val="20"/>
        </w:rPr>
        <w:t xml:space="preserve"> </w:t>
      </w:r>
    </w:p>
    <w:p w14:paraId="464D11E3" w14:textId="27C5DE27" w:rsidR="008F6D3B" w:rsidRPr="004C64C5" w:rsidRDefault="00B641FF" w:rsidP="008F6D3B">
      <w:pPr>
        <w:spacing w:after="0"/>
        <w:jc w:val="both"/>
        <w:rPr>
          <w:rFonts w:ascii="Arial" w:hAnsi="Arial" w:cs="Arial"/>
          <w:b/>
          <w:bCs/>
          <w:sz w:val="22"/>
          <w:szCs w:val="22"/>
          <w:lang w:val="it-IT"/>
        </w:rPr>
      </w:pPr>
      <w:r w:rsidRPr="004C64C5">
        <w:rPr>
          <w:rFonts w:ascii="Arial" w:hAnsi="Arial" w:cs="Arial"/>
          <w:b/>
          <w:bCs/>
          <w:sz w:val="22"/>
          <w:szCs w:val="22"/>
          <w:lang w:val="it-IT"/>
        </w:rPr>
        <w:t xml:space="preserve">1. </w:t>
      </w:r>
      <w:r w:rsidR="00C82A84" w:rsidRPr="004C64C5">
        <w:rPr>
          <w:rFonts w:ascii="Arial" w:hAnsi="Arial" w:cs="Arial"/>
          <w:b/>
          <w:bCs/>
          <w:sz w:val="22"/>
          <w:szCs w:val="22"/>
          <w:lang w:val="it-IT"/>
        </w:rPr>
        <w:t>Introduction</w:t>
      </w:r>
    </w:p>
    <w:p w14:paraId="3A97D3D4" w14:textId="31C82FCE" w:rsidR="00EF1602" w:rsidRDefault="00350A2D" w:rsidP="00DC5064">
      <w:pPr>
        <w:spacing w:line="276" w:lineRule="auto"/>
        <w:jc w:val="both"/>
        <w:rPr>
          <w:rFonts w:ascii="Arial" w:hAnsi="Arial" w:cs="Arial"/>
          <w:sz w:val="20"/>
          <w:szCs w:val="20"/>
        </w:rPr>
        <w:sectPr w:rsidR="00EF1602" w:rsidSect="00751A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964" w:gutter="0"/>
          <w:cols w:space="708"/>
          <w:docGrid w:linePitch="360"/>
        </w:sectPr>
      </w:pPr>
      <w:r w:rsidRPr="00AA2A27">
        <w:rPr>
          <w:rFonts w:ascii="Arial" w:hAnsi="Arial" w:cs="Arial"/>
          <w:sz w:val="20"/>
          <w:szCs w:val="20"/>
          <w:lang w:val="it-IT"/>
        </w:rPr>
        <w:t>Bottle gourd (</w:t>
      </w:r>
      <w:r w:rsidRPr="00AA2A27">
        <w:rPr>
          <w:rFonts w:ascii="Arial" w:hAnsi="Arial" w:cs="Arial"/>
          <w:i/>
          <w:iCs/>
          <w:sz w:val="20"/>
          <w:szCs w:val="20"/>
          <w:lang w:val="it-IT"/>
        </w:rPr>
        <w:t>Lagenaria siceraria</w:t>
      </w:r>
      <w:r w:rsidRPr="00AA2A27">
        <w:rPr>
          <w:rFonts w:ascii="Arial" w:hAnsi="Arial" w:cs="Arial"/>
          <w:sz w:val="20"/>
          <w:szCs w:val="20"/>
          <w:lang w:val="it-IT"/>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a member of the Cucurbitaceae family, originates from South Africa and is an annual, cross-pollinated vine (2n=22) grown in warm climates. Its tender fruits are widely used as vegetables, pickles and sweets, while the hard shells of mature fruits serve as containers, utensils and ornaments. Medicinally, it offers various benefits-fruit poultices heal wounds and parts of the plant are used in treatments for headaches and jaundice (Harika </w:t>
      </w:r>
      <w:r w:rsidRPr="001D7870">
        <w:rPr>
          <w:rFonts w:ascii="Arial" w:hAnsi="Arial" w:cs="Arial"/>
          <w:sz w:val="20"/>
          <w:szCs w:val="20"/>
        </w:rPr>
        <w:t>et al</w:t>
      </w:r>
      <w:r w:rsidRPr="00AA2A27">
        <w:rPr>
          <w:rFonts w:ascii="Arial" w:hAnsi="Arial" w:cs="Arial"/>
          <w:sz w:val="20"/>
          <w:szCs w:val="20"/>
        </w:rPr>
        <w:t>., 2012). In India, bottle gourd is mainly cultivated in Bihar, Madhya Pradesh, Haryana, West Bengal and Uttar Pradesh. During 202</w:t>
      </w:r>
      <w:r w:rsidR="00D229B2">
        <w:rPr>
          <w:rFonts w:ascii="Arial" w:hAnsi="Arial" w:cs="Arial"/>
          <w:sz w:val="20"/>
          <w:szCs w:val="20"/>
        </w:rPr>
        <w:t>3</w:t>
      </w:r>
      <w:r w:rsidRPr="00AA2A27">
        <w:rPr>
          <w:rFonts w:ascii="Arial" w:hAnsi="Arial" w:cs="Arial"/>
          <w:sz w:val="20"/>
          <w:szCs w:val="20"/>
        </w:rPr>
        <w:t>-2</w:t>
      </w:r>
      <w:r w:rsidR="00D229B2">
        <w:rPr>
          <w:rFonts w:ascii="Arial" w:hAnsi="Arial" w:cs="Arial"/>
          <w:sz w:val="20"/>
          <w:szCs w:val="20"/>
        </w:rPr>
        <w:t>4</w:t>
      </w:r>
      <w:r w:rsidRPr="00AA2A27">
        <w:rPr>
          <w:rFonts w:ascii="Arial" w:hAnsi="Arial" w:cs="Arial"/>
          <w:sz w:val="20"/>
          <w:szCs w:val="20"/>
        </w:rPr>
        <w:t>, it was grown on 2</w:t>
      </w:r>
      <w:r w:rsidR="00AF7332" w:rsidRPr="00AA2A27">
        <w:rPr>
          <w:rFonts w:ascii="Arial" w:hAnsi="Arial" w:cs="Arial"/>
          <w:sz w:val="20"/>
          <w:szCs w:val="20"/>
        </w:rPr>
        <w:t>2</w:t>
      </w:r>
      <w:r w:rsidRPr="00AA2A27">
        <w:rPr>
          <w:rFonts w:ascii="Arial" w:hAnsi="Arial" w:cs="Arial"/>
          <w:sz w:val="20"/>
          <w:szCs w:val="20"/>
        </w:rPr>
        <w:t>4 thousand hectares with a production of 3</w:t>
      </w:r>
      <w:r w:rsidR="00B60DD0" w:rsidRPr="00AA2A27">
        <w:rPr>
          <w:rFonts w:ascii="Arial" w:hAnsi="Arial" w:cs="Arial"/>
          <w:sz w:val="20"/>
          <w:szCs w:val="20"/>
        </w:rPr>
        <w:t>780</w:t>
      </w:r>
      <w:r w:rsidRPr="00AA2A27">
        <w:rPr>
          <w:rFonts w:ascii="Arial" w:hAnsi="Arial" w:cs="Arial"/>
          <w:sz w:val="20"/>
          <w:szCs w:val="20"/>
        </w:rPr>
        <w:t xml:space="preserve"> thousand MT. In Madhya Pradesh alone, </w:t>
      </w:r>
      <w:r w:rsidR="000906E5" w:rsidRPr="00AA2A27">
        <w:rPr>
          <w:rFonts w:ascii="Arial" w:hAnsi="Arial" w:cs="Arial"/>
          <w:sz w:val="20"/>
          <w:szCs w:val="20"/>
        </w:rPr>
        <w:t>30.30</w:t>
      </w:r>
      <w:r w:rsidRPr="00AA2A27">
        <w:rPr>
          <w:rFonts w:ascii="Arial" w:hAnsi="Arial" w:cs="Arial"/>
          <w:sz w:val="20"/>
          <w:szCs w:val="20"/>
        </w:rPr>
        <w:t xml:space="preserve"> thousand hectares yielded 5</w:t>
      </w:r>
      <w:r w:rsidR="005A00CA" w:rsidRPr="00AA2A27">
        <w:rPr>
          <w:rFonts w:ascii="Arial" w:hAnsi="Arial" w:cs="Arial"/>
          <w:sz w:val="20"/>
          <w:szCs w:val="20"/>
        </w:rPr>
        <w:t>39.19</w:t>
      </w:r>
      <w:r w:rsidRPr="00AA2A27">
        <w:rPr>
          <w:rFonts w:ascii="Arial" w:hAnsi="Arial" w:cs="Arial"/>
          <w:sz w:val="20"/>
          <w:szCs w:val="20"/>
        </w:rPr>
        <w:t xml:space="preserve"> thousand MT (Anonymous, 202</w:t>
      </w:r>
      <w:r w:rsidR="005A00CA" w:rsidRPr="00AA2A27">
        <w:rPr>
          <w:rFonts w:ascii="Arial" w:hAnsi="Arial" w:cs="Arial"/>
          <w:sz w:val="20"/>
          <w:szCs w:val="20"/>
        </w:rPr>
        <w:t>4</w:t>
      </w:r>
      <w:r w:rsidRPr="00AA2A27">
        <w:rPr>
          <w:rFonts w:ascii="Arial" w:hAnsi="Arial" w:cs="Arial"/>
          <w:sz w:val="20"/>
          <w:szCs w:val="20"/>
        </w:rPr>
        <w:t xml:space="preserve">). Nutritionally, it is low in calories and rich in vitamins and minerals, while its seeds are a good source of protein, oil and antioxidants (Leghari </w:t>
      </w:r>
      <w:r w:rsidRPr="001D7870">
        <w:rPr>
          <w:rFonts w:ascii="Arial" w:hAnsi="Arial" w:cs="Arial"/>
          <w:sz w:val="20"/>
          <w:szCs w:val="20"/>
        </w:rPr>
        <w:t>et al</w:t>
      </w:r>
      <w:r w:rsidRPr="00AA2A27">
        <w:rPr>
          <w:rFonts w:ascii="Arial" w:hAnsi="Arial" w:cs="Arial"/>
          <w:sz w:val="20"/>
          <w:szCs w:val="20"/>
        </w:rPr>
        <w:t>., 2014</w:t>
      </w:r>
      <w:r w:rsidR="00127741" w:rsidRPr="00AA2A27">
        <w:rPr>
          <w:rFonts w:ascii="Arial" w:hAnsi="Arial" w:cs="Arial"/>
          <w:sz w:val="20"/>
          <w:szCs w:val="20"/>
        </w:rPr>
        <w:t>)</w:t>
      </w:r>
      <w:r w:rsidRPr="00AA2A27">
        <w:rPr>
          <w:rFonts w:ascii="Arial" w:hAnsi="Arial" w:cs="Arial"/>
          <w:sz w:val="20"/>
          <w:szCs w:val="20"/>
        </w:rPr>
        <w:t xml:space="preserve">. Excessive and continuous use of chemical fertilizers degrades soil health and the environment (Dass </w:t>
      </w:r>
      <w:r w:rsidRPr="001D7870">
        <w:rPr>
          <w:rFonts w:ascii="Arial" w:hAnsi="Arial" w:cs="Arial"/>
          <w:sz w:val="20"/>
          <w:szCs w:val="20"/>
        </w:rPr>
        <w:t>et al</w:t>
      </w:r>
      <w:r w:rsidRPr="00AA2A27">
        <w:rPr>
          <w:rFonts w:ascii="Arial" w:hAnsi="Arial" w:cs="Arial"/>
          <w:sz w:val="20"/>
          <w:szCs w:val="20"/>
        </w:rPr>
        <w:t xml:space="preserve">., 2008). A shift toward integrated nutrient management (INM), combining organic and inorganic sources, supports sustainable productivity. Organic inputs like vermicompost, FYM and biofertilizers enhance soil fertility, plant growth and yield (Nagar </w:t>
      </w:r>
      <w:r w:rsidRPr="001D7870">
        <w:rPr>
          <w:rFonts w:ascii="Arial" w:hAnsi="Arial" w:cs="Arial"/>
          <w:sz w:val="20"/>
          <w:szCs w:val="20"/>
        </w:rPr>
        <w:t>et al</w:t>
      </w:r>
      <w:r w:rsidRPr="00AA2A27">
        <w:rPr>
          <w:rFonts w:ascii="Arial" w:hAnsi="Arial" w:cs="Arial"/>
          <w:sz w:val="20"/>
          <w:szCs w:val="20"/>
        </w:rPr>
        <w:t xml:space="preserve">., 2017). Vermicompost improves nutrient availability, microbial activity and plant growth via biologically active compounds (Mahale </w:t>
      </w:r>
      <w:r w:rsidRPr="001D7870">
        <w:rPr>
          <w:rFonts w:ascii="Arial" w:hAnsi="Arial" w:cs="Arial"/>
          <w:sz w:val="20"/>
          <w:szCs w:val="20"/>
        </w:rPr>
        <w:t>et al</w:t>
      </w:r>
      <w:r w:rsidRPr="00AA2A27">
        <w:rPr>
          <w:rFonts w:ascii="Arial" w:hAnsi="Arial" w:cs="Arial"/>
          <w:sz w:val="20"/>
          <w:szCs w:val="20"/>
        </w:rPr>
        <w:t xml:space="preserve">., 2018). FYM supplies essential nutrients and improves soil structure, supporting crop productivity (Baghel </w:t>
      </w:r>
      <w:r w:rsidRPr="001D7870">
        <w:rPr>
          <w:rFonts w:ascii="Arial" w:hAnsi="Arial" w:cs="Arial"/>
          <w:sz w:val="20"/>
          <w:szCs w:val="20"/>
        </w:rPr>
        <w:t>et al</w:t>
      </w:r>
      <w:r w:rsidRPr="00AA2A27">
        <w:rPr>
          <w:rFonts w:ascii="Arial" w:hAnsi="Arial" w:cs="Arial"/>
          <w:sz w:val="20"/>
          <w:szCs w:val="20"/>
        </w:rPr>
        <w:t>., 2017). Biofertilizers enhance nutrient cycling, particularly nitrogen fixation and carbon assimilation, promoting sustainable agriculture (</w:t>
      </w:r>
      <w:proofErr w:type="spellStart"/>
      <w:r w:rsidRPr="00AA2A27">
        <w:rPr>
          <w:rFonts w:ascii="Arial" w:hAnsi="Arial" w:cs="Arial"/>
          <w:sz w:val="20"/>
          <w:szCs w:val="20"/>
        </w:rPr>
        <w:t>Patle</w:t>
      </w:r>
      <w:proofErr w:type="spellEnd"/>
      <w:r w:rsidRPr="00AA2A27">
        <w:rPr>
          <w:rFonts w:ascii="Arial" w:hAnsi="Arial" w:cs="Arial"/>
          <w:sz w:val="20"/>
          <w:szCs w:val="20"/>
        </w:rPr>
        <w:t xml:space="preserve"> </w:t>
      </w:r>
      <w:r w:rsidRPr="001D7870">
        <w:rPr>
          <w:rFonts w:ascii="Arial" w:hAnsi="Arial" w:cs="Arial"/>
          <w:sz w:val="20"/>
          <w:szCs w:val="20"/>
        </w:rPr>
        <w:t>et al</w:t>
      </w:r>
      <w:r w:rsidRPr="00AA2A27">
        <w:rPr>
          <w:rFonts w:ascii="Arial" w:hAnsi="Arial" w:cs="Arial"/>
          <w:sz w:val="20"/>
          <w:szCs w:val="20"/>
        </w:rPr>
        <w:t xml:space="preserve">., 2018). Among essential nutrients, nitrogen is vital for protein synthesis and overall growth, phosphorus for root and reproductive development and potassium for improving fruit quality and stress resistance (Bhosale, 2016). Integrated nutrient management, therefore, ensures optimal yields while enhancing </w:t>
      </w:r>
      <w:r w:rsidRPr="00AA2A27">
        <w:rPr>
          <w:rFonts w:ascii="Arial" w:hAnsi="Arial" w:cs="Arial"/>
          <w:sz w:val="20"/>
          <w:szCs w:val="20"/>
        </w:rPr>
        <w:lastRenderedPageBreak/>
        <w:t>soil health through a balanced application of organic and inorganic sources tailored to specific crop and climatic conditions.</w:t>
      </w:r>
    </w:p>
    <w:p w14:paraId="5899EC5E" w14:textId="40D65B57" w:rsidR="006E32C7" w:rsidRPr="00AA2A27" w:rsidRDefault="00B641FF" w:rsidP="00153D40">
      <w:pPr>
        <w:spacing w:after="0"/>
        <w:jc w:val="both"/>
        <w:rPr>
          <w:rFonts w:ascii="Arial" w:hAnsi="Arial" w:cs="Arial"/>
          <w:b/>
          <w:bCs/>
          <w:sz w:val="22"/>
          <w:szCs w:val="22"/>
        </w:rPr>
      </w:pPr>
      <w:r>
        <w:rPr>
          <w:rFonts w:ascii="Arial" w:hAnsi="Arial" w:cs="Arial"/>
          <w:b/>
          <w:bCs/>
          <w:sz w:val="22"/>
          <w:szCs w:val="22"/>
        </w:rPr>
        <w:t xml:space="preserve">2. </w:t>
      </w:r>
      <w:r w:rsidR="006E32C7" w:rsidRPr="00AA2A27">
        <w:rPr>
          <w:rFonts w:ascii="Arial" w:hAnsi="Arial" w:cs="Arial"/>
          <w:b/>
          <w:bCs/>
          <w:sz w:val="22"/>
          <w:szCs w:val="22"/>
        </w:rPr>
        <w:t>Materials and Methods</w:t>
      </w:r>
    </w:p>
    <w:p w14:paraId="74DC473F" w14:textId="76036FB3" w:rsidR="000D2644" w:rsidRPr="00AA2A27" w:rsidRDefault="00E01C0E" w:rsidP="00DC5064">
      <w:pPr>
        <w:autoSpaceDE w:val="0"/>
        <w:autoSpaceDN w:val="0"/>
        <w:adjustRightInd w:val="0"/>
        <w:spacing w:after="0" w:line="276" w:lineRule="auto"/>
        <w:jc w:val="both"/>
        <w:rPr>
          <w:rFonts w:ascii="Arial" w:hAnsi="Arial" w:cs="Arial"/>
          <w:sz w:val="20"/>
          <w:szCs w:val="20"/>
        </w:rPr>
      </w:pPr>
      <w:r w:rsidRPr="00AA2A27">
        <w:rPr>
          <w:rFonts w:ascii="Arial" w:hAnsi="Arial" w:cs="Arial"/>
          <w:sz w:val="20"/>
          <w:szCs w:val="20"/>
        </w:rPr>
        <w:t>The present investigation was carried out during the rainy season of 202</w:t>
      </w:r>
      <w:r w:rsidR="00192071">
        <w:rPr>
          <w:rFonts w:ascii="Arial" w:hAnsi="Arial" w:cs="Arial"/>
          <w:sz w:val="20"/>
          <w:szCs w:val="20"/>
        </w:rPr>
        <w:t>4</w:t>
      </w:r>
      <w:r w:rsidRPr="00AA2A27">
        <w:rPr>
          <w:rFonts w:ascii="Arial" w:hAnsi="Arial" w:cs="Arial"/>
          <w:sz w:val="20"/>
          <w:szCs w:val="20"/>
        </w:rPr>
        <w:t xml:space="preserve"> at the Experimental Field, Department of Horticulture, College of Agriculture, Gwalior, under the agro-climatic conditions of northern Madhya Pradesh. The study aimed to evaluate the effects of different nutrient management practices on the vegetative traits and yield of bottle gourd </w:t>
      </w:r>
      <w:r w:rsidR="00BB2314">
        <w:rPr>
          <w:rFonts w:ascii="Arial" w:hAnsi="Arial" w:cs="Arial"/>
          <w:sz w:val="20"/>
          <w:szCs w:val="20"/>
        </w:rPr>
        <w:t>[</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w:t>
      </w:r>
      <w:r w:rsidR="00BB2314">
        <w:rPr>
          <w:rFonts w:ascii="Arial" w:hAnsi="Arial" w:cs="Arial"/>
          <w:sz w:val="20"/>
          <w:szCs w:val="20"/>
        </w:rPr>
        <w:t>]</w:t>
      </w:r>
      <w:r w:rsidRPr="00AA2A27">
        <w:rPr>
          <w:rFonts w:ascii="Arial" w:hAnsi="Arial" w:cs="Arial"/>
          <w:sz w:val="20"/>
          <w:szCs w:val="20"/>
        </w:rPr>
        <w:t xml:space="preserve"> cv. Pusa Naveen. The experiment was laid out in a Randomized Block Design (RBD) with thirteen treatments replicated thrice. The treatments were as follows:</w:t>
      </w:r>
      <w:r w:rsidR="0097488F" w:rsidRPr="00AA2A27">
        <w:rPr>
          <w:rFonts w:ascii="Arial" w:hAnsi="Arial" w:cs="Arial"/>
          <w:sz w:val="20"/>
          <w:szCs w:val="20"/>
        </w:rPr>
        <w:t xml:space="preserve"> T</w:t>
      </w:r>
      <w:r w:rsidR="0097488F" w:rsidRPr="00AA2A27">
        <w:rPr>
          <w:rFonts w:ascii="Arial" w:hAnsi="Arial" w:cs="Arial"/>
          <w:sz w:val="20"/>
          <w:szCs w:val="20"/>
          <w:vertAlign w:val="subscript"/>
        </w:rPr>
        <w:t>1</w:t>
      </w:r>
      <w:r w:rsidR="0097488F" w:rsidRPr="00AA2A27">
        <w:rPr>
          <w:rFonts w:ascii="Arial" w:hAnsi="Arial" w:cs="Arial"/>
          <w:sz w:val="20"/>
          <w:szCs w:val="20"/>
        </w:rPr>
        <w:t>- 100% RDF (Control), T</w:t>
      </w:r>
      <w:r w:rsidR="0097488F" w:rsidRPr="00AA2A27">
        <w:rPr>
          <w:rFonts w:ascii="Arial" w:hAnsi="Arial" w:cs="Arial"/>
          <w:sz w:val="20"/>
          <w:szCs w:val="20"/>
          <w:vertAlign w:val="subscript"/>
        </w:rPr>
        <w:t>2</w:t>
      </w:r>
      <w:r w:rsidR="0097488F" w:rsidRPr="00AA2A27">
        <w:rPr>
          <w:rFonts w:ascii="Arial" w:hAnsi="Arial" w:cs="Arial"/>
          <w:sz w:val="20"/>
          <w:szCs w:val="20"/>
        </w:rPr>
        <w:t>- 75% RDF + Azotobacter (5 kg/ha) + PSB (5 kg/ha), T</w:t>
      </w:r>
      <w:r w:rsidR="0097488F" w:rsidRPr="00AA2A27">
        <w:rPr>
          <w:rFonts w:ascii="Arial" w:hAnsi="Arial" w:cs="Arial"/>
          <w:sz w:val="20"/>
          <w:szCs w:val="20"/>
          <w:vertAlign w:val="subscript"/>
        </w:rPr>
        <w:t>3</w:t>
      </w:r>
      <w:r w:rsidR="0097488F" w:rsidRPr="00AA2A27">
        <w:rPr>
          <w:rFonts w:ascii="Arial" w:hAnsi="Arial" w:cs="Arial"/>
          <w:sz w:val="20"/>
          <w:szCs w:val="20"/>
        </w:rPr>
        <w:t>- 75% RDF + Azotobacter (5 kg/ha) + KSB (5 lit/ha), T</w:t>
      </w:r>
      <w:r w:rsidR="0097488F" w:rsidRPr="00AA2A27">
        <w:rPr>
          <w:rFonts w:ascii="Arial" w:hAnsi="Arial" w:cs="Arial"/>
          <w:sz w:val="20"/>
          <w:szCs w:val="20"/>
          <w:vertAlign w:val="subscript"/>
        </w:rPr>
        <w:t>4</w:t>
      </w:r>
      <w:r w:rsidR="0097488F" w:rsidRPr="00AA2A27">
        <w:rPr>
          <w:rFonts w:ascii="Arial" w:hAnsi="Arial" w:cs="Arial"/>
          <w:sz w:val="20"/>
          <w:szCs w:val="20"/>
        </w:rPr>
        <w:t>- 75% RDF + PSB (5 kg/ha) + KSB (5 lit/ha), T</w:t>
      </w:r>
      <w:r w:rsidR="0097488F" w:rsidRPr="00AA2A27">
        <w:rPr>
          <w:rFonts w:ascii="Arial" w:hAnsi="Arial" w:cs="Arial"/>
          <w:sz w:val="20"/>
          <w:szCs w:val="20"/>
          <w:vertAlign w:val="subscript"/>
        </w:rPr>
        <w:t>5</w:t>
      </w:r>
      <w:r w:rsidR="0097488F" w:rsidRPr="00AA2A27">
        <w:rPr>
          <w:rFonts w:ascii="Arial" w:hAnsi="Arial" w:cs="Arial"/>
          <w:sz w:val="20"/>
          <w:szCs w:val="20"/>
        </w:rPr>
        <w:t>- 75% RDF + Azotobacter (5 kg/ha) + PSB (5 kg/ha) + KSB (5 lit/ha), T</w:t>
      </w:r>
      <w:r w:rsidR="0097488F" w:rsidRPr="00AA2A27">
        <w:rPr>
          <w:rFonts w:ascii="Arial" w:hAnsi="Arial" w:cs="Arial"/>
          <w:sz w:val="20"/>
          <w:szCs w:val="20"/>
          <w:vertAlign w:val="subscript"/>
        </w:rPr>
        <w:t>6</w:t>
      </w:r>
      <w:r w:rsidR="0097488F" w:rsidRPr="00AA2A27">
        <w:rPr>
          <w:rFonts w:ascii="Arial" w:hAnsi="Arial" w:cs="Arial"/>
          <w:sz w:val="20"/>
          <w:szCs w:val="20"/>
        </w:rPr>
        <w:t>- 75% RDF + FYM (25 t/ha) + Azotobacter (5 kg/ha) + PSB (5 kg/ha), T</w:t>
      </w:r>
      <w:r w:rsidR="0097488F" w:rsidRPr="00AA2A27">
        <w:rPr>
          <w:rFonts w:ascii="Arial" w:hAnsi="Arial" w:cs="Arial"/>
          <w:sz w:val="20"/>
          <w:szCs w:val="20"/>
          <w:vertAlign w:val="subscript"/>
        </w:rPr>
        <w:t>7</w:t>
      </w:r>
      <w:r w:rsidR="0097488F" w:rsidRPr="00AA2A27">
        <w:rPr>
          <w:rFonts w:ascii="Arial" w:hAnsi="Arial" w:cs="Arial"/>
          <w:sz w:val="20"/>
          <w:szCs w:val="20"/>
        </w:rPr>
        <w:t>- 75% RDF + FYM (25 t/ha) + Azotobacter (5 kg/ha) + KSB (5 lit/ha), T</w:t>
      </w:r>
      <w:r w:rsidR="0097488F" w:rsidRPr="00AA2A27">
        <w:rPr>
          <w:rFonts w:ascii="Arial" w:hAnsi="Arial" w:cs="Arial"/>
          <w:sz w:val="20"/>
          <w:szCs w:val="20"/>
          <w:vertAlign w:val="subscript"/>
        </w:rPr>
        <w:t>8</w:t>
      </w:r>
      <w:r w:rsidR="0097488F" w:rsidRPr="00AA2A27">
        <w:rPr>
          <w:rFonts w:ascii="Arial" w:hAnsi="Arial" w:cs="Arial"/>
          <w:sz w:val="20"/>
          <w:szCs w:val="20"/>
        </w:rPr>
        <w:t>- 75% RDF + FYM (25 t/ha) + PSB (5 kg/ha) + KSB (5 lit/ha), T</w:t>
      </w:r>
      <w:r w:rsidR="0097488F" w:rsidRPr="00AA2A27">
        <w:rPr>
          <w:rFonts w:ascii="Arial" w:hAnsi="Arial" w:cs="Arial"/>
          <w:sz w:val="20"/>
          <w:szCs w:val="20"/>
          <w:vertAlign w:val="subscript"/>
        </w:rPr>
        <w:t>9</w:t>
      </w:r>
      <w:r w:rsidR="0097488F" w:rsidRPr="00AA2A27">
        <w:rPr>
          <w:rFonts w:ascii="Arial" w:hAnsi="Arial" w:cs="Arial"/>
          <w:sz w:val="20"/>
          <w:szCs w:val="20"/>
        </w:rPr>
        <w:t>- 75% RDF + FYM (25 t/ha) + Azotobacter (5 kg/ha) + PSB (5 kg/ha) + KSB (5 lit/ha), T</w:t>
      </w:r>
      <w:r w:rsidR="0097488F" w:rsidRPr="00AA2A27">
        <w:rPr>
          <w:rFonts w:ascii="Arial" w:hAnsi="Arial" w:cs="Arial"/>
          <w:sz w:val="20"/>
          <w:szCs w:val="20"/>
          <w:vertAlign w:val="subscript"/>
        </w:rPr>
        <w:t>10</w:t>
      </w:r>
      <w:r w:rsidR="0097488F" w:rsidRPr="00AA2A27">
        <w:rPr>
          <w:rFonts w:ascii="Arial" w:hAnsi="Arial" w:cs="Arial"/>
          <w:sz w:val="20"/>
          <w:szCs w:val="20"/>
        </w:rPr>
        <w:t>- 75% RDF + Vermicompost (12 t/ha) + Azotobacter (5 kg/ha) + PSB (5 kg/ha), T</w:t>
      </w:r>
      <w:r w:rsidR="0097488F" w:rsidRPr="00AA2A27">
        <w:rPr>
          <w:rFonts w:ascii="Arial" w:hAnsi="Arial" w:cs="Arial"/>
          <w:sz w:val="20"/>
          <w:szCs w:val="20"/>
          <w:vertAlign w:val="subscript"/>
        </w:rPr>
        <w:t>11</w:t>
      </w:r>
      <w:r w:rsidR="0097488F" w:rsidRPr="00AA2A27">
        <w:rPr>
          <w:rFonts w:ascii="Arial" w:hAnsi="Arial" w:cs="Arial"/>
          <w:sz w:val="20"/>
          <w:szCs w:val="20"/>
        </w:rPr>
        <w:t>- 75% RDF + Vermicompost (12 t/ha) + Azotobacter (5 kg/ha) + KSB (5 lit/ha), T</w:t>
      </w:r>
      <w:r w:rsidR="0097488F" w:rsidRPr="00AA2A27">
        <w:rPr>
          <w:rFonts w:ascii="Arial" w:hAnsi="Arial" w:cs="Arial"/>
          <w:sz w:val="20"/>
          <w:szCs w:val="20"/>
          <w:vertAlign w:val="subscript"/>
        </w:rPr>
        <w:t>12</w:t>
      </w:r>
      <w:r w:rsidR="0097488F" w:rsidRPr="00AA2A27">
        <w:rPr>
          <w:rFonts w:ascii="Arial" w:hAnsi="Arial" w:cs="Arial"/>
          <w:sz w:val="20"/>
          <w:szCs w:val="20"/>
        </w:rPr>
        <w:t>- 75% RDF + Vermicompost (12 t/ha) + PSB (5 kg/ha) + KSB (5 lit/ha)</w:t>
      </w:r>
      <w:r w:rsidR="00C24976" w:rsidRPr="00AA2A27">
        <w:rPr>
          <w:rFonts w:ascii="Arial" w:hAnsi="Arial" w:cs="Arial"/>
          <w:sz w:val="20"/>
          <w:szCs w:val="20"/>
        </w:rPr>
        <w:t xml:space="preserve"> and</w:t>
      </w:r>
      <w:r w:rsidR="0097488F" w:rsidRPr="00AA2A27">
        <w:rPr>
          <w:rFonts w:ascii="Arial" w:hAnsi="Arial" w:cs="Arial"/>
          <w:sz w:val="20"/>
          <w:szCs w:val="20"/>
        </w:rPr>
        <w:t xml:space="preserve"> T</w:t>
      </w:r>
      <w:r w:rsidR="0097488F" w:rsidRPr="00AA2A27">
        <w:rPr>
          <w:rFonts w:ascii="Arial" w:hAnsi="Arial" w:cs="Arial"/>
          <w:sz w:val="20"/>
          <w:szCs w:val="20"/>
          <w:vertAlign w:val="subscript"/>
        </w:rPr>
        <w:t>13</w:t>
      </w:r>
      <w:r w:rsidR="0097488F" w:rsidRPr="00AA2A27">
        <w:rPr>
          <w:rFonts w:ascii="Arial" w:hAnsi="Arial" w:cs="Arial"/>
          <w:sz w:val="20"/>
          <w:szCs w:val="20"/>
        </w:rPr>
        <w:t xml:space="preserve">- 75% RDF + Vermicompost (12 t/ha) + Azotobacter (5 kg/ha) + PSB (5 kg/ha) + KSB (5 lit/ha). </w:t>
      </w:r>
      <w:r w:rsidR="000D2644" w:rsidRPr="00AA2A27">
        <w:rPr>
          <w:rFonts w:ascii="Arial" w:hAnsi="Arial" w:cs="Arial"/>
          <w:sz w:val="20"/>
          <w:szCs w:val="20"/>
        </w:rPr>
        <w:t>Each treatment was applied to plots</w:t>
      </w:r>
      <w:r w:rsidR="00897824">
        <w:rPr>
          <w:rFonts w:ascii="Arial" w:hAnsi="Arial" w:cs="Arial"/>
          <w:sz w:val="20"/>
          <w:szCs w:val="20"/>
        </w:rPr>
        <w:t xml:space="preserve"> size</w:t>
      </w:r>
      <w:r w:rsidR="000D2644" w:rsidRPr="00AA2A27">
        <w:rPr>
          <w:rFonts w:ascii="Arial" w:hAnsi="Arial" w:cs="Arial"/>
          <w:sz w:val="20"/>
          <w:szCs w:val="20"/>
        </w:rPr>
        <w:t xml:space="preserve"> of 3×2 m². The nutrient management included the application of organic manures (FYM @ 25 t/ha and vermicompost @ 12 t/ha) and biofertilizers (Azotobacter @ 5 kg/ha, PSB @ 5 kg/ha and KSB @ 5 lit/ha), in combination with varying levels of recommended dose of fertilizers (100:60:80 NPK kg/ha). Before sowing, one-third of the nitrogen along with the full doses of phosphorus and potassium were incorporated into the soil. The remaining nitrogen was applied in two equal splits, at 30 and 60 days after sowing. All fertilizers and manures were thoroughly mixed into the soil using a hand hoe as per the treatment schedule. From each treatment, five plants were randomly selected to record observations on vegetative growth, flowering behaviour, sex expression and yield attributes. The collected data were statistically analysed using the Analysis of Variance (ANOVA) technique</w:t>
      </w:r>
      <w:r w:rsidR="00B902B8">
        <w:rPr>
          <w:rFonts w:ascii="Arial" w:hAnsi="Arial" w:cs="Arial"/>
          <w:sz w:val="20"/>
          <w:szCs w:val="20"/>
        </w:rPr>
        <w:t xml:space="preserve"> </w:t>
      </w:r>
      <w:r w:rsidR="00253606">
        <w:rPr>
          <w:rFonts w:ascii="Arial" w:hAnsi="Arial" w:cs="Arial"/>
          <w:sz w:val="20"/>
          <w:szCs w:val="20"/>
        </w:rPr>
        <w:t>(</w:t>
      </w:r>
      <w:r w:rsidR="00B902B8" w:rsidRPr="00B902B8">
        <w:rPr>
          <w:rFonts w:ascii="Arial" w:hAnsi="Arial" w:cs="Arial"/>
          <w:sz w:val="20"/>
          <w:szCs w:val="20"/>
        </w:rPr>
        <w:t xml:space="preserve">Panse and </w:t>
      </w:r>
      <w:proofErr w:type="spellStart"/>
      <w:r w:rsidR="00B902B8" w:rsidRPr="00B902B8">
        <w:rPr>
          <w:rFonts w:ascii="Arial" w:hAnsi="Arial" w:cs="Arial"/>
          <w:sz w:val="20"/>
          <w:szCs w:val="20"/>
        </w:rPr>
        <w:t>Sukhatme</w:t>
      </w:r>
      <w:proofErr w:type="spellEnd"/>
      <w:r w:rsidR="00253606">
        <w:rPr>
          <w:rFonts w:ascii="Arial" w:hAnsi="Arial" w:cs="Arial"/>
          <w:sz w:val="20"/>
          <w:szCs w:val="20"/>
        </w:rPr>
        <w:t>,</w:t>
      </w:r>
      <w:r w:rsidR="00B902B8" w:rsidRPr="00B902B8">
        <w:rPr>
          <w:rFonts w:ascii="Arial" w:hAnsi="Arial" w:cs="Arial"/>
          <w:sz w:val="20"/>
          <w:szCs w:val="20"/>
        </w:rPr>
        <w:t xml:space="preserve"> 1985)</w:t>
      </w:r>
      <w:r w:rsidR="000D2644" w:rsidRPr="00AA2A27">
        <w:rPr>
          <w:rFonts w:ascii="Arial" w:hAnsi="Arial" w:cs="Arial"/>
          <w:sz w:val="20"/>
          <w:szCs w:val="20"/>
        </w:rPr>
        <w:t>. The significance of differences among treatments was assessed using the t-test at a 5% probability level (</w:t>
      </w:r>
      <w:r w:rsidR="000D2644" w:rsidRPr="00AA2A27">
        <w:rPr>
          <w:rFonts w:ascii="Arial" w:hAnsi="Arial" w:cs="Arial"/>
          <w:i/>
          <w:iCs/>
          <w:sz w:val="20"/>
          <w:szCs w:val="20"/>
        </w:rPr>
        <w:t>P</w:t>
      </w:r>
      <w:r w:rsidR="000D2644" w:rsidRPr="00AA2A27">
        <w:rPr>
          <w:rFonts w:ascii="Arial" w:hAnsi="Arial" w:cs="Arial"/>
          <w:sz w:val="20"/>
          <w:szCs w:val="20"/>
        </w:rPr>
        <w:t xml:space="preserve"> = 0.05).</w:t>
      </w:r>
    </w:p>
    <w:p w14:paraId="06B29716" w14:textId="472BC2C8" w:rsidR="006E32C7" w:rsidRPr="00AA2A27" w:rsidRDefault="00C36A95" w:rsidP="00AD089C">
      <w:pPr>
        <w:autoSpaceDE w:val="0"/>
        <w:autoSpaceDN w:val="0"/>
        <w:adjustRightInd w:val="0"/>
        <w:spacing w:before="120" w:after="0" w:line="360" w:lineRule="auto"/>
        <w:jc w:val="both"/>
        <w:rPr>
          <w:rFonts w:ascii="Arial" w:hAnsi="Arial" w:cs="Arial"/>
          <w:b/>
          <w:bCs/>
          <w:sz w:val="22"/>
          <w:szCs w:val="22"/>
        </w:rPr>
      </w:pPr>
      <w:r w:rsidRPr="00AA2A27">
        <w:rPr>
          <w:rFonts w:ascii="Arial" w:hAnsi="Arial" w:cs="Arial"/>
          <w:b/>
          <w:bCs/>
          <w:sz w:val="22"/>
          <w:szCs w:val="22"/>
        </w:rPr>
        <w:t xml:space="preserve">3. </w:t>
      </w:r>
      <w:r w:rsidR="006E32C7" w:rsidRPr="00AA2A27">
        <w:rPr>
          <w:rFonts w:ascii="Arial" w:hAnsi="Arial" w:cs="Arial"/>
          <w:b/>
          <w:bCs/>
          <w:sz w:val="22"/>
          <w:szCs w:val="22"/>
        </w:rPr>
        <w:t xml:space="preserve">Result and </w:t>
      </w:r>
      <w:r w:rsidR="007D2E19" w:rsidRPr="00AA2A27">
        <w:rPr>
          <w:rFonts w:ascii="Arial" w:hAnsi="Arial" w:cs="Arial"/>
          <w:b/>
          <w:bCs/>
          <w:sz w:val="22"/>
          <w:szCs w:val="22"/>
        </w:rPr>
        <w:t>Discussion</w:t>
      </w:r>
      <w:r w:rsidR="000218A0" w:rsidRPr="00AA2A27">
        <w:rPr>
          <w:rFonts w:ascii="Arial" w:hAnsi="Arial" w:cs="Arial"/>
          <w:b/>
          <w:bCs/>
          <w:sz w:val="22"/>
          <w:szCs w:val="22"/>
        </w:rPr>
        <w:t xml:space="preserve"> </w:t>
      </w:r>
    </w:p>
    <w:p w14:paraId="0747713D" w14:textId="77777777" w:rsidR="00712C9D" w:rsidRDefault="00C36A95" w:rsidP="002A4E6B">
      <w:pPr>
        <w:jc w:val="both"/>
        <w:rPr>
          <w:rFonts w:ascii="Arial" w:hAnsi="Arial" w:cs="Arial"/>
          <w:b/>
          <w:bCs/>
          <w:sz w:val="20"/>
          <w:szCs w:val="20"/>
        </w:rPr>
      </w:pPr>
      <w:r w:rsidRPr="005365DD">
        <w:rPr>
          <w:rFonts w:ascii="Arial" w:hAnsi="Arial" w:cs="Arial"/>
          <w:b/>
          <w:bCs/>
          <w:sz w:val="20"/>
          <w:szCs w:val="20"/>
        </w:rPr>
        <w:t xml:space="preserve">3.1 Effect of Integrated Nutrient Management on </w:t>
      </w:r>
      <w:r w:rsidR="00712C9D">
        <w:rPr>
          <w:rFonts w:ascii="Arial" w:hAnsi="Arial" w:cs="Arial"/>
          <w:b/>
          <w:bCs/>
          <w:sz w:val="20"/>
          <w:szCs w:val="20"/>
        </w:rPr>
        <w:t>M</w:t>
      </w:r>
      <w:r w:rsidRPr="005365DD">
        <w:rPr>
          <w:rFonts w:ascii="Arial" w:hAnsi="Arial" w:cs="Arial"/>
          <w:b/>
          <w:bCs/>
          <w:sz w:val="20"/>
          <w:szCs w:val="20"/>
        </w:rPr>
        <w:t xml:space="preserve">orphological </w:t>
      </w:r>
      <w:r w:rsidR="00712C9D">
        <w:rPr>
          <w:rFonts w:ascii="Arial" w:hAnsi="Arial" w:cs="Arial"/>
          <w:b/>
          <w:bCs/>
          <w:sz w:val="20"/>
          <w:szCs w:val="20"/>
        </w:rPr>
        <w:t>P</w:t>
      </w:r>
      <w:r w:rsidRPr="005365DD">
        <w:rPr>
          <w:rFonts w:ascii="Arial" w:hAnsi="Arial" w:cs="Arial"/>
          <w:b/>
          <w:bCs/>
          <w:sz w:val="20"/>
          <w:szCs w:val="20"/>
        </w:rPr>
        <w:t xml:space="preserve">arameters of </w:t>
      </w:r>
      <w:r w:rsidR="00712C9D">
        <w:rPr>
          <w:rFonts w:ascii="Arial" w:hAnsi="Arial" w:cs="Arial"/>
          <w:b/>
          <w:bCs/>
          <w:sz w:val="20"/>
          <w:szCs w:val="20"/>
        </w:rPr>
        <w:t>B</w:t>
      </w:r>
      <w:r w:rsidRPr="005365DD">
        <w:rPr>
          <w:rFonts w:ascii="Arial" w:hAnsi="Arial" w:cs="Arial"/>
          <w:b/>
          <w:bCs/>
          <w:sz w:val="20"/>
          <w:szCs w:val="20"/>
        </w:rPr>
        <w:t>ottle gourd</w:t>
      </w:r>
    </w:p>
    <w:p w14:paraId="43F70DCF" w14:textId="223E85E4" w:rsidR="00450553" w:rsidRPr="002A4E6B" w:rsidRDefault="00610E56" w:rsidP="003B2C99">
      <w:pPr>
        <w:spacing w:line="276" w:lineRule="auto"/>
        <w:jc w:val="both"/>
        <w:rPr>
          <w:rFonts w:ascii="Arial" w:hAnsi="Arial" w:cs="Arial"/>
          <w:sz w:val="20"/>
          <w:szCs w:val="18"/>
        </w:rPr>
      </w:pPr>
      <w:r w:rsidRPr="00610E56">
        <w:rPr>
          <w:rFonts w:ascii="Arial" w:hAnsi="Arial" w:cs="Arial"/>
          <w:sz w:val="20"/>
          <w:szCs w:val="18"/>
        </w:rPr>
        <w:t>The mean results presented in Table 1 revealed significant variations in vegetative parameters among the different nutrient and combination of biofertilizer sources.</w:t>
      </w:r>
      <w:r>
        <w:rPr>
          <w:rFonts w:ascii="Arial" w:hAnsi="Arial" w:cs="Arial"/>
          <w:sz w:val="20"/>
          <w:szCs w:val="18"/>
        </w:rPr>
        <w:t xml:space="preserve"> </w:t>
      </w:r>
      <w:r w:rsidR="00FC6931" w:rsidRPr="002A4E6B">
        <w:rPr>
          <w:rFonts w:ascii="Arial" w:hAnsi="Arial" w:cs="Arial"/>
          <w:sz w:val="20"/>
          <w:szCs w:val="18"/>
        </w:rPr>
        <w:t>The application of organic manures and biofertilizers in combination with varying levels of recommended fertilizer doses significantly influenced seed germination in bottle gourd. The highest germination percentage was observed under treatment T</w:t>
      </w:r>
      <w:r w:rsidR="00FC6931" w:rsidRPr="00350872">
        <w:rPr>
          <w:rFonts w:ascii="Arial" w:hAnsi="Arial" w:cs="Arial"/>
          <w:sz w:val="20"/>
          <w:szCs w:val="18"/>
          <w:vertAlign w:val="subscript"/>
        </w:rPr>
        <w:t>13</w:t>
      </w:r>
      <w:r w:rsidR="00FC6931" w:rsidRPr="002A4E6B">
        <w:rPr>
          <w:rFonts w:ascii="Arial" w:hAnsi="Arial" w:cs="Arial"/>
          <w:sz w:val="20"/>
          <w:szCs w:val="18"/>
        </w:rPr>
        <w:t xml:space="preserve"> (75% RDF + Vermicompost @ 12 t/ha + Azotobacter @ 5 kg/ha + PSB @ 5 kg/ha + KSB @ 5 lit/ha), while the lowest was recorded with T</w:t>
      </w:r>
      <w:r w:rsidR="00FC6931" w:rsidRPr="00350872">
        <w:rPr>
          <w:rFonts w:ascii="Arial" w:hAnsi="Arial" w:cs="Arial"/>
          <w:sz w:val="20"/>
          <w:szCs w:val="18"/>
          <w:vertAlign w:val="subscript"/>
        </w:rPr>
        <w:t>1</w:t>
      </w:r>
      <w:r w:rsidR="00FC6931" w:rsidRPr="002A4E6B">
        <w:rPr>
          <w:rFonts w:ascii="Arial" w:hAnsi="Arial" w:cs="Arial"/>
          <w:sz w:val="20"/>
          <w:szCs w:val="18"/>
        </w:rPr>
        <w:t xml:space="preserve"> (100% RDF alone). Enhanced germination under integrated nutrient treatments may be attributed to improved soil structure and microbial activity. These results are consistent with the findings of </w:t>
      </w:r>
      <w:proofErr w:type="spellStart"/>
      <w:r w:rsidR="00FC6931" w:rsidRPr="002A4E6B">
        <w:rPr>
          <w:rFonts w:ascii="Arial" w:hAnsi="Arial" w:cs="Arial"/>
          <w:sz w:val="20"/>
          <w:szCs w:val="18"/>
        </w:rPr>
        <w:t>Patle</w:t>
      </w:r>
      <w:proofErr w:type="spellEnd"/>
      <w:r w:rsidR="00FC6931" w:rsidRPr="002A4E6B">
        <w:rPr>
          <w:rFonts w:ascii="Arial" w:hAnsi="Arial" w:cs="Arial"/>
          <w:sz w:val="20"/>
          <w:szCs w:val="18"/>
        </w:rPr>
        <w:t xml:space="preserve"> et al. (2018), Shree et al. (2018), Shah et al. (2020) and </w:t>
      </w:r>
      <w:proofErr w:type="spellStart"/>
      <w:r w:rsidR="00FC6931" w:rsidRPr="002A4E6B">
        <w:rPr>
          <w:rFonts w:ascii="Arial" w:hAnsi="Arial" w:cs="Arial"/>
          <w:sz w:val="20"/>
          <w:szCs w:val="18"/>
        </w:rPr>
        <w:t>Mandloi</w:t>
      </w:r>
      <w:proofErr w:type="spellEnd"/>
      <w:r w:rsidR="00FC6931" w:rsidRPr="002A4E6B">
        <w:rPr>
          <w:rFonts w:ascii="Arial" w:hAnsi="Arial" w:cs="Arial"/>
          <w:sz w:val="20"/>
          <w:szCs w:val="18"/>
        </w:rPr>
        <w:t xml:space="preserve"> et al. (2022).</w:t>
      </w:r>
    </w:p>
    <w:p w14:paraId="02C25325" w14:textId="603CFBE1" w:rsidR="00EB7AA6" w:rsidRDefault="00450553" w:rsidP="003B2C99">
      <w:pPr>
        <w:spacing w:line="276" w:lineRule="auto"/>
        <w:jc w:val="both"/>
        <w:rPr>
          <w:rFonts w:ascii="Arial" w:hAnsi="Arial" w:cs="Arial"/>
          <w:sz w:val="20"/>
          <w:szCs w:val="20"/>
        </w:rPr>
      </w:pPr>
      <w:r w:rsidRPr="002A4E6B">
        <w:rPr>
          <w:rFonts w:ascii="Arial" w:hAnsi="Arial" w:cs="Arial"/>
          <w:sz w:val="20"/>
          <w:szCs w:val="18"/>
        </w:rPr>
        <w:t>Treatment T</w:t>
      </w:r>
      <w:r w:rsidRPr="00350872">
        <w:rPr>
          <w:rFonts w:ascii="Arial" w:hAnsi="Arial" w:cs="Arial"/>
          <w:sz w:val="20"/>
          <w:szCs w:val="18"/>
          <w:vertAlign w:val="subscript"/>
        </w:rPr>
        <w:t>13</w:t>
      </w:r>
      <w:r w:rsidRPr="002A4E6B">
        <w:rPr>
          <w:rFonts w:ascii="Arial" w:hAnsi="Arial" w:cs="Arial"/>
          <w:sz w:val="20"/>
          <w:szCs w:val="18"/>
        </w:rPr>
        <w:t xml:space="preserve"> (75% RDF + Vermicompost @ 12 t/ha + Azotobacter @ 5 kg/ha + PSB @ 5 kg/ha + KSB @ 5 lit/ha) significantly outperformed all other treatments in enhancing vine length at 30, 45, 60 DAS and at the final stage. In contrast, the shortest vines were recorded under T</w:t>
      </w:r>
      <w:r w:rsidRPr="00350872">
        <w:rPr>
          <w:rFonts w:ascii="Arial" w:hAnsi="Arial" w:cs="Arial"/>
          <w:sz w:val="20"/>
          <w:szCs w:val="18"/>
          <w:vertAlign w:val="subscript"/>
        </w:rPr>
        <w:t>1</w:t>
      </w:r>
      <w:r w:rsidRPr="002A4E6B">
        <w:rPr>
          <w:rFonts w:ascii="Arial" w:hAnsi="Arial" w:cs="Arial"/>
          <w:sz w:val="20"/>
          <w:szCs w:val="18"/>
        </w:rPr>
        <w:t xml:space="preserve"> (100% RDF). The superior performance of T</w:t>
      </w:r>
      <w:r w:rsidRPr="00350872">
        <w:rPr>
          <w:rFonts w:ascii="Arial" w:hAnsi="Arial" w:cs="Arial"/>
          <w:sz w:val="20"/>
          <w:szCs w:val="18"/>
          <w:vertAlign w:val="subscript"/>
        </w:rPr>
        <w:t>13</w:t>
      </w:r>
      <w:r w:rsidRPr="002A4E6B">
        <w:rPr>
          <w:rFonts w:ascii="Arial" w:hAnsi="Arial" w:cs="Arial"/>
          <w:sz w:val="20"/>
          <w:szCs w:val="18"/>
        </w:rPr>
        <w:t xml:space="preserve"> may be attributed to improved soil physical and chemical properties resulting from the combined application of organic, inorganic and biofertilizer inputs, ensuring </w:t>
      </w:r>
      <w:r w:rsidR="00EB7AA6" w:rsidRPr="002A4E6B">
        <w:rPr>
          <w:rFonts w:ascii="Arial" w:hAnsi="Arial" w:cs="Arial"/>
          <w:sz w:val="20"/>
          <w:szCs w:val="18"/>
        </w:rPr>
        <w:t xml:space="preserve">better </w:t>
      </w:r>
      <w:r w:rsidR="00EB7AA6">
        <w:rPr>
          <w:rFonts w:ascii="Arial" w:hAnsi="Arial" w:cs="Arial"/>
          <w:sz w:val="20"/>
          <w:szCs w:val="18"/>
        </w:rPr>
        <w:t>nutrient</w:t>
      </w:r>
      <w:r w:rsidR="003B2C99" w:rsidRPr="00450553">
        <w:rPr>
          <w:rFonts w:ascii="Arial" w:hAnsi="Arial" w:cs="Arial"/>
          <w:sz w:val="20"/>
          <w:szCs w:val="20"/>
        </w:rPr>
        <w:t xml:space="preserve"> availability and promoting vegetative growth. These findings are supported by Geethu et al. (2018), Patel et al. (2019) and Pathak et al. (2022).</w:t>
      </w:r>
    </w:p>
    <w:p w14:paraId="454AB8A2" w14:textId="6D1A43D1" w:rsidR="00EB7AA6" w:rsidRPr="00EB7AA6" w:rsidRDefault="00EB7AA6" w:rsidP="003B2C99">
      <w:pPr>
        <w:spacing w:line="276" w:lineRule="auto"/>
        <w:jc w:val="both"/>
        <w:rPr>
          <w:rFonts w:ascii="Arial" w:hAnsi="Arial" w:cs="Arial"/>
          <w:sz w:val="20"/>
          <w:szCs w:val="20"/>
        </w:rPr>
        <w:sectPr w:rsidR="00EB7AA6" w:rsidRPr="00EB7AA6" w:rsidSect="00EF1602">
          <w:headerReference w:type="even" r:id="rId16"/>
          <w:headerReference w:type="default" r:id="rId17"/>
          <w:footerReference w:type="default" r:id="rId18"/>
          <w:headerReference w:type="first" r:id="rId19"/>
          <w:type w:val="continuous"/>
          <w:pgSz w:w="11906" w:h="16838"/>
          <w:pgMar w:top="1440" w:right="1440" w:bottom="1440" w:left="1440" w:header="708" w:footer="964" w:gutter="0"/>
          <w:cols w:space="708"/>
          <w:docGrid w:linePitch="360"/>
        </w:sectPr>
      </w:pPr>
    </w:p>
    <w:p w14:paraId="18370D7F" w14:textId="4E20C964" w:rsidR="00131962" w:rsidRPr="00AA2A27" w:rsidRDefault="00617308" w:rsidP="00131962">
      <w:pPr>
        <w:jc w:val="both"/>
        <w:rPr>
          <w:rFonts w:ascii="Arial" w:hAnsi="Arial" w:cs="Arial"/>
          <w:b/>
          <w:bCs/>
          <w:sz w:val="22"/>
          <w:szCs w:val="22"/>
        </w:rPr>
      </w:pPr>
      <w:r w:rsidRPr="00AA2A27">
        <w:rPr>
          <w:rFonts w:ascii="Arial" w:hAnsi="Arial" w:cs="Arial"/>
          <w:b/>
          <w:bCs/>
          <w:sz w:val="22"/>
          <w:szCs w:val="22"/>
        </w:rPr>
        <w:lastRenderedPageBreak/>
        <w:t>Table 1</w:t>
      </w:r>
      <w:r w:rsidR="0081192B">
        <w:rPr>
          <w:rFonts w:ascii="Arial" w:hAnsi="Arial" w:cs="Arial"/>
          <w:b/>
          <w:bCs/>
          <w:sz w:val="22"/>
          <w:szCs w:val="22"/>
        </w:rPr>
        <w:t>.</w:t>
      </w:r>
      <w:r w:rsidRPr="00AA2A27">
        <w:rPr>
          <w:rFonts w:ascii="Arial" w:hAnsi="Arial" w:cs="Arial"/>
          <w:b/>
          <w:bCs/>
          <w:sz w:val="22"/>
          <w:szCs w:val="22"/>
        </w:rPr>
        <w:t xml:space="preserve"> Effect of Integrated Nutrient Management on morphological parameters of bottle gourd</w:t>
      </w:r>
    </w:p>
    <w:tbl>
      <w:tblPr>
        <w:tblStyle w:val="TableGrid"/>
        <w:tblW w:w="5000" w:type="pct"/>
        <w:tblLayout w:type="fixed"/>
        <w:tblLook w:val="04A0" w:firstRow="1" w:lastRow="0" w:firstColumn="1" w:lastColumn="0" w:noHBand="0" w:noVBand="1"/>
      </w:tblPr>
      <w:tblGrid>
        <w:gridCol w:w="4249"/>
        <w:gridCol w:w="1417"/>
        <w:gridCol w:w="993"/>
        <w:gridCol w:w="990"/>
        <w:gridCol w:w="854"/>
        <w:gridCol w:w="856"/>
        <w:gridCol w:w="1135"/>
        <w:gridCol w:w="1133"/>
        <w:gridCol w:w="1135"/>
        <w:gridCol w:w="1186"/>
      </w:tblGrid>
      <w:tr w:rsidR="007E344A" w:rsidRPr="00AA2A27" w14:paraId="3E139CD4" w14:textId="77777777" w:rsidTr="007E344A">
        <w:trPr>
          <w:trHeight w:val="1103"/>
        </w:trPr>
        <w:tc>
          <w:tcPr>
            <w:tcW w:w="1523" w:type="pct"/>
            <w:vMerge w:val="restart"/>
            <w:vAlign w:val="center"/>
          </w:tcPr>
          <w:p w14:paraId="7526CBAE" w14:textId="30E49869"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Treatments</w:t>
            </w:r>
          </w:p>
        </w:tc>
        <w:tc>
          <w:tcPr>
            <w:tcW w:w="508" w:type="pct"/>
            <w:vMerge w:val="restart"/>
            <w:vAlign w:val="center"/>
          </w:tcPr>
          <w:p w14:paraId="42EA4A72" w14:textId="77777777" w:rsidR="00E964C4" w:rsidRPr="0033609E" w:rsidRDefault="00E964C4" w:rsidP="00733314">
            <w:pPr>
              <w:pStyle w:val="Default"/>
              <w:spacing w:before="120"/>
              <w:jc w:val="center"/>
              <w:rPr>
                <w:b/>
                <w:bCs/>
                <w:sz w:val="20"/>
                <w:szCs w:val="20"/>
              </w:rPr>
            </w:pPr>
            <w:r w:rsidRPr="0033609E">
              <w:rPr>
                <w:b/>
                <w:bCs/>
                <w:sz w:val="20"/>
                <w:szCs w:val="20"/>
              </w:rPr>
              <w:t>Germination percentage (%)</w:t>
            </w:r>
          </w:p>
          <w:p w14:paraId="5CFEA539" w14:textId="50DC4CEB" w:rsidR="00E964C4" w:rsidRPr="0033609E" w:rsidRDefault="00E964C4" w:rsidP="00733314">
            <w:pPr>
              <w:pStyle w:val="Default"/>
              <w:spacing w:before="120"/>
              <w:jc w:val="center"/>
              <w:rPr>
                <w:b/>
                <w:bCs/>
                <w:sz w:val="20"/>
                <w:szCs w:val="20"/>
              </w:rPr>
            </w:pPr>
          </w:p>
          <w:p w14:paraId="6C60BA22" w14:textId="6BE6983C" w:rsidR="00E964C4" w:rsidRPr="0033609E" w:rsidRDefault="00E964C4" w:rsidP="00733314">
            <w:pPr>
              <w:jc w:val="center"/>
              <w:rPr>
                <w:rFonts w:ascii="Arial" w:hAnsi="Arial" w:cs="Arial"/>
                <w:b/>
                <w:bCs/>
                <w:sz w:val="20"/>
                <w:szCs w:val="20"/>
              </w:rPr>
            </w:pPr>
          </w:p>
        </w:tc>
        <w:tc>
          <w:tcPr>
            <w:tcW w:w="1324" w:type="pct"/>
            <w:gridSpan w:val="4"/>
            <w:vAlign w:val="center"/>
          </w:tcPr>
          <w:p w14:paraId="21D392C9" w14:textId="77777777" w:rsidR="00E964C4" w:rsidRPr="0033609E" w:rsidRDefault="00E964C4" w:rsidP="00733314">
            <w:pPr>
              <w:pStyle w:val="Default"/>
              <w:spacing w:before="120"/>
              <w:jc w:val="center"/>
              <w:rPr>
                <w:b/>
                <w:bCs/>
                <w:sz w:val="20"/>
                <w:szCs w:val="20"/>
              </w:rPr>
            </w:pPr>
            <w:r w:rsidRPr="0033609E">
              <w:rPr>
                <w:b/>
                <w:bCs/>
                <w:sz w:val="20"/>
                <w:szCs w:val="20"/>
              </w:rPr>
              <w:t xml:space="preserve">Vine length (cm) </w:t>
            </w:r>
          </w:p>
          <w:p w14:paraId="6C26DE3D" w14:textId="77777777" w:rsidR="00E964C4" w:rsidRPr="0033609E" w:rsidRDefault="00E964C4" w:rsidP="00733314">
            <w:pPr>
              <w:pStyle w:val="Default"/>
              <w:spacing w:before="120"/>
              <w:jc w:val="center"/>
              <w:rPr>
                <w:b/>
                <w:bCs/>
                <w:sz w:val="20"/>
                <w:szCs w:val="20"/>
              </w:rPr>
            </w:pPr>
          </w:p>
        </w:tc>
        <w:tc>
          <w:tcPr>
            <w:tcW w:w="407" w:type="pct"/>
            <w:vMerge w:val="restart"/>
            <w:vAlign w:val="center"/>
          </w:tcPr>
          <w:p w14:paraId="7B46709F" w14:textId="50442E6B" w:rsidR="00E964C4" w:rsidRPr="0033609E" w:rsidRDefault="00E964C4" w:rsidP="00742CE7">
            <w:pPr>
              <w:pStyle w:val="Default"/>
              <w:spacing w:before="120"/>
              <w:jc w:val="center"/>
              <w:rPr>
                <w:b/>
                <w:bCs/>
                <w:sz w:val="20"/>
                <w:szCs w:val="20"/>
              </w:rPr>
            </w:pPr>
            <w:r w:rsidRPr="0033609E">
              <w:rPr>
                <w:b/>
                <w:bCs/>
                <w:sz w:val="20"/>
                <w:szCs w:val="20"/>
              </w:rPr>
              <w:t>Number of primary branche</w:t>
            </w:r>
            <w:r w:rsidR="003C3DEB">
              <w:rPr>
                <w:b/>
                <w:bCs/>
                <w:sz w:val="20"/>
                <w:szCs w:val="20"/>
              </w:rPr>
              <w:t>s</w:t>
            </w:r>
            <w:r w:rsidRPr="0033609E">
              <w:rPr>
                <w:b/>
                <w:bCs/>
                <w:sz w:val="20"/>
                <w:szCs w:val="20"/>
              </w:rPr>
              <w:t>/vine</w:t>
            </w:r>
          </w:p>
          <w:p w14:paraId="672CDF78" w14:textId="77777777" w:rsidR="00E964C4" w:rsidRPr="0033609E" w:rsidRDefault="00E964C4" w:rsidP="00733314">
            <w:pPr>
              <w:jc w:val="center"/>
              <w:rPr>
                <w:rFonts w:ascii="Arial" w:hAnsi="Arial" w:cs="Arial"/>
                <w:b/>
                <w:bCs/>
                <w:sz w:val="20"/>
                <w:szCs w:val="20"/>
              </w:rPr>
            </w:pPr>
          </w:p>
        </w:tc>
        <w:tc>
          <w:tcPr>
            <w:tcW w:w="406" w:type="pct"/>
            <w:vMerge w:val="restart"/>
            <w:vAlign w:val="center"/>
          </w:tcPr>
          <w:p w14:paraId="107D72B8" w14:textId="38EF9BDB" w:rsidR="0033609E" w:rsidRDefault="00E964C4" w:rsidP="0033609E">
            <w:pPr>
              <w:pStyle w:val="Default"/>
              <w:jc w:val="center"/>
              <w:rPr>
                <w:b/>
                <w:bCs/>
                <w:sz w:val="20"/>
                <w:szCs w:val="20"/>
              </w:rPr>
            </w:pPr>
            <w:r w:rsidRPr="0033609E">
              <w:rPr>
                <w:b/>
                <w:bCs/>
                <w:sz w:val="20"/>
                <w:szCs w:val="20"/>
              </w:rPr>
              <w:t>N</w:t>
            </w:r>
            <w:r w:rsidR="00F23068">
              <w:rPr>
                <w:b/>
                <w:bCs/>
                <w:sz w:val="20"/>
                <w:szCs w:val="20"/>
              </w:rPr>
              <w:t>umber</w:t>
            </w:r>
            <w:r w:rsidRPr="0033609E">
              <w:rPr>
                <w:b/>
                <w:bCs/>
                <w:sz w:val="20"/>
                <w:szCs w:val="20"/>
              </w:rPr>
              <w:t xml:space="preserve"> of node/</w:t>
            </w:r>
          </w:p>
          <w:p w14:paraId="7C207972" w14:textId="725A6263" w:rsidR="00E964C4" w:rsidRPr="0033609E" w:rsidRDefault="00E964C4" w:rsidP="0033609E">
            <w:pPr>
              <w:pStyle w:val="Default"/>
              <w:jc w:val="center"/>
              <w:rPr>
                <w:b/>
                <w:bCs/>
                <w:sz w:val="20"/>
                <w:szCs w:val="20"/>
              </w:rPr>
            </w:pPr>
            <w:r w:rsidRPr="0033609E">
              <w:rPr>
                <w:b/>
                <w:bCs/>
                <w:sz w:val="20"/>
                <w:szCs w:val="20"/>
              </w:rPr>
              <w:t xml:space="preserve">vine </w:t>
            </w:r>
            <w:proofErr w:type="spellStart"/>
            <w:r w:rsidRPr="0033609E">
              <w:rPr>
                <w:b/>
                <w:bCs/>
                <w:sz w:val="20"/>
                <w:szCs w:val="20"/>
              </w:rPr>
              <w:t>upto</w:t>
            </w:r>
            <w:proofErr w:type="spellEnd"/>
            <w:r w:rsidRPr="0033609E">
              <w:rPr>
                <w:b/>
                <w:bCs/>
                <w:sz w:val="20"/>
                <w:szCs w:val="20"/>
              </w:rPr>
              <w:t xml:space="preserve"> first female flower</w:t>
            </w:r>
          </w:p>
          <w:p w14:paraId="3F85EFBC" w14:textId="77777777" w:rsidR="00E964C4" w:rsidRPr="0033609E" w:rsidRDefault="00E964C4" w:rsidP="00733314">
            <w:pPr>
              <w:jc w:val="center"/>
              <w:rPr>
                <w:rFonts w:ascii="Arial" w:hAnsi="Arial" w:cs="Arial"/>
                <w:b/>
                <w:bCs/>
                <w:sz w:val="20"/>
                <w:szCs w:val="20"/>
              </w:rPr>
            </w:pPr>
          </w:p>
        </w:tc>
        <w:tc>
          <w:tcPr>
            <w:tcW w:w="407" w:type="pct"/>
            <w:vMerge w:val="restart"/>
            <w:vAlign w:val="center"/>
          </w:tcPr>
          <w:p w14:paraId="36F3AC34" w14:textId="4147EEC0" w:rsidR="0033609E" w:rsidRDefault="00E964C4" w:rsidP="00733314">
            <w:pPr>
              <w:jc w:val="center"/>
              <w:rPr>
                <w:rFonts w:ascii="Arial" w:hAnsi="Arial" w:cs="Arial"/>
                <w:b/>
                <w:bCs/>
                <w:sz w:val="20"/>
                <w:szCs w:val="20"/>
              </w:rPr>
            </w:pPr>
            <w:r w:rsidRPr="0033609E">
              <w:rPr>
                <w:rFonts w:ascii="Arial" w:hAnsi="Arial" w:cs="Arial"/>
                <w:b/>
                <w:bCs/>
                <w:sz w:val="20"/>
                <w:szCs w:val="20"/>
              </w:rPr>
              <w:t>N</w:t>
            </w:r>
            <w:r w:rsidR="00F23068">
              <w:rPr>
                <w:rFonts w:ascii="Arial" w:hAnsi="Arial" w:cs="Arial"/>
                <w:b/>
                <w:bCs/>
                <w:sz w:val="20"/>
                <w:szCs w:val="20"/>
              </w:rPr>
              <w:t>umber</w:t>
            </w:r>
            <w:r w:rsidRPr="0033609E">
              <w:rPr>
                <w:rFonts w:ascii="Arial" w:hAnsi="Arial" w:cs="Arial"/>
                <w:b/>
                <w:bCs/>
                <w:sz w:val="20"/>
                <w:szCs w:val="20"/>
              </w:rPr>
              <w:t xml:space="preserve"> of node/</w:t>
            </w:r>
          </w:p>
          <w:p w14:paraId="104AE3C7" w14:textId="56C3F750"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 xml:space="preserve">vine </w:t>
            </w:r>
            <w:proofErr w:type="spellStart"/>
            <w:r w:rsidRPr="0033609E">
              <w:rPr>
                <w:rFonts w:ascii="Arial" w:hAnsi="Arial" w:cs="Arial"/>
                <w:b/>
                <w:bCs/>
                <w:sz w:val="20"/>
                <w:szCs w:val="20"/>
              </w:rPr>
              <w:t>upto</w:t>
            </w:r>
            <w:proofErr w:type="spellEnd"/>
            <w:r w:rsidRPr="0033609E">
              <w:rPr>
                <w:rFonts w:ascii="Arial" w:hAnsi="Arial" w:cs="Arial"/>
                <w:b/>
                <w:bCs/>
                <w:sz w:val="20"/>
                <w:szCs w:val="20"/>
              </w:rPr>
              <w:t xml:space="preserve"> first male flower</w:t>
            </w:r>
          </w:p>
        </w:tc>
        <w:tc>
          <w:tcPr>
            <w:tcW w:w="425" w:type="pct"/>
            <w:vMerge w:val="restart"/>
            <w:vAlign w:val="center"/>
          </w:tcPr>
          <w:p w14:paraId="0F4AE8B8" w14:textId="77777777" w:rsidR="0033609E" w:rsidRDefault="00E964C4" w:rsidP="0033609E">
            <w:pPr>
              <w:jc w:val="center"/>
              <w:rPr>
                <w:rFonts w:ascii="Arial" w:hAnsi="Arial" w:cs="Arial"/>
                <w:b/>
                <w:bCs/>
                <w:sz w:val="20"/>
                <w:szCs w:val="20"/>
              </w:rPr>
            </w:pPr>
            <w:r w:rsidRPr="0033609E">
              <w:rPr>
                <w:rFonts w:ascii="Arial" w:hAnsi="Arial" w:cs="Arial"/>
                <w:b/>
                <w:bCs/>
                <w:sz w:val="20"/>
                <w:szCs w:val="20"/>
              </w:rPr>
              <w:t>Length of internode/</w:t>
            </w:r>
          </w:p>
          <w:p w14:paraId="24111306" w14:textId="3FDCA8F7"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vine (cm)</w:t>
            </w:r>
          </w:p>
        </w:tc>
      </w:tr>
      <w:tr w:rsidR="003D4407" w:rsidRPr="00AA2A27" w14:paraId="47B5F210" w14:textId="77777777" w:rsidTr="007E344A">
        <w:trPr>
          <w:trHeight w:val="283"/>
        </w:trPr>
        <w:tc>
          <w:tcPr>
            <w:tcW w:w="1523" w:type="pct"/>
            <w:vMerge/>
            <w:vAlign w:val="center"/>
          </w:tcPr>
          <w:p w14:paraId="11744E14" w14:textId="77777777" w:rsidR="00E964C4" w:rsidRPr="00AA2A27" w:rsidRDefault="00E964C4" w:rsidP="00733314">
            <w:pPr>
              <w:jc w:val="center"/>
              <w:rPr>
                <w:rFonts w:ascii="Arial" w:hAnsi="Arial" w:cs="Arial"/>
                <w:sz w:val="20"/>
                <w:szCs w:val="20"/>
              </w:rPr>
            </w:pPr>
          </w:p>
        </w:tc>
        <w:tc>
          <w:tcPr>
            <w:tcW w:w="508" w:type="pct"/>
            <w:vMerge/>
            <w:vAlign w:val="center"/>
          </w:tcPr>
          <w:p w14:paraId="35E41FAC" w14:textId="77777777" w:rsidR="00E964C4" w:rsidRPr="00AA2A27" w:rsidRDefault="00E964C4" w:rsidP="00733314">
            <w:pPr>
              <w:jc w:val="center"/>
              <w:rPr>
                <w:rFonts w:ascii="Arial" w:hAnsi="Arial" w:cs="Arial"/>
                <w:sz w:val="20"/>
                <w:szCs w:val="20"/>
              </w:rPr>
            </w:pPr>
          </w:p>
        </w:tc>
        <w:tc>
          <w:tcPr>
            <w:tcW w:w="356" w:type="pct"/>
            <w:vAlign w:val="center"/>
          </w:tcPr>
          <w:p w14:paraId="0B9FCB20" w14:textId="7457E94C"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30 DAS</w:t>
            </w:r>
          </w:p>
        </w:tc>
        <w:tc>
          <w:tcPr>
            <w:tcW w:w="355" w:type="pct"/>
            <w:vAlign w:val="center"/>
          </w:tcPr>
          <w:p w14:paraId="56243FC2" w14:textId="64CB1F4A"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45 DAS</w:t>
            </w:r>
          </w:p>
        </w:tc>
        <w:tc>
          <w:tcPr>
            <w:tcW w:w="306" w:type="pct"/>
            <w:vAlign w:val="center"/>
          </w:tcPr>
          <w:p w14:paraId="0D0AD8AE" w14:textId="08A4AF43"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60 DAS</w:t>
            </w:r>
          </w:p>
        </w:tc>
        <w:tc>
          <w:tcPr>
            <w:tcW w:w="307" w:type="pct"/>
            <w:vAlign w:val="center"/>
          </w:tcPr>
          <w:p w14:paraId="390DDB3A" w14:textId="50DCBB5E"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At final</w:t>
            </w:r>
          </w:p>
        </w:tc>
        <w:tc>
          <w:tcPr>
            <w:tcW w:w="407" w:type="pct"/>
            <w:vMerge/>
            <w:vAlign w:val="center"/>
          </w:tcPr>
          <w:p w14:paraId="0C40429A" w14:textId="6D67900B" w:rsidR="00E964C4" w:rsidRPr="00AA2A27" w:rsidRDefault="00E964C4" w:rsidP="00733314">
            <w:pPr>
              <w:jc w:val="center"/>
              <w:rPr>
                <w:rFonts w:ascii="Arial" w:hAnsi="Arial" w:cs="Arial"/>
                <w:sz w:val="20"/>
                <w:szCs w:val="20"/>
              </w:rPr>
            </w:pPr>
          </w:p>
        </w:tc>
        <w:tc>
          <w:tcPr>
            <w:tcW w:w="406" w:type="pct"/>
            <w:vMerge/>
            <w:vAlign w:val="center"/>
          </w:tcPr>
          <w:p w14:paraId="1847B55C" w14:textId="77777777" w:rsidR="00E964C4" w:rsidRPr="00AA2A27" w:rsidRDefault="00E964C4" w:rsidP="00733314">
            <w:pPr>
              <w:jc w:val="center"/>
              <w:rPr>
                <w:rFonts w:ascii="Arial" w:hAnsi="Arial" w:cs="Arial"/>
                <w:sz w:val="20"/>
                <w:szCs w:val="20"/>
              </w:rPr>
            </w:pPr>
          </w:p>
        </w:tc>
        <w:tc>
          <w:tcPr>
            <w:tcW w:w="407" w:type="pct"/>
            <w:vMerge/>
            <w:vAlign w:val="center"/>
          </w:tcPr>
          <w:p w14:paraId="120552BB" w14:textId="77777777" w:rsidR="00E964C4" w:rsidRPr="00AA2A27" w:rsidRDefault="00E964C4" w:rsidP="00733314">
            <w:pPr>
              <w:jc w:val="center"/>
              <w:rPr>
                <w:rFonts w:ascii="Arial" w:hAnsi="Arial" w:cs="Arial"/>
                <w:sz w:val="20"/>
                <w:szCs w:val="20"/>
              </w:rPr>
            </w:pPr>
          </w:p>
        </w:tc>
        <w:tc>
          <w:tcPr>
            <w:tcW w:w="425" w:type="pct"/>
            <w:vMerge/>
            <w:vAlign w:val="center"/>
          </w:tcPr>
          <w:p w14:paraId="71438E45" w14:textId="77777777" w:rsidR="00E964C4" w:rsidRPr="00AA2A27" w:rsidRDefault="00E964C4" w:rsidP="00733314">
            <w:pPr>
              <w:jc w:val="center"/>
              <w:rPr>
                <w:rFonts w:ascii="Arial" w:hAnsi="Arial" w:cs="Arial"/>
                <w:sz w:val="20"/>
                <w:szCs w:val="20"/>
              </w:rPr>
            </w:pPr>
          </w:p>
        </w:tc>
      </w:tr>
      <w:tr w:rsidR="003D4407" w:rsidRPr="00AA2A27" w14:paraId="41ED54CE" w14:textId="77777777" w:rsidTr="007E344A">
        <w:trPr>
          <w:trHeight w:val="273"/>
        </w:trPr>
        <w:tc>
          <w:tcPr>
            <w:tcW w:w="1523" w:type="pct"/>
            <w:vAlign w:val="center"/>
          </w:tcPr>
          <w:p w14:paraId="2A14398A" w14:textId="315B24C9"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1</w:t>
            </w:r>
            <w:r w:rsidRPr="00AA2A27">
              <w:rPr>
                <w:rFonts w:ascii="Arial" w:hAnsi="Arial" w:cs="Arial"/>
                <w:sz w:val="20"/>
                <w:szCs w:val="20"/>
              </w:rPr>
              <w:t>- 100% RDF (Control)</w:t>
            </w:r>
          </w:p>
        </w:tc>
        <w:tc>
          <w:tcPr>
            <w:tcW w:w="508" w:type="pct"/>
            <w:vAlign w:val="center"/>
          </w:tcPr>
          <w:p w14:paraId="64F021EC" w14:textId="4A0127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70.19</w:t>
            </w:r>
          </w:p>
        </w:tc>
        <w:tc>
          <w:tcPr>
            <w:tcW w:w="356" w:type="pct"/>
            <w:vAlign w:val="center"/>
          </w:tcPr>
          <w:p w14:paraId="6B523CD0" w14:textId="5A0FA56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7.03</w:t>
            </w:r>
          </w:p>
        </w:tc>
        <w:tc>
          <w:tcPr>
            <w:tcW w:w="355" w:type="pct"/>
            <w:vAlign w:val="center"/>
          </w:tcPr>
          <w:p w14:paraId="2C6A7B22" w14:textId="25491BD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85.24</w:t>
            </w:r>
          </w:p>
        </w:tc>
        <w:tc>
          <w:tcPr>
            <w:tcW w:w="306" w:type="pct"/>
            <w:vAlign w:val="center"/>
          </w:tcPr>
          <w:p w14:paraId="4133B4DA" w14:textId="00BDBC2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155.26</w:t>
            </w:r>
          </w:p>
        </w:tc>
        <w:tc>
          <w:tcPr>
            <w:tcW w:w="307" w:type="pct"/>
            <w:vAlign w:val="center"/>
          </w:tcPr>
          <w:p w14:paraId="2BC646B3" w14:textId="09E8151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175.26</w:t>
            </w:r>
          </w:p>
        </w:tc>
        <w:tc>
          <w:tcPr>
            <w:tcW w:w="407" w:type="pct"/>
            <w:vAlign w:val="center"/>
          </w:tcPr>
          <w:p w14:paraId="4CF3EED9" w14:textId="50BCBC4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7.00</w:t>
            </w:r>
          </w:p>
        </w:tc>
        <w:tc>
          <w:tcPr>
            <w:tcW w:w="406" w:type="pct"/>
            <w:vAlign w:val="center"/>
          </w:tcPr>
          <w:p w14:paraId="451EDB44" w14:textId="5FD5782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10.00</w:t>
            </w:r>
          </w:p>
        </w:tc>
        <w:tc>
          <w:tcPr>
            <w:tcW w:w="407" w:type="pct"/>
            <w:vAlign w:val="center"/>
          </w:tcPr>
          <w:p w14:paraId="4BCE90C6" w14:textId="6C4640FE"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6.00</w:t>
            </w:r>
          </w:p>
        </w:tc>
        <w:tc>
          <w:tcPr>
            <w:tcW w:w="425" w:type="pct"/>
            <w:vAlign w:val="center"/>
          </w:tcPr>
          <w:p w14:paraId="4E94EA4C" w14:textId="55144B6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6.50</w:t>
            </w:r>
          </w:p>
        </w:tc>
      </w:tr>
      <w:tr w:rsidR="003D4407" w:rsidRPr="00DD6E22" w14:paraId="2D2F8822" w14:textId="77777777" w:rsidTr="007E344A">
        <w:trPr>
          <w:trHeight w:val="283"/>
        </w:trPr>
        <w:tc>
          <w:tcPr>
            <w:tcW w:w="1523" w:type="pct"/>
            <w:vAlign w:val="center"/>
          </w:tcPr>
          <w:p w14:paraId="48DB2B97" w14:textId="265661AF" w:rsidR="003D4407" w:rsidRPr="00DD6E2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2</w:t>
            </w:r>
            <w:r w:rsidRPr="00DD6E22">
              <w:rPr>
                <w:rFonts w:ascii="Arial" w:hAnsi="Arial" w:cs="Arial"/>
                <w:sz w:val="20"/>
                <w:szCs w:val="20"/>
                <w:lang w:val="it-IT"/>
              </w:rPr>
              <w:t>- 75% RDF + AB (5 kg/ha) + PSB (5 kg/ha)</w:t>
            </w:r>
          </w:p>
        </w:tc>
        <w:tc>
          <w:tcPr>
            <w:tcW w:w="508" w:type="pct"/>
            <w:vAlign w:val="center"/>
          </w:tcPr>
          <w:p w14:paraId="1B242802" w14:textId="295DC25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76.59</w:t>
            </w:r>
          </w:p>
        </w:tc>
        <w:tc>
          <w:tcPr>
            <w:tcW w:w="356" w:type="pct"/>
            <w:vAlign w:val="center"/>
          </w:tcPr>
          <w:p w14:paraId="551F9AA2" w14:textId="277DBC9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8.51</w:t>
            </w:r>
          </w:p>
        </w:tc>
        <w:tc>
          <w:tcPr>
            <w:tcW w:w="355" w:type="pct"/>
            <w:vAlign w:val="center"/>
          </w:tcPr>
          <w:p w14:paraId="240FA7E6" w14:textId="1DB7E84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92.15</w:t>
            </w:r>
          </w:p>
        </w:tc>
        <w:tc>
          <w:tcPr>
            <w:tcW w:w="306" w:type="pct"/>
            <w:vAlign w:val="center"/>
          </w:tcPr>
          <w:p w14:paraId="3DA69B5B" w14:textId="33567C3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172.12</w:t>
            </w:r>
          </w:p>
        </w:tc>
        <w:tc>
          <w:tcPr>
            <w:tcW w:w="307" w:type="pct"/>
            <w:vAlign w:val="center"/>
          </w:tcPr>
          <w:p w14:paraId="64BAE7F1" w14:textId="17E9183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191.41</w:t>
            </w:r>
          </w:p>
        </w:tc>
        <w:tc>
          <w:tcPr>
            <w:tcW w:w="407" w:type="pct"/>
            <w:vAlign w:val="center"/>
          </w:tcPr>
          <w:p w14:paraId="387C24C0" w14:textId="738FFB8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06" w:type="pct"/>
            <w:vAlign w:val="center"/>
          </w:tcPr>
          <w:p w14:paraId="0D9AA2CF" w14:textId="1B6E688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11.33</w:t>
            </w:r>
          </w:p>
        </w:tc>
        <w:tc>
          <w:tcPr>
            <w:tcW w:w="407" w:type="pct"/>
            <w:vAlign w:val="center"/>
          </w:tcPr>
          <w:p w14:paraId="00649680" w14:textId="5E382EC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7.00</w:t>
            </w:r>
          </w:p>
        </w:tc>
        <w:tc>
          <w:tcPr>
            <w:tcW w:w="425" w:type="pct"/>
            <w:vAlign w:val="center"/>
          </w:tcPr>
          <w:p w14:paraId="2DEE61ED" w14:textId="069DA1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7.35</w:t>
            </w:r>
          </w:p>
        </w:tc>
      </w:tr>
      <w:tr w:rsidR="003D4407" w:rsidRPr="00AA2A27" w14:paraId="4818813C" w14:textId="77777777" w:rsidTr="007E344A">
        <w:trPr>
          <w:trHeight w:val="283"/>
        </w:trPr>
        <w:tc>
          <w:tcPr>
            <w:tcW w:w="1523" w:type="pct"/>
            <w:vAlign w:val="center"/>
          </w:tcPr>
          <w:p w14:paraId="138649B6" w14:textId="0FD921CC"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3</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KSB (5 lit/ha)</w:t>
            </w:r>
          </w:p>
        </w:tc>
        <w:tc>
          <w:tcPr>
            <w:tcW w:w="508" w:type="pct"/>
            <w:vAlign w:val="center"/>
          </w:tcPr>
          <w:p w14:paraId="21C677ED" w14:textId="0CF47CA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75.03</w:t>
            </w:r>
          </w:p>
        </w:tc>
        <w:tc>
          <w:tcPr>
            <w:tcW w:w="356" w:type="pct"/>
            <w:vAlign w:val="center"/>
          </w:tcPr>
          <w:p w14:paraId="55F38A66" w14:textId="64522B2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8.22</w:t>
            </w:r>
          </w:p>
        </w:tc>
        <w:tc>
          <w:tcPr>
            <w:tcW w:w="355" w:type="pct"/>
            <w:vAlign w:val="center"/>
          </w:tcPr>
          <w:p w14:paraId="71D404AB" w14:textId="3F4EC92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90.06</w:t>
            </w:r>
          </w:p>
        </w:tc>
        <w:tc>
          <w:tcPr>
            <w:tcW w:w="306" w:type="pct"/>
            <w:vAlign w:val="center"/>
          </w:tcPr>
          <w:p w14:paraId="5E79EC12" w14:textId="4C87CC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169.66</w:t>
            </w:r>
          </w:p>
        </w:tc>
        <w:tc>
          <w:tcPr>
            <w:tcW w:w="307" w:type="pct"/>
            <w:vAlign w:val="center"/>
          </w:tcPr>
          <w:p w14:paraId="7627FD1E" w14:textId="10AC55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189.66</w:t>
            </w:r>
          </w:p>
        </w:tc>
        <w:tc>
          <w:tcPr>
            <w:tcW w:w="407" w:type="pct"/>
            <w:vAlign w:val="center"/>
          </w:tcPr>
          <w:p w14:paraId="7B1159F2" w14:textId="75B195C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7.67</w:t>
            </w:r>
          </w:p>
        </w:tc>
        <w:tc>
          <w:tcPr>
            <w:tcW w:w="406" w:type="pct"/>
            <w:vAlign w:val="center"/>
          </w:tcPr>
          <w:p w14:paraId="63B49285" w14:textId="75ADA58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11.00</w:t>
            </w:r>
          </w:p>
        </w:tc>
        <w:tc>
          <w:tcPr>
            <w:tcW w:w="407" w:type="pct"/>
            <w:vAlign w:val="center"/>
          </w:tcPr>
          <w:p w14:paraId="2165F107" w14:textId="2C66A44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6.67</w:t>
            </w:r>
          </w:p>
        </w:tc>
        <w:tc>
          <w:tcPr>
            <w:tcW w:w="425" w:type="pct"/>
            <w:vAlign w:val="center"/>
          </w:tcPr>
          <w:p w14:paraId="5EDC64EB" w14:textId="6841327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7.29</w:t>
            </w:r>
          </w:p>
        </w:tc>
      </w:tr>
      <w:tr w:rsidR="003D4407" w:rsidRPr="00AA2A27" w14:paraId="74ABF6C0" w14:textId="77777777" w:rsidTr="007E344A">
        <w:trPr>
          <w:trHeight w:val="273"/>
        </w:trPr>
        <w:tc>
          <w:tcPr>
            <w:tcW w:w="1523" w:type="pct"/>
            <w:vAlign w:val="center"/>
          </w:tcPr>
          <w:p w14:paraId="6F22A9EB" w14:textId="7EB66CB0"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4</w:t>
            </w:r>
            <w:r w:rsidRPr="00AA2A27">
              <w:rPr>
                <w:rFonts w:ascii="Arial" w:hAnsi="Arial" w:cs="Arial"/>
                <w:sz w:val="20"/>
                <w:szCs w:val="20"/>
              </w:rPr>
              <w:t>- 75% RDF + PSB (5 kg/ha) + KSB (5 lit/ha)</w:t>
            </w:r>
          </w:p>
        </w:tc>
        <w:tc>
          <w:tcPr>
            <w:tcW w:w="508" w:type="pct"/>
            <w:vAlign w:val="center"/>
          </w:tcPr>
          <w:p w14:paraId="1FDD9562" w14:textId="1A5F341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74.26</w:t>
            </w:r>
          </w:p>
        </w:tc>
        <w:tc>
          <w:tcPr>
            <w:tcW w:w="356" w:type="pct"/>
            <w:vAlign w:val="center"/>
          </w:tcPr>
          <w:p w14:paraId="12B89191" w14:textId="3E47F2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7.75</w:t>
            </w:r>
          </w:p>
        </w:tc>
        <w:tc>
          <w:tcPr>
            <w:tcW w:w="355" w:type="pct"/>
            <w:vAlign w:val="center"/>
          </w:tcPr>
          <w:p w14:paraId="42E888DA" w14:textId="693767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88.81</w:t>
            </w:r>
          </w:p>
        </w:tc>
        <w:tc>
          <w:tcPr>
            <w:tcW w:w="306" w:type="pct"/>
            <w:vAlign w:val="center"/>
          </w:tcPr>
          <w:p w14:paraId="27FCA8A6" w14:textId="0D8EEC0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163.15</w:t>
            </w:r>
          </w:p>
        </w:tc>
        <w:tc>
          <w:tcPr>
            <w:tcW w:w="307" w:type="pct"/>
            <w:vAlign w:val="center"/>
          </w:tcPr>
          <w:p w14:paraId="6CDFF2EB" w14:textId="3F014A9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184.02</w:t>
            </w:r>
          </w:p>
        </w:tc>
        <w:tc>
          <w:tcPr>
            <w:tcW w:w="407" w:type="pct"/>
            <w:vAlign w:val="center"/>
          </w:tcPr>
          <w:p w14:paraId="4DB52DA9" w14:textId="38CBD96C"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06" w:type="pct"/>
            <w:vAlign w:val="center"/>
          </w:tcPr>
          <w:p w14:paraId="3AA578E6" w14:textId="21B4817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10.67</w:t>
            </w:r>
          </w:p>
        </w:tc>
        <w:tc>
          <w:tcPr>
            <w:tcW w:w="407" w:type="pct"/>
            <w:vAlign w:val="center"/>
          </w:tcPr>
          <w:p w14:paraId="791BD47C" w14:textId="78B88BBB"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6.33</w:t>
            </w:r>
          </w:p>
        </w:tc>
        <w:tc>
          <w:tcPr>
            <w:tcW w:w="425" w:type="pct"/>
            <w:vAlign w:val="center"/>
          </w:tcPr>
          <w:p w14:paraId="3BB39D72" w14:textId="28396A2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7.05</w:t>
            </w:r>
          </w:p>
        </w:tc>
      </w:tr>
      <w:tr w:rsidR="003D4407" w:rsidRPr="00AA2A27" w14:paraId="0BC7DCAB" w14:textId="77777777" w:rsidTr="007E344A">
        <w:trPr>
          <w:trHeight w:val="273"/>
        </w:trPr>
        <w:tc>
          <w:tcPr>
            <w:tcW w:w="1523" w:type="pct"/>
            <w:vAlign w:val="center"/>
          </w:tcPr>
          <w:p w14:paraId="7EE9A809" w14:textId="3FFA025F"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5</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PSB (5 kg/ha) + KSB (5 lit/ha)</w:t>
            </w:r>
          </w:p>
        </w:tc>
        <w:tc>
          <w:tcPr>
            <w:tcW w:w="508" w:type="pct"/>
            <w:vAlign w:val="center"/>
          </w:tcPr>
          <w:p w14:paraId="64E053C2" w14:textId="515D2D6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77.90</w:t>
            </w:r>
          </w:p>
        </w:tc>
        <w:tc>
          <w:tcPr>
            <w:tcW w:w="356" w:type="pct"/>
            <w:vAlign w:val="center"/>
          </w:tcPr>
          <w:p w14:paraId="0CFA284D" w14:textId="2F9672D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8.95</w:t>
            </w:r>
          </w:p>
        </w:tc>
        <w:tc>
          <w:tcPr>
            <w:tcW w:w="355" w:type="pct"/>
            <w:vAlign w:val="center"/>
          </w:tcPr>
          <w:p w14:paraId="73E8B7E2" w14:textId="39C09DF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95.42</w:t>
            </w:r>
          </w:p>
        </w:tc>
        <w:tc>
          <w:tcPr>
            <w:tcW w:w="306" w:type="pct"/>
            <w:vAlign w:val="center"/>
          </w:tcPr>
          <w:p w14:paraId="41E355DB" w14:textId="2D78C9E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178.59</w:t>
            </w:r>
          </w:p>
        </w:tc>
        <w:tc>
          <w:tcPr>
            <w:tcW w:w="307" w:type="pct"/>
            <w:vAlign w:val="center"/>
          </w:tcPr>
          <w:p w14:paraId="49619D08" w14:textId="0DE5523F"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199.72</w:t>
            </w:r>
          </w:p>
        </w:tc>
        <w:tc>
          <w:tcPr>
            <w:tcW w:w="407" w:type="pct"/>
            <w:vAlign w:val="center"/>
          </w:tcPr>
          <w:p w14:paraId="40D21A04" w14:textId="7F60CDE3"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8.33</w:t>
            </w:r>
          </w:p>
        </w:tc>
        <w:tc>
          <w:tcPr>
            <w:tcW w:w="406" w:type="pct"/>
            <w:vAlign w:val="center"/>
          </w:tcPr>
          <w:p w14:paraId="573CEAB0" w14:textId="24D68B8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11.67</w:t>
            </w:r>
          </w:p>
        </w:tc>
        <w:tc>
          <w:tcPr>
            <w:tcW w:w="407" w:type="pct"/>
            <w:vAlign w:val="center"/>
          </w:tcPr>
          <w:p w14:paraId="5704369B" w14:textId="5AD58CA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25" w:type="pct"/>
            <w:vAlign w:val="center"/>
          </w:tcPr>
          <w:p w14:paraId="57AFBBE3" w14:textId="3DAB18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7.65</w:t>
            </w:r>
          </w:p>
        </w:tc>
      </w:tr>
      <w:tr w:rsidR="003D4407" w:rsidRPr="00DC53B2" w14:paraId="4F6E7FAD" w14:textId="77777777" w:rsidTr="007E344A">
        <w:trPr>
          <w:trHeight w:val="273"/>
        </w:trPr>
        <w:tc>
          <w:tcPr>
            <w:tcW w:w="1523" w:type="pct"/>
            <w:vAlign w:val="center"/>
          </w:tcPr>
          <w:p w14:paraId="3C6CC7D1" w14:textId="0E1D81FF"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6</w:t>
            </w:r>
            <w:r w:rsidRPr="00DC53B2">
              <w:rPr>
                <w:rFonts w:ascii="Arial" w:hAnsi="Arial" w:cs="Arial"/>
                <w:sz w:val="20"/>
                <w:szCs w:val="20"/>
                <w:lang w:val="it-IT"/>
              </w:rPr>
              <w:t>- 75% RDF + FYM (25 t/ha) + A</w:t>
            </w:r>
            <w:r>
              <w:rPr>
                <w:rFonts w:ascii="Arial" w:hAnsi="Arial" w:cs="Arial"/>
                <w:sz w:val="20"/>
                <w:szCs w:val="20"/>
                <w:lang w:val="it-IT"/>
              </w:rPr>
              <w:t>B</w:t>
            </w:r>
            <w:r w:rsidRPr="00DC53B2">
              <w:rPr>
                <w:rFonts w:ascii="Arial" w:hAnsi="Arial" w:cs="Arial"/>
                <w:sz w:val="20"/>
                <w:szCs w:val="20"/>
                <w:lang w:val="it-IT"/>
              </w:rPr>
              <w:t>(5 kg/ha) + PSB (5 kg/ha)</w:t>
            </w:r>
          </w:p>
        </w:tc>
        <w:tc>
          <w:tcPr>
            <w:tcW w:w="508" w:type="pct"/>
            <w:vAlign w:val="center"/>
          </w:tcPr>
          <w:p w14:paraId="343A5F03" w14:textId="7EA33E8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82.51</w:t>
            </w:r>
          </w:p>
        </w:tc>
        <w:tc>
          <w:tcPr>
            <w:tcW w:w="356" w:type="pct"/>
            <w:vAlign w:val="center"/>
          </w:tcPr>
          <w:p w14:paraId="3E5BD7DF" w14:textId="3190F36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10.30</w:t>
            </w:r>
          </w:p>
        </w:tc>
        <w:tc>
          <w:tcPr>
            <w:tcW w:w="355" w:type="pct"/>
            <w:vAlign w:val="center"/>
          </w:tcPr>
          <w:p w14:paraId="6475616C" w14:textId="20D5CEC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104.55</w:t>
            </w:r>
          </w:p>
        </w:tc>
        <w:tc>
          <w:tcPr>
            <w:tcW w:w="306" w:type="pct"/>
            <w:vAlign w:val="center"/>
          </w:tcPr>
          <w:p w14:paraId="06275D28" w14:textId="456B13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190.49</w:t>
            </w:r>
          </w:p>
        </w:tc>
        <w:tc>
          <w:tcPr>
            <w:tcW w:w="307" w:type="pct"/>
            <w:vAlign w:val="center"/>
          </w:tcPr>
          <w:p w14:paraId="2F2D70BE" w14:textId="37DA890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210.49</w:t>
            </w:r>
          </w:p>
        </w:tc>
        <w:tc>
          <w:tcPr>
            <w:tcW w:w="407" w:type="pct"/>
            <w:vAlign w:val="center"/>
          </w:tcPr>
          <w:p w14:paraId="7D4AFF1D" w14:textId="3FC76C8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4129F06C" w14:textId="55B31B0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13.00</w:t>
            </w:r>
          </w:p>
        </w:tc>
        <w:tc>
          <w:tcPr>
            <w:tcW w:w="407" w:type="pct"/>
            <w:vAlign w:val="center"/>
          </w:tcPr>
          <w:p w14:paraId="00F946DD" w14:textId="4D80D487"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62047C6" w14:textId="67DC17D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8.52</w:t>
            </w:r>
          </w:p>
        </w:tc>
      </w:tr>
      <w:tr w:rsidR="003D4407" w:rsidRPr="00DC53B2" w14:paraId="20F597FE" w14:textId="77777777" w:rsidTr="007E344A">
        <w:trPr>
          <w:trHeight w:val="273"/>
        </w:trPr>
        <w:tc>
          <w:tcPr>
            <w:tcW w:w="1523" w:type="pct"/>
            <w:vAlign w:val="center"/>
          </w:tcPr>
          <w:p w14:paraId="77960211" w14:textId="584D8876"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7</w:t>
            </w:r>
            <w:r w:rsidRPr="00DD6E22">
              <w:rPr>
                <w:rFonts w:ascii="Arial" w:hAnsi="Arial" w:cs="Arial"/>
                <w:sz w:val="20"/>
                <w:szCs w:val="20"/>
                <w:lang w:val="it-IT"/>
              </w:rPr>
              <w:t>- 75% RDF + FYM (25 t/ha) + AB (5 kg/ha) + KSB (5 lit/ha)</w:t>
            </w:r>
          </w:p>
        </w:tc>
        <w:tc>
          <w:tcPr>
            <w:tcW w:w="508" w:type="pct"/>
            <w:vAlign w:val="center"/>
          </w:tcPr>
          <w:p w14:paraId="50DA40AF" w14:textId="57A29BC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79.31</w:t>
            </w:r>
          </w:p>
        </w:tc>
        <w:tc>
          <w:tcPr>
            <w:tcW w:w="356" w:type="pct"/>
            <w:vAlign w:val="center"/>
          </w:tcPr>
          <w:p w14:paraId="5FF052D0" w14:textId="55C6B15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9.56</w:t>
            </w:r>
          </w:p>
        </w:tc>
        <w:tc>
          <w:tcPr>
            <w:tcW w:w="355" w:type="pct"/>
            <w:vAlign w:val="center"/>
          </w:tcPr>
          <w:p w14:paraId="21A5DC37" w14:textId="428E6F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99.49</w:t>
            </w:r>
          </w:p>
        </w:tc>
        <w:tc>
          <w:tcPr>
            <w:tcW w:w="306" w:type="pct"/>
            <w:vAlign w:val="center"/>
          </w:tcPr>
          <w:p w14:paraId="72FDFDF9" w14:textId="6D6529A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184.82</w:t>
            </w:r>
          </w:p>
        </w:tc>
        <w:tc>
          <w:tcPr>
            <w:tcW w:w="307" w:type="pct"/>
            <w:vAlign w:val="center"/>
          </w:tcPr>
          <w:p w14:paraId="15052B0D" w14:textId="5CFCAFE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206.15</w:t>
            </w:r>
          </w:p>
        </w:tc>
        <w:tc>
          <w:tcPr>
            <w:tcW w:w="407" w:type="pct"/>
            <w:vAlign w:val="center"/>
          </w:tcPr>
          <w:p w14:paraId="0251534A" w14:textId="609A98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06" w:type="pct"/>
            <w:vAlign w:val="center"/>
          </w:tcPr>
          <w:p w14:paraId="04F4EEE4" w14:textId="532087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12.33</w:t>
            </w:r>
          </w:p>
        </w:tc>
        <w:tc>
          <w:tcPr>
            <w:tcW w:w="407" w:type="pct"/>
            <w:vAlign w:val="center"/>
          </w:tcPr>
          <w:p w14:paraId="437D4C5D" w14:textId="6266294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38E76AB6" w14:textId="018ADCD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8.06</w:t>
            </w:r>
          </w:p>
        </w:tc>
      </w:tr>
      <w:tr w:rsidR="003D4407" w:rsidRPr="00DC53B2" w14:paraId="40AA8297" w14:textId="77777777" w:rsidTr="007E344A">
        <w:trPr>
          <w:trHeight w:val="273"/>
        </w:trPr>
        <w:tc>
          <w:tcPr>
            <w:tcW w:w="1523" w:type="pct"/>
            <w:vAlign w:val="center"/>
          </w:tcPr>
          <w:p w14:paraId="4D8BB58A" w14:textId="759FD1C9" w:rsidR="003D4407" w:rsidRPr="00DC53B2" w:rsidRDefault="003D4407" w:rsidP="003D4407">
            <w:pPr>
              <w:rPr>
                <w:rFonts w:ascii="Arial" w:hAnsi="Arial" w:cs="Arial"/>
                <w:sz w:val="20"/>
                <w:szCs w:val="20"/>
                <w:lang w:val="it-IT"/>
              </w:rPr>
            </w:pPr>
            <w:r w:rsidRPr="00AA2A27">
              <w:rPr>
                <w:rFonts w:ascii="Arial" w:hAnsi="Arial" w:cs="Arial"/>
                <w:sz w:val="20"/>
                <w:szCs w:val="20"/>
              </w:rPr>
              <w:t>T</w:t>
            </w:r>
            <w:r w:rsidRPr="00AA2A27">
              <w:rPr>
                <w:rFonts w:ascii="Arial" w:hAnsi="Arial" w:cs="Arial"/>
                <w:sz w:val="20"/>
                <w:szCs w:val="20"/>
                <w:vertAlign w:val="subscript"/>
              </w:rPr>
              <w:t>8</w:t>
            </w:r>
            <w:r w:rsidRPr="00AA2A27">
              <w:rPr>
                <w:rFonts w:ascii="Arial" w:hAnsi="Arial" w:cs="Arial"/>
                <w:sz w:val="20"/>
                <w:szCs w:val="20"/>
              </w:rPr>
              <w:t>- 75% RDF + FYM (25 t/ha) + PSB (5 kg/ha) + KSB (5 lit/ha)</w:t>
            </w:r>
          </w:p>
        </w:tc>
        <w:tc>
          <w:tcPr>
            <w:tcW w:w="508" w:type="pct"/>
            <w:vAlign w:val="center"/>
          </w:tcPr>
          <w:p w14:paraId="03C04887" w14:textId="143F204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78.92</w:t>
            </w:r>
          </w:p>
        </w:tc>
        <w:tc>
          <w:tcPr>
            <w:tcW w:w="356" w:type="pct"/>
            <w:vAlign w:val="center"/>
          </w:tcPr>
          <w:p w14:paraId="02AB0AE9" w14:textId="64F4497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9.34</w:t>
            </w:r>
          </w:p>
        </w:tc>
        <w:tc>
          <w:tcPr>
            <w:tcW w:w="355" w:type="pct"/>
            <w:vAlign w:val="center"/>
          </w:tcPr>
          <w:p w14:paraId="76CE3208" w14:textId="0AB253D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97.29</w:t>
            </w:r>
          </w:p>
        </w:tc>
        <w:tc>
          <w:tcPr>
            <w:tcW w:w="306" w:type="pct"/>
            <w:vAlign w:val="center"/>
          </w:tcPr>
          <w:p w14:paraId="5F624F3F" w14:textId="76460B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180.89</w:t>
            </w:r>
          </w:p>
        </w:tc>
        <w:tc>
          <w:tcPr>
            <w:tcW w:w="307" w:type="pct"/>
            <w:vAlign w:val="center"/>
          </w:tcPr>
          <w:p w14:paraId="59871BD8" w14:textId="782BB64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200.89</w:t>
            </w:r>
          </w:p>
        </w:tc>
        <w:tc>
          <w:tcPr>
            <w:tcW w:w="407" w:type="pct"/>
            <w:vAlign w:val="center"/>
          </w:tcPr>
          <w:p w14:paraId="2F442641" w14:textId="25DB7DE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06" w:type="pct"/>
            <w:vAlign w:val="center"/>
          </w:tcPr>
          <w:p w14:paraId="647C5DF5" w14:textId="21F651A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12.00</w:t>
            </w:r>
          </w:p>
        </w:tc>
        <w:tc>
          <w:tcPr>
            <w:tcW w:w="407" w:type="pct"/>
            <w:vAlign w:val="center"/>
          </w:tcPr>
          <w:p w14:paraId="122D71C0" w14:textId="044AEB7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74717BE2" w14:textId="4747AA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7.88</w:t>
            </w:r>
          </w:p>
        </w:tc>
      </w:tr>
      <w:tr w:rsidR="003D4407" w:rsidRPr="00DC53B2" w14:paraId="088A77E0" w14:textId="77777777" w:rsidTr="007E344A">
        <w:trPr>
          <w:trHeight w:val="273"/>
        </w:trPr>
        <w:tc>
          <w:tcPr>
            <w:tcW w:w="1523" w:type="pct"/>
            <w:vAlign w:val="center"/>
          </w:tcPr>
          <w:p w14:paraId="165F0C61" w14:textId="418D0CD0"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9</w:t>
            </w:r>
            <w:r w:rsidRPr="00DD6E22">
              <w:rPr>
                <w:rFonts w:ascii="Arial" w:hAnsi="Arial" w:cs="Arial"/>
                <w:sz w:val="20"/>
                <w:szCs w:val="20"/>
                <w:lang w:val="it-IT"/>
              </w:rPr>
              <w:t>- 75% RDF + FYM (25 t/ha) + A</w:t>
            </w:r>
            <w:r>
              <w:rPr>
                <w:rFonts w:ascii="Arial" w:hAnsi="Arial" w:cs="Arial"/>
                <w:sz w:val="20"/>
                <w:szCs w:val="20"/>
                <w:lang w:val="it-IT"/>
              </w:rPr>
              <w:t>B</w:t>
            </w:r>
            <w:r w:rsidRPr="00DD6E22">
              <w:rPr>
                <w:rFonts w:ascii="Arial" w:hAnsi="Arial" w:cs="Arial"/>
                <w:sz w:val="20"/>
                <w:szCs w:val="20"/>
                <w:lang w:val="it-IT"/>
              </w:rPr>
              <w:t xml:space="preserve"> (5 kg/ha) + PSB (5 kg/ha) + KSB (5 lit/ha)</w:t>
            </w:r>
          </w:p>
        </w:tc>
        <w:tc>
          <w:tcPr>
            <w:tcW w:w="508" w:type="pct"/>
            <w:vAlign w:val="center"/>
          </w:tcPr>
          <w:p w14:paraId="576A920B" w14:textId="54C6D8E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85.45</w:t>
            </w:r>
          </w:p>
        </w:tc>
        <w:tc>
          <w:tcPr>
            <w:tcW w:w="356" w:type="pct"/>
            <w:vAlign w:val="center"/>
          </w:tcPr>
          <w:p w14:paraId="2E71A1AA" w14:textId="3FFBA11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11.06</w:t>
            </w:r>
          </w:p>
        </w:tc>
        <w:tc>
          <w:tcPr>
            <w:tcW w:w="355" w:type="pct"/>
            <w:vAlign w:val="center"/>
          </w:tcPr>
          <w:p w14:paraId="5853BF4A" w14:textId="335F181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107.04</w:t>
            </w:r>
          </w:p>
        </w:tc>
        <w:tc>
          <w:tcPr>
            <w:tcW w:w="306" w:type="pct"/>
            <w:vAlign w:val="center"/>
          </w:tcPr>
          <w:p w14:paraId="1FDE4D21" w14:textId="622B06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192.52</w:t>
            </w:r>
          </w:p>
        </w:tc>
        <w:tc>
          <w:tcPr>
            <w:tcW w:w="307" w:type="pct"/>
            <w:vAlign w:val="center"/>
          </w:tcPr>
          <w:p w14:paraId="2E41BD43" w14:textId="27A7999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212.77</w:t>
            </w:r>
          </w:p>
        </w:tc>
        <w:tc>
          <w:tcPr>
            <w:tcW w:w="407" w:type="pct"/>
            <w:vAlign w:val="center"/>
          </w:tcPr>
          <w:p w14:paraId="2B0677C0" w14:textId="707A5D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10.00</w:t>
            </w:r>
          </w:p>
        </w:tc>
        <w:tc>
          <w:tcPr>
            <w:tcW w:w="406" w:type="pct"/>
            <w:vAlign w:val="center"/>
          </w:tcPr>
          <w:p w14:paraId="322CD45F" w14:textId="01A857F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13.67</w:t>
            </w:r>
          </w:p>
        </w:tc>
        <w:tc>
          <w:tcPr>
            <w:tcW w:w="407" w:type="pct"/>
            <w:vAlign w:val="center"/>
          </w:tcPr>
          <w:p w14:paraId="7CDC0F42" w14:textId="493786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8.67</w:t>
            </w:r>
          </w:p>
        </w:tc>
        <w:tc>
          <w:tcPr>
            <w:tcW w:w="425" w:type="pct"/>
            <w:vAlign w:val="center"/>
          </w:tcPr>
          <w:p w14:paraId="21425382" w14:textId="235C552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9.06</w:t>
            </w:r>
          </w:p>
        </w:tc>
      </w:tr>
      <w:tr w:rsidR="003D4407" w:rsidRPr="00DC53B2" w14:paraId="6D957345" w14:textId="77777777" w:rsidTr="007E344A">
        <w:trPr>
          <w:trHeight w:val="273"/>
        </w:trPr>
        <w:tc>
          <w:tcPr>
            <w:tcW w:w="1523" w:type="pct"/>
            <w:vAlign w:val="center"/>
          </w:tcPr>
          <w:p w14:paraId="0A6DE280" w14:textId="0CE92C39"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10</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A</w:t>
            </w:r>
            <w:r>
              <w:rPr>
                <w:rFonts w:ascii="Arial" w:hAnsi="Arial" w:cs="Arial"/>
                <w:sz w:val="20"/>
                <w:szCs w:val="20"/>
                <w:lang w:val="it-IT"/>
              </w:rPr>
              <w:t>B</w:t>
            </w:r>
            <w:r w:rsidRPr="00DC53B2">
              <w:rPr>
                <w:rFonts w:ascii="Arial" w:hAnsi="Arial" w:cs="Arial"/>
                <w:sz w:val="20"/>
                <w:szCs w:val="20"/>
                <w:lang w:val="it-IT"/>
              </w:rPr>
              <w:t xml:space="preserve"> (5 kg/ha) + PSB (5 kg/ha)</w:t>
            </w:r>
          </w:p>
        </w:tc>
        <w:tc>
          <w:tcPr>
            <w:tcW w:w="508" w:type="pct"/>
            <w:vAlign w:val="center"/>
          </w:tcPr>
          <w:p w14:paraId="3497050B" w14:textId="6B7AFE5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89.15</w:t>
            </w:r>
          </w:p>
        </w:tc>
        <w:tc>
          <w:tcPr>
            <w:tcW w:w="356" w:type="pct"/>
            <w:vAlign w:val="center"/>
          </w:tcPr>
          <w:p w14:paraId="20A947D9" w14:textId="63BC9A3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11.72</w:t>
            </w:r>
          </w:p>
        </w:tc>
        <w:tc>
          <w:tcPr>
            <w:tcW w:w="355" w:type="pct"/>
            <w:vAlign w:val="center"/>
          </w:tcPr>
          <w:p w14:paraId="193602F0" w14:textId="5575E2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109.18</w:t>
            </w:r>
          </w:p>
        </w:tc>
        <w:tc>
          <w:tcPr>
            <w:tcW w:w="306" w:type="pct"/>
            <w:vAlign w:val="center"/>
          </w:tcPr>
          <w:p w14:paraId="481B6004" w14:textId="2674197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194.34</w:t>
            </w:r>
          </w:p>
        </w:tc>
        <w:tc>
          <w:tcPr>
            <w:tcW w:w="307" w:type="pct"/>
            <w:vAlign w:val="center"/>
          </w:tcPr>
          <w:p w14:paraId="5D3F6772" w14:textId="4F01E0F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215.14</w:t>
            </w:r>
          </w:p>
        </w:tc>
        <w:tc>
          <w:tcPr>
            <w:tcW w:w="407" w:type="pct"/>
            <w:vAlign w:val="center"/>
          </w:tcPr>
          <w:p w14:paraId="64707321" w14:textId="2159AD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10.33</w:t>
            </w:r>
          </w:p>
        </w:tc>
        <w:tc>
          <w:tcPr>
            <w:tcW w:w="406" w:type="pct"/>
            <w:vAlign w:val="center"/>
          </w:tcPr>
          <w:p w14:paraId="48FD9659" w14:textId="3242FA0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14.00</w:t>
            </w:r>
          </w:p>
        </w:tc>
        <w:tc>
          <w:tcPr>
            <w:tcW w:w="407" w:type="pct"/>
            <w:vAlign w:val="center"/>
          </w:tcPr>
          <w:p w14:paraId="437DBA9C" w14:textId="722AE46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25" w:type="pct"/>
            <w:vAlign w:val="center"/>
          </w:tcPr>
          <w:p w14:paraId="496CCA30" w14:textId="283B01D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r>
      <w:tr w:rsidR="003D4407" w:rsidRPr="00DC53B2" w14:paraId="1AE27C09" w14:textId="77777777" w:rsidTr="007E344A">
        <w:trPr>
          <w:trHeight w:val="273"/>
        </w:trPr>
        <w:tc>
          <w:tcPr>
            <w:tcW w:w="1523" w:type="pct"/>
            <w:vAlign w:val="center"/>
          </w:tcPr>
          <w:p w14:paraId="47619E08" w14:textId="318B2F29" w:rsidR="003D4407" w:rsidRPr="00DC53B2" w:rsidRDefault="003D4407" w:rsidP="003D4407">
            <w:pPr>
              <w:rPr>
                <w:rFonts w:ascii="Arial" w:hAnsi="Arial" w:cs="Arial"/>
                <w:sz w:val="20"/>
                <w:szCs w:val="20"/>
                <w:lang w:val="it-IT"/>
              </w:rPr>
            </w:pPr>
            <w:r w:rsidRPr="00920CFE">
              <w:rPr>
                <w:rFonts w:ascii="Arial" w:hAnsi="Arial" w:cs="Arial"/>
                <w:sz w:val="20"/>
                <w:szCs w:val="20"/>
                <w:lang w:val="it-IT"/>
              </w:rPr>
              <w:t>T</w:t>
            </w:r>
            <w:r w:rsidRPr="00920CFE">
              <w:rPr>
                <w:rFonts w:ascii="Arial" w:hAnsi="Arial" w:cs="Arial"/>
                <w:sz w:val="20"/>
                <w:szCs w:val="20"/>
                <w:vertAlign w:val="subscript"/>
                <w:lang w:val="it-IT"/>
              </w:rPr>
              <w:t>11</w:t>
            </w:r>
            <w:r w:rsidRPr="00920CFE">
              <w:rPr>
                <w:rFonts w:ascii="Arial" w:hAnsi="Arial" w:cs="Arial"/>
                <w:sz w:val="20"/>
                <w:szCs w:val="20"/>
                <w:lang w:val="it-IT"/>
              </w:rPr>
              <w:t>- 75% RDF + V</w:t>
            </w:r>
            <w:r>
              <w:rPr>
                <w:rFonts w:ascii="Arial" w:hAnsi="Arial" w:cs="Arial"/>
                <w:sz w:val="20"/>
                <w:szCs w:val="20"/>
                <w:lang w:val="it-IT"/>
              </w:rPr>
              <w:t>C</w:t>
            </w:r>
            <w:r w:rsidRPr="00920CFE">
              <w:rPr>
                <w:rFonts w:ascii="Arial" w:hAnsi="Arial" w:cs="Arial"/>
                <w:sz w:val="20"/>
                <w:szCs w:val="20"/>
                <w:lang w:val="it-IT"/>
              </w:rPr>
              <w:t xml:space="preserve"> (12 t/ha) + A</w:t>
            </w:r>
            <w:r>
              <w:rPr>
                <w:rFonts w:ascii="Arial" w:hAnsi="Arial" w:cs="Arial"/>
                <w:sz w:val="20"/>
                <w:szCs w:val="20"/>
                <w:lang w:val="it-IT"/>
              </w:rPr>
              <w:t>B</w:t>
            </w:r>
            <w:r w:rsidRPr="00920CFE">
              <w:rPr>
                <w:rFonts w:ascii="Arial" w:hAnsi="Arial" w:cs="Arial"/>
                <w:sz w:val="20"/>
                <w:szCs w:val="20"/>
                <w:lang w:val="it-IT"/>
              </w:rPr>
              <w:t xml:space="preserve"> (5 kg/ha) + KSB (5 lit/ha)</w:t>
            </w:r>
          </w:p>
        </w:tc>
        <w:tc>
          <w:tcPr>
            <w:tcW w:w="508" w:type="pct"/>
            <w:vAlign w:val="center"/>
          </w:tcPr>
          <w:p w14:paraId="06F871C6" w14:textId="687C17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84.04</w:t>
            </w:r>
          </w:p>
        </w:tc>
        <w:tc>
          <w:tcPr>
            <w:tcW w:w="356" w:type="pct"/>
            <w:vAlign w:val="center"/>
          </w:tcPr>
          <w:p w14:paraId="04317CBE" w14:textId="1621464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10.51</w:t>
            </w:r>
          </w:p>
        </w:tc>
        <w:tc>
          <w:tcPr>
            <w:tcW w:w="355" w:type="pct"/>
            <w:vAlign w:val="center"/>
          </w:tcPr>
          <w:p w14:paraId="798B4742" w14:textId="159272C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106.09</w:t>
            </w:r>
          </w:p>
        </w:tc>
        <w:tc>
          <w:tcPr>
            <w:tcW w:w="306" w:type="pct"/>
            <w:vAlign w:val="center"/>
          </w:tcPr>
          <w:p w14:paraId="6F399EB1" w14:textId="2E4B0E3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190.66</w:t>
            </w:r>
          </w:p>
        </w:tc>
        <w:tc>
          <w:tcPr>
            <w:tcW w:w="307" w:type="pct"/>
            <w:vAlign w:val="center"/>
          </w:tcPr>
          <w:p w14:paraId="1089E5EA" w14:textId="106D5BD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211.69</w:t>
            </w:r>
          </w:p>
        </w:tc>
        <w:tc>
          <w:tcPr>
            <w:tcW w:w="407" w:type="pct"/>
            <w:vAlign w:val="center"/>
          </w:tcPr>
          <w:p w14:paraId="1545EDFE" w14:textId="0856B57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36C7F4A7" w14:textId="4E7E452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13.33</w:t>
            </w:r>
          </w:p>
        </w:tc>
        <w:tc>
          <w:tcPr>
            <w:tcW w:w="407" w:type="pct"/>
            <w:vAlign w:val="center"/>
          </w:tcPr>
          <w:p w14:paraId="30017A2B" w14:textId="7289CB0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25" w:type="pct"/>
            <w:vAlign w:val="center"/>
          </w:tcPr>
          <w:p w14:paraId="43B892BF" w14:textId="7AC39FE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8.90</w:t>
            </w:r>
          </w:p>
        </w:tc>
      </w:tr>
      <w:tr w:rsidR="003D4407" w:rsidRPr="00DC53B2" w14:paraId="0D36E85E" w14:textId="77777777" w:rsidTr="007E344A">
        <w:trPr>
          <w:trHeight w:val="273"/>
        </w:trPr>
        <w:tc>
          <w:tcPr>
            <w:tcW w:w="1523" w:type="pct"/>
            <w:vAlign w:val="center"/>
          </w:tcPr>
          <w:p w14:paraId="295BE013" w14:textId="39A9679D"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12</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PSB (5 kg/ha) + KSB (5 lit/ha)</w:t>
            </w:r>
          </w:p>
        </w:tc>
        <w:tc>
          <w:tcPr>
            <w:tcW w:w="508" w:type="pct"/>
            <w:vAlign w:val="center"/>
          </w:tcPr>
          <w:p w14:paraId="44B00C39" w14:textId="7BAB4A7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80.39</w:t>
            </w:r>
          </w:p>
        </w:tc>
        <w:tc>
          <w:tcPr>
            <w:tcW w:w="356" w:type="pct"/>
            <w:vAlign w:val="center"/>
          </w:tcPr>
          <w:p w14:paraId="30D1BFF3" w14:textId="4E68938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9.88</w:t>
            </w:r>
          </w:p>
        </w:tc>
        <w:tc>
          <w:tcPr>
            <w:tcW w:w="355" w:type="pct"/>
            <w:vAlign w:val="center"/>
          </w:tcPr>
          <w:p w14:paraId="79BD8D90" w14:textId="1CF189A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100.27</w:t>
            </w:r>
          </w:p>
        </w:tc>
        <w:tc>
          <w:tcPr>
            <w:tcW w:w="306" w:type="pct"/>
            <w:vAlign w:val="center"/>
          </w:tcPr>
          <w:p w14:paraId="77ECC7AB" w14:textId="79398D3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188.72</w:t>
            </w:r>
          </w:p>
        </w:tc>
        <w:tc>
          <w:tcPr>
            <w:tcW w:w="307" w:type="pct"/>
            <w:vAlign w:val="center"/>
          </w:tcPr>
          <w:p w14:paraId="51B4DCC9" w14:textId="2FEAC1B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209.21</w:t>
            </w:r>
          </w:p>
        </w:tc>
        <w:tc>
          <w:tcPr>
            <w:tcW w:w="407" w:type="pct"/>
            <w:vAlign w:val="center"/>
          </w:tcPr>
          <w:p w14:paraId="2286F9FE" w14:textId="017CE06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06" w:type="pct"/>
            <w:vAlign w:val="center"/>
          </w:tcPr>
          <w:p w14:paraId="2F313920" w14:textId="5D2F6BA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12.67</w:t>
            </w:r>
          </w:p>
        </w:tc>
        <w:tc>
          <w:tcPr>
            <w:tcW w:w="407" w:type="pct"/>
            <w:vAlign w:val="center"/>
          </w:tcPr>
          <w:p w14:paraId="0E694EC7" w14:textId="2B3E32E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8FFED13" w14:textId="3DDA3D3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8.18</w:t>
            </w:r>
          </w:p>
        </w:tc>
      </w:tr>
      <w:tr w:rsidR="003D4407" w:rsidRPr="00E964C4" w14:paraId="49A1C8B9" w14:textId="77777777" w:rsidTr="007E344A">
        <w:trPr>
          <w:trHeight w:val="273"/>
        </w:trPr>
        <w:tc>
          <w:tcPr>
            <w:tcW w:w="1523" w:type="pct"/>
            <w:vAlign w:val="center"/>
          </w:tcPr>
          <w:p w14:paraId="6FCD1CC0" w14:textId="7EC6C389" w:rsidR="003D4407" w:rsidRPr="00E964C4" w:rsidRDefault="003D4407" w:rsidP="003D4407">
            <w:pPr>
              <w:rPr>
                <w:rFonts w:ascii="Arial" w:hAnsi="Arial" w:cs="Arial"/>
                <w:sz w:val="20"/>
                <w:szCs w:val="20"/>
                <w:lang w:val="it-IT"/>
              </w:rPr>
            </w:pPr>
            <w:r w:rsidRPr="00E964C4">
              <w:rPr>
                <w:rFonts w:ascii="Arial" w:hAnsi="Arial" w:cs="Arial"/>
                <w:sz w:val="20"/>
                <w:szCs w:val="20"/>
                <w:lang w:val="it-IT"/>
              </w:rPr>
              <w:t>T</w:t>
            </w:r>
            <w:r w:rsidRPr="00E964C4">
              <w:rPr>
                <w:rFonts w:ascii="Arial" w:hAnsi="Arial" w:cs="Arial"/>
                <w:sz w:val="20"/>
                <w:szCs w:val="20"/>
                <w:vertAlign w:val="subscript"/>
                <w:lang w:val="it-IT"/>
              </w:rPr>
              <w:t>13</w:t>
            </w:r>
            <w:r w:rsidRPr="00E964C4">
              <w:rPr>
                <w:rFonts w:ascii="Arial" w:hAnsi="Arial" w:cs="Arial"/>
                <w:sz w:val="20"/>
                <w:szCs w:val="20"/>
                <w:lang w:val="it-IT"/>
              </w:rPr>
              <w:t>- 75% RDF + V</w:t>
            </w:r>
            <w:r>
              <w:rPr>
                <w:rFonts w:ascii="Arial" w:hAnsi="Arial" w:cs="Arial"/>
                <w:sz w:val="20"/>
                <w:szCs w:val="20"/>
                <w:lang w:val="it-IT"/>
              </w:rPr>
              <w:t xml:space="preserve">C </w:t>
            </w:r>
            <w:r w:rsidRPr="00E964C4">
              <w:rPr>
                <w:rFonts w:ascii="Arial" w:hAnsi="Arial" w:cs="Arial"/>
                <w:sz w:val="20"/>
                <w:szCs w:val="20"/>
                <w:lang w:val="it-IT"/>
              </w:rPr>
              <w:t>(12 t/ha) +</w:t>
            </w:r>
            <w:r>
              <w:rPr>
                <w:rFonts w:ascii="Arial" w:hAnsi="Arial" w:cs="Arial"/>
                <w:sz w:val="20"/>
                <w:szCs w:val="20"/>
                <w:lang w:val="it-IT"/>
              </w:rPr>
              <w:t xml:space="preserve"> </w:t>
            </w:r>
            <w:r w:rsidRPr="00E964C4">
              <w:rPr>
                <w:rFonts w:ascii="Arial" w:hAnsi="Arial" w:cs="Arial"/>
                <w:sz w:val="20"/>
                <w:szCs w:val="20"/>
                <w:lang w:val="it-IT"/>
              </w:rPr>
              <w:t>A</w:t>
            </w:r>
            <w:r>
              <w:rPr>
                <w:rFonts w:ascii="Arial" w:hAnsi="Arial" w:cs="Arial"/>
                <w:sz w:val="20"/>
                <w:szCs w:val="20"/>
                <w:lang w:val="it-IT"/>
              </w:rPr>
              <w:t>B</w:t>
            </w:r>
            <w:r w:rsidRPr="00E964C4">
              <w:rPr>
                <w:rFonts w:ascii="Arial" w:hAnsi="Arial" w:cs="Arial"/>
                <w:sz w:val="20"/>
                <w:szCs w:val="20"/>
                <w:lang w:val="it-IT"/>
              </w:rPr>
              <w:t xml:space="preserve"> (5 kg/ha) + PSB (5 kg/ha) + KSB (5 lit/ha)</w:t>
            </w:r>
          </w:p>
        </w:tc>
        <w:tc>
          <w:tcPr>
            <w:tcW w:w="508" w:type="pct"/>
            <w:vAlign w:val="center"/>
          </w:tcPr>
          <w:p w14:paraId="2AD4EF7B" w14:textId="75550D1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91.26</w:t>
            </w:r>
          </w:p>
        </w:tc>
        <w:tc>
          <w:tcPr>
            <w:tcW w:w="356" w:type="pct"/>
            <w:vAlign w:val="center"/>
          </w:tcPr>
          <w:p w14:paraId="45F413BB" w14:textId="5C16110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12.36</w:t>
            </w:r>
          </w:p>
        </w:tc>
        <w:tc>
          <w:tcPr>
            <w:tcW w:w="355" w:type="pct"/>
            <w:vAlign w:val="center"/>
          </w:tcPr>
          <w:p w14:paraId="3FA5C2CD" w14:textId="5598E07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110.14</w:t>
            </w:r>
          </w:p>
        </w:tc>
        <w:tc>
          <w:tcPr>
            <w:tcW w:w="306" w:type="pct"/>
            <w:vAlign w:val="center"/>
          </w:tcPr>
          <w:p w14:paraId="552F1274" w14:textId="64E7E64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195.00</w:t>
            </w:r>
          </w:p>
        </w:tc>
        <w:tc>
          <w:tcPr>
            <w:tcW w:w="307" w:type="pct"/>
            <w:vAlign w:val="center"/>
          </w:tcPr>
          <w:p w14:paraId="09E3E022" w14:textId="2F7B3D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215.75</w:t>
            </w:r>
          </w:p>
        </w:tc>
        <w:tc>
          <w:tcPr>
            <w:tcW w:w="407" w:type="pct"/>
            <w:vAlign w:val="center"/>
          </w:tcPr>
          <w:p w14:paraId="061A32B9" w14:textId="2EB9125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11.00</w:t>
            </w:r>
          </w:p>
        </w:tc>
        <w:tc>
          <w:tcPr>
            <w:tcW w:w="406" w:type="pct"/>
            <w:vAlign w:val="center"/>
          </w:tcPr>
          <w:p w14:paraId="3618A9CA" w14:textId="7F42BC1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14.67</w:t>
            </w:r>
          </w:p>
        </w:tc>
        <w:tc>
          <w:tcPr>
            <w:tcW w:w="407" w:type="pct"/>
            <w:vAlign w:val="center"/>
          </w:tcPr>
          <w:p w14:paraId="6B368844" w14:textId="0C3337F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25" w:type="pct"/>
            <w:vAlign w:val="center"/>
          </w:tcPr>
          <w:p w14:paraId="26168966" w14:textId="786BD1E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9.51</w:t>
            </w:r>
          </w:p>
        </w:tc>
      </w:tr>
      <w:tr w:rsidR="003D4407" w:rsidRPr="00E964C4" w14:paraId="3AE5F480" w14:textId="77777777" w:rsidTr="007E344A">
        <w:trPr>
          <w:trHeight w:val="273"/>
        </w:trPr>
        <w:tc>
          <w:tcPr>
            <w:tcW w:w="1523" w:type="pct"/>
            <w:vAlign w:val="center"/>
          </w:tcPr>
          <w:p w14:paraId="77F770A4" w14:textId="1B07F60E" w:rsidR="003D4407" w:rsidRPr="000831C4" w:rsidRDefault="003D4407" w:rsidP="003D4407">
            <w:pPr>
              <w:rPr>
                <w:rFonts w:ascii="Arial" w:hAnsi="Arial" w:cs="Arial"/>
                <w:sz w:val="20"/>
                <w:szCs w:val="20"/>
                <w:lang w:val="it-IT"/>
              </w:rPr>
            </w:pPr>
            <w:proofErr w:type="spellStart"/>
            <w:r w:rsidRPr="000831C4">
              <w:rPr>
                <w:rFonts w:ascii="Arial" w:hAnsi="Arial" w:cs="Arial"/>
                <w:b/>
                <w:sz w:val="20"/>
                <w:szCs w:val="20"/>
              </w:rPr>
              <w:t>SEm</w:t>
            </w:r>
            <w:proofErr w:type="spellEnd"/>
            <w:r w:rsidRPr="000831C4">
              <w:rPr>
                <w:rFonts w:ascii="Arial" w:hAnsi="Arial" w:cs="Arial"/>
                <w:b/>
                <w:sz w:val="20"/>
                <w:szCs w:val="20"/>
              </w:rPr>
              <w:t xml:space="preserve"> </w:t>
            </w:r>
            <w:r w:rsidR="005D189E">
              <w:rPr>
                <w:rFonts w:ascii="Arial" w:hAnsi="Arial" w:cs="Arial"/>
                <w:b/>
                <w:sz w:val="20"/>
                <w:szCs w:val="20"/>
              </w:rPr>
              <w:t>(</w:t>
            </w:r>
            <w:r w:rsidRPr="000831C4">
              <w:rPr>
                <w:rFonts w:ascii="Arial" w:hAnsi="Arial" w:cs="Arial"/>
                <w:b/>
                <w:sz w:val="20"/>
                <w:szCs w:val="20"/>
              </w:rPr>
              <w:t>±</w:t>
            </w:r>
            <w:r w:rsidR="005D189E">
              <w:rPr>
                <w:rFonts w:ascii="Arial" w:hAnsi="Arial" w:cs="Arial"/>
                <w:b/>
                <w:sz w:val="20"/>
                <w:szCs w:val="20"/>
              </w:rPr>
              <w:t>)</w:t>
            </w:r>
          </w:p>
        </w:tc>
        <w:tc>
          <w:tcPr>
            <w:tcW w:w="508" w:type="pct"/>
            <w:vAlign w:val="center"/>
          </w:tcPr>
          <w:p w14:paraId="6AA92BBA" w14:textId="21A860D7"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2.92</w:t>
            </w:r>
          </w:p>
        </w:tc>
        <w:tc>
          <w:tcPr>
            <w:tcW w:w="356" w:type="pct"/>
            <w:vAlign w:val="center"/>
          </w:tcPr>
          <w:p w14:paraId="76FF6AFD" w14:textId="6F3306B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0.45</w:t>
            </w:r>
          </w:p>
        </w:tc>
        <w:tc>
          <w:tcPr>
            <w:tcW w:w="355" w:type="pct"/>
            <w:vAlign w:val="center"/>
          </w:tcPr>
          <w:p w14:paraId="3FB865BE" w14:textId="1DCA267B"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3.74</w:t>
            </w:r>
          </w:p>
        </w:tc>
        <w:tc>
          <w:tcPr>
            <w:tcW w:w="306" w:type="pct"/>
            <w:vAlign w:val="center"/>
          </w:tcPr>
          <w:p w14:paraId="2024115A" w14:textId="0FC1EDB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3.15</w:t>
            </w:r>
          </w:p>
        </w:tc>
        <w:tc>
          <w:tcPr>
            <w:tcW w:w="307" w:type="pct"/>
            <w:vAlign w:val="center"/>
          </w:tcPr>
          <w:p w14:paraId="22BA6FAE" w14:textId="2DA78C6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2.97</w:t>
            </w:r>
          </w:p>
        </w:tc>
        <w:tc>
          <w:tcPr>
            <w:tcW w:w="407" w:type="pct"/>
            <w:vAlign w:val="center"/>
          </w:tcPr>
          <w:p w14:paraId="655B32B6" w14:textId="2B3865D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0.70</w:t>
            </w:r>
          </w:p>
        </w:tc>
        <w:tc>
          <w:tcPr>
            <w:tcW w:w="406" w:type="pct"/>
            <w:vAlign w:val="center"/>
          </w:tcPr>
          <w:p w14:paraId="76B55B69" w14:textId="0989F3B0"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0.76</w:t>
            </w:r>
          </w:p>
        </w:tc>
        <w:tc>
          <w:tcPr>
            <w:tcW w:w="407" w:type="pct"/>
            <w:vAlign w:val="center"/>
          </w:tcPr>
          <w:p w14:paraId="2680CF8B" w14:textId="171F6A2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0.55</w:t>
            </w:r>
          </w:p>
        </w:tc>
        <w:tc>
          <w:tcPr>
            <w:tcW w:w="425" w:type="pct"/>
            <w:vAlign w:val="center"/>
          </w:tcPr>
          <w:p w14:paraId="36A6DFD6" w14:textId="5B779F1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0.40</w:t>
            </w:r>
          </w:p>
        </w:tc>
      </w:tr>
      <w:tr w:rsidR="003D4407" w:rsidRPr="00E964C4" w14:paraId="2CD3D3F7" w14:textId="77777777" w:rsidTr="007E344A">
        <w:trPr>
          <w:trHeight w:val="273"/>
        </w:trPr>
        <w:tc>
          <w:tcPr>
            <w:tcW w:w="1523" w:type="pct"/>
            <w:vAlign w:val="center"/>
          </w:tcPr>
          <w:p w14:paraId="7B0B9999" w14:textId="45923898" w:rsidR="003D4407" w:rsidRPr="000831C4" w:rsidRDefault="003D4407" w:rsidP="003D4407">
            <w:pPr>
              <w:rPr>
                <w:rFonts w:ascii="Arial" w:hAnsi="Arial" w:cs="Arial"/>
                <w:sz w:val="20"/>
                <w:szCs w:val="20"/>
                <w:lang w:val="it-IT"/>
              </w:rPr>
            </w:pPr>
            <w:r w:rsidRPr="000831C4">
              <w:rPr>
                <w:rFonts w:ascii="Arial" w:hAnsi="Arial" w:cs="Arial"/>
                <w:b/>
                <w:sz w:val="20"/>
                <w:szCs w:val="20"/>
              </w:rPr>
              <w:t>CD 5%</w:t>
            </w:r>
          </w:p>
        </w:tc>
        <w:tc>
          <w:tcPr>
            <w:tcW w:w="508" w:type="pct"/>
            <w:vAlign w:val="center"/>
          </w:tcPr>
          <w:p w14:paraId="0710876F" w14:textId="297729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8.30</w:t>
            </w:r>
          </w:p>
        </w:tc>
        <w:tc>
          <w:tcPr>
            <w:tcW w:w="356" w:type="pct"/>
            <w:vAlign w:val="center"/>
          </w:tcPr>
          <w:p w14:paraId="202862C0" w14:textId="05D3CD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1.28</w:t>
            </w:r>
          </w:p>
        </w:tc>
        <w:tc>
          <w:tcPr>
            <w:tcW w:w="355" w:type="pct"/>
            <w:vAlign w:val="center"/>
          </w:tcPr>
          <w:p w14:paraId="486126C8" w14:textId="099A76FF"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10.61</w:t>
            </w:r>
          </w:p>
        </w:tc>
        <w:tc>
          <w:tcPr>
            <w:tcW w:w="306" w:type="pct"/>
            <w:vAlign w:val="center"/>
          </w:tcPr>
          <w:p w14:paraId="5219A7FD" w14:textId="45A2977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8.93</w:t>
            </w:r>
          </w:p>
        </w:tc>
        <w:tc>
          <w:tcPr>
            <w:tcW w:w="307" w:type="pct"/>
            <w:vAlign w:val="center"/>
          </w:tcPr>
          <w:p w14:paraId="3D4E6CE0" w14:textId="5C8717A2"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8.43</w:t>
            </w:r>
          </w:p>
        </w:tc>
        <w:tc>
          <w:tcPr>
            <w:tcW w:w="407" w:type="pct"/>
            <w:vAlign w:val="center"/>
          </w:tcPr>
          <w:p w14:paraId="04B3B0A9" w14:textId="4064225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1.98</w:t>
            </w:r>
          </w:p>
        </w:tc>
        <w:tc>
          <w:tcPr>
            <w:tcW w:w="406" w:type="pct"/>
            <w:vAlign w:val="center"/>
          </w:tcPr>
          <w:p w14:paraId="7C8CEA5B" w14:textId="7E3B34C3"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2.17</w:t>
            </w:r>
          </w:p>
        </w:tc>
        <w:tc>
          <w:tcPr>
            <w:tcW w:w="407" w:type="pct"/>
            <w:vAlign w:val="center"/>
          </w:tcPr>
          <w:p w14:paraId="45079048" w14:textId="6AA605D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1.58</w:t>
            </w:r>
          </w:p>
        </w:tc>
        <w:tc>
          <w:tcPr>
            <w:tcW w:w="425" w:type="pct"/>
            <w:vAlign w:val="center"/>
          </w:tcPr>
          <w:p w14:paraId="4E36F14C" w14:textId="0C566D2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1.15</w:t>
            </w:r>
          </w:p>
        </w:tc>
      </w:tr>
    </w:tbl>
    <w:p w14:paraId="38E71AE6" w14:textId="77777777" w:rsidR="00233CCD" w:rsidRDefault="002817EA" w:rsidP="00153D40">
      <w:pPr>
        <w:spacing w:after="0"/>
        <w:jc w:val="both"/>
        <w:rPr>
          <w:rFonts w:ascii="Arial" w:eastAsia="Arial" w:hAnsi="Arial" w:cs="Arial"/>
          <w:iCs/>
          <w:sz w:val="20"/>
          <w:szCs w:val="20"/>
        </w:rPr>
      </w:pPr>
      <w:r w:rsidRPr="00623ACF">
        <w:rPr>
          <w:rFonts w:ascii="Arial" w:hAnsi="Arial" w:cs="Arial"/>
          <w:sz w:val="20"/>
          <w:szCs w:val="20"/>
        </w:rPr>
        <w:t>*</w:t>
      </w:r>
      <w:r w:rsidR="00623ACF" w:rsidRPr="00623ACF">
        <w:rPr>
          <w:rFonts w:ascii="Arial" w:hAnsi="Arial" w:cs="Arial"/>
          <w:sz w:val="20"/>
          <w:szCs w:val="20"/>
        </w:rPr>
        <w:t>RDF=</w:t>
      </w:r>
      <w:r w:rsidR="00A42750">
        <w:rPr>
          <w:rFonts w:ascii="Arial" w:hAnsi="Arial" w:cs="Arial"/>
          <w:sz w:val="20"/>
          <w:szCs w:val="20"/>
        </w:rPr>
        <w:t xml:space="preserve"> </w:t>
      </w:r>
      <w:r w:rsidR="00623ACF" w:rsidRPr="00623ACF">
        <w:rPr>
          <w:rFonts w:ascii="Arial" w:hAnsi="Arial" w:cs="Arial"/>
          <w:sz w:val="20"/>
          <w:szCs w:val="20"/>
        </w:rPr>
        <w:t>Recommended dose of f</w:t>
      </w:r>
      <w:r w:rsidR="00623ACF">
        <w:rPr>
          <w:rFonts w:ascii="Arial" w:hAnsi="Arial" w:cs="Arial"/>
          <w:sz w:val="20"/>
          <w:szCs w:val="20"/>
        </w:rPr>
        <w:t xml:space="preserve">ertilizer, </w:t>
      </w:r>
      <w:r w:rsidR="00A022BB">
        <w:rPr>
          <w:rFonts w:ascii="Arial" w:eastAsia="Arial" w:hAnsi="Arial" w:cs="Arial"/>
          <w:sz w:val="20"/>
          <w:szCs w:val="20"/>
        </w:rPr>
        <w:t xml:space="preserve">VC= </w:t>
      </w:r>
      <w:r w:rsidR="00751B5C" w:rsidRPr="00751B5C">
        <w:rPr>
          <w:rFonts w:ascii="Arial" w:eastAsia="Arial" w:hAnsi="Arial" w:cs="Arial"/>
          <w:sz w:val="20"/>
          <w:szCs w:val="20"/>
        </w:rPr>
        <w:t>Vermicompost</w:t>
      </w:r>
      <w:r w:rsidR="00751B5C">
        <w:rPr>
          <w:rFonts w:ascii="Arial" w:eastAsia="Arial" w:hAnsi="Arial" w:cs="Arial"/>
          <w:sz w:val="20"/>
          <w:szCs w:val="20"/>
        </w:rPr>
        <w:t>,</w:t>
      </w:r>
      <w:r w:rsidR="00D41B36">
        <w:rPr>
          <w:rFonts w:ascii="Arial" w:eastAsia="Arial" w:hAnsi="Arial" w:cs="Arial"/>
          <w:sz w:val="20"/>
          <w:szCs w:val="20"/>
        </w:rPr>
        <w:t xml:space="preserve"> </w:t>
      </w:r>
      <w:r w:rsidR="007C311C">
        <w:rPr>
          <w:rFonts w:ascii="Arial" w:hAnsi="Arial" w:cs="Arial"/>
          <w:sz w:val="20"/>
          <w:szCs w:val="20"/>
        </w:rPr>
        <w:t xml:space="preserve">AB= </w:t>
      </w:r>
      <w:r w:rsidR="007C311C" w:rsidRPr="00751B5C">
        <w:rPr>
          <w:rFonts w:ascii="Arial" w:eastAsia="Arial" w:hAnsi="Arial" w:cs="Arial"/>
          <w:i/>
          <w:sz w:val="20"/>
          <w:szCs w:val="20"/>
        </w:rPr>
        <w:t>Azotobacter</w:t>
      </w:r>
      <w:r w:rsidR="007C311C" w:rsidRPr="007C311C">
        <w:rPr>
          <w:rFonts w:ascii="Arial" w:eastAsia="Arial" w:hAnsi="Arial" w:cs="Arial"/>
          <w:iCs/>
          <w:sz w:val="20"/>
          <w:szCs w:val="20"/>
        </w:rPr>
        <w:t xml:space="preserve">, </w:t>
      </w:r>
      <w:r w:rsidR="00592936">
        <w:rPr>
          <w:rFonts w:ascii="Arial" w:eastAsia="Arial" w:hAnsi="Arial" w:cs="Arial"/>
          <w:iCs/>
          <w:sz w:val="20"/>
          <w:szCs w:val="20"/>
        </w:rPr>
        <w:t xml:space="preserve">PSB= Phosphorus Solubilizing bacteria, </w:t>
      </w:r>
      <w:r w:rsidR="00E82184">
        <w:rPr>
          <w:rFonts w:ascii="Arial" w:eastAsia="Arial" w:hAnsi="Arial" w:cs="Arial"/>
          <w:iCs/>
          <w:sz w:val="20"/>
          <w:szCs w:val="20"/>
        </w:rPr>
        <w:t xml:space="preserve">KSB= </w:t>
      </w:r>
      <w:r w:rsidR="00F61555">
        <w:rPr>
          <w:rFonts w:ascii="Arial" w:eastAsia="Arial" w:hAnsi="Arial" w:cs="Arial"/>
          <w:iCs/>
          <w:sz w:val="20"/>
          <w:szCs w:val="20"/>
        </w:rPr>
        <w:t>Pota</w:t>
      </w:r>
      <w:r w:rsidR="00F44B28">
        <w:rPr>
          <w:rFonts w:ascii="Arial" w:eastAsia="Arial" w:hAnsi="Arial" w:cs="Arial"/>
          <w:iCs/>
          <w:sz w:val="20"/>
          <w:szCs w:val="20"/>
        </w:rPr>
        <w:t>ssium Solubilizing Bacteria</w:t>
      </w:r>
    </w:p>
    <w:p w14:paraId="4985B5FF" w14:textId="05BB2EEA" w:rsidR="00C712FE" w:rsidRPr="00DC2315" w:rsidRDefault="00C369AF" w:rsidP="00153D40">
      <w:pPr>
        <w:spacing w:after="0"/>
        <w:jc w:val="both"/>
        <w:rPr>
          <w:rFonts w:ascii="Arial" w:hAnsi="Arial" w:cs="Arial"/>
          <w:color w:val="000000"/>
          <w:sz w:val="20"/>
          <w:szCs w:val="18"/>
        </w:rPr>
        <w:sectPr w:rsidR="00C712FE" w:rsidRPr="00DC2315" w:rsidSect="00733314">
          <w:pgSz w:w="16838" w:h="11906" w:orient="landscape"/>
          <w:pgMar w:top="1440" w:right="1440" w:bottom="1440" w:left="1440" w:header="708" w:footer="708" w:gutter="0"/>
          <w:cols w:space="708"/>
          <w:docGrid w:linePitch="360"/>
        </w:sectPr>
      </w:pPr>
      <w:proofErr w:type="spellStart"/>
      <w:r>
        <w:rPr>
          <w:rFonts w:ascii="Arial" w:eastAsia="Arial" w:hAnsi="Arial" w:cs="Arial"/>
          <w:iCs/>
          <w:sz w:val="20"/>
          <w:szCs w:val="20"/>
        </w:rPr>
        <w:t>SEm</w:t>
      </w:r>
      <w:proofErr w:type="spellEnd"/>
      <w:r>
        <w:rPr>
          <w:rFonts w:ascii="Arial" w:eastAsia="Arial" w:hAnsi="Arial" w:cs="Arial"/>
          <w:iCs/>
          <w:sz w:val="20"/>
          <w:szCs w:val="20"/>
        </w:rPr>
        <w:t>=</w:t>
      </w:r>
      <w:r w:rsidR="004B675E">
        <w:rPr>
          <w:rFonts w:ascii="Arial" w:eastAsia="Arial" w:hAnsi="Arial" w:cs="Arial"/>
          <w:iCs/>
          <w:sz w:val="20"/>
          <w:szCs w:val="20"/>
        </w:rPr>
        <w:t xml:space="preserve"> Standard Error of Mean</w:t>
      </w:r>
      <w:r>
        <w:rPr>
          <w:rFonts w:ascii="Arial" w:eastAsia="Arial" w:hAnsi="Arial" w:cs="Arial"/>
          <w:iCs/>
          <w:sz w:val="20"/>
          <w:szCs w:val="20"/>
        </w:rPr>
        <w:t xml:space="preserve"> CD= </w:t>
      </w:r>
      <w:r w:rsidRPr="00C369AF">
        <w:rPr>
          <w:rFonts w:ascii="Arial" w:hAnsi="Arial" w:cs="Arial"/>
          <w:color w:val="000000"/>
          <w:sz w:val="20"/>
          <w:szCs w:val="18"/>
        </w:rPr>
        <w:t>Critical Difference</w:t>
      </w:r>
    </w:p>
    <w:p w14:paraId="13B0C7F7" w14:textId="23A89E44" w:rsidR="007B1057" w:rsidRDefault="00516B11" w:rsidP="00350872">
      <w:pPr>
        <w:spacing w:line="276" w:lineRule="auto"/>
        <w:jc w:val="both"/>
        <w:rPr>
          <w:rFonts w:ascii="Arial" w:hAnsi="Arial" w:cs="Arial"/>
          <w:sz w:val="20"/>
          <w:szCs w:val="20"/>
        </w:rPr>
      </w:pPr>
      <w:r w:rsidRPr="00C0706F">
        <w:rPr>
          <w:rFonts w:ascii="Arial" w:hAnsi="Arial" w:cs="Arial"/>
          <w:sz w:val="20"/>
          <w:szCs w:val="20"/>
        </w:rPr>
        <w:lastRenderedPageBreak/>
        <w:t>Application of different organic manures and biofertilizers significantly increased the number of primary branches per vine in bottle gourd. The highest number of primary branches was recorded under 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w:t>
      </w:r>
      <w:r w:rsidR="0072039A" w:rsidRPr="00C0706F">
        <w:rPr>
          <w:rFonts w:ascii="Arial" w:hAnsi="Arial" w:cs="Arial"/>
          <w:sz w:val="20"/>
          <w:szCs w:val="20"/>
        </w:rPr>
        <w:t>@ 5 lit/ha), while the lowest was observed in T</w:t>
      </w:r>
      <w:r w:rsidR="0072039A" w:rsidRPr="00350872">
        <w:rPr>
          <w:rFonts w:ascii="Arial" w:hAnsi="Arial" w:cs="Arial"/>
          <w:sz w:val="20"/>
          <w:szCs w:val="20"/>
          <w:vertAlign w:val="subscript"/>
        </w:rPr>
        <w:t>1</w:t>
      </w:r>
      <w:r w:rsidR="0072039A" w:rsidRPr="00C0706F">
        <w:rPr>
          <w:rFonts w:ascii="Arial" w:hAnsi="Arial" w:cs="Arial"/>
          <w:sz w:val="20"/>
          <w:szCs w:val="20"/>
        </w:rPr>
        <w:t xml:space="preserve"> (100% RDF). Enhanced branching could be attributed to improved soil chemical and physical properties resulting from the combined use of organic, inorganic, </w:t>
      </w:r>
      <w:r w:rsidR="007B1057" w:rsidRPr="00C0706F">
        <w:rPr>
          <w:rFonts w:ascii="Arial" w:hAnsi="Arial" w:cs="Arial"/>
          <w:sz w:val="20"/>
          <w:szCs w:val="20"/>
        </w:rPr>
        <w:t>and biofertilizer inputs.</w:t>
      </w:r>
      <w:r w:rsidR="007B1057" w:rsidRPr="00EB7AA6">
        <w:rPr>
          <w:rFonts w:ascii="Arial" w:hAnsi="Arial" w:cs="Arial"/>
          <w:sz w:val="20"/>
          <w:szCs w:val="20"/>
        </w:rPr>
        <w:t xml:space="preserve"> </w:t>
      </w:r>
      <w:r w:rsidR="007B1057" w:rsidRPr="00C0706F">
        <w:rPr>
          <w:rFonts w:ascii="Arial" w:hAnsi="Arial" w:cs="Arial"/>
          <w:sz w:val="20"/>
          <w:szCs w:val="20"/>
        </w:rPr>
        <w:t xml:space="preserve">These findings align with those of Rathod et al. (2018), Shree et al. (2018), Shah et al. (2020) and </w:t>
      </w:r>
      <w:proofErr w:type="spellStart"/>
      <w:r w:rsidR="007B1057" w:rsidRPr="00C0706F">
        <w:rPr>
          <w:rFonts w:ascii="Arial" w:hAnsi="Arial" w:cs="Arial"/>
          <w:sz w:val="20"/>
          <w:szCs w:val="20"/>
        </w:rPr>
        <w:t>Mandloi</w:t>
      </w:r>
      <w:proofErr w:type="spellEnd"/>
      <w:r w:rsidR="007B1057" w:rsidRPr="00C0706F">
        <w:rPr>
          <w:rFonts w:ascii="Arial" w:hAnsi="Arial" w:cs="Arial"/>
          <w:sz w:val="20"/>
          <w:szCs w:val="20"/>
        </w:rPr>
        <w:t xml:space="preserve"> et al. (2022).</w:t>
      </w:r>
    </w:p>
    <w:p w14:paraId="7491CE7F" w14:textId="74FD2AA3" w:rsidR="00450553" w:rsidRDefault="00C0706F" w:rsidP="00350872">
      <w:pPr>
        <w:spacing w:line="276" w:lineRule="auto"/>
        <w:jc w:val="both"/>
        <w:rPr>
          <w:rFonts w:ascii="Arial" w:hAnsi="Arial" w:cs="Arial"/>
          <w:sz w:val="20"/>
          <w:szCs w:val="20"/>
        </w:rPr>
      </w:pPr>
      <w:r w:rsidRPr="00C0706F">
        <w:rPr>
          <w:rFonts w:ascii="Arial" w:hAnsi="Arial" w:cs="Arial"/>
          <w:sz w:val="20"/>
          <w:szCs w:val="20"/>
        </w:rPr>
        <w:t>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 @ 5 lit/ha) recorded the highest number of nodes per vine up to the first male and female flowers, indicating its superiority in enhancing morphological traits of bottle gourd. In contrast, the minimum number of nodes was observed under T</w:t>
      </w:r>
      <w:r w:rsidRPr="00350872">
        <w:rPr>
          <w:rFonts w:ascii="Arial" w:hAnsi="Arial" w:cs="Arial"/>
          <w:sz w:val="20"/>
          <w:szCs w:val="20"/>
          <w:vertAlign w:val="subscript"/>
        </w:rPr>
        <w:t>1</w:t>
      </w:r>
      <w:r w:rsidRPr="00C0706F">
        <w:rPr>
          <w:rFonts w:ascii="Arial" w:hAnsi="Arial" w:cs="Arial"/>
          <w:sz w:val="20"/>
          <w:szCs w:val="20"/>
        </w:rPr>
        <w:t xml:space="preserve"> (100% RDF). The improved node development may be attributed to better nutrient availability facilitating early flowering. Similarly, T</w:t>
      </w:r>
      <w:r w:rsidRPr="00350872">
        <w:rPr>
          <w:rFonts w:ascii="Arial" w:hAnsi="Arial" w:cs="Arial"/>
          <w:sz w:val="20"/>
          <w:szCs w:val="20"/>
          <w:vertAlign w:val="subscript"/>
        </w:rPr>
        <w:t>13</w:t>
      </w:r>
      <w:r w:rsidRPr="00C0706F">
        <w:rPr>
          <w:rFonts w:ascii="Arial" w:hAnsi="Arial" w:cs="Arial"/>
          <w:sz w:val="20"/>
          <w:szCs w:val="20"/>
        </w:rPr>
        <w:t xml:space="preserve"> also exhibited the maximum internode length, while T1 showed the shortest. The enhanced growth parameters likely resulted from improved nutrient supply and soil health. These findings are consistent with the reports of </w:t>
      </w:r>
      <w:proofErr w:type="spellStart"/>
      <w:r w:rsidRPr="00C0706F">
        <w:rPr>
          <w:rFonts w:ascii="Arial" w:hAnsi="Arial" w:cs="Arial"/>
          <w:sz w:val="20"/>
          <w:szCs w:val="20"/>
        </w:rPr>
        <w:t>Tirumalesh</w:t>
      </w:r>
      <w:proofErr w:type="spellEnd"/>
      <w:r w:rsidRPr="00C0706F">
        <w:rPr>
          <w:rFonts w:ascii="Arial" w:hAnsi="Arial" w:cs="Arial"/>
          <w:sz w:val="20"/>
          <w:szCs w:val="20"/>
        </w:rPr>
        <w:t xml:space="preserve"> et al. </w:t>
      </w:r>
      <w:r w:rsidRPr="00C0706F">
        <w:rPr>
          <w:rFonts w:ascii="Arial" w:hAnsi="Arial" w:cs="Arial"/>
          <w:sz w:val="20"/>
          <w:szCs w:val="20"/>
          <w:lang w:val="it-IT"/>
        </w:rPr>
        <w:t xml:space="preserve">(2016), Patle et al. (2018), Shree et al. (2018), Tripathi et al. (2018), Rabari et al. </w:t>
      </w:r>
      <w:r w:rsidRPr="00C0706F">
        <w:rPr>
          <w:rFonts w:ascii="Arial" w:hAnsi="Arial" w:cs="Arial"/>
          <w:sz w:val="20"/>
          <w:szCs w:val="20"/>
        </w:rPr>
        <w:t>(2019), Kumar et al. (202</w:t>
      </w:r>
      <w:r w:rsidR="0097464D">
        <w:rPr>
          <w:rFonts w:ascii="Arial" w:hAnsi="Arial" w:cs="Arial"/>
          <w:sz w:val="20"/>
          <w:szCs w:val="20"/>
        </w:rPr>
        <w:t>0</w:t>
      </w:r>
      <w:r w:rsidRPr="00C0706F">
        <w:rPr>
          <w:rFonts w:ascii="Arial" w:hAnsi="Arial" w:cs="Arial"/>
          <w:sz w:val="20"/>
          <w:szCs w:val="20"/>
        </w:rPr>
        <w:t>), Pathak et al. (2022) and Niharika et al. (2023).</w:t>
      </w:r>
    </w:p>
    <w:p w14:paraId="4E06A43D" w14:textId="27452E3B" w:rsidR="00063E86" w:rsidRDefault="00063E86" w:rsidP="00486D20">
      <w:pPr>
        <w:spacing w:after="0"/>
        <w:jc w:val="both"/>
        <w:rPr>
          <w:rFonts w:ascii="Arial" w:hAnsi="Arial" w:cs="Arial"/>
          <w:sz w:val="20"/>
          <w:szCs w:val="20"/>
        </w:rPr>
      </w:pPr>
      <w:r w:rsidRPr="005365DD">
        <w:rPr>
          <w:rFonts w:ascii="Arial" w:hAnsi="Arial" w:cs="Arial"/>
          <w:b/>
          <w:bCs/>
          <w:sz w:val="20"/>
          <w:szCs w:val="20"/>
        </w:rPr>
        <w:t>3.</w:t>
      </w:r>
      <w:r w:rsidR="00435CCF">
        <w:rPr>
          <w:rFonts w:ascii="Arial" w:hAnsi="Arial" w:cs="Arial"/>
          <w:b/>
          <w:bCs/>
          <w:sz w:val="20"/>
          <w:szCs w:val="20"/>
        </w:rPr>
        <w:t>2</w:t>
      </w:r>
      <w:r w:rsidRPr="005365DD">
        <w:rPr>
          <w:rFonts w:ascii="Arial" w:hAnsi="Arial" w:cs="Arial"/>
          <w:b/>
          <w:bCs/>
          <w:sz w:val="20"/>
          <w:szCs w:val="20"/>
        </w:rPr>
        <w:t xml:space="preserve"> Effect of Integrated Nutrient Management on </w:t>
      </w:r>
      <w:r w:rsidR="000E0B57">
        <w:rPr>
          <w:rFonts w:ascii="Arial" w:hAnsi="Arial" w:cs="Arial"/>
          <w:b/>
          <w:bCs/>
          <w:sz w:val="20"/>
          <w:szCs w:val="20"/>
        </w:rPr>
        <w:t>P</w:t>
      </w:r>
      <w:r w:rsidRPr="005365DD">
        <w:rPr>
          <w:rFonts w:ascii="Arial" w:hAnsi="Arial" w:cs="Arial"/>
          <w:b/>
          <w:bCs/>
          <w:sz w:val="20"/>
          <w:szCs w:val="20"/>
        </w:rPr>
        <w:t>h</w:t>
      </w:r>
      <w:r w:rsidR="000E0B57">
        <w:rPr>
          <w:rFonts w:ascii="Arial" w:hAnsi="Arial" w:cs="Arial"/>
          <w:b/>
          <w:bCs/>
          <w:sz w:val="20"/>
          <w:szCs w:val="20"/>
        </w:rPr>
        <w:t>en</w:t>
      </w:r>
      <w:r w:rsidRPr="005365DD">
        <w:rPr>
          <w:rFonts w:ascii="Arial" w:hAnsi="Arial" w:cs="Arial"/>
          <w:b/>
          <w:bCs/>
          <w:sz w:val="20"/>
          <w:szCs w:val="20"/>
        </w:rPr>
        <w:t xml:space="preserve">ological </w:t>
      </w:r>
      <w:r>
        <w:rPr>
          <w:rFonts w:ascii="Arial" w:hAnsi="Arial" w:cs="Arial"/>
          <w:b/>
          <w:bCs/>
          <w:sz w:val="20"/>
          <w:szCs w:val="20"/>
        </w:rPr>
        <w:t>P</w:t>
      </w:r>
      <w:r w:rsidRPr="005365DD">
        <w:rPr>
          <w:rFonts w:ascii="Arial" w:hAnsi="Arial" w:cs="Arial"/>
          <w:b/>
          <w:bCs/>
          <w:sz w:val="20"/>
          <w:szCs w:val="20"/>
        </w:rPr>
        <w:t xml:space="preserve">arameters of </w:t>
      </w:r>
      <w:r>
        <w:rPr>
          <w:rFonts w:ascii="Arial" w:hAnsi="Arial" w:cs="Arial"/>
          <w:b/>
          <w:bCs/>
          <w:sz w:val="20"/>
          <w:szCs w:val="20"/>
        </w:rPr>
        <w:t>B</w:t>
      </w:r>
      <w:r w:rsidRPr="005365DD">
        <w:rPr>
          <w:rFonts w:ascii="Arial" w:hAnsi="Arial" w:cs="Arial"/>
          <w:b/>
          <w:bCs/>
          <w:sz w:val="20"/>
          <w:szCs w:val="20"/>
        </w:rPr>
        <w:t>ottle gourd</w:t>
      </w:r>
      <w:r>
        <w:rPr>
          <w:rFonts w:ascii="Arial" w:hAnsi="Arial" w:cs="Arial"/>
          <w:sz w:val="20"/>
          <w:szCs w:val="20"/>
        </w:rPr>
        <w:t xml:space="preserve"> </w:t>
      </w:r>
    </w:p>
    <w:p w14:paraId="14127414" w14:textId="6D83CDCF" w:rsidR="00453559" w:rsidRPr="00063E86" w:rsidRDefault="009E7447" w:rsidP="00350872">
      <w:pPr>
        <w:spacing w:line="276" w:lineRule="auto"/>
        <w:jc w:val="both"/>
        <w:rPr>
          <w:rFonts w:ascii="Arial" w:hAnsi="Arial" w:cs="Arial"/>
          <w:sz w:val="20"/>
          <w:szCs w:val="20"/>
        </w:rPr>
      </w:pPr>
      <w:r w:rsidRPr="009E7447">
        <w:rPr>
          <w:rFonts w:ascii="Arial" w:hAnsi="Arial" w:cs="Arial"/>
          <w:sz w:val="20"/>
          <w:szCs w:val="20"/>
        </w:rPr>
        <w:t>The mean results in Table 2 indicated significant differences in phenological parameters across various nutrient sources and biofertilizer combinations.</w:t>
      </w:r>
      <w:r w:rsidR="004A7507">
        <w:rPr>
          <w:rFonts w:ascii="Arial" w:hAnsi="Arial" w:cs="Arial"/>
          <w:sz w:val="20"/>
          <w:szCs w:val="20"/>
        </w:rPr>
        <w:t xml:space="preserve"> </w:t>
      </w:r>
      <w:r w:rsidR="00453559" w:rsidRPr="00453559">
        <w:rPr>
          <w:rFonts w:ascii="Arial" w:hAnsi="Arial" w:cs="Arial"/>
          <w:sz w:val="20"/>
          <w:szCs w:val="20"/>
        </w:rPr>
        <w:t>The earliest appearance of male and female flowers was recorded under treatment T</w:t>
      </w:r>
      <w:r w:rsidR="00453559" w:rsidRPr="00435CCF">
        <w:rPr>
          <w:rFonts w:ascii="Arial" w:hAnsi="Arial" w:cs="Arial"/>
          <w:sz w:val="20"/>
          <w:szCs w:val="20"/>
          <w:vertAlign w:val="subscript"/>
        </w:rPr>
        <w:t>13</w:t>
      </w:r>
      <w:r w:rsidR="00453559" w:rsidRPr="00453559">
        <w:rPr>
          <w:rFonts w:ascii="Arial" w:hAnsi="Arial" w:cs="Arial"/>
          <w:sz w:val="20"/>
          <w:szCs w:val="20"/>
        </w:rPr>
        <w:t xml:space="preserve"> (75% RDF + Vermicompost @ 12 t/ha + Azotobacter @ 5 kg/ha + PSB @ 5 kg/ha + KSB @ 5 lit/ha), whereas the maximum number of days to flowering was observed in T</w:t>
      </w:r>
      <w:r w:rsidR="00453559" w:rsidRPr="00435CCF">
        <w:rPr>
          <w:rFonts w:ascii="Arial" w:hAnsi="Arial" w:cs="Arial"/>
          <w:sz w:val="20"/>
          <w:szCs w:val="20"/>
          <w:vertAlign w:val="subscript"/>
        </w:rPr>
        <w:t>1</w:t>
      </w:r>
      <w:r w:rsidR="00453559" w:rsidRPr="00453559">
        <w:rPr>
          <w:rFonts w:ascii="Arial" w:hAnsi="Arial" w:cs="Arial"/>
          <w:sz w:val="20"/>
          <w:szCs w:val="20"/>
        </w:rPr>
        <w:t xml:space="preserve"> (100% RDF). The earliness in flowering with T</w:t>
      </w:r>
      <w:r w:rsidR="00453559" w:rsidRPr="00435CCF">
        <w:rPr>
          <w:rFonts w:ascii="Arial" w:hAnsi="Arial" w:cs="Arial"/>
          <w:sz w:val="20"/>
          <w:szCs w:val="20"/>
          <w:vertAlign w:val="subscript"/>
        </w:rPr>
        <w:t>13</w:t>
      </w:r>
      <w:r w:rsidR="00453559" w:rsidRPr="00453559">
        <w:rPr>
          <w:rFonts w:ascii="Arial" w:hAnsi="Arial" w:cs="Arial"/>
          <w:sz w:val="20"/>
          <w:szCs w:val="20"/>
        </w:rPr>
        <w:t xml:space="preserve"> may be attributed to improved nutrient translocation and availability, promoting faster reproductive development. These findings are consistent with those reported by Tripathi et al. (2018), Rabari et al. (2019), Shah et al. (2020) and Niharika et al. (2023).</w:t>
      </w:r>
    </w:p>
    <w:p w14:paraId="30961016" w14:textId="015BCFCA" w:rsidR="007223A7" w:rsidRDefault="0081192B" w:rsidP="00641A09">
      <w:pPr>
        <w:jc w:val="both"/>
        <w:rPr>
          <w:rFonts w:ascii="Arial" w:hAnsi="Arial" w:cs="Arial"/>
          <w:sz w:val="22"/>
          <w:szCs w:val="22"/>
        </w:rPr>
      </w:pPr>
      <w:r w:rsidRPr="00AA2A27">
        <w:rPr>
          <w:rFonts w:ascii="Arial" w:hAnsi="Arial" w:cs="Arial"/>
          <w:b/>
          <w:bCs/>
          <w:sz w:val="22"/>
          <w:szCs w:val="22"/>
        </w:rPr>
        <w:t xml:space="preserve">Table </w:t>
      </w:r>
      <w:r w:rsidR="00D142CD">
        <w:rPr>
          <w:rFonts w:ascii="Arial" w:hAnsi="Arial" w:cs="Arial"/>
          <w:b/>
          <w:bCs/>
          <w:sz w:val="22"/>
          <w:szCs w:val="22"/>
        </w:rPr>
        <w:t>2</w:t>
      </w:r>
      <w:r>
        <w:rPr>
          <w:rFonts w:ascii="Arial" w:hAnsi="Arial" w:cs="Arial"/>
          <w:b/>
          <w:bCs/>
          <w:sz w:val="22"/>
          <w:szCs w:val="22"/>
        </w:rPr>
        <w:t>.</w:t>
      </w:r>
      <w:r w:rsidRPr="00AA2A27">
        <w:rPr>
          <w:rFonts w:ascii="Arial" w:hAnsi="Arial" w:cs="Arial"/>
          <w:b/>
          <w:bCs/>
          <w:sz w:val="22"/>
          <w:szCs w:val="22"/>
        </w:rPr>
        <w:t xml:space="preserve"> Effect of Integrated Nutrient Management on </w:t>
      </w:r>
      <w:r w:rsidR="00ED7FB5">
        <w:rPr>
          <w:rFonts w:ascii="Arial" w:hAnsi="Arial" w:cs="Arial"/>
          <w:b/>
          <w:bCs/>
          <w:sz w:val="22"/>
          <w:szCs w:val="22"/>
        </w:rPr>
        <w:t>P</w:t>
      </w:r>
      <w:r w:rsidRPr="00AA2A27">
        <w:rPr>
          <w:rFonts w:ascii="Arial" w:hAnsi="Arial" w:cs="Arial"/>
          <w:b/>
          <w:bCs/>
          <w:sz w:val="22"/>
          <w:szCs w:val="22"/>
        </w:rPr>
        <w:t>h</w:t>
      </w:r>
      <w:r w:rsidR="00ED7FB5">
        <w:rPr>
          <w:rFonts w:ascii="Arial" w:hAnsi="Arial" w:cs="Arial"/>
          <w:b/>
          <w:bCs/>
          <w:sz w:val="22"/>
          <w:szCs w:val="22"/>
        </w:rPr>
        <w:t>eno</w:t>
      </w:r>
      <w:r w:rsidRPr="00AA2A27">
        <w:rPr>
          <w:rFonts w:ascii="Arial" w:hAnsi="Arial" w:cs="Arial"/>
          <w:b/>
          <w:bCs/>
          <w:sz w:val="22"/>
          <w:szCs w:val="22"/>
        </w:rPr>
        <w:t>logical parameters of bottle gourd</w:t>
      </w:r>
      <w:r w:rsidR="007223A7">
        <w:rPr>
          <w:rFonts w:ascii="Arial" w:hAnsi="Arial" w:cs="Arial"/>
          <w:sz w:val="22"/>
          <w:szCs w:val="22"/>
        </w:rPr>
        <w:t xml:space="preserve"> </w:t>
      </w:r>
    </w:p>
    <w:tbl>
      <w:tblPr>
        <w:tblStyle w:val="TableGrid"/>
        <w:tblW w:w="5000" w:type="pct"/>
        <w:tblLook w:val="04A0" w:firstRow="1" w:lastRow="0" w:firstColumn="1" w:lastColumn="0" w:noHBand="0" w:noVBand="1"/>
      </w:tblPr>
      <w:tblGrid>
        <w:gridCol w:w="6360"/>
        <w:gridCol w:w="1328"/>
        <w:gridCol w:w="1328"/>
      </w:tblGrid>
      <w:tr w:rsidR="00E161B6" w14:paraId="25A81134" w14:textId="77777777" w:rsidTr="006E6EEB">
        <w:tc>
          <w:tcPr>
            <w:tcW w:w="3527" w:type="pct"/>
            <w:vAlign w:val="center"/>
          </w:tcPr>
          <w:p w14:paraId="007C9039" w14:textId="6C8BBD78" w:rsidR="00E161B6" w:rsidRPr="00E161B6" w:rsidRDefault="00E161B6" w:rsidP="00E161B6">
            <w:pPr>
              <w:jc w:val="center"/>
              <w:rPr>
                <w:rFonts w:ascii="Arial" w:hAnsi="Arial" w:cs="Arial"/>
                <w:b/>
                <w:bCs/>
                <w:sz w:val="20"/>
                <w:szCs w:val="20"/>
              </w:rPr>
            </w:pPr>
            <w:r w:rsidRPr="00E161B6">
              <w:rPr>
                <w:rFonts w:ascii="Arial" w:hAnsi="Arial" w:cs="Arial"/>
                <w:b/>
                <w:bCs/>
                <w:sz w:val="20"/>
                <w:szCs w:val="20"/>
              </w:rPr>
              <w:t>Treatments</w:t>
            </w:r>
          </w:p>
        </w:tc>
        <w:tc>
          <w:tcPr>
            <w:tcW w:w="736" w:type="pct"/>
            <w:vAlign w:val="center"/>
          </w:tcPr>
          <w:p w14:paraId="4D929B96" w14:textId="20C7F657"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female flowers</w:t>
            </w:r>
          </w:p>
        </w:tc>
        <w:tc>
          <w:tcPr>
            <w:tcW w:w="736" w:type="pct"/>
            <w:vAlign w:val="center"/>
          </w:tcPr>
          <w:p w14:paraId="351C64B7" w14:textId="79880101"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male flowers</w:t>
            </w:r>
          </w:p>
        </w:tc>
      </w:tr>
      <w:tr w:rsidR="00E161B6" w14:paraId="4F9A31DB" w14:textId="77777777" w:rsidTr="006E6EEB">
        <w:tc>
          <w:tcPr>
            <w:tcW w:w="3527" w:type="pct"/>
            <w:vAlign w:val="center"/>
          </w:tcPr>
          <w:p w14:paraId="3BA8BC27" w14:textId="036269BD"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736" w:type="pct"/>
            <w:vAlign w:val="center"/>
          </w:tcPr>
          <w:p w14:paraId="4E455E08" w14:textId="356EB10E" w:rsidR="00E161B6" w:rsidRPr="00E161B6" w:rsidRDefault="00E161B6" w:rsidP="00E161B6">
            <w:pPr>
              <w:jc w:val="center"/>
              <w:rPr>
                <w:rFonts w:ascii="Arial" w:hAnsi="Arial" w:cs="Arial"/>
                <w:sz w:val="20"/>
                <w:szCs w:val="20"/>
              </w:rPr>
            </w:pPr>
            <w:r w:rsidRPr="00E161B6">
              <w:rPr>
                <w:rFonts w:ascii="Arial" w:hAnsi="Arial"/>
                <w:color w:val="000000"/>
                <w:sz w:val="20"/>
                <w:szCs w:val="20"/>
              </w:rPr>
              <w:t>54.00</w:t>
            </w:r>
          </w:p>
        </w:tc>
        <w:tc>
          <w:tcPr>
            <w:tcW w:w="736" w:type="pct"/>
            <w:vAlign w:val="center"/>
          </w:tcPr>
          <w:p w14:paraId="5A68BE30" w14:textId="719B7F38" w:rsidR="00E161B6" w:rsidRPr="00E161B6" w:rsidRDefault="00E161B6" w:rsidP="00E161B6">
            <w:pPr>
              <w:jc w:val="center"/>
              <w:rPr>
                <w:rFonts w:ascii="Arial" w:hAnsi="Arial" w:cs="Arial"/>
                <w:sz w:val="20"/>
                <w:szCs w:val="20"/>
              </w:rPr>
            </w:pPr>
            <w:r w:rsidRPr="00E161B6">
              <w:rPr>
                <w:rFonts w:ascii="Arial" w:hAnsi="Arial"/>
                <w:color w:val="000000"/>
                <w:sz w:val="20"/>
                <w:szCs w:val="20"/>
              </w:rPr>
              <w:t>48.33</w:t>
            </w:r>
          </w:p>
        </w:tc>
      </w:tr>
      <w:tr w:rsidR="00E161B6" w:rsidRPr="00E161B6" w14:paraId="365F8CE5" w14:textId="77777777" w:rsidTr="006E6EEB">
        <w:tc>
          <w:tcPr>
            <w:tcW w:w="3527" w:type="pct"/>
            <w:vAlign w:val="center"/>
          </w:tcPr>
          <w:p w14:paraId="69777B18" w14:textId="717F31BA"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736" w:type="pct"/>
            <w:vAlign w:val="center"/>
          </w:tcPr>
          <w:p w14:paraId="0090E391" w14:textId="728B463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52.33</w:t>
            </w:r>
          </w:p>
        </w:tc>
        <w:tc>
          <w:tcPr>
            <w:tcW w:w="736" w:type="pct"/>
            <w:vAlign w:val="center"/>
          </w:tcPr>
          <w:p w14:paraId="782FD388" w14:textId="756C6A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47.33</w:t>
            </w:r>
          </w:p>
        </w:tc>
      </w:tr>
      <w:tr w:rsidR="00E161B6" w14:paraId="7618D900" w14:textId="77777777" w:rsidTr="006E6EEB">
        <w:tc>
          <w:tcPr>
            <w:tcW w:w="3527" w:type="pct"/>
            <w:vAlign w:val="center"/>
          </w:tcPr>
          <w:p w14:paraId="0AACED42" w14:textId="37A3A402"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736" w:type="pct"/>
            <w:vAlign w:val="center"/>
          </w:tcPr>
          <w:p w14:paraId="08DA8272" w14:textId="6411ADE7" w:rsidR="00E161B6" w:rsidRPr="00E161B6" w:rsidRDefault="00E161B6" w:rsidP="00E161B6">
            <w:pPr>
              <w:jc w:val="center"/>
              <w:rPr>
                <w:rFonts w:ascii="Arial" w:hAnsi="Arial" w:cs="Arial"/>
                <w:sz w:val="20"/>
                <w:szCs w:val="20"/>
              </w:rPr>
            </w:pPr>
            <w:r w:rsidRPr="00E161B6">
              <w:rPr>
                <w:rFonts w:ascii="Arial" w:hAnsi="Arial"/>
                <w:color w:val="000000"/>
                <w:sz w:val="20"/>
                <w:szCs w:val="20"/>
              </w:rPr>
              <w:t>53.00</w:t>
            </w:r>
          </w:p>
        </w:tc>
        <w:tc>
          <w:tcPr>
            <w:tcW w:w="736" w:type="pct"/>
            <w:vAlign w:val="center"/>
          </w:tcPr>
          <w:p w14:paraId="15AA1E81" w14:textId="5B4EC902" w:rsidR="00E161B6" w:rsidRPr="00E161B6" w:rsidRDefault="00E161B6" w:rsidP="00E161B6">
            <w:pPr>
              <w:jc w:val="center"/>
              <w:rPr>
                <w:rFonts w:ascii="Arial" w:hAnsi="Arial" w:cs="Arial"/>
                <w:sz w:val="20"/>
                <w:szCs w:val="20"/>
              </w:rPr>
            </w:pPr>
            <w:r w:rsidRPr="00E161B6">
              <w:rPr>
                <w:rFonts w:ascii="Arial" w:hAnsi="Arial"/>
                <w:color w:val="000000"/>
                <w:sz w:val="20"/>
                <w:szCs w:val="20"/>
              </w:rPr>
              <w:t>47.33</w:t>
            </w:r>
          </w:p>
        </w:tc>
      </w:tr>
      <w:tr w:rsidR="00E161B6" w14:paraId="7C834567" w14:textId="77777777" w:rsidTr="006E6EEB">
        <w:tc>
          <w:tcPr>
            <w:tcW w:w="3527" w:type="pct"/>
            <w:vAlign w:val="center"/>
          </w:tcPr>
          <w:p w14:paraId="3249DD4C" w14:textId="1BD7A8E3"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736" w:type="pct"/>
            <w:vAlign w:val="center"/>
          </w:tcPr>
          <w:p w14:paraId="3A34A122" w14:textId="154975ED" w:rsidR="00E161B6" w:rsidRPr="00E161B6" w:rsidRDefault="00E161B6" w:rsidP="00E161B6">
            <w:pPr>
              <w:jc w:val="center"/>
              <w:rPr>
                <w:rFonts w:ascii="Arial" w:hAnsi="Arial" w:cs="Arial"/>
                <w:sz w:val="20"/>
                <w:szCs w:val="20"/>
              </w:rPr>
            </w:pPr>
            <w:r w:rsidRPr="00E161B6">
              <w:rPr>
                <w:rFonts w:ascii="Arial" w:hAnsi="Arial"/>
                <w:color w:val="000000"/>
                <w:sz w:val="20"/>
                <w:szCs w:val="20"/>
              </w:rPr>
              <w:t>53.33</w:t>
            </w:r>
          </w:p>
        </w:tc>
        <w:tc>
          <w:tcPr>
            <w:tcW w:w="736" w:type="pct"/>
            <w:vAlign w:val="center"/>
          </w:tcPr>
          <w:p w14:paraId="766DB619" w14:textId="78823381" w:rsidR="00E161B6" w:rsidRPr="00E161B6" w:rsidRDefault="00E161B6" w:rsidP="00E161B6">
            <w:pPr>
              <w:jc w:val="center"/>
              <w:rPr>
                <w:rFonts w:ascii="Arial" w:hAnsi="Arial" w:cs="Arial"/>
                <w:sz w:val="20"/>
                <w:szCs w:val="20"/>
              </w:rPr>
            </w:pPr>
            <w:r w:rsidRPr="00E161B6">
              <w:rPr>
                <w:rFonts w:ascii="Arial" w:hAnsi="Arial"/>
                <w:color w:val="000000"/>
                <w:sz w:val="20"/>
                <w:szCs w:val="20"/>
              </w:rPr>
              <w:t>48.00</w:t>
            </w:r>
          </w:p>
        </w:tc>
      </w:tr>
      <w:tr w:rsidR="00E161B6" w14:paraId="480E249D" w14:textId="77777777" w:rsidTr="006E6EEB">
        <w:tc>
          <w:tcPr>
            <w:tcW w:w="3527" w:type="pct"/>
            <w:vAlign w:val="center"/>
          </w:tcPr>
          <w:p w14:paraId="530A7648" w14:textId="3B76BCDE"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736" w:type="pct"/>
            <w:vAlign w:val="center"/>
          </w:tcPr>
          <w:p w14:paraId="74CA0D7D" w14:textId="3E3DB401" w:rsidR="00E161B6" w:rsidRPr="00E161B6" w:rsidRDefault="00E161B6" w:rsidP="00E161B6">
            <w:pPr>
              <w:jc w:val="center"/>
              <w:rPr>
                <w:rFonts w:ascii="Arial" w:hAnsi="Arial" w:cs="Arial"/>
                <w:sz w:val="20"/>
                <w:szCs w:val="20"/>
              </w:rPr>
            </w:pPr>
            <w:r w:rsidRPr="00E161B6">
              <w:rPr>
                <w:rFonts w:ascii="Arial" w:hAnsi="Arial"/>
                <w:color w:val="000000"/>
                <w:sz w:val="20"/>
                <w:szCs w:val="20"/>
              </w:rPr>
              <w:t>52.33</w:t>
            </w:r>
          </w:p>
        </w:tc>
        <w:tc>
          <w:tcPr>
            <w:tcW w:w="736" w:type="pct"/>
            <w:vAlign w:val="center"/>
          </w:tcPr>
          <w:p w14:paraId="1DF8E123" w14:textId="35FEDDA4" w:rsidR="00E161B6" w:rsidRPr="00E161B6" w:rsidRDefault="00E161B6" w:rsidP="00E161B6">
            <w:pPr>
              <w:jc w:val="center"/>
              <w:rPr>
                <w:rFonts w:ascii="Arial" w:hAnsi="Arial" w:cs="Arial"/>
                <w:sz w:val="20"/>
                <w:szCs w:val="20"/>
              </w:rPr>
            </w:pPr>
            <w:r w:rsidRPr="00E161B6">
              <w:rPr>
                <w:rFonts w:ascii="Arial" w:hAnsi="Arial"/>
                <w:color w:val="000000"/>
                <w:sz w:val="20"/>
                <w:szCs w:val="20"/>
              </w:rPr>
              <w:t>47.00</w:t>
            </w:r>
          </w:p>
        </w:tc>
      </w:tr>
      <w:tr w:rsidR="00E161B6" w:rsidRPr="00E161B6" w14:paraId="4AC2D2A5" w14:textId="77777777" w:rsidTr="006E6EEB">
        <w:tc>
          <w:tcPr>
            <w:tcW w:w="3527" w:type="pct"/>
            <w:vAlign w:val="center"/>
          </w:tcPr>
          <w:p w14:paraId="428A132D" w14:textId="55387786"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736" w:type="pct"/>
            <w:vAlign w:val="center"/>
          </w:tcPr>
          <w:p w14:paraId="35945A3C" w14:textId="602F58F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50.33</w:t>
            </w:r>
          </w:p>
        </w:tc>
        <w:tc>
          <w:tcPr>
            <w:tcW w:w="736" w:type="pct"/>
            <w:vAlign w:val="center"/>
          </w:tcPr>
          <w:p w14:paraId="22DC88F6" w14:textId="0D89A72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46.33</w:t>
            </w:r>
          </w:p>
        </w:tc>
      </w:tr>
      <w:tr w:rsidR="00E161B6" w:rsidRPr="00E161B6" w14:paraId="476478A7" w14:textId="77777777" w:rsidTr="006E6EEB">
        <w:tc>
          <w:tcPr>
            <w:tcW w:w="3527" w:type="pct"/>
            <w:vAlign w:val="center"/>
          </w:tcPr>
          <w:p w14:paraId="3AF4CAD9" w14:textId="724E38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736" w:type="pct"/>
            <w:vAlign w:val="center"/>
          </w:tcPr>
          <w:p w14:paraId="3436D7CC" w14:textId="1374C3F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51.33</w:t>
            </w:r>
          </w:p>
        </w:tc>
        <w:tc>
          <w:tcPr>
            <w:tcW w:w="736" w:type="pct"/>
            <w:vAlign w:val="center"/>
          </w:tcPr>
          <w:p w14:paraId="2E4AB938" w14:textId="74DD92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46.67</w:t>
            </w:r>
          </w:p>
        </w:tc>
      </w:tr>
      <w:tr w:rsidR="00E161B6" w14:paraId="48CF3F83" w14:textId="77777777" w:rsidTr="006E6EEB">
        <w:tc>
          <w:tcPr>
            <w:tcW w:w="3527" w:type="pct"/>
            <w:vAlign w:val="center"/>
          </w:tcPr>
          <w:p w14:paraId="4AF294EC" w14:textId="3DDD6AFF"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736" w:type="pct"/>
            <w:vAlign w:val="center"/>
          </w:tcPr>
          <w:p w14:paraId="5ECA09B8" w14:textId="018E921B" w:rsidR="00E161B6" w:rsidRPr="00E161B6" w:rsidRDefault="00E161B6" w:rsidP="00E161B6">
            <w:pPr>
              <w:jc w:val="center"/>
              <w:rPr>
                <w:rFonts w:ascii="Arial" w:hAnsi="Arial" w:cs="Arial"/>
                <w:sz w:val="20"/>
                <w:szCs w:val="20"/>
              </w:rPr>
            </w:pPr>
            <w:r w:rsidRPr="00E161B6">
              <w:rPr>
                <w:rFonts w:ascii="Arial" w:hAnsi="Arial"/>
                <w:color w:val="000000"/>
                <w:sz w:val="20"/>
                <w:szCs w:val="20"/>
              </w:rPr>
              <w:t>51.67</w:t>
            </w:r>
          </w:p>
        </w:tc>
        <w:tc>
          <w:tcPr>
            <w:tcW w:w="736" w:type="pct"/>
            <w:vAlign w:val="center"/>
          </w:tcPr>
          <w:p w14:paraId="1AA93785" w14:textId="735A6430" w:rsidR="00E161B6" w:rsidRPr="00E161B6" w:rsidRDefault="00E161B6" w:rsidP="00E161B6">
            <w:pPr>
              <w:jc w:val="center"/>
              <w:rPr>
                <w:rFonts w:ascii="Arial" w:hAnsi="Arial" w:cs="Arial"/>
                <w:sz w:val="20"/>
                <w:szCs w:val="20"/>
              </w:rPr>
            </w:pPr>
            <w:r w:rsidRPr="00E161B6">
              <w:rPr>
                <w:rFonts w:ascii="Arial" w:hAnsi="Arial"/>
                <w:color w:val="000000"/>
                <w:sz w:val="20"/>
                <w:szCs w:val="20"/>
              </w:rPr>
              <w:t>46.67</w:t>
            </w:r>
          </w:p>
        </w:tc>
      </w:tr>
      <w:tr w:rsidR="00E161B6" w:rsidRPr="00E161B6" w14:paraId="3E2226F7" w14:textId="77777777" w:rsidTr="006E6EEB">
        <w:tc>
          <w:tcPr>
            <w:tcW w:w="3527" w:type="pct"/>
            <w:vAlign w:val="center"/>
          </w:tcPr>
          <w:p w14:paraId="0976FE30" w14:textId="725E7B65"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736" w:type="pct"/>
            <w:vAlign w:val="center"/>
          </w:tcPr>
          <w:p w14:paraId="0EE64456" w14:textId="5587D23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49.67</w:t>
            </w:r>
          </w:p>
        </w:tc>
        <w:tc>
          <w:tcPr>
            <w:tcW w:w="736" w:type="pct"/>
            <w:vAlign w:val="center"/>
          </w:tcPr>
          <w:p w14:paraId="192B8CF3" w14:textId="6DC27A6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rsidRPr="00E161B6" w14:paraId="02FD70EC" w14:textId="77777777" w:rsidTr="006E6EEB">
        <w:tc>
          <w:tcPr>
            <w:tcW w:w="3527" w:type="pct"/>
            <w:vAlign w:val="center"/>
          </w:tcPr>
          <w:p w14:paraId="2010AF30" w14:textId="2DB0CBD3"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736" w:type="pct"/>
            <w:vAlign w:val="center"/>
          </w:tcPr>
          <w:p w14:paraId="2775739C" w14:textId="5697D7CD"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49.33</w:t>
            </w:r>
          </w:p>
        </w:tc>
        <w:tc>
          <w:tcPr>
            <w:tcW w:w="736" w:type="pct"/>
            <w:vAlign w:val="center"/>
          </w:tcPr>
          <w:p w14:paraId="3232D84C" w14:textId="58DE89B9"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45.33</w:t>
            </w:r>
          </w:p>
        </w:tc>
      </w:tr>
      <w:tr w:rsidR="00E161B6" w:rsidRPr="00E161B6" w14:paraId="359A3B40" w14:textId="77777777" w:rsidTr="006E6EEB">
        <w:tc>
          <w:tcPr>
            <w:tcW w:w="3527" w:type="pct"/>
            <w:vAlign w:val="center"/>
          </w:tcPr>
          <w:p w14:paraId="499416AE" w14:textId="72883A7C"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736" w:type="pct"/>
            <w:vAlign w:val="center"/>
          </w:tcPr>
          <w:p w14:paraId="76EF24DA" w14:textId="1A3EC0A5"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50.00</w:t>
            </w:r>
          </w:p>
        </w:tc>
        <w:tc>
          <w:tcPr>
            <w:tcW w:w="736" w:type="pct"/>
            <w:vAlign w:val="center"/>
          </w:tcPr>
          <w:p w14:paraId="7EAC8279" w14:textId="6C5662F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14:paraId="4039186B" w14:textId="77777777" w:rsidTr="006E6EEB">
        <w:tc>
          <w:tcPr>
            <w:tcW w:w="3527" w:type="pct"/>
            <w:vAlign w:val="center"/>
          </w:tcPr>
          <w:p w14:paraId="7C677DE3" w14:textId="6F38A945" w:rsidR="00E161B6" w:rsidRPr="00E161B6" w:rsidRDefault="00E161B6" w:rsidP="00E161B6">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736" w:type="pct"/>
            <w:vAlign w:val="center"/>
          </w:tcPr>
          <w:p w14:paraId="10E6D681" w14:textId="7471465E" w:rsidR="00E161B6" w:rsidRPr="00E161B6" w:rsidRDefault="00E161B6" w:rsidP="00E161B6">
            <w:pPr>
              <w:jc w:val="center"/>
              <w:rPr>
                <w:rFonts w:ascii="Arial" w:hAnsi="Arial" w:cs="Arial"/>
                <w:sz w:val="20"/>
                <w:szCs w:val="20"/>
              </w:rPr>
            </w:pPr>
            <w:r w:rsidRPr="00E161B6">
              <w:rPr>
                <w:rFonts w:ascii="Arial" w:hAnsi="Arial"/>
                <w:color w:val="000000"/>
                <w:sz w:val="20"/>
                <w:szCs w:val="20"/>
              </w:rPr>
              <w:t>50.67</w:t>
            </w:r>
          </w:p>
        </w:tc>
        <w:tc>
          <w:tcPr>
            <w:tcW w:w="736" w:type="pct"/>
            <w:vAlign w:val="center"/>
          </w:tcPr>
          <w:p w14:paraId="3C6E2C50" w14:textId="49204326" w:rsidR="00E161B6" w:rsidRPr="00E161B6" w:rsidRDefault="00E161B6" w:rsidP="00E161B6">
            <w:pPr>
              <w:jc w:val="center"/>
              <w:rPr>
                <w:rFonts w:ascii="Arial" w:hAnsi="Arial" w:cs="Arial"/>
                <w:sz w:val="20"/>
                <w:szCs w:val="20"/>
              </w:rPr>
            </w:pPr>
            <w:r w:rsidRPr="00E161B6">
              <w:rPr>
                <w:rFonts w:ascii="Arial" w:hAnsi="Arial"/>
                <w:color w:val="000000"/>
                <w:sz w:val="20"/>
                <w:szCs w:val="20"/>
              </w:rPr>
              <w:t>46.33</w:t>
            </w:r>
          </w:p>
        </w:tc>
      </w:tr>
      <w:tr w:rsidR="00E161B6" w:rsidRPr="00E161B6" w14:paraId="07DE17CB" w14:textId="77777777" w:rsidTr="006E6EEB">
        <w:tc>
          <w:tcPr>
            <w:tcW w:w="3527" w:type="pct"/>
            <w:vAlign w:val="center"/>
          </w:tcPr>
          <w:p w14:paraId="604A8B1B" w14:textId="6BC2B0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736" w:type="pct"/>
            <w:vAlign w:val="center"/>
          </w:tcPr>
          <w:p w14:paraId="50FAFA8B" w14:textId="38A5687A"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49.00</w:t>
            </w:r>
          </w:p>
        </w:tc>
        <w:tc>
          <w:tcPr>
            <w:tcW w:w="736" w:type="pct"/>
            <w:vAlign w:val="center"/>
          </w:tcPr>
          <w:p w14:paraId="192945EE" w14:textId="75BCEE54"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45.00</w:t>
            </w:r>
          </w:p>
        </w:tc>
      </w:tr>
      <w:tr w:rsidR="00E161B6" w14:paraId="1D94E7FD" w14:textId="77777777" w:rsidTr="006E6EEB">
        <w:tc>
          <w:tcPr>
            <w:tcW w:w="3527" w:type="pct"/>
            <w:vAlign w:val="center"/>
          </w:tcPr>
          <w:p w14:paraId="59F6E224" w14:textId="26FD08FD" w:rsidR="00E161B6" w:rsidRPr="00E161B6" w:rsidRDefault="00E161B6" w:rsidP="00E161B6">
            <w:pPr>
              <w:jc w:val="both"/>
              <w:rPr>
                <w:rFonts w:ascii="Arial" w:hAnsi="Arial" w:cs="Arial"/>
                <w:sz w:val="20"/>
                <w:szCs w:val="20"/>
              </w:rPr>
            </w:pPr>
            <w:proofErr w:type="spellStart"/>
            <w:r w:rsidRPr="00E161B6">
              <w:rPr>
                <w:rFonts w:ascii="Arial" w:hAnsi="Arial" w:cs="Arial"/>
                <w:b/>
                <w:sz w:val="20"/>
                <w:szCs w:val="20"/>
              </w:rPr>
              <w:t>SEm</w:t>
            </w:r>
            <w:proofErr w:type="spellEnd"/>
            <w:r w:rsidRPr="00E161B6">
              <w:rPr>
                <w:rFonts w:ascii="Arial" w:hAnsi="Arial" w:cs="Arial"/>
                <w:b/>
                <w:sz w:val="20"/>
                <w:szCs w:val="20"/>
              </w:rPr>
              <w:t xml:space="preserve"> (±)</w:t>
            </w:r>
          </w:p>
        </w:tc>
        <w:tc>
          <w:tcPr>
            <w:tcW w:w="736" w:type="pct"/>
            <w:vAlign w:val="center"/>
          </w:tcPr>
          <w:p w14:paraId="6DFEF898" w14:textId="76C4D10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0.86</w:t>
            </w:r>
          </w:p>
        </w:tc>
        <w:tc>
          <w:tcPr>
            <w:tcW w:w="736" w:type="pct"/>
            <w:vAlign w:val="center"/>
          </w:tcPr>
          <w:p w14:paraId="33FE2F3F" w14:textId="673E3EBE"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0.5</w:t>
            </w:r>
            <w:r w:rsidR="001C5EBE">
              <w:rPr>
                <w:rFonts w:ascii="Arial" w:hAnsi="Arial"/>
                <w:b/>
                <w:bCs/>
                <w:color w:val="000000"/>
                <w:sz w:val="20"/>
                <w:szCs w:val="20"/>
              </w:rPr>
              <w:t>1</w:t>
            </w:r>
          </w:p>
        </w:tc>
      </w:tr>
      <w:tr w:rsidR="00E161B6" w14:paraId="17A6546E" w14:textId="77777777" w:rsidTr="006E6EEB">
        <w:tc>
          <w:tcPr>
            <w:tcW w:w="3527" w:type="pct"/>
            <w:vAlign w:val="center"/>
          </w:tcPr>
          <w:p w14:paraId="46FB1E3C" w14:textId="544EA90D" w:rsidR="00E161B6" w:rsidRPr="00E161B6" w:rsidRDefault="00E161B6" w:rsidP="00E161B6">
            <w:pPr>
              <w:jc w:val="both"/>
              <w:rPr>
                <w:rFonts w:ascii="Arial" w:hAnsi="Arial" w:cs="Arial"/>
                <w:sz w:val="20"/>
                <w:szCs w:val="20"/>
              </w:rPr>
            </w:pPr>
            <w:r w:rsidRPr="00E161B6">
              <w:rPr>
                <w:rFonts w:ascii="Arial" w:hAnsi="Arial" w:cs="Arial"/>
                <w:b/>
                <w:sz w:val="20"/>
                <w:szCs w:val="20"/>
              </w:rPr>
              <w:t>CD 5%</w:t>
            </w:r>
          </w:p>
        </w:tc>
        <w:tc>
          <w:tcPr>
            <w:tcW w:w="736" w:type="pct"/>
            <w:vAlign w:val="center"/>
          </w:tcPr>
          <w:p w14:paraId="0A4EC233" w14:textId="77947F6A"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2.44</w:t>
            </w:r>
          </w:p>
        </w:tc>
        <w:tc>
          <w:tcPr>
            <w:tcW w:w="736" w:type="pct"/>
            <w:vAlign w:val="center"/>
          </w:tcPr>
          <w:p w14:paraId="466FC98F" w14:textId="16E8FF6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1.43</w:t>
            </w:r>
          </w:p>
        </w:tc>
      </w:tr>
    </w:tbl>
    <w:p w14:paraId="73FBF440" w14:textId="34E70BE3" w:rsidR="00A907CF" w:rsidRPr="00435CCF" w:rsidRDefault="006E6EEB" w:rsidP="00153D40">
      <w:pPr>
        <w:spacing w:after="0"/>
        <w:jc w:val="both"/>
        <w:rPr>
          <w:rFonts w:ascii="Arial" w:hAnsi="Arial" w:cs="Arial"/>
          <w:sz w:val="20"/>
          <w:szCs w:val="20"/>
        </w:rPr>
        <w:sectPr w:rsidR="00A907CF" w:rsidRPr="00435CCF" w:rsidSect="00733314">
          <w:pgSz w:w="11906" w:h="16838"/>
          <w:pgMar w:top="1440" w:right="1440" w:bottom="1440" w:left="1440" w:header="708" w:footer="708" w:gutter="0"/>
          <w:cols w:space="708"/>
          <w:docGrid w:linePitch="360"/>
        </w:sectPr>
      </w:pPr>
      <w:r w:rsidRPr="006E6EEB">
        <w:rPr>
          <w:rFonts w:ascii="Arial" w:hAnsi="Arial" w:cs="Arial"/>
          <w:sz w:val="20"/>
          <w:szCs w:val="20"/>
        </w:rPr>
        <w:t xml:space="preserve">*RDF= Recommended dose of fertilizer, VC= Vermicompost, AB= Azotobacter, PSB= Phosphorus Solubilizing bacteria, KSB= Potassium Solubilizing Bacteria, </w:t>
      </w:r>
      <w:proofErr w:type="spellStart"/>
      <w:r w:rsidRPr="006E6EEB">
        <w:rPr>
          <w:rFonts w:ascii="Arial" w:hAnsi="Arial" w:cs="Arial"/>
          <w:sz w:val="20"/>
          <w:szCs w:val="20"/>
        </w:rPr>
        <w:t>SEm</w:t>
      </w:r>
      <w:proofErr w:type="spellEnd"/>
      <w:r w:rsidRPr="006E6EEB">
        <w:rPr>
          <w:rFonts w:ascii="Arial" w:hAnsi="Arial" w:cs="Arial"/>
          <w:sz w:val="20"/>
          <w:szCs w:val="20"/>
        </w:rPr>
        <w:t>= Standard Error of Mean CD= Critical Difference</w:t>
      </w:r>
    </w:p>
    <w:p w14:paraId="55A69DAE" w14:textId="1E3A7138" w:rsidR="00641891" w:rsidRDefault="00584CD0" w:rsidP="00584CD0">
      <w:pPr>
        <w:jc w:val="both"/>
        <w:rPr>
          <w:rFonts w:ascii="Arial" w:hAnsi="Arial" w:cs="Arial"/>
          <w:b/>
          <w:bCs/>
          <w:sz w:val="22"/>
          <w:szCs w:val="22"/>
        </w:rPr>
      </w:pPr>
      <w:r w:rsidRPr="00AA2A27">
        <w:rPr>
          <w:rFonts w:ascii="Arial" w:hAnsi="Arial" w:cs="Arial"/>
          <w:b/>
          <w:bCs/>
          <w:sz w:val="22"/>
          <w:szCs w:val="22"/>
        </w:rPr>
        <w:lastRenderedPageBreak/>
        <w:t xml:space="preserve">Table </w:t>
      </w:r>
      <w:r>
        <w:rPr>
          <w:rFonts w:ascii="Arial" w:hAnsi="Arial" w:cs="Arial"/>
          <w:b/>
          <w:bCs/>
          <w:sz w:val="22"/>
          <w:szCs w:val="22"/>
        </w:rPr>
        <w:t>3.</w:t>
      </w:r>
      <w:r w:rsidRPr="00AA2A27">
        <w:rPr>
          <w:rFonts w:ascii="Arial" w:hAnsi="Arial" w:cs="Arial"/>
          <w:b/>
          <w:bCs/>
          <w:sz w:val="22"/>
          <w:szCs w:val="22"/>
        </w:rPr>
        <w:t xml:space="preserve"> Effect of Integrated Nutrient Management on </w:t>
      </w:r>
      <w:r>
        <w:rPr>
          <w:rFonts w:ascii="Arial" w:hAnsi="Arial" w:cs="Arial"/>
          <w:b/>
          <w:bCs/>
          <w:sz w:val="22"/>
          <w:szCs w:val="22"/>
        </w:rPr>
        <w:t>Yield</w:t>
      </w:r>
      <w:r w:rsidRPr="00AA2A27">
        <w:rPr>
          <w:rFonts w:ascii="Arial" w:hAnsi="Arial" w:cs="Arial"/>
          <w:b/>
          <w:bCs/>
          <w:sz w:val="22"/>
          <w:szCs w:val="22"/>
        </w:rPr>
        <w:t xml:space="preserve"> </w:t>
      </w:r>
      <w:r w:rsidR="00FF50C4">
        <w:rPr>
          <w:rFonts w:ascii="Arial" w:hAnsi="Arial" w:cs="Arial"/>
          <w:b/>
          <w:bCs/>
          <w:sz w:val="22"/>
          <w:szCs w:val="22"/>
        </w:rPr>
        <w:t>P</w:t>
      </w:r>
      <w:r w:rsidRPr="00AA2A27">
        <w:rPr>
          <w:rFonts w:ascii="Arial" w:hAnsi="Arial" w:cs="Arial"/>
          <w:b/>
          <w:bCs/>
          <w:sz w:val="22"/>
          <w:szCs w:val="22"/>
        </w:rPr>
        <w:t xml:space="preserve">arameters of </w:t>
      </w:r>
      <w:r w:rsidR="00FF50C4">
        <w:rPr>
          <w:rFonts w:ascii="Arial" w:hAnsi="Arial" w:cs="Arial"/>
          <w:b/>
          <w:bCs/>
          <w:sz w:val="22"/>
          <w:szCs w:val="22"/>
        </w:rPr>
        <w:t>B</w:t>
      </w:r>
      <w:r w:rsidRPr="00AA2A27">
        <w:rPr>
          <w:rFonts w:ascii="Arial" w:hAnsi="Arial" w:cs="Arial"/>
          <w:b/>
          <w:bCs/>
          <w:sz w:val="22"/>
          <w:szCs w:val="22"/>
        </w:rPr>
        <w:t>ottle gourd</w:t>
      </w:r>
    </w:p>
    <w:tbl>
      <w:tblPr>
        <w:tblStyle w:val="TableGrid"/>
        <w:tblW w:w="5000" w:type="pct"/>
        <w:tblLook w:val="04A0" w:firstRow="1" w:lastRow="0" w:firstColumn="1" w:lastColumn="0" w:noHBand="0" w:noVBand="1"/>
      </w:tblPr>
      <w:tblGrid>
        <w:gridCol w:w="6214"/>
        <w:gridCol w:w="1289"/>
        <w:gridCol w:w="1289"/>
        <w:gridCol w:w="1289"/>
        <w:gridCol w:w="1289"/>
        <w:gridCol w:w="1289"/>
        <w:gridCol w:w="1289"/>
      </w:tblGrid>
      <w:tr w:rsidR="00E73E5B" w14:paraId="35BA1C4C" w14:textId="3CE5B73F" w:rsidTr="00E73E5B">
        <w:tc>
          <w:tcPr>
            <w:tcW w:w="2228" w:type="pct"/>
            <w:vAlign w:val="center"/>
          </w:tcPr>
          <w:p w14:paraId="3E5EB9AE" w14:textId="77777777" w:rsidR="00E73E5B" w:rsidRPr="00E161B6" w:rsidRDefault="00E73E5B" w:rsidP="007E6937">
            <w:pPr>
              <w:jc w:val="center"/>
              <w:rPr>
                <w:rFonts w:ascii="Arial" w:hAnsi="Arial" w:cs="Arial"/>
                <w:b/>
                <w:bCs/>
                <w:sz w:val="20"/>
                <w:szCs w:val="20"/>
              </w:rPr>
            </w:pPr>
            <w:r w:rsidRPr="00E161B6">
              <w:rPr>
                <w:rFonts w:ascii="Arial" w:hAnsi="Arial" w:cs="Arial"/>
                <w:b/>
                <w:bCs/>
                <w:sz w:val="20"/>
                <w:szCs w:val="20"/>
              </w:rPr>
              <w:t>Treatments</w:t>
            </w:r>
          </w:p>
        </w:tc>
        <w:tc>
          <w:tcPr>
            <w:tcW w:w="462" w:type="pct"/>
            <w:vAlign w:val="center"/>
          </w:tcPr>
          <w:p w14:paraId="5306184F" w14:textId="6A0A17E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Days to first picking</w:t>
            </w:r>
          </w:p>
        </w:tc>
        <w:tc>
          <w:tcPr>
            <w:tcW w:w="462" w:type="pct"/>
            <w:vAlign w:val="center"/>
          </w:tcPr>
          <w:p w14:paraId="2BDF6F35" w14:textId="1C05E16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Number of fruits per plant</w:t>
            </w:r>
          </w:p>
        </w:tc>
        <w:tc>
          <w:tcPr>
            <w:tcW w:w="462" w:type="pct"/>
          </w:tcPr>
          <w:p w14:paraId="34CEF81A" w14:textId="584008B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length (cm)</w:t>
            </w:r>
          </w:p>
        </w:tc>
        <w:tc>
          <w:tcPr>
            <w:tcW w:w="462" w:type="pct"/>
          </w:tcPr>
          <w:p w14:paraId="2036BEE9" w14:textId="11CB731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diameter (cm)</w:t>
            </w:r>
          </w:p>
        </w:tc>
        <w:tc>
          <w:tcPr>
            <w:tcW w:w="462" w:type="pct"/>
          </w:tcPr>
          <w:p w14:paraId="43D85140" w14:textId="26046DE3"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Pedicel length (cm)</w:t>
            </w:r>
          </w:p>
        </w:tc>
        <w:tc>
          <w:tcPr>
            <w:tcW w:w="462" w:type="pct"/>
          </w:tcPr>
          <w:p w14:paraId="53B3B205" w14:textId="771AAAA8" w:rsidR="00E73E5B" w:rsidRPr="00E73E5B" w:rsidRDefault="00E73E5B" w:rsidP="007E6937">
            <w:pPr>
              <w:jc w:val="center"/>
              <w:rPr>
                <w:rFonts w:ascii="Arial" w:hAnsi="Arial" w:cs="Arial"/>
                <w:b/>
                <w:bCs/>
                <w:sz w:val="20"/>
                <w:szCs w:val="20"/>
              </w:rPr>
            </w:pPr>
            <w:r w:rsidRPr="00E73E5B">
              <w:rPr>
                <w:rFonts w:ascii="Arial" w:hAnsi="Arial" w:cs="CIDFont+F3"/>
                <w:b/>
                <w:bCs/>
                <w:sz w:val="20"/>
                <w:szCs w:val="20"/>
              </w:rPr>
              <w:t>Average fruit weight (g)</w:t>
            </w:r>
          </w:p>
        </w:tc>
      </w:tr>
      <w:tr w:rsidR="00E504B5" w14:paraId="4F4E5770" w14:textId="381102E8" w:rsidTr="001B2BB8">
        <w:tc>
          <w:tcPr>
            <w:tcW w:w="2228" w:type="pct"/>
            <w:vAlign w:val="center"/>
          </w:tcPr>
          <w:p w14:paraId="3FDC537F"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462" w:type="pct"/>
            <w:vAlign w:val="center"/>
          </w:tcPr>
          <w:p w14:paraId="027BF859" w14:textId="294F0C88" w:rsidR="00E504B5" w:rsidRPr="00E504B5" w:rsidRDefault="00E504B5" w:rsidP="00E504B5">
            <w:pPr>
              <w:jc w:val="center"/>
              <w:rPr>
                <w:rFonts w:ascii="Arial" w:hAnsi="Arial" w:cs="Arial"/>
                <w:sz w:val="20"/>
                <w:szCs w:val="18"/>
              </w:rPr>
            </w:pPr>
            <w:r w:rsidRPr="00E504B5">
              <w:rPr>
                <w:rFonts w:ascii="Arial" w:hAnsi="Arial"/>
                <w:color w:val="000000"/>
                <w:sz w:val="20"/>
                <w:szCs w:val="18"/>
              </w:rPr>
              <w:t>62.67</w:t>
            </w:r>
          </w:p>
        </w:tc>
        <w:tc>
          <w:tcPr>
            <w:tcW w:w="462" w:type="pct"/>
            <w:vAlign w:val="center"/>
          </w:tcPr>
          <w:p w14:paraId="68F30D33" w14:textId="4065A424"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14.10</w:t>
            </w:r>
          </w:p>
        </w:tc>
        <w:tc>
          <w:tcPr>
            <w:tcW w:w="462" w:type="pct"/>
            <w:vAlign w:val="center"/>
          </w:tcPr>
          <w:p w14:paraId="776E97EE" w14:textId="4ECC5AD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26.07</w:t>
            </w:r>
          </w:p>
        </w:tc>
        <w:tc>
          <w:tcPr>
            <w:tcW w:w="462" w:type="pct"/>
            <w:vAlign w:val="center"/>
          </w:tcPr>
          <w:p w14:paraId="1BC63A9B" w14:textId="601EA01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6.00</w:t>
            </w:r>
          </w:p>
        </w:tc>
        <w:tc>
          <w:tcPr>
            <w:tcW w:w="462" w:type="pct"/>
            <w:vAlign w:val="center"/>
          </w:tcPr>
          <w:p w14:paraId="7F543DEB" w14:textId="6F551CC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12.00</w:t>
            </w:r>
          </w:p>
        </w:tc>
        <w:tc>
          <w:tcPr>
            <w:tcW w:w="462" w:type="pct"/>
            <w:vAlign w:val="center"/>
          </w:tcPr>
          <w:p w14:paraId="7FA94F80" w14:textId="7478F728"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0.87</w:t>
            </w:r>
          </w:p>
        </w:tc>
      </w:tr>
      <w:tr w:rsidR="00E504B5" w:rsidRPr="00E161B6" w14:paraId="4BA2949E" w14:textId="3B9C04C2" w:rsidTr="001B2BB8">
        <w:tc>
          <w:tcPr>
            <w:tcW w:w="2228" w:type="pct"/>
            <w:vAlign w:val="center"/>
          </w:tcPr>
          <w:p w14:paraId="0B7D427A"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462" w:type="pct"/>
            <w:vAlign w:val="center"/>
          </w:tcPr>
          <w:p w14:paraId="5F6BED2D" w14:textId="58A0827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61.67</w:t>
            </w:r>
          </w:p>
        </w:tc>
        <w:tc>
          <w:tcPr>
            <w:tcW w:w="462" w:type="pct"/>
            <w:vAlign w:val="center"/>
          </w:tcPr>
          <w:p w14:paraId="4A76D3A7" w14:textId="1656DDA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14.31</w:t>
            </w:r>
          </w:p>
        </w:tc>
        <w:tc>
          <w:tcPr>
            <w:tcW w:w="462" w:type="pct"/>
            <w:vAlign w:val="center"/>
          </w:tcPr>
          <w:p w14:paraId="40456942" w14:textId="10C52E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27.43</w:t>
            </w:r>
          </w:p>
        </w:tc>
        <w:tc>
          <w:tcPr>
            <w:tcW w:w="462" w:type="pct"/>
            <w:vAlign w:val="center"/>
          </w:tcPr>
          <w:p w14:paraId="584FDFB0" w14:textId="11F0408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6.55</w:t>
            </w:r>
          </w:p>
        </w:tc>
        <w:tc>
          <w:tcPr>
            <w:tcW w:w="462" w:type="pct"/>
            <w:vAlign w:val="center"/>
          </w:tcPr>
          <w:p w14:paraId="3CD71AA6" w14:textId="2F3D525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12.76</w:t>
            </w:r>
          </w:p>
        </w:tc>
        <w:tc>
          <w:tcPr>
            <w:tcW w:w="462" w:type="pct"/>
            <w:vAlign w:val="center"/>
          </w:tcPr>
          <w:p w14:paraId="6B6F6376" w14:textId="5FAEA35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0.89</w:t>
            </w:r>
          </w:p>
        </w:tc>
      </w:tr>
      <w:tr w:rsidR="00E504B5" w14:paraId="2DBD7768" w14:textId="2BE18DB3" w:rsidTr="001B2BB8">
        <w:tc>
          <w:tcPr>
            <w:tcW w:w="2228" w:type="pct"/>
            <w:vAlign w:val="center"/>
          </w:tcPr>
          <w:p w14:paraId="372C6144"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462" w:type="pct"/>
            <w:vAlign w:val="center"/>
          </w:tcPr>
          <w:p w14:paraId="3C9C4ED0" w14:textId="20BAE162" w:rsidR="00E504B5" w:rsidRPr="00E504B5" w:rsidRDefault="00E504B5" w:rsidP="00E504B5">
            <w:pPr>
              <w:jc w:val="center"/>
              <w:rPr>
                <w:rFonts w:ascii="Arial" w:hAnsi="Arial" w:cs="Arial"/>
                <w:sz w:val="20"/>
                <w:szCs w:val="18"/>
              </w:rPr>
            </w:pPr>
            <w:r w:rsidRPr="00E504B5">
              <w:rPr>
                <w:rFonts w:ascii="Arial" w:hAnsi="Arial"/>
                <w:color w:val="000000"/>
                <w:sz w:val="20"/>
                <w:szCs w:val="18"/>
              </w:rPr>
              <w:t>62.00</w:t>
            </w:r>
          </w:p>
        </w:tc>
        <w:tc>
          <w:tcPr>
            <w:tcW w:w="462" w:type="pct"/>
            <w:vAlign w:val="center"/>
          </w:tcPr>
          <w:p w14:paraId="5388449F" w14:textId="1D81608D"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14.44</w:t>
            </w:r>
          </w:p>
        </w:tc>
        <w:tc>
          <w:tcPr>
            <w:tcW w:w="462" w:type="pct"/>
            <w:vAlign w:val="center"/>
          </w:tcPr>
          <w:p w14:paraId="6A6341E2" w14:textId="77A86DA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27.18</w:t>
            </w:r>
          </w:p>
        </w:tc>
        <w:tc>
          <w:tcPr>
            <w:tcW w:w="462" w:type="pct"/>
            <w:vAlign w:val="center"/>
          </w:tcPr>
          <w:p w14:paraId="0782BB0D" w14:textId="48E7B73C"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6.35</w:t>
            </w:r>
          </w:p>
        </w:tc>
        <w:tc>
          <w:tcPr>
            <w:tcW w:w="462" w:type="pct"/>
            <w:vAlign w:val="center"/>
          </w:tcPr>
          <w:p w14:paraId="18AE92ED" w14:textId="5E8B891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12.55</w:t>
            </w:r>
          </w:p>
        </w:tc>
        <w:tc>
          <w:tcPr>
            <w:tcW w:w="462" w:type="pct"/>
            <w:vAlign w:val="center"/>
          </w:tcPr>
          <w:p w14:paraId="0705DD7A" w14:textId="49BCB9A3"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0.90</w:t>
            </w:r>
          </w:p>
        </w:tc>
      </w:tr>
      <w:tr w:rsidR="00E504B5" w14:paraId="234AC3CE" w14:textId="0177123B" w:rsidTr="001B2BB8">
        <w:tc>
          <w:tcPr>
            <w:tcW w:w="2228" w:type="pct"/>
            <w:vAlign w:val="center"/>
          </w:tcPr>
          <w:p w14:paraId="589A9CFB"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462" w:type="pct"/>
            <w:vAlign w:val="center"/>
          </w:tcPr>
          <w:p w14:paraId="3E853EF9" w14:textId="3C653CA0" w:rsidR="00E504B5" w:rsidRPr="00E504B5" w:rsidRDefault="00E504B5" w:rsidP="00E504B5">
            <w:pPr>
              <w:jc w:val="center"/>
              <w:rPr>
                <w:rFonts w:ascii="Arial" w:hAnsi="Arial" w:cs="Arial"/>
                <w:sz w:val="20"/>
                <w:szCs w:val="18"/>
              </w:rPr>
            </w:pPr>
            <w:r w:rsidRPr="00E504B5">
              <w:rPr>
                <w:rFonts w:ascii="Arial" w:hAnsi="Arial"/>
                <w:color w:val="000000"/>
                <w:sz w:val="20"/>
                <w:szCs w:val="18"/>
              </w:rPr>
              <w:t>62.33</w:t>
            </w:r>
          </w:p>
        </w:tc>
        <w:tc>
          <w:tcPr>
            <w:tcW w:w="462" w:type="pct"/>
            <w:vAlign w:val="center"/>
          </w:tcPr>
          <w:p w14:paraId="18CD9E9E" w14:textId="0761CCC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14.60</w:t>
            </w:r>
          </w:p>
        </w:tc>
        <w:tc>
          <w:tcPr>
            <w:tcW w:w="462" w:type="pct"/>
            <w:vAlign w:val="center"/>
          </w:tcPr>
          <w:p w14:paraId="4132D458" w14:textId="1384C13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26.98</w:t>
            </w:r>
          </w:p>
        </w:tc>
        <w:tc>
          <w:tcPr>
            <w:tcW w:w="462" w:type="pct"/>
            <w:vAlign w:val="center"/>
          </w:tcPr>
          <w:p w14:paraId="203A5B89" w14:textId="7C6D43D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6.09</w:t>
            </w:r>
          </w:p>
        </w:tc>
        <w:tc>
          <w:tcPr>
            <w:tcW w:w="462" w:type="pct"/>
            <w:vAlign w:val="center"/>
          </w:tcPr>
          <w:p w14:paraId="7F532575" w14:textId="2A1678B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12.23</w:t>
            </w:r>
          </w:p>
        </w:tc>
        <w:tc>
          <w:tcPr>
            <w:tcW w:w="462" w:type="pct"/>
            <w:vAlign w:val="center"/>
          </w:tcPr>
          <w:p w14:paraId="5003119D" w14:textId="682A802C"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14:paraId="42A24D72" w14:textId="6737AF71" w:rsidTr="001B2BB8">
        <w:tc>
          <w:tcPr>
            <w:tcW w:w="2228" w:type="pct"/>
            <w:vAlign w:val="center"/>
          </w:tcPr>
          <w:p w14:paraId="0646765A"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462" w:type="pct"/>
            <w:vAlign w:val="center"/>
          </w:tcPr>
          <w:p w14:paraId="58371D3B" w14:textId="12D39FAB" w:rsidR="00E504B5" w:rsidRPr="00E504B5" w:rsidRDefault="00E504B5" w:rsidP="00E504B5">
            <w:pPr>
              <w:jc w:val="center"/>
              <w:rPr>
                <w:rFonts w:ascii="Arial" w:hAnsi="Arial" w:cs="Arial"/>
                <w:sz w:val="20"/>
                <w:szCs w:val="18"/>
              </w:rPr>
            </w:pPr>
            <w:r w:rsidRPr="00E504B5">
              <w:rPr>
                <w:rFonts w:ascii="Arial" w:hAnsi="Arial"/>
                <w:color w:val="000000"/>
                <w:sz w:val="20"/>
                <w:szCs w:val="18"/>
              </w:rPr>
              <w:t>61.33</w:t>
            </w:r>
          </w:p>
        </w:tc>
        <w:tc>
          <w:tcPr>
            <w:tcW w:w="462" w:type="pct"/>
            <w:vAlign w:val="center"/>
          </w:tcPr>
          <w:p w14:paraId="556945A9" w14:textId="4DF8BF2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14.65</w:t>
            </w:r>
          </w:p>
        </w:tc>
        <w:tc>
          <w:tcPr>
            <w:tcW w:w="462" w:type="pct"/>
            <w:vAlign w:val="center"/>
          </w:tcPr>
          <w:p w14:paraId="51A8E2C8" w14:textId="66F64C4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27.87</w:t>
            </w:r>
          </w:p>
        </w:tc>
        <w:tc>
          <w:tcPr>
            <w:tcW w:w="462" w:type="pct"/>
            <w:vAlign w:val="center"/>
          </w:tcPr>
          <w:p w14:paraId="23A96C40" w14:textId="06D1C25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6.65</w:t>
            </w:r>
          </w:p>
        </w:tc>
        <w:tc>
          <w:tcPr>
            <w:tcW w:w="462" w:type="pct"/>
            <w:vAlign w:val="center"/>
          </w:tcPr>
          <w:p w14:paraId="136B01A5" w14:textId="3B21E40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13.06</w:t>
            </w:r>
          </w:p>
        </w:tc>
        <w:tc>
          <w:tcPr>
            <w:tcW w:w="462" w:type="pct"/>
            <w:vAlign w:val="center"/>
          </w:tcPr>
          <w:p w14:paraId="5E5264F4" w14:textId="41840FA5"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rsidRPr="00E161B6" w14:paraId="14DE09AB" w14:textId="01910F98" w:rsidTr="001B2BB8">
        <w:tc>
          <w:tcPr>
            <w:tcW w:w="2228" w:type="pct"/>
            <w:vAlign w:val="center"/>
          </w:tcPr>
          <w:p w14:paraId="6781DB37"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462" w:type="pct"/>
            <w:vAlign w:val="center"/>
          </w:tcPr>
          <w:p w14:paraId="7BC3ADC9" w14:textId="5BA118EB"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1CEEEBF0" w14:textId="5ACB5B5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15.09</w:t>
            </w:r>
          </w:p>
        </w:tc>
        <w:tc>
          <w:tcPr>
            <w:tcW w:w="462" w:type="pct"/>
            <w:vAlign w:val="center"/>
          </w:tcPr>
          <w:p w14:paraId="721996F2" w14:textId="11DA0B9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29.18</w:t>
            </w:r>
          </w:p>
        </w:tc>
        <w:tc>
          <w:tcPr>
            <w:tcW w:w="462" w:type="pct"/>
            <w:vAlign w:val="center"/>
          </w:tcPr>
          <w:p w14:paraId="7671254E" w14:textId="381A497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7.34</w:t>
            </w:r>
          </w:p>
        </w:tc>
        <w:tc>
          <w:tcPr>
            <w:tcW w:w="462" w:type="pct"/>
            <w:vAlign w:val="center"/>
          </w:tcPr>
          <w:p w14:paraId="20271BF8" w14:textId="1E3537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13.86</w:t>
            </w:r>
          </w:p>
        </w:tc>
        <w:tc>
          <w:tcPr>
            <w:tcW w:w="462" w:type="pct"/>
            <w:vAlign w:val="center"/>
          </w:tcPr>
          <w:p w14:paraId="350FDB7D" w14:textId="025909DB"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0.97</w:t>
            </w:r>
          </w:p>
        </w:tc>
      </w:tr>
      <w:tr w:rsidR="00E504B5" w:rsidRPr="00E161B6" w14:paraId="79BD987C" w14:textId="732F0AEA" w:rsidTr="001B2BB8">
        <w:tc>
          <w:tcPr>
            <w:tcW w:w="2228" w:type="pct"/>
            <w:vAlign w:val="center"/>
          </w:tcPr>
          <w:p w14:paraId="2525906E"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462" w:type="pct"/>
            <w:vAlign w:val="center"/>
          </w:tcPr>
          <w:p w14:paraId="2D22A55A" w14:textId="4E45D93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252E3BEC" w14:textId="467B2C2F"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15.01</w:t>
            </w:r>
          </w:p>
        </w:tc>
        <w:tc>
          <w:tcPr>
            <w:tcW w:w="462" w:type="pct"/>
            <w:vAlign w:val="center"/>
          </w:tcPr>
          <w:p w14:paraId="458D64DE" w14:textId="74FAEBE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28.13</w:t>
            </w:r>
          </w:p>
        </w:tc>
        <w:tc>
          <w:tcPr>
            <w:tcW w:w="462" w:type="pct"/>
            <w:vAlign w:val="center"/>
          </w:tcPr>
          <w:p w14:paraId="404A3AA0" w14:textId="638158B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7.00</w:t>
            </w:r>
          </w:p>
        </w:tc>
        <w:tc>
          <w:tcPr>
            <w:tcW w:w="462" w:type="pct"/>
            <w:vAlign w:val="center"/>
          </w:tcPr>
          <w:p w14:paraId="2389597F" w14:textId="7AA414F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13.46</w:t>
            </w:r>
          </w:p>
        </w:tc>
        <w:tc>
          <w:tcPr>
            <w:tcW w:w="462" w:type="pct"/>
            <w:vAlign w:val="center"/>
          </w:tcPr>
          <w:p w14:paraId="6EC29AA2" w14:textId="2CDBD30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14:paraId="347FFBFE" w14:textId="0E0172EA" w:rsidTr="001B2BB8">
        <w:tc>
          <w:tcPr>
            <w:tcW w:w="2228" w:type="pct"/>
            <w:vAlign w:val="center"/>
          </w:tcPr>
          <w:p w14:paraId="798FBF62"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462" w:type="pct"/>
            <w:vAlign w:val="center"/>
          </w:tcPr>
          <w:p w14:paraId="1AAE1A00" w14:textId="68AC129C" w:rsidR="00E504B5" w:rsidRPr="00E504B5" w:rsidRDefault="00E504B5" w:rsidP="00E504B5">
            <w:pPr>
              <w:jc w:val="center"/>
              <w:rPr>
                <w:rFonts w:ascii="Arial" w:hAnsi="Arial" w:cs="Arial"/>
                <w:sz w:val="20"/>
                <w:szCs w:val="18"/>
              </w:rPr>
            </w:pPr>
            <w:r w:rsidRPr="00E504B5">
              <w:rPr>
                <w:rFonts w:ascii="Arial" w:hAnsi="Arial"/>
                <w:color w:val="000000"/>
                <w:sz w:val="20"/>
                <w:szCs w:val="18"/>
              </w:rPr>
              <w:t>60.00</w:t>
            </w:r>
          </w:p>
        </w:tc>
        <w:tc>
          <w:tcPr>
            <w:tcW w:w="462" w:type="pct"/>
            <w:vAlign w:val="center"/>
          </w:tcPr>
          <w:p w14:paraId="24282E2B" w14:textId="7E5AE747"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15.08</w:t>
            </w:r>
          </w:p>
        </w:tc>
        <w:tc>
          <w:tcPr>
            <w:tcW w:w="462" w:type="pct"/>
            <w:vAlign w:val="center"/>
          </w:tcPr>
          <w:p w14:paraId="01DADEA1" w14:textId="5939E80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28.02</w:t>
            </w:r>
          </w:p>
        </w:tc>
        <w:tc>
          <w:tcPr>
            <w:tcW w:w="462" w:type="pct"/>
            <w:vAlign w:val="center"/>
          </w:tcPr>
          <w:p w14:paraId="20906BC9" w14:textId="743508F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6.80</w:t>
            </w:r>
          </w:p>
        </w:tc>
        <w:tc>
          <w:tcPr>
            <w:tcW w:w="462" w:type="pct"/>
            <w:vAlign w:val="center"/>
          </w:tcPr>
          <w:p w14:paraId="43FC198B" w14:textId="03C4729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13.19</w:t>
            </w:r>
          </w:p>
        </w:tc>
        <w:tc>
          <w:tcPr>
            <w:tcW w:w="462" w:type="pct"/>
            <w:vAlign w:val="center"/>
          </w:tcPr>
          <w:p w14:paraId="68A220D8" w14:textId="083B7D6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rsidRPr="00E161B6" w14:paraId="134E901A" w14:textId="5D9BFF1E" w:rsidTr="001B2BB8">
        <w:tc>
          <w:tcPr>
            <w:tcW w:w="2228" w:type="pct"/>
            <w:vAlign w:val="center"/>
          </w:tcPr>
          <w:p w14:paraId="2CF306FB"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462" w:type="pct"/>
            <w:vAlign w:val="center"/>
          </w:tcPr>
          <w:p w14:paraId="025F9E82" w14:textId="2C52EAE0"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58.67</w:t>
            </w:r>
          </w:p>
        </w:tc>
        <w:tc>
          <w:tcPr>
            <w:tcW w:w="462" w:type="pct"/>
            <w:vAlign w:val="center"/>
          </w:tcPr>
          <w:p w14:paraId="2950941B" w14:textId="006797B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15.19</w:t>
            </w:r>
          </w:p>
        </w:tc>
        <w:tc>
          <w:tcPr>
            <w:tcW w:w="462" w:type="pct"/>
            <w:vAlign w:val="center"/>
          </w:tcPr>
          <w:p w14:paraId="17A6FB17" w14:textId="1D86EAA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29.99</w:t>
            </w:r>
          </w:p>
        </w:tc>
        <w:tc>
          <w:tcPr>
            <w:tcW w:w="462" w:type="pct"/>
            <w:vAlign w:val="center"/>
          </w:tcPr>
          <w:p w14:paraId="32BA7757" w14:textId="31A5FD8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7.77</w:t>
            </w:r>
          </w:p>
        </w:tc>
        <w:tc>
          <w:tcPr>
            <w:tcW w:w="462" w:type="pct"/>
            <w:vAlign w:val="center"/>
          </w:tcPr>
          <w:p w14:paraId="6DF12C0E" w14:textId="226DBDB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14.39</w:t>
            </w:r>
          </w:p>
        </w:tc>
        <w:tc>
          <w:tcPr>
            <w:tcW w:w="462" w:type="pct"/>
            <w:vAlign w:val="center"/>
          </w:tcPr>
          <w:p w14:paraId="449708ED" w14:textId="6D478CD2"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1.02</w:t>
            </w:r>
          </w:p>
        </w:tc>
      </w:tr>
      <w:tr w:rsidR="00E504B5" w:rsidRPr="00E161B6" w14:paraId="41D3E6A5" w14:textId="3F09F20E" w:rsidTr="001B2BB8">
        <w:tc>
          <w:tcPr>
            <w:tcW w:w="2228" w:type="pct"/>
            <w:vAlign w:val="center"/>
          </w:tcPr>
          <w:p w14:paraId="47FAFA14"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462" w:type="pct"/>
            <w:vAlign w:val="center"/>
          </w:tcPr>
          <w:p w14:paraId="0258B9CB" w14:textId="0409650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58.33</w:t>
            </w:r>
          </w:p>
        </w:tc>
        <w:tc>
          <w:tcPr>
            <w:tcW w:w="462" w:type="pct"/>
            <w:vAlign w:val="center"/>
          </w:tcPr>
          <w:p w14:paraId="20DC6323" w14:textId="21330F6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16.40</w:t>
            </w:r>
          </w:p>
        </w:tc>
        <w:tc>
          <w:tcPr>
            <w:tcW w:w="462" w:type="pct"/>
            <w:vAlign w:val="center"/>
          </w:tcPr>
          <w:p w14:paraId="02AADC06" w14:textId="5BE4AC2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30.36</w:t>
            </w:r>
          </w:p>
        </w:tc>
        <w:tc>
          <w:tcPr>
            <w:tcW w:w="462" w:type="pct"/>
            <w:vAlign w:val="center"/>
          </w:tcPr>
          <w:p w14:paraId="562C960A" w14:textId="47FC834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7.90</w:t>
            </w:r>
          </w:p>
        </w:tc>
        <w:tc>
          <w:tcPr>
            <w:tcW w:w="462" w:type="pct"/>
            <w:vAlign w:val="center"/>
          </w:tcPr>
          <w:p w14:paraId="0A841D82" w14:textId="6712DBC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14.64</w:t>
            </w:r>
          </w:p>
        </w:tc>
        <w:tc>
          <w:tcPr>
            <w:tcW w:w="462" w:type="pct"/>
            <w:vAlign w:val="center"/>
          </w:tcPr>
          <w:p w14:paraId="7B97CFE2" w14:textId="6CF2466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1.05</w:t>
            </w:r>
          </w:p>
        </w:tc>
      </w:tr>
      <w:tr w:rsidR="00E504B5" w:rsidRPr="00E161B6" w14:paraId="0AF5BA26" w14:textId="5A3630F2" w:rsidTr="001B2BB8">
        <w:tc>
          <w:tcPr>
            <w:tcW w:w="2228" w:type="pct"/>
            <w:vAlign w:val="center"/>
          </w:tcPr>
          <w:p w14:paraId="794429DF"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462" w:type="pct"/>
            <w:vAlign w:val="center"/>
          </w:tcPr>
          <w:p w14:paraId="4707395C" w14:textId="777656B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59.00</w:t>
            </w:r>
          </w:p>
        </w:tc>
        <w:tc>
          <w:tcPr>
            <w:tcW w:w="462" w:type="pct"/>
            <w:vAlign w:val="center"/>
          </w:tcPr>
          <w:p w14:paraId="7B30673E" w14:textId="3EE1F147"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16.11</w:t>
            </w:r>
          </w:p>
        </w:tc>
        <w:tc>
          <w:tcPr>
            <w:tcW w:w="462" w:type="pct"/>
            <w:vAlign w:val="center"/>
          </w:tcPr>
          <w:p w14:paraId="47887D8B" w14:textId="6EAE64A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29.95</w:t>
            </w:r>
          </w:p>
        </w:tc>
        <w:tc>
          <w:tcPr>
            <w:tcW w:w="462" w:type="pct"/>
            <w:vAlign w:val="center"/>
          </w:tcPr>
          <w:p w14:paraId="35C2EBFD" w14:textId="3D44329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7.66</w:t>
            </w:r>
          </w:p>
        </w:tc>
        <w:tc>
          <w:tcPr>
            <w:tcW w:w="462" w:type="pct"/>
            <w:vAlign w:val="center"/>
          </w:tcPr>
          <w:p w14:paraId="1E20678E" w14:textId="598769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14.04</w:t>
            </w:r>
          </w:p>
        </w:tc>
        <w:tc>
          <w:tcPr>
            <w:tcW w:w="462" w:type="pct"/>
            <w:vAlign w:val="center"/>
          </w:tcPr>
          <w:p w14:paraId="6C00A4FB" w14:textId="2583CF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1.04</w:t>
            </w:r>
          </w:p>
        </w:tc>
      </w:tr>
      <w:tr w:rsidR="00E504B5" w14:paraId="00F5C4CE" w14:textId="763A524E" w:rsidTr="001B2BB8">
        <w:tc>
          <w:tcPr>
            <w:tcW w:w="2228" w:type="pct"/>
            <w:vAlign w:val="center"/>
          </w:tcPr>
          <w:p w14:paraId="0FF30AC4" w14:textId="77777777" w:rsidR="00E504B5" w:rsidRPr="00E161B6" w:rsidRDefault="00E504B5" w:rsidP="00E504B5">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462" w:type="pct"/>
            <w:vAlign w:val="center"/>
          </w:tcPr>
          <w:p w14:paraId="79F0B533" w14:textId="11EAD1FA" w:rsidR="00E504B5" w:rsidRPr="00E504B5" w:rsidRDefault="00E504B5" w:rsidP="00E504B5">
            <w:pPr>
              <w:jc w:val="center"/>
              <w:rPr>
                <w:rFonts w:ascii="Arial" w:hAnsi="Arial" w:cs="Arial"/>
                <w:sz w:val="20"/>
                <w:szCs w:val="18"/>
              </w:rPr>
            </w:pPr>
            <w:r w:rsidRPr="00E504B5">
              <w:rPr>
                <w:rFonts w:ascii="Arial" w:hAnsi="Arial"/>
                <w:color w:val="000000"/>
                <w:sz w:val="20"/>
                <w:szCs w:val="18"/>
              </w:rPr>
              <w:t>59.33</w:t>
            </w:r>
          </w:p>
        </w:tc>
        <w:tc>
          <w:tcPr>
            <w:tcW w:w="462" w:type="pct"/>
            <w:vAlign w:val="center"/>
          </w:tcPr>
          <w:p w14:paraId="226467FB" w14:textId="7CF20E60"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15.18</w:t>
            </w:r>
          </w:p>
        </w:tc>
        <w:tc>
          <w:tcPr>
            <w:tcW w:w="462" w:type="pct"/>
            <w:vAlign w:val="center"/>
          </w:tcPr>
          <w:p w14:paraId="56637077" w14:textId="33587C37"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29.00</w:t>
            </w:r>
          </w:p>
        </w:tc>
        <w:tc>
          <w:tcPr>
            <w:tcW w:w="462" w:type="pct"/>
            <w:vAlign w:val="center"/>
          </w:tcPr>
          <w:p w14:paraId="4FE8F654" w14:textId="7C5502B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7.14</w:t>
            </w:r>
          </w:p>
        </w:tc>
        <w:tc>
          <w:tcPr>
            <w:tcW w:w="462" w:type="pct"/>
            <w:vAlign w:val="center"/>
          </w:tcPr>
          <w:p w14:paraId="71864E64" w14:textId="3AFA0E4A"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13.62</w:t>
            </w:r>
          </w:p>
        </w:tc>
        <w:tc>
          <w:tcPr>
            <w:tcW w:w="462" w:type="pct"/>
            <w:vAlign w:val="center"/>
          </w:tcPr>
          <w:p w14:paraId="36748375" w14:textId="4CC9064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1.03</w:t>
            </w:r>
          </w:p>
        </w:tc>
      </w:tr>
      <w:tr w:rsidR="00E504B5" w:rsidRPr="00E161B6" w14:paraId="1377B1A5" w14:textId="42F38C35" w:rsidTr="001B2BB8">
        <w:tc>
          <w:tcPr>
            <w:tcW w:w="2228" w:type="pct"/>
            <w:vAlign w:val="center"/>
          </w:tcPr>
          <w:p w14:paraId="6F8BC449"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462" w:type="pct"/>
            <w:vAlign w:val="center"/>
          </w:tcPr>
          <w:p w14:paraId="5FF6203A" w14:textId="78862F92"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58.00</w:t>
            </w:r>
          </w:p>
        </w:tc>
        <w:tc>
          <w:tcPr>
            <w:tcW w:w="462" w:type="pct"/>
            <w:vAlign w:val="center"/>
          </w:tcPr>
          <w:p w14:paraId="003F3242" w14:textId="6D1E740E"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16.71</w:t>
            </w:r>
          </w:p>
        </w:tc>
        <w:tc>
          <w:tcPr>
            <w:tcW w:w="462" w:type="pct"/>
            <w:vAlign w:val="center"/>
          </w:tcPr>
          <w:p w14:paraId="2607F176" w14:textId="64A2152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32.12</w:t>
            </w:r>
          </w:p>
        </w:tc>
        <w:tc>
          <w:tcPr>
            <w:tcW w:w="462" w:type="pct"/>
            <w:vAlign w:val="center"/>
          </w:tcPr>
          <w:p w14:paraId="7EDF362D" w14:textId="645569F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8.05</w:t>
            </w:r>
          </w:p>
        </w:tc>
        <w:tc>
          <w:tcPr>
            <w:tcW w:w="462" w:type="pct"/>
            <w:vAlign w:val="center"/>
          </w:tcPr>
          <w:p w14:paraId="79EDA252" w14:textId="2602FE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15.02</w:t>
            </w:r>
          </w:p>
        </w:tc>
        <w:tc>
          <w:tcPr>
            <w:tcW w:w="462" w:type="pct"/>
            <w:vAlign w:val="center"/>
          </w:tcPr>
          <w:p w14:paraId="14569CC1" w14:textId="5703B5B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1.07</w:t>
            </w:r>
          </w:p>
        </w:tc>
      </w:tr>
      <w:tr w:rsidR="00E504B5" w14:paraId="1F1ECFEB" w14:textId="000E0317" w:rsidTr="001B2BB8">
        <w:tc>
          <w:tcPr>
            <w:tcW w:w="2228" w:type="pct"/>
            <w:vAlign w:val="center"/>
          </w:tcPr>
          <w:p w14:paraId="71E6CC19" w14:textId="77777777" w:rsidR="00E504B5" w:rsidRPr="00E161B6" w:rsidRDefault="00E504B5" w:rsidP="00E504B5">
            <w:pPr>
              <w:jc w:val="both"/>
              <w:rPr>
                <w:rFonts w:ascii="Arial" w:hAnsi="Arial" w:cs="Arial"/>
                <w:sz w:val="20"/>
                <w:szCs w:val="20"/>
              </w:rPr>
            </w:pPr>
            <w:proofErr w:type="spellStart"/>
            <w:r w:rsidRPr="00E161B6">
              <w:rPr>
                <w:rFonts w:ascii="Arial" w:hAnsi="Arial" w:cs="Arial"/>
                <w:b/>
                <w:sz w:val="20"/>
                <w:szCs w:val="20"/>
              </w:rPr>
              <w:t>SEm</w:t>
            </w:r>
            <w:proofErr w:type="spellEnd"/>
            <w:r w:rsidRPr="00E161B6">
              <w:rPr>
                <w:rFonts w:ascii="Arial" w:hAnsi="Arial" w:cs="Arial"/>
                <w:b/>
                <w:sz w:val="20"/>
                <w:szCs w:val="20"/>
              </w:rPr>
              <w:t xml:space="preserve"> (±)</w:t>
            </w:r>
          </w:p>
        </w:tc>
        <w:tc>
          <w:tcPr>
            <w:tcW w:w="462" w:type="pct"/>
            <w:vAlign w:val="center"/>
          </w:tcPr>
          <w:p w14:paraId="3E30DC64" w14:textId="2071F234" w:rsidR="00E504B5" w:rsidRPr="00E504B5" w:rsidRDefault="00E504B5" w:rsidP="00E504B5">
            <w:pPr>
              <w:jc w:val="center"/>
              <w:rPr>
                <w:rFonts w:ascii="Arial" w:hAnsi="Arial" w:cs="Arial"/>
                <w:sz w:val="20"/>
                <w:szCs w:val="18"/>
              </w:rPr>
            </w:pPr>
            <w:r w:rsidRPr="00E504B5">
              <w:rPr>
                <w:rFonts w:ascii="Arial" w:hAnsi="Arial"/>
                <w:color w:val="000000"/>
                <w:sz w:val="20"/>
                <w:szCs w:val="18"/>
              </w:rPr>
              <w:t>0.94</w:t>
            </w:r>
          </w:p>
        </w:tc>
        <w:tc>
          <w:tcPr>
            <w:tcW w:w="462" w:type="pct"/>
            <w:vAlign w:val="center"/>
          </w:tcPr>
          <w:p w14:paraId="7383B760" w14:textId="1FC6F89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0.62</w:t>
            </w:r>
          </w:p>
        </w:tc>
        <w:tc>
          <w:tcPr>
            <w:tcW w:w="462" w:type="pct"/>
            <w:vAlign w:val="center"/>
          </w:tcPr>
          <w:p w14:paraId="0D06EE0A" w14:textId="56769F3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0.97</w:t>
            </w:r>
          </w:p>
        </w:tc>
        <w:tc>
          <w:tcPr>
            <w:tcW w:w="462" w:type="pct"/>
            <w:vAlign w:val="center"/>
          </w:tcPr>
          <w:p w14:paraId="47DB4B05" w14:textId="670F1E1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0.15</w:t>
            </w:r>
          </w:p>
        </w:tc>
        <w:tc>
          <w:tcPr>
            <w:tcW w:w="462" w:type="pct"/>
            <w:vAlign w:val="center"/>
          </w:tcPr>
          <w:p w14:paraId="24805B7D" w14:textId="59BDF28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0.23</w:t>
            </w:r>
          </w:p>
        </w:tc>
        <w:tc>
          <w:tcPr>
            <w:tcW w:w="462" w:type="pct"/>
            <w:vAlign w:val="center"/>
          </w:tcPr>
          <w:p w14:paraId="34994885" w14:textId="426773DD"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0.06</w:t>
            </w:r>
          </w:p>
        </w:tc>
      </w:tr>
      <w:tr w:rsidR="00E504B5" w14:paraId="4241086F" w14:textId="38CCDBEE" w:rsidTr="001B2BB8">
        <w:tc>
          <w:tcPr>
            <w:tcW w:w="2228" w:type="pct"/>
            <w:vAlign w:val="center"/>
          </w:tcPr>
          <w:p w14:paraId="7C1B2F87" w14:textId="77777777" w:rsidR="00E504B5" w:rsidRPr="00E161B6" w:rsidRDefault="00E504B5" w:rsidP="00E504B5">
            <w:pPr>
              <w:jc w:val="both"/>
              <w:rPr>
                <w:rFonts w:ascii="Arial" w:hAnsi="Arial" w:cs="Arial"/>
                <w:sz w:val="20"/>
                <w:szCs w:val="20"/>
              </w:rPr>
            </w:pPr>
            <w:r w:rsidRPr="00E161B6">
              <w:rPr>
                <w:rFonts w:ascii="Arial" w:hAnsi="Arial" w:cs="Arial"/>
                <w:b/>
                <w:sz w:val="20"/>
                <w:szCs w:val="20"/>
              </w:rPr>
              <w:t>CD 5%</w:t>
            </w:r>
          </w:p>
        </w:tc>
        <w:tc>
          <w:tcPr>
            <w:tcW w:w="462" w:type="pct"/>
            <w:vAlign w:val="center"/>
          </w:tcPr>
          <w:p w14:paraId="39FB40FC" w14:textId="78639C59" w:rsidR="00E504B5" w:rsidRPr="00E504B5" w:rsidRDefault="00E504B5" w:rsidP="00E504B5">
            <w:pPr>
              <w:jc w:val="center"/>
              <w:rPr>
                <w:rFonts w:ascii="Arial" w:hAnsi="Arial" w:cs="Arial"/>
                <w:sz w:val="20"/>
                <w:szCs w:val="18"/>
              </w:rPr>
            </w:pPr>
            <w:r w:rsidRPr="00E504B5">
              <w:rPr>
                <w:rFonts w:ascii="Arial" w:hAnsi="Arial"/>
                <w:color w:val="000000"/>
                <w:sz w:val="20"/>
                <w:szCs w:val="18"/>
              </w:rPr>
              <w:t>2.67</w:t>
            </w:r>
          </w:p>
        </w:tc>
        <w:tc>
          <w:tcPr>
            <w:tcW w:w="462" w:type="pct"/>
            <w:vAlign w:val="center"/>
          </w:tcPr>
          <w:p w14:paraId="76F8CF99" w14:textId="2F3AA89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1.81</w:t>
            </w:r>
          </w:p>
        </w:tc>
        <w:tc>
          <w:tcPr>
            <w:tcW w:w="462" w:type="pct"/>
            <w:vAlign w:val="center"/>
          </w:tcPr>
          <w:p w14:paraId="1D05C9B9" w14:textId="45E3FD3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2.75</w:t>
            </w:r>
          </w:p>
        </w:tc>
        <w:tc>
          <w:tcPr>
            <w:tcW w:w="462" w:type="pct"/>
            <w:vAlign w:val="center"/>
          </w:tcPr>
          <w:p w14:paraId="15455B5D" w14:textId="4A01E61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0.42</w:t>
            </w:r>
          </w:p>
        </w:tc>
        <w:tc>
          <w:tcPr>
            <w:tcW w:w="462" w:type="pct"/>
            <w:vAlign w:val="center"/>
          </w:tcPr>
          <w:p w14:paraId="07EE83CE" w14:textId="1C50905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0.66</w:t>
            </w:r>
          </w:p>
        </w:tc>
        <w:tc>
          <w:tcPr>
            <w:tcW w:w="462" w:type="pct"/>
            <w:vAlign w:val="center"/>
          </w:tcPr>
          <w:p w14:paraId="261E1122" w14:textId="15D4B5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0.17</w:t>
            </w:r>
          </w:p>
        </w:tc>
      </w:tr>
    </w:tbl>
    <w:p w14:paraId="58F7084D" w14:textId="77777777" w:rsidR="006E6EEB" w:rsidRDefault="006E6EEB" w:rsidP="006E6EEB">
      <w:pPr>
        <w:spacing w:after="0"/>
        <w:jc w:val="both"/>
        <w:rPr>
          <w:rFonts w:ascii="Arial" w:eastAsia="Arial" w:hAnsi="Arial" w:cs="Arial"/>
          <w:iCs/>
          <w:sz w:val="20"/>
          <w:szCs w:val="20"/>
        </w:rPr>
      </w:pPr>
      <w:r w:rsidRPr="00623ACF">
        <w:rPr>
          <w:rFonts w:ascii="Arial" w:hAnsi="Arial" w:cs="Arial"/>
          <w:sz w:val="20"/>
          <w:szCs w:val="20"/>
        </w:rPr>
        <w:t>*RDF=</w:t>
      </w:r>
      <w:r>
        <w:rPr>
          <w:rFonts w:ascii="Arial" w:hAnsi="Arial" w:cs="Arial"/>
          <w:sz w:val="20"/>
          <w:szCs w:val="20"/>
        </w:rPr>
        <w:t xml:space="preserve"> </w:t>
      </w:r>
      <w:r w:rsidRPr="00623ACF">
        <w:rPr>
          <w:rFonts w:ascii="Arial" w:hAnsi="Arial" w:cs="Arial"/>
          <w:sz w:val="20"/>
          <w:szCs w:val="20"/>
        </w:rPr>
        <w:t>Recommended dose of f</w:t>
      </w:r>
      <w:r>
        <w:rPr>
          <w:rFonts w:ascii="Arial" w:hAnsi="Arial" w:cs="Arial"/>
          <w:sz w:val="20"/>
          <w:szCs w:val="20"/>
        </w:rPr>
        <w:t xml:space="preserve">ertilizer, </w:t>
      </w:r>
      <w:r>
        <w:rPr>
          <w:rFonts w:ascii="Arial" w:eastAsia="Arial" w:hAnsi="Arial" w:cs="Arial"/>
          <w:sz w:val="20"/>
          <w:szCs w:val="20"/>
        </w:rPr>
        <w:t xml:space="preserve">VC= </w:t>
      </w:r>
      <w:r w:rsidRPr="00751B5C">
        <w:rPr>
          <w:rFonts w:ascii="Arial" w:eastAsia="Arial" w:hAnsi="Arial" w:cs="Arial"/>
          <w:sz w:val="20"/>
          <w:szCs w:val="20"/>
        </w:rPr>
        <w:t>Vermicompost</w:t>
      </w:r>
      <w:r>
        <w:rPr>
          <w:rFonts w:ascii="Arial" w:eastAsia="Arial" w:hAnsi="Arial" w:cs="Arial"/>
          <w:sz w:val="20"/>
          <w:szCs w:val="20"/>
        </w:rPr>
        <w:t xml:space="preserve">, </w:t>
      </w:r>
      <w:r>
        <w:rPr>
          <w:rFonts w:ascii="Arial" w:hAnsi="Arial" w:cs="Arial"/>
          <w:sz w:val="20"/>
          <w:szCs w:val="20"/>
        </w:rPr>
        <w:t xml:space="preserve">AB= </w:t>
      </w:r>
      <w:r w:rsidRPr="00751B5C">
        <w:rPr>
          <w:rFonts w:ascii="Arial" w:eastAsia="Arial" w:hAnsi="Arial" w:cs="Arial"/>
          <w:i/>
          <w:sz w:val="20"/>
          <w:szCs w:val="20"/>
        </w:rPr>
        <w:t>Azotobacter</w:t>
      </w:r>
      <w:r w:rsidRPr="007C311C">
        <w:rPr>
          <w:rFonts w:ascii="Arial" w:eastAsia="Arial" w:hAnsi="Arial" w:cs="Arial"/>
          <w:iCs/>
          <w:sz w:val="20"/>
          <w:szCs w:val="20"/>
        </w:rPr>
        <w:t xml:space="preserve">, </w:t>
      </w:r>
      <w:r>
        <w:rPr>
          <w:rFonts w:ascii="Arial" w:eastAsia="Arial" w:hAnsi="Arial" w:cs="Arial"/>
          <w:iCs/>
          <w:sz w:val="20"/>
          <w:szCs w:val="20"/>
        </w:rPr>
        <w:t>PSB= Phosphorus Solubilizing bacteria, KSB= Potassium Solubilizing Bacteria</w:t>
      </w:r>
    </w:p>
    <w:p w14:paraId="0427C57A" w14:textId="77777777" w:rsidR="006E6EEB" w:rsidRDefault="006E6EEB" w:rsidP="006E6EEB">
      <w:pPr>
        <w:spacing w:after="0"/>
        <w:jc w:val="both"/>
        <w:rPr>
          <w:rFonts w:ascii="Arial" w:hAnsi="Arial" w:cs="Arial"/>
          <w:color w:val="000000"/>
          <w:sz w:val="20"/>
          <w:szCs w:val="18"/>
        </w:rPr>
      </w:pPr>
      <w:proofErr w:type="spellStart"/>
      <w:r>
        <w:rPr>
          <w:rFonts w:ascii="Arial" w:eastAsia="Arial" w:hAnsi="Arial" w:cs="Arial"/>
          <w:iCs/>
          <w:sz w:val="20"/>
          <w:szCs w:val="20"/>
        </w:rPr>
        <w:t>SEm</w:t>
      </w:r>
      <w:proofErr w:type="spellEnd"/>
      <w:r>
        <w:rPr>
          <w:rFonts w:ascii="Arial" w:eastAsia="Arial" w:hAnsi="Arial" w:cs="Arial"/>
          <w:iCs/>
          <w:sz w:val="20"/>
          <w:szCs w:val="20"/>
        </w:rPr>
        <w:t xml:space="preserve">= Standard Error of Mean CD= </w:t>
      </w:r>
      <w:r w:rsidRPr="00C369AF">
        <w:rPr>
          <w:rFonts w:ascii="Arial" w:hAnsi="Arial" w:cs="Arial"/>
          <w:color w:val="000000"/>
          <w:sz w:val="20"/>
          <w:szCs w:val="18"/>
        </w:rPr>
        <w:t>Critical Differenc</w:t>
      </w:r>
      <w:r>
        <w:rPr>
          <w:rFonts w:ascii="Arial" w:hAnsi="Arial" w:cs="Arial"/>
          <w:color w:val="000000"/>
          <w:sz w:val="20"/>
          <w:szCs w:val="18"/>
        </w:rPr>
        <w:t>e</w:t>
      </w:r>
    </w:p>
    <w:p w14:paraId="2A02D827" w14:textId="77777777" w:rsidR="006E6EEB" w:rsidRDefault="006E6EEB" w:rsidP="006E6EEB">
      <w:pPr>
        <w:spacing w:after="0"/>
        <w:jc w:val="both"/>
        <w:rPr>
          <w:rFonts w:ascii="Arial" w:hAnsi="Arial" w:cs="Arial"/>
          <w:color w:val="000000"/>
          <w:sz w:val="20"/>
          <w:szCs w:val="18"/>
        </w:rPr>
      </w:pPr>
    </w:p>
    <w:p w14:paraId="18065D6C" w14:textId="2F450D28" w:rsidR="006E6EEB" w:rsidRPr="00DC2315" w:rsidRDefault="006E6EEB" w:rsidP="006E6EEB">
      <w:pPr>
        <w:spacing w:after="0"/>
        <w:jc w:val="both"/>
        <w:rPr>
          <w:rFonts w:ascii="Arial" w:hAnsi="Arial" w:cs="Arial"/>
          <w:color w:val="000000"/>
          <w:sz w:val="20"/>
          <w:szCs w:val="18"/>
        </w:rPr>
        <w:sectPr w:rsidR="006E6EEB" w:rsidRPr="00DC2315" w:rsidSect="006E6EEB">
          <w:pgSz w:w="16838" w:h="11906" w:orient="landscape"/>
          <w:pgMar w:top="1440" w:right="1440" w:bottom="1440" w:left="1440" w:header="708" w:footer="708" w:gutter="0"/>
          <w:cols w:space="708"/>
          <w:docGrid w:linePitch="360"/>
        </w:sectPr>
      </w:pPr>
    </w:p>
    <w:p w14:paraId="7F0153BF" w14:textId="3FA92EF8" w:rsidR="00F42995" w:rsidRDefault="007D62D6" w:rsidP="00153D40">
      <w:pPr>
        <w:spacing w:after="0"/>
        <w:jc w:val="both"/>
        <w:rPr>
          <w:rFonts w:ascii="Arial" w:hAnsi="Arial" w:cs="Arial"/>
          <w:sz w:val="20"/>
          <w:szCs w:val="16"/>
        </w:rPr>
      </w:pPr>
      <w:r w:rsidRPr="007D62D6">
        <w:rPr>
          <w:rFonts w:ascii="Arial" w:hAnsi="Arial" w:cs="Arial"/>
          <w:b/>
          <w:bCs/>
          <w:sz w:val="22"/>
          <w:szCs w:val="18"/>
        </w:rPr>
        <w:lastRenderedPageBreak/>
        <w:t xml:space="preserve">3.3 Effect of Integrated Nutrient Management on </w:t>
      </w:r>
      <w:r w:rsidR="00D15639">
        <w:rPr>
          <w:rFonts w:ascii="Arial" w:hAnsi="Arial" w:cs="Arial"/>
          <w:b/>
          <w:bCs/>
          <w:sz w:val="22"/>
          <w:szCs w:val="18"/>
        </w:rPr>
        <w:t>Y</w:t>
      </w:r>
      <w:r w:rsidRPr="007D62D6">
        <w:rPr>
          <w:rFonts w:ascii="Arial" w:hAnsi="Arial" w:cs="Arial"/>
          <w:b/>
          <w:bCs/>
          <w:sz w:val="22"/>
          <w:szCs w:val="18"/>
        </w:rPr>
        <w:t xml:space="preserve">ield </w:t>
      </w:r>
      <w:r w:rsidR="00D15639">
        <w:rPr>
          <w:rFonts w:ascii="Arial" w:hAnsi="Arial" w:cs="Arial"/>
          <w:b/>
          <w:bCs/>
          <w:sz w:val="22"/>
          <w:szCs w:val="18"/>
        </w:rPr>
        <w:t>P</w:t>
      </w:r>
      <w:r w:rsidRPr="007D62D6">
        <w:rPr>
          <w:rFonts w:ascii="Arial" w:hAnsi="Arial" w:cs="Arial"/>
          <w:b/>
          <w:bCs/>
          <w:sz w:val="22"/>
          <w:szCs w:val="18"/>
        </w:rPr>
        <w:t xml:space="preserve">arameters of </w:t>
      </w:r>
      <w:r w:rsidR="00D15639">
        <w:rPr>
          <w:rFonts w:ascii="Arial" w:hAnsi="Arial" w:cs="Arial"/>
          <w:b/>
          <w:bCs/>
          <w:sz w:val="22"/>
          <w:szCs w:val="18"/>
        </w:rPr>
        <w:t>B</w:t>
      </w:r>
      <w:r w:rsidRPr="007D62D6">
        <w:rPr>
          <w:rFonts w:ascii="Arial" w:hAnsi="Arial" w:cs="Arial"/>
          <w:b/>
          <w:bCs/>
          <w:sz w:val="22"/>
          <w:szCs w:val="18"/>
        </w:rPr>
        <w:t>ottle gourd</w:t>
      </w:r>
      <w:r>
        <w:rPr>
          <w:rFonts w:ascii="Arial" w:hAnsi="Arial" w:cs="Arial"/>
          <w:sz w:val="22"/>
          <w:szCs w:val="18"/>
        </w:rPr>
        <w:t xml:space="preserve"> </w:t>
      </w:r>
    </w:p>
    <w:p w14:paraId="76EC86A2" w14:textId="00E9DCFF" w:rsidR="007D62D6" w:rsidRDefault="003B51C8" w:rsidP="00CE22DF">
      <w:pPr>
        <w:jc w:val="both"/>
        <w:rPr>
          <w:rFonts w:ascii="Arial" w:hAnsi="Arial" w:cs="Arial"/>
          <w:sz w:val="20"/>
          <w:szCs w:val="16"/>
        </w:rPr>
      </w:pPr>
      <w:r w:rsidRPr="003B51C8">
        <w:rPr>
          <w:rFonts w:ascii="Arial" w:hAnsi="Arial" w:cs="Arial"/>
          <w:sz w:val="20"/>
          <w:szCs w:val="16"/>
        </w:rPr>
        <w:t>The mean results presented in Table 3 showed significant variations in yield parameters among the different nutrient sources and biofertilizer treatments.</w:t>
      </w:r>
      <w:r>
        <w:rPr>
          <w:rFonts w:ascii="Arial" w:hAnsi="Arial" w:cs="Arial"/>
          <w:sz w:val="20"/>
          <w:szCs w:val="16"/>
        </w:rPr>
        <w:t xml:space="preserve"> </w:t>
      </w:r>
      <w:r w:rsidR="00CE22DF" w:rsidRPr="00CE22DF">
        <w:rPr>
          <w:rFonts w:ascii="Arial" w:hAnsi="Arial" w:cs="Arial"/>
          <w:sz w:val="20"/>
          <w:szCs w:val="16"/>
        </w:rPr>
        <w:t>The earliest fruit picking was recorded under treatment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(75% RDF + Vermicompost @ 12 t/ha + Azotobacter @ 5 kg/ha + PSB @ 5 kg/ha + KSB @ 5 lit/ha), while T</w:t>
      </w:r>
      <w:r w:rsidR="00CE22DF" w:rsidRPr="004C64C5">
        <w:rPr>
          <w:rFonts w:ascii="Arial" w:hAnsi="Arial" w:cs="Arial"/>
          <w:sz w:val="20"/>
          <w:szCs w:val="16"/>
          <w:vertAlign w:val="subscript"/>
        </w:rPr>
        <w:t>1</w:t>
      </w:r>
      <w:r w:rsidR="00CE22DF" w:rsidRPr="00CE22DF">
        <w:rPr>
          <w:rFonts w:ascii="Arial" w:hAnsi="Arial" w:cs="Arial"/>
          <w:sz w:val="20"/>
          <w:szCs w:val="16"/>
        </w:rPr>
        <w:t xml:space="preserve"> (100% RDF) exhibited the longest duration to first picking. Early fruiting in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may be attributed to enhanced nutrient availability and uptake. These findings are supported by </w:t>
      </w:r>
      <w:proofErr w:type="spellStart"/>
      <w:r w:rsidR="00CE22DF" w:rsidRPr="00CE22DF">
        <w:rPr>
          <w:rFonts w:ascii="Arial" w:hAnsi="Arial" w:cs="Arial"/>
          <w:sz w:val="20"/>
          <w:szCs w:val="16"/>
        </w:rPr>
        <w:t>Mandloi</w:t>
      </w:r>
      <w:proofErr w:type="spellEnd"/>
      <w:r w:rsidR="00CE22DF" w:rsidRPr="00CE22DF">
        <w:rPr>
          <w:rFonts w:ascii="Arial" w:hAnsi="Arial" w:cs="Arial"/>
          <w:sz w:val="20"/>
          <w:szCs w:val="16"/>
        </w:rPr>
        <w:t xml:space="preserve"> et al. (2022) and Pathak et al. (2022).</w:t>
      </w:r>
    </w:p>
    <w:p w14:paraId="0FC0FA17" w14:textId="50CD2E87" w:rsidR="005B4503" w:rsidRDefault="00CE22DF" w:rsidP="005B4503">
      <w:pPr>
        <w:jc w:val="both"/>
        <w:rPr>
          <w:rFonts w:ascii="Arial" w:hAnsi="Arial" w:cs="Arial"/>
          <w:sz w:val="20"/>
          <w:szCs w:val="16"/>
        </w:rPr>
      </w:pPr>
      <w:r w:rsidRPr="00CE22DF">
        <w:rPr>
          <w:rFonts w:ascii="Arial" w:hAnsi="Arial" w:cs="Arial"/>
          <w:sz w:val="20"/>
          <w:szCs w:val="16"/>
        </w:rPr>
        <w:t>Treatment T</w:t>
      </w:r>
      <w:r w:rsidRPr="004C64C5">
        <w:rPr>
          <w:rFonts w:ascii="Arial" w:hAnsi="Arial" w:cs="Arial"/>
          <w:sz w:val="20"/>
          <w:szCs w:val="16"/>
          <w:vertAlign w:val="subscript"/>
        </w:rPr>
        <w:t>13</w:t>
      </w:r>
      <w:r w:rsidRPr="00CE22DF">
        <w:rPr>
          <w:rFonts w:ascii="Arial" w:hAnsi="Arial" w:cs="Arial"/>
          <w:sz w:val="20"/>
          <w:szCs w:val="16"/>
        </w:rPr>
        <w:t xml:space="preserve"> (75% RDF + Vermicompost @ 12 t/ha + Azotobacter @ 5 kg/ha + PSB @ 5 kg/ha + KSB @ 5 lit/ha) produced the maximum number of fruits per plant, significantly outperforming other treatments. In contrast, the minimum number of fruits per plant was recorded under T</w:t>
      </w:r>
      <w:r w:rsidRPr="004C64C5">
        <w:rPr>
          <w:rFonts w:ascii="Arial" w:hAnsi="Arial" w:cs="Arial"/>
          <w:sz w:val="20"/>
          <w:szCs w:val="16"/>
          <w:vertAlign w:val="subscript"/>
        </w:rPr>
        <w:t>1</w:t>
      </w:r>
      <w:r w:rsidRPr="00CE22DF">
        <w:rPr>
          <w:rFonts w:ascii="Arial" w:hAnsi="Arial" w:cs="Arial"/>
          <w:sz w:val="20"/>
          <w:szCs w:val="16"/>
        </w:rPr>
        <w:t xml:space="preserve"> (100% RDF). The superior fruit setting under T</w:t>
      </w:r>
      <w:r w:rsidRPr="004C64C5">
        <w:rPr>
          <w:rFonts w:ascii="Arial" w:hAnsi="Arial" w:cs="Arial"/>
          <w:sz w:val="20"/>
          <w:szCs w:val="16"/>
          <w:vertAlign w:val="subscript"/>
        </w:rPr>
        <w:t>13</w:t>
      </w:r>
      <w:r w:rsidRPr="00CE22DF">
        <w:rPr>
          <w:rFonts w:ascii="Arial" w:hAnsi="Arial" w:cs="Arial"/>
          <w:sz w:val="20"/>
          <w:szCs w:val="16"/>
        </w:rPr>
        <w:t xml:space="preserve"> may be attributed to improved nutrient availability, enhanced soil fertility, and better physiological activity due to the combined effect of organic manures, inorganic fertilizers, and biofertilizers. These results are in line with the findings of Rathod et al. (2018), Patel et al. (2019), </w:t>
      </w:r>
      <w:proofErr w:type="spellStart"/>
      <w:r w:rsidRPr="00CE22DF">
        <w:rPr>
          <w:rFonts w:ascii="Arial" w:hAnsi="Arial" w:cs="Arial"/>
          <w:sz w:val="20"/>
          <w:szCs w:val="16"/>
        </w:rPr>
        <w:t>Mandloi</w:t>
      </w:r>
      <w:proofErr w:type="spellEnd"/>
      <w:r w:rsidRPr="00CE22DF">
        <w:rPr>
          <w:rFonts w:ascii="Arial" w:hAnsi="Arial" w:cs="Arial"/>
          <w:sz w:val="20"/>
          <w:szCs w:val="16"/>
        </w:rPr>
        <w:t xml:space="preserve"> et al. (2022) and Pathak et al. (2022).</w:t>
      </w:r>
    </w:p>
    <w:p w14:paraId="1D2032F1" w14:textId="74331D2A" w:rsidR="005B4503" w:rsidRDefault="005B4503" w:rsidP="00C90590">
      <w:pPr>
        <w:jc w:val="both"/>
        <w:rPr>
          <w:rFonts w:ascii="Arial" w:hAnsi="Arial" w:cs="Arial"/>
          <w:sz w:val="20"/>
          <w:szCs w:val="16"/>
        </w:rPr>
      </w:pPr>
      <w:r w:rsidRPr="005B4503">
        <w:rPr>
          <w:rFonts w:ascii="Arial" w:hAnsi="Arial" w:cs="Arial"/>
          <w:sz w:val="20"/>
          <w:szCs w:val="16"/>
        </w:rPr>
        <w:t>Application of different organic manures and biofertilizers significantly improved yield parameters in bottle gourd. Treatment T</w:t>
      </w:r>
      <w:r w:rsidRPr="004C64C5">
        <w:rPr>
          <w:rFonts w:ascii="Arial" w:hAnsi="Arial" w:cs="Arial"/>
          <w:sz w:val="20"/>
          <w:szCs w:val="16"/>
          <w:vertAlign w:val="subscript"/>
        </w:rPr>
        <w:t>13</w:t>
      </w:r>
      <w:r w:rsidRPr="005B4503">
        <w:rPr>
          <w:rFonts w:ascii="Arial" w:hAnsi="Arial" w:cs="Arial"/>
          <w:sz w:val="20"/>
          <w:szCs w:val="16"/>
        </w:rPr>
        <w:t xml:space="preserve"> (75% RDF + Vermicompost @ 12 t/ha + Azotobacter @ 5 kg/ha + PSB @ 5 kg/ha + KSB @ 5 lit/ha) recorded the maximum pedicel length, fruit length and fruit diameter, while the minimum values were observed in T</w:t>
      </w:r>
      <w:r w:rsidRPr="004C64C5">
        <w:rPr>
          <w:rFonts w:ascii="Arial" w:hAnsi="Arial" w:cs="Arial"/>
          <w:sz w:val="20"/>
          <w:szCs w:val="16"/>
          <w:vertAlign w:val="subscript"/>
        </w:rPr>
        <w:t>1</w:t>
      </w:r>
      <w:r w:rsidRPr="005B4503">
        <w:rPr>
          <w:rFonts w:ascii="Arial" w:hAnsi="Arial" w:cs="Arial"/>
          <w:sz w:val="20"/>
          <w:szCs w:val="16"/>
        </w:rPr>
        <w:t xml:space="preserve"> (100% RDF). The increase in fruit length may be attributed to enhanced diversion of photosynthates towards reproductive organs (Shree et al., 2018), whereas improved fruit diameter could be due to better nitrogen availability promoting protein synthesis, meristematic activity, and cell division. These findings are consistent with those of </w:t>
      </w:r>
      <w:proofErr w:type="spellStart"/>
      <w:r w:rsidRPr="005B4503">
        <w:rPr>
          <w:rFonts w:ascii="Arial" w:hAnsi="Arial" w:cs="Arial"/>
          <w:sz w:val="20"/>
          <w:szCs w:val="16"/>
        </w:rPr>
        <w:t>Patle</w:t>
      </w:r>
      <w:proofErr w:type="spellEnd"/>
      <w:r w:rsidRPr="005B4503">
        <w:rPr>
          <w:rFonts w:ascii="Arial" w:hAnsi="Arial" w:cs="Arial"/>
          <w:sz w:val="20"/>
          <w:szCs w:val="16"/>
        </w:rPr>
        <w:t xml:space="preserve"> et al. (2018), Singh et al. (2018), Shah et al. (2020) and </w:t>
      </w:r>
      <w:proofErr w:type="spellStart"/>
      <w:r w:rsidRPr="005B4503">
        <w:rPr>
          <w:rFonts w:ascii="Arial" w:hAnsi="Arial" w:cs="Arial"/>
          <w:sz w:val="20"/>
          <w:szCs w:val="16"/>
        </w:rPr>
        <w:t>Mandloi</w:t>
      </w:r>
      <w:proofErr w:type="spellEnd"/>
      <w:r w:rsidRPr="005B4503">
        <w:rPr>
          <w:rFonts w:ascii="Arial" w:hAnsi="Arial" w:cs="Arial"/>
          <w:sz w:val="20"/>
          <w:szCs w:val="16"/>
        </w:rPr>
        <w:t xml:space="preserve"> et al. (2022).</w:t>
      </w:r>
    </w:p>
    <w:p w14:paraId="5EECD841" w14:textId="1B03BCD5" w:rsidR="002354C5" w:rsidRDefault="00C90590" w:rsidP="00AA2828">
      <w:pPr>
        <w:jc w:val="both"/>
        <w:rPr>
          <w:rFonts w:ascii="Arial" w:hAnsi="Arial" w:cs="Arial"/>
          <w:sz w:val="20"/>
          <w:szCs w:val="16"/>
        </w:rPr>
      </w:pPr>
      <w:r w:rsidRPr="00C90590">
        <w:rPr>
          <w:rFonts w:ascii="Arial" w:hAnsi="Arial" w:cs="Arial"/>
          <w:sz w:val="20"/>
          <w:szCs w:val="16"/>
        </w:rPr>
        <w:t>Different organic manure and biofertilizer treatments significantly enhanced average fruit weight of bottle gourd. The highest average fruit weight was recorded in treatment T</w:t>
      </w:r>
      <w:r w:rsidRPr="004C64C5">
        <w:rPr>
          <w:rFonts w:ascii="Arial" w:hAnsi="Arial" w:cs="Arial"/>
          <w:sz w:val="20"/>
          <w:szCs w:val="16"/>
          <w:vertAlign w:val="subscript"/>
        </w:rPr>
        <w:t>13</w:t>
      </w:r>
      <w:r w:rsidRPr="00C90590">
        <w:rPr>
          <w:rFonts w:ascii="Arial" w:hAnsi="Arial" w:cs="Arial"/>
          <w:sz w:val="20"/>
          <w:szCs w:val="16"/>
        </w:rPr>
        <w:t xml:space="preserve"> (75% RDF + Vermicompost @ 12 t/ha + Azotobacter @ 5 kg/ha + PSB @ 5 kg/ha + KSB @ 5 lit/ha), while the lowest was observed under T</w:t>
      </w:r>
      <w:r w:rsidRPr="004C64C5">
        <w:rPr>
          <w:rFonts w:ascii="Arial" w:hAnsi="Arial" w:cs="Arial"/>
          <w:sz w:val="20"/>
          <w:szCs w:val="16"/>
          <w:vertAlign w:val="subscript"/>
        </w:rPr>
        <w:t>1</w:t>
      </w:r>
      <w:r w:rsidRPr="00C90590">
        <w:rPr>
          <w:rFonts w:ascii="Arial" w:hAnsi="Arial" w:cs="Arial"/>
          <w:sz w:val="20"/>
          <w:szCs w:val="16"/>
        </w:rPr>
        <w:t xml:space="preserve"> (100% RDF). The increase in fruit weight may be attributed to improved phosphorus uptake, promoting nucleic acid synthesis, enhanced cell division and continuous nutrient supply throughout the growth period. These results are in agreement with the findings of Patel et al. (2019), Rabari et al. (2019) and Pathak et al. (2022).</w:t>
      </w:r>
    </w:p>
    <w:p w14:paraId="14CC97E0" w14:textId="4EF7B8F9" w:rsidR="00AA2828" w:rsidRDefault="00697ED7" w:rsidP="00153D40">
      <w:pPr>
        <w:spacing w:after="0"/>
        <w:jc w:val="both"/>
        <w:rPr>
          <w:rFonts w:ascii="Arial" w:hAnsi="Arial" w:cs="Arial"/>
          <w:sz w:val="20"/>
          <w:szCs w:val="16"/>
        </w:rPr>
      </w:pPr>
      <w:r w:rsidRPr="00AA2828">
        <w:rPr>
          <w:rFonts w:ascii="Arial" w:hAnsi="Arial" w:cs="Arial"/>
          <w:b/>
          <w:bCs/>
          <w:sz w:val="22"/>
          <w:szCs w:val="18"/>
        </w:rPr>
        <w:t>CONCLUSION</w:t>
      </w:r>
      <w:r w:rsidRPr="00AA2828">
        <w:rPr>
          <w:rFonts w:ascii="Arial" w:hAnsi="Arial" w:cs="Arial"/>
          <w:b/>
          <w:bCs/>
          <w:sz w:val="20"/>
          <w:szCs w:val="16"/>
        </w:rPr>
        <w:t xml:space="preserve"> </w:t>
      </w:r>
    </w:p>
    <w:p w14:paraId="7E1EC130" w14:textId="0E2F2874" w:rsidR="00AA2828" w:rsidRDefault="00AA2828" w:rsidP="00697ED7">
      <w:pPr>
        <w:jc w:val="both"/>
        <w:rPr>
          <w:rFonts w:ascii="Arial" w:hAnsi="Arial" w:cs="Arial"/>
          <w:sz w:val="20"/>
          <w:szCs w:val="16"/>
        </w:rPr>
      </w:pPr>
      <w:r w:rsidRPr="00AA2828">
        <w:rPr>
          <w:rFonts w:ascii="Arial" w:hAnsi="Arial" w:cs="Arial"/>
          <w:sz w:val="20"/>
          <w:szCs w:val="16"/>
        </w:rPr>
        <w:t>This study concludes that the using of INM with combination of biofertilizers had a significant impact on the growth, flowering and yield attributes of bottle gourd cultivar. The optimal integrated nutrient management treatment was identified as 75% RDF + Vermicompost @ 12 t/ha + Azotobacter @ 5 kg/ha + PSB @ 5 kg/ha + KSB @ 5 lit/ha (T</w:t>
      </w:r>
      <w:r w:rsidRPr="000A0643">
        <w:rPr>
          <w:rFonts w:ascii="Arial" w:hAnsi="Arial" w:cs="Arial"/>
          <w:sz w:val="20"/>
          <w:szCs w:val="16"/>
          <w:vertAlign w:val="subscript"/>
        </w:rPr>
        <w:t>13</w:t>
      </w:r>
      <w:r w:rsidRPr="00AA2828">
        <w:rPr>
          <w:rFonts w:ascii="Arial" w:hAnsi="Arial" w:cs="Arial"/>
          <w:sz w:val="20"/>
          <w:szCs w:val="16"/>
        </w:rPr>
        <w:t>), which resulted in superior performance across all studied parameters. In contrast, T</w:t>
      </w:r>
      <w:r w:rsidRPr="000A0643">
        <w:rPr>
          <w:rFonts w:ascii="Arial" w:hAnsi="Arial" w:cs="Arial"/>
          <w:sz w:val="20"/>
          <w:szCs w:val="16"/>
          <w:vertAlign w:val="subscript"/>
        </w:rPr>
        <w:t>1</w:t>
      </w:r>
      <w:r w:rsidRPr="00AA2828">
        <w:rPr>
          <w:rFonts w:ascii="Arial" w:hAnsi="Arial" w:cs="Arial"/>
          <w:sz w:val="20"/>
          <w:szCs w:val="16"/>
        </w:rPr>
        <w:t xml:space="preserve"> (100% RDF) exhibited the poorest results. Considering yield sustainability, soil health improvement, ecosystem balance and human well-being, it is recommended that vegetable growers adopt integrated nutrient management with combination of biofertilizers for sustainable bottle gourd production.</w:t>
      </w:r>
    </w:p>
    <w:p w14:paraId="6FD4ECF2" w14:textId="77777777" w:rsidR="002F3C27" w:rsidRDefault="002F3C27" w:rsidP="00400D74">
      <w:pPr>
        <w:spacing w:after="0"/>
        <w:jc w:val="both"/>
        <w:rPr>
          <w:rFonts w:ascii="Arial" w:hAnsi="Arial" w:cs="Arial"/>
          <w:b/>
          <w:bCs/>
          <w:sz w:val="20"/>
          <w:szCs w:val="16"/>
        </w:rPr>
      </w:pPr>
    </w:p>
    <w:p w14:paraId="476FA925" w14:textId="7F335871" w:rsidR="00400D74" w:rsidRPr="00400D74" w:rsidRDefault="00400D74" w:rsidP="00400D74">
      <w:pPr>
        <w:spacing w:after="0"/>
        <w:jc w:val="both"/>
        <w:rPr>
          <w:rFonts w:ascii="Arial" w:hAnsi="Arial" w:cs="Arial"/>
          <w:b/>
          <w:bCs/>
          <w:sz w:val="20"/>
          <w:szCs w:val="16"/>
        </w:rPr>
      </w:pPr>
      <w:r w:rsidRPr="00400D74">
        <w:rPr>
          <w:rFonts w:ascii="Arial" w:hAnsi="Arial" w:cs="Arial"/>
          <w:b/>
          <w:bCs/>
          <w:sz w:val="20"/>
          <w:szCs w:val="16"/>
        </w:rPr>
        <w:t>REFERENCES</w:t>
      </w:r>
    </w:p>
    <w:p w14:paraId="7D7BA73A" w14:textId="77777777" w:rsidR="00747FCB" w:rsidRDefault="008D179D" w:rsidP="00747FCB">
      <w:pPr>
        <w:spacing w:after="0"/>
        <w:ind w:left="851" w:hanging="851"/>
        <w:jc w:val="both"/>
        <w:rPr>
          <w:rFonts w:ascii="Arial" w:hAnsi="Arial" w:cs="Arial"/>
          <w:sz w:val="20"/>
          <w:szCs w:val="20"/>
        </w:rPr>
      </w:pPr>
      <w:r w:rsidRPr="00AA2A27">
        <w:rPr>
          <w:rFonts w:ascii="Arial" w:hAnsi="Arial" w:cs="Arial"/>
          <w:sz w:val="20"/>
          <w:szCs w:val="20"/>
        </w:rPr>
        <w:t>Anonymous</w:t>
      </w:r>
      <w:r w:rsidR="003B28F5">
        <w:rPr>
          <w:rFonts w:ascii="Arial" w:hAnsi="Arial" w:cs="Arial"/>
          <w:sz w:val="20"/>
          <w:szCs w:val="20"/>
        </w:rPr>
        <w:t xml:space="preserve"> (2024). Department of Agriculture and Farmers Welf</w:t>
      </w:r>
      <w:r w:rsidR="00150CA5">
        <w:rPr>
          <w:rFonts w:ascii="Arial" w:hAnsi="Arial" w:cs="Arial"/>
          <w:sz w:val="20"/>
          <w:szCs w:val="20"/>
        </w:rPr>
        <w:t xml:space="preserve">are, Horticulture Statistics Division, </w:t>
      </w:r>
      <w:r w:rsidR="006B4531">
        <w:rPr>
          <w:rFonts w:ascii="Arial" w:hAnsi="Arial" w:cs="Arial"/>
          <w:sz w:val="20"/>
          <w:szCs w:val="20"/>
        </w:rPr>
        <w:t xml:space="preserve">Third (Final) Advance </w:t>
      </w:r>
      <w:r w:rsidR="003C4F44">
        <w:rPr>
          <w:rFonts w:ascii="Arial" w:hAnsi="Arial" w:cs="Arial"/>
          <w:sz w:val="20"/>
          <w:szCs w:val="20"/>
        </w:rPr>
        <w:t xml:space="preserve">Estimate, Government </w:t>
      </w:r>
      <w:r w:rsidR="005B7D39">
        <w:rPr>
          <w:rFonts w:ascii="Arial" w:hAnsi="Arial" w:cs="Arial"/>
          <w:sz w:val="20"/>
          <w:szCs w:val="20"/>
        </w:rPr>
        <w:t xml:space="preserve">of India, </w:t>
      </w:r>
      <w:hyperlink r:id="rId20" w:history="1">
        <w:r w:rsidR="00747FCB" w:rsidRPr="00814837">
          <w:rPr>
            <w:rStyle w:val="Hyperlink"/>
            <w:rFonts w:ascii="Arial" w:hAnsi="Arial" w:cs="Arial"/>
            <w:sz w:val="20"/>
            <w:szCs w:val="20"/>
          </w:rPr>
          <w:t>http://agriwelfare.gov.in/</w:t>
        </w:r>
      </w:hyperlink>
    </w:p>
    <w:p w14:paraId="1CF67A15" w14:textId="1C9AE624" w:rsidR="00F67D64" w:rsidRPr="00747FCB" w:rsidRDefault="00F67D64" w:rsidP="00747FCB">
      <w:pPr>
        <w:spacing w:after="0"/>
        <w:ind w:left="851" w:hanging="851"/>
        <w:jc w:val="both"/>
        <w:rPr>
          <w:rFonts w:ascii="Arial" w:hAnsi="Arial" w:cs="Arial"/>
          <w:sz w:val="20"/>
          <w:szCs w:val="20"/>
        </w:rPr>
      </w:pPr>
      <w:r w:rsidRPr="00400D74">
        <w:rPr>
          <w:rFonts w:ascii="Arial" w:hAnsi="Arial" w:cs="Arial"/>
          <w:sz w:val="20"/>
          <w:szCs w:val="16"/>
        </w:rPr>
        <w:t>Baghel, S.</w:t>
      </w:r>
      <w:r>
        <w:rPr>
          <w:rFonts w:ascii="Arial" w:hAnsi="Arial" w:cs="Arial"/>
          <w:sz w:val="20"/>
          <w:szCs w:val="16"/>
        </w:rPr>
        <w:t xml:space="preserve"> </w:t>
      </w:r>
      <w:r w:rsidRPr="00400D74">
        <w:rPr>
          <w:rFonts w:ascii="Arial" w:hAnsi="Arial" w:cs="Arial"/>
          <w:sz w:val="20"/>
          <w:szCs w:val="16"/>
        </w:rPr>
        <w:t>S., Bose, U.</w:t>
      </w:r>
      <w:r>
        <w:rPr>
          <w:rFonts w:ascii="Arial" w:hAnsi="Arial" w:cs="Arial"/>
          <w:sz w:val="20"/>
          <w:szCs w:val="16"/>
        </w:rPr>
        <w:t xml:space="preserve"> </w:t>
      </w:r>
      <w:r w:rsidRPr="00400D74">
        <w:rPr>
          <w:rFonts w:ascii="Arial" w:hAnsi="Arial" w:cs="Arial"/>
          <w:sz w:val="20"/>
          <w:szCs w:val="16"/>
        </w:rPr>
        <w:t>S., Singh, S.</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Dudvey</w:t>
      </w:r>
      <w:proofErr w:type="spellEnd"/>
      <w:r w:rsidRPr="00400D74">
        <w:rPr>
          <w:rFonts w:ascii="Arial" w:hAnsi="Arial" w:cs="Arial"/>
          <w:sz w:val="20"/>
          <w:szCs w:val="16"/>
        </w:rPr>
        <w:t>, T.</w:t>
      </w:r>
      <w:r>
        <w:rPr>
          <w:rFonts w:ascii="Arial" w:hAnsi="Arial" w:cs="Arial"/>
          <w:sz w:val="20"/>
          <w:szCs w:val="16"/>
        </w:rPr>
        <w:t xml:space="preserve"> </w:t>
      </w:r>
      <w:r w:rsidRPr="00400D74">
        <w:rPr>
          <w:rFonts w:ascii="Arial" w:hAnsi="Arial" w:cs="Arial"/>
          <w:sz w:val="20"/>
          <w:szCs w:val="16"/>
        </w:rPr>
        <w:t>S. (2017). Effect of integrated nutrient management growth and yield of bottle gourd [</w:t>
      </w:r>
      <w:r w:rsidRPr="003C28EC">
        <w:rPr>
          <w:rFonts w:ascii="Arial" w:hAnsi="Arial" w:cs="Arial"/>
          <w:i/>
          <w:iCs/>
          <w:sz w:val="20"/>
          <w:szCs w:val="16"/>
        </w:rPr>
        <w:t>Lagenaria siceraria</w:t>
      </w:r>
      <w:r w:rsidRPr="00400D74">
        <w:rPr>
          <w:rFonts w:ascii="Arial" w:hAnsi="Arial" w:cs="Arial"/>
          <w:sz w:val="20"/>
          <w:szCs w:val="16"/>
        </w:rPr>
        <w:t xml:space="preserve">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CB7060">
        <w:rPr>
          <w:rFonts w:ascii="Arial" w:hAnsi="Arial" w:cs="Arial"/>
          <w:i/>
          <w:iCs/>
          <w:sz w:val="20"/>
          <w:szCs w:val="16"/>
        </w:rPr>
        <w:t>An international quarterly journal of environmental sciences</w:t>
      </w:r>
      <w:r w:rsidRPr="00400D74">
        <w:rPr>
          <w:rFonts w:ascii="Arial" w:hAnsi="Arial" w:cs="Arial"/>
          <w:sz w:val="20"/>
          <w:szCs w:val="16"/>
        </w:rPr>
        <w:t>, 4(1)</w:t>
      </w:r>
      <w:r>
        <w:rPr>
          <w:rFonts w:ascii="Arial" w:hAnsi="Arial" w:cs="Arial"/>
          <w:sz w:val="20"/>
          <w:szCs w:val="16"/>
        </w:rPr>
        <w:t>,</w:t>
      </w:r>
      <w:r w:rsidRPr="00400D74">
        <w:rPr>
          <w:rFonts w:ascii="Arial" w:hAnsi="Arial" w:cs="Arial"/>
          <w:sz w:val="20"/>
          <w:szCs w:val="16"/>
        </w:rPr>
        <w:t xml:space="preserve"> 813-817.</w:t>
      </w:r>
    </w:p>
    <w:p w14:paraId="36B631A0"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Bhosale, A.</w:t>
      </w:r>
      <w:r>
        <w:rPr>
          <w:rFonts w:ascii="Arial" w:hAnsi="Arial" w:cs="Arial"/>
          <w:sz w:val="20"/>
          <w:szCs w:val="16"/>
        </w:rPr>
        <w:t xml:space="preserve"> </w:t>
      </w:r>
      <w:r w:rsidRPr="00400D74">
        <w:rPr>
          <w:rFonts w:ascii="Arial" w:hAnsi="Arial" w:cs="Arial"/>
          <w:sz w:val="20"/>
          <w:szCs w:val="16"/>
        </w:rPr>
        <w:t xml:space="preserve">R. (2016) Effect of graded levels of nitrogen and potassium on yield and quality of watermelon in lateritic soils of Konkan. M.Sc. (Agri.) Thesis submitted to Dr. </w:t>
      </w:r>
      <w:proofErr w:type="spellStart"/>
      <w:r w:rsidRPr="00400D74">
        <w:rPr>
          <w:rFonts w:ascii="Arial" w:hAnsi="Arial" w:cs="Arial"/>
          <w:sz w:val="20"/>
          <w:szCs w:val="16"/>
        </w:rPr>
        <w:t>Balasaheb</w:t>
      </w:r>
      <w:proofErr w:type="spellEnd"/>
      <w:r w:rsidRPr="00400D74">
        <w:rPr>
          <w:rFonts w:ascii="Arial" w:hAnsi="Arial" w:cs="Arial"/>
          <w:sz w:val="20"/>
          <w:szCs w:val="16"/>
        </w:rPr>
        <w:t xml:space="preserve"> Sawant Konkan Krish Vidyapeeth, </w:t>
      </w:r>
      <w:proofErr w:type="spellStart"/>
      <w:r w:rsidRPr="00400D74">
        <w:rPr>
          <w:rFonts w:ascii="Arial" w:hAnsi="Arial" w:cs="Arial"/>
          <w:sz w:val="20"/>
          <w:szCs w:val="16"/>
        </w:rPr>
        <w:t>Dapoli</w:t>
      </w:r>
      <w:proofErr w:type="spellEnd"/>
      <w:r w:rsidRPr="00400D74">
        <w:rPr>
          <w:rFonts w:ascii="Arial" w:hAnsi="Arial" w:cs="Arial"/>
          <w:sz w:val="20"/>
          <w:szCs w:val="16"/>
        </w:rPr>
        <w:t>.</w:t>
      </w:r>
    </w:p>
    <w:p w14:paraId="069A913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lastRenderedPageBreak/>
        <w:t>Dass, A., Lenka, K., Patnaik, U.</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Sudhishi</w:t>
      </w:r>
      <w:proofErr w:type="spellEnd"/>
      <w:r w:rsidRPr="00400D74">
        <w:rPr>
          <w:rFonts w:ascii="Arial" w:hAnsi="Arial" w:cs="Arial"/>
          <w:sz w:val="20"/>
          <w:szCs w:val="16"/>
        </w:rPr>
        <w:t xml:space="preserve">, S. (2008). Integrated nutrient management for production, economics, and soil improvement in winter vegetables. </w:t>
      </w:r>
      <w:r w:rsidRPr="00853D47">
        <w:rPr>
          <w:rFonts w:ascii="Arial" w:hAnsi="Arial" w:cs="Arial"/>
          <w:i/>
          <w:iCs/>
          <w:sz w:val="20"/>
          <w:szCs w:val="16"/>
        </w:rPr>
        <w:t>International Journal of Vegetable Science</w:t>
      </w:r>
      <w:r w:rsidRPr="00400D74">
        <w:rPr>
          <w:rFonts w:ascii="Arial" w:hAnsi="Arial" w:cs="Arial"/>
          <w:sz w:val="20"/>
          <w:szCs w:val="16"/>
        </w:rPr>
        <w:t>, 14(2), 104-120.</w:t>
      </w:r>
    </w:p>
    <w:p w14:paraId="72C2508F"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Geethu, B.</w:t>
      </w:r>
      <w:r>
        <w:rPr>
          <w:rFonts w:ascii="Arial" w:hAnsi="Arial" w:cs="Arial"/>
          <w:sz w:val="20"/>
          <w:szCs w:val="16"/>
        </w:rPr>
        <w:t xml:space="preserve"> </w:t>
      </w:r>
      <w:r w:rsidRPr="00400D74">
        <w:rPr>
          <w:rFonts w:ascii="Arial" w:hAnsi="Arial" w:cs="Arial"/>
          <w:sz w:val="20"/>
          <w:szCs w:val="16"/>
        </w:rPr>
        <w:t>L., Saravanan, S., Prasad, V.</w:t>
      </w:r>
      <w:r>
        <w:rPr>
          <w:rFonts w:ascii="Arial" w:hAnsi="Arial" w:cs="Arial"/>
          <w:sz w:val="20"/>
          <w:szCs w:val="16"/>
        </w:rPr>
        <w:t xml:space="preserve"> </w:t>
      </w:r>
      <w:r w:rsidRPr="00400D74">
        <w:rPr>
          <w:rFonts w:ascii="Arial" w:hAnsi="Arial" w:cs="Arial"/>
          <w:sz w:val="20"/>
          <w:szCs w:val="16"/>
        </w:rPr>
        <w:t xml:space="preserve">M., Gokul, P.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Rinchu</w:t>
      </w:r>
      <w:proofErr w:type="spellEnd"/>
      <w:r w:rsidRPr="00400D74">
        <w:rPr>
          <w:rFonts w:ascii="Arial" w:hAnsi="Arial" w:cs="Arial"/>
          <w:sz w:val="20"/>
          <w:szCs w:val="16"/>
        </w:rPr>
        <w:t>, B. (2018). Effect of organic and inorganic fertilizers on the plant growth and fruit yield of bitter gourd (</w:t>
      </w:r>
      <w:r w:rsidRPr="00F762C6">
        <w:rPr>
          <w:rFonts w:ascii="Arial" w:hAnsi="Arial" w:cs="Arial"/>
          <w:i/>
          <w:iCs/>
          <w:sz w:val="20"/>
          <w:szCs w:val="16"/>
        </w:rPr>
        <w:t xml:space="preserve">Momordica </w:t>
      </w:r>
      <w:proofErr w:type="spellStart"/>
      <w:r w:rsidRPr="00F762C6">
        <w:rPr>
          <w:rFonts w:ascii="Arial" w:hAnsi="Arial" w:cs="Arial"/>
          <w:i/>
          <w:iCs/>
          <w:sz w:val="20"/>
          <w:szCs w:val="16"/>
        </w:rPr>
        <w:t>charantia</w:t>
      </w:r>
      <w:proofErr w:type="spellEnd"/>
      <w:r w:rsidRPr="00400D74">
        <w:rPr>
          <w:rFonts w:ascii="Arial" w:hAnsi="Arial" w:cs="Arial"/>
          <w:sz w:val="20"/>
          <w:szCs w:val="16"/>
        </w:rPr>
        <w:t xml:space="preserve">). </w:t>
      </w:r>
      <w:r w:rsidRPr="00853D47">
        <w:rPr>
          <w:rFonts w:ascii="Arial" w:hAnsi="Arial" w:cs="Arial"/>
          <w:i/>
          <w:iCs/>
          <w:sz w:val="20"/>
          <w:szCs w:val="16"/>
        </w:rPr>
        <w:t>Journal of Pharmaceutical Innovation</w:t>
      </w:r>
      <w:r w:rsidRPr="00400D74">
        <w:rPr>
          <w:rFonts w:ascii="Arial" w:hAnsi="Arial" w:cs="Arial"/>
          <w:sz w:val="20"/>
          <w:szCs w:val="16"/>
        </w:rPr>
        <w:t>, 7(7)</w:t>
      </w:r>
      <w:r>
        <w:rPr>
          <w:rFonts w:ascii="Arial" w:hAnsi="Arial" w:cs="Arial"/>
          <w:sz w:val="20"/>
          <w:szCs w:val="16"/>
        </w:rPr>
        <w:t xml:space="preserve">, </w:t>
      </w:r>
      <w:r w:rsidRPr="00400D74">
        <w:rPr>
          <w:rFonts w:ascii="Arial" w:hAnsi="Arial" w:cs="Arial"/>
          <w:sz w:val="20"/>
          <w:szCs w:val="16"/>
        </w:rPr>
        <w:t>555-558.</w:t>
      </w:r>
    </w:p>
    <w:p w14:paraId="23996CC5"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Harika, M., Gasti, V.</w:t>
      </w:r>
      <w:r>
        <w:rPr>
          <w:rFonts w:ascii="Arial" w:hAnsi="Arial" w:cs="Arial"/>
          <w:sz w:val="20"/>
          <w:szCs w:val="16"/>
        </w:rPr>
        <w:t xml:space="preserve"> </w:t>
      </w:r>
      <w:r w:rsidRPr="00400D74">
        <w:rPr>
          <w:rFonts w:ascii="Arial" w:hAnsi="Arial" w:cs="Arial"/>
          <w:sz w:val="20"/>
          <w:szCs w:val="16"/>
        </w:rPr>
        <w:t xml:space="preserve">D., Shantappa, T., </w:t>
      </w:r>
      <w:proofErr w:type="spellStart"/>
      <w:r w:rsidRPr="00400D74">
        <w:rPr>
          <w:rFonts w:ascii="Arial" w:hAnsi="Arial" w:cs="Arial"/>
          <w:sz w:val="20"/>
          <w:szCs w:val="16"/>
        </w:rPr>
        <w:t>Mulge</w:t>
      </w:r>
      <w:proofErr w:type="spellEnd"/>
      <w:r w:rsidRPr="00400D74">
        <w:rPr>
          <w:rFonts w:ascii="Arial" w:hAnsi="Arial" w:cs="Arial"/>
          <w:sz w:val="20"/>
          <w:szCs w:val="16"/>
        </w:rPr>
        <w:t>, R., Shrol, A.</w:t>
      </w:r>
      <w:r>
        <w:rPr>
          <w:rFonts w:ascii="Arial" w:hAnsi="Arial" w:cs="Arial"/>
          <w:sz w:val="20"/>
          <w:szCs w:val="16"/>
        </w:rPr>
        <w:t xml:space="preserve"> </w:t>
      </w:r>
      <w:r w:rsidRPr="00400D74">
        <w:rPr>
          <w:rFonts w:ascii="Arial" w:hAnsi="Arial" w:cs="Arial"/>
          <w:sz w:val="20"/>
          <w:szCs w:val="16"/>
        </w:rPr>
        <w:t xml:space="preserve">M., </w:t>
      </w:r>
      <w:proofErr w:type="spellStart"/>
      <w:r w:rsidRPr="00400D74">
        <w:rPr>
          <w:rFonts w:ascii="Arial" w:hAnsi="Arial" w:cs="Arial"/>
          <w:sz w:val="20"/>
          <w:szCs w:val="16"/>
        </w:rPr>
        <w:t>Mastiholi</w:t>
      </w:r>
      <w:proofErr w:type="spellEnd"/>
      <w:r w:rsidRPr="00400D74">
        <w:rPr>
          <w:rFonts w:ascii="Arial" w:hAnsi="Arial" w:cs="Arial"/>
          <w:sz w:val="20"/>
          <w:szCs w:val="16"/>
        </w:rPr>
        <w:t>, A.</w:t>
      </w:r>
      <w:r>
        <w:rPr>
          <w:rFonts w:ascii="Arial" w:hAnsi="Arial" w:cs="Arial"/>
          <w:sz w:val="20"/>
          <w:szCs w:val="16"/>
        </w:rPr>
        <w:t xml:space="preserve"> </w:t>
      </w:r>
      <w:r w:rsidRPr="00400D74">
        <w:rPr>
          <w:rFonts w:ascii="Arial" w:hAnsi="Arial" w:cs="Arial"/>
          <w:sz w:val="20"/>
          <w:szCs w:val="16"/>
        </w:rPr>
        <w:t xml:space="preserve">B. </w:t>
      </w:r>
      <w:r>
        <w:rPr>
          <w:rFonts w:ascii="Arial" w:hAnsi="Arial" w:cs="Arial"/>
          <w:sz w:val="20"/>
          <w:szCs w:val="16"/>
        </w:rPr>
        <w:t>&amp;</w:t>
      </w:r>
      <w:r w:rsidRPr="00400D74">
        <w:rPr>
          <w:rFonts w:ascii="Arial" w:hAnsi="Arial" w:cs="Arial"/>
          <w:sz w:val="20"/>
          <w:szCs w:val="16"/>
        </w:rPr>
        <w:t xml:space="preserve"> Kulkarni, M.</w:t>
      </w:r>
      <w:r>
        <w:rPr>
          <w:rFonts w:ascii="Arial" w:hAnsi="Arial" w:cs="Arial"/>
          <w:sz w:val="20"/>
          <w:szCs w:val="16"/>
        </w:rPr>
        <w:t xml:space="preserve"> </w:t>
      </w:r>
      <w:r w:rsidRPr="00400D74">
        <w:rPr>
          <w:rFonts w:ascii="Arial" w:hAnsi="Arial" w:cs="Arial"/>
          <w:sz w:val="20"/>
          <w:szCs w:val="16"/>
        </w:rPr>
        <w:t>S. (2012). Evaluation of bottle gourd genotypes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for various horticultural characters. Karnataka. </w:t>
      </w:r>
      <w:r w:rsidRPr="00853D47">
        <w:rPr>
          <w:rFonts w:ascii="Arial" w:hAnsi="Arial" w:cs="Arial"/>
          <w:i/>
          <w:iCs/>
          <w:sz w:val="20"/>
          <w:szCs w:val="16"/>
        </w:rPr>
        <w:t>Journal of Agricultural Science</w:t>
      </w:r>
      <w:r w:rsidRPr="00400D74">
        <w:rPr>
          <w:rFonts w:ascii="Arial" w:hAnsi="Arial" w:cs="Arial"/>
          <w:sz w:val="20"/>
          <w:szCs w:val="16"/>
        </w:rPr>
        <w:t>, 25(2), 241-244.</w:t>
      </w:r>
    </w:p>
    <w:p w14:paraId="4FEE8DEB"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Kumar, M., Ranjan, A., Kumari, S., Singh, B. K., Kumari, M., Kumari, K.</w:t>
      </w:r>
      <w:r>
        <w:rPr>
          <w:rFonts w:ascii="Arial" w:hAnsi="Arial" w:cs="Arial"/>
          <w:sz w:val="20"/>
          <w:szCs w:val="16"/>
        </w:rPr>
        <w:t xml:space="preserve"> &amp;</w:t>
      </w:r>
      <w:r w:rsidRPr="00400D74">
        <w:rPr>
          <w:rFonts w:ascii="Arial" w:hAnsi="Arial" w:cs="Arial"/>
          <w:sz w:val="20"/>
          <w:szCs w:val="16"/>
        </w:rPr>
        <w:t xml:space="preserve"> Kumar, A. (2020). Effect of plant growth regulators on growth and seed yield of bottle gourd [</w:t>
      </w:r>
      <w:r w:rsidRPr="003343EA">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Journal of Pharmacognosy and Phytochemistry</w:t>
      </w:r>
      <w:r w:rsidRPr="00400D74">
        <w:rPr>
          <w:rFonts w:ascii="Arial" w:hAnsi="Arial" w:cs="Arial"/>
          <w:sz w:val="20"/>
          <w:szCs w:val="16"/>
        </w:rPr>
        <w:t>, 9(2)</w:t>
      </w:r>
      <w:r>
        <w:rPr>
          <w:rFonts w:ascii="Arial" w:hAnsi="Arial" w:cs="Arial"/>
          <w:sz w:val="20"/>
          <w:szCs w:val="16"/>
        </w:rPr>
        <w:t>,</w:t>
      </w:r>
      <w:r w:rsidRPr="00400D74">
        <w:rPr>
          <w:rFonts w:ascii="Arial" w:hAnsi="Arial" w:cs="Arial"/>
          <w:sz w:val="20"/>
          <w:szCs w:val="16"/>
        </w:rPr>
        <w:t xml:space="preserve"> 794-797.</w:t>
      </w:r>
    </w:p>
    <w:p w14:paraId="0DC74DB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Leghari, M.</w:t>
      </w:r>
      <w:r>
        <w:rPr>
          <w:rFonts w:ascii="Arial" w:hAnsi="Arial" w:cs="Arial"/>
          <w:sz w:val="20"/>
          <w:szCs w:val="16"/>
        </w:rPr>
        <w:t xml:space="preserve"> </w:t>
      </w:r>
      <w:r w:rsidRPr="00400D74">
        <w:rPr>
          <w:rFonts w:ascii="Arial" w:hAnsi="Arial" w:cs="Arial"/>
          <w:sz w:val="20"/>
          <w:szCs w:val="16"/>
        </w:rPr>
        <w:t>H., Mugheri, A.</w:t>
      </w:r>
      <w:r>
        <w:rPr>
          <w:rFonts w:ascii="Arial" w:hAnsi="Arial" w:cs="Arial"/>
          <w:sz w:val="20"/>
          <w:szCs w:val="16"/>
        </w:rPr>
        <w:t xml:space="preserve"> </w:t>
      </w:r>
      <w:r w:rsidRPr="00400D74">
        <w:rPr>
          <w:rFonts w:ascii="Arial" w:hAnsi="Arial" w:cs="Arial"/>
          <w:sz w:val="20"/>
          <w:szCs w:val="16"/>
        </w:rPr>
        <w:t>A., Sheikh, S.</w:t>
      </w:r>
      <w:r>
        <w:rPr>
          <w:rFonts w:ascii="Arial" w:hAnsi="Arial" w:cs="Arial"/>
          <w:sz w:val="20"/>
          <w:szCs w:val="16"/>
        </w:rPr>
        <w:t xml:space="preserve"> </w:t>
      </w:r>
      <w:r w:rsidRPr="00400D74">
        <w:rPr>
          <w:rFonts w:ascii="Arial" w:hAnsi="Arial" w:cs="Arial"/>
          <w:sz w:val="20"/>
          <w:szCs w:val="16"/>
        </w:rPr>
        <w:t xml:space="preserve">A.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Wahocho</w:t>
      </w:r>
      <w:proofErr w:type="spellEnd"/>
      <w:r w:rsidRPr="00400D74">
        <w:rPr>
          <w:rFonts w:ascii="Arial" w:hAnsi="Arial" w:cs="Arial"/>
          <w:sz w:val="20"/>
          <w:szCs w:val="16"/>
        </w:rPr>
        <w:t>, N.</w:t>
      </w:r>
      <w:r>
        <w:rPr>
          <w:rFonts w:ascii="Arial" w:hAnsi="Arial" w:cs="Arial"/>
          <w:sz w:val="20"/>
          <w:szCs w:val="16"/>
        </w:rPr>
        <w:t xml:space="preserve"> </w:t>
      </w:r>
      <w:r w:rsidRPr="00400D74">
        <w:rPr>
          <w:rFonts w:ascii="Arial" w:hAnsi="Arial" w:cs="Arial"/>
          <w:sz w:val="20"/>
          <w:szCs w:val="16"/>
        </w:rPr>
        <w:t>A. (2014). Response of nitrogen levels on the growth and yield of bottle gourd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Agronomy and Agricultural Research</w:t>
      </w:r>
      <w:r w:rsidRPr="00400D74">
        <w:rPr>
          <w:rFonts w:ascii="Arial" w:hAnsi="Arial" w:cs="Arial"/>
          <w:sz w:val="20"/>
          <w:szCs w:val="16"/>
        </w:rPr>
        <w:t>, 5(6), 86-92.</w:t>
      </w:r>
    </w:p>
    <w:p w14:paraId="31FDE536"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Mahale, A.</w:t>
      </w:r>
      <w:r>
        <w:rPr>
          <w:rFonts w:ascii="Arial" w:hAnsi="Arial" w:cs="Arial"/>
          <w:sz w:val="20"/>
          <w:szCs w:val="16"/>
        </w:rPr>
        <w:t xml:space="preserve"> </w:t>
      </w:r>
      <w:r w:rsidRPr="00400D74">
        <w:rPr>
          <w:rFonts w:ascii="Arial" w:hAnsi="Arial" w:cs="Arial"/>
          <w:sz w:val="20"/>
          <w:szCs w:val="16"/>
        </w:rPr>
        <w:t xml:space="preserve">G., </w:t>
      </w:r>
      <w:proofErr w:type="spellStart"/>
      <w:r w:rsidRPr="00400D74">
        <w:rPr>
          <w:rFonts w:ascii="Arial" w:hAnsi="Arial" w:cs="Arial"/>
          <w:sz w:val="20"/>
          <w:szCs w:val="16"/>
        </w:rPr>
        <w:t>Dodake</w:t>
      </w:r>
      <w:proofErr w:type="spellEnd"/>
      <w:r w:rsidRPr="00400D74">
        <w:rPr>
          <w:rFonts w:ascii="Arial" w:hAnsi="Arial" w:cs="Arial"/>
          <w:sz w:val="20"/>
          <w:szCs w:val="16"/>
        </w:rPr>
        <w:t>, S.</w:t>
      </w:r>
      <w:r>
        <w:rPr>
          <w:rFonts w:ascii="Arial" w:hAnsi="Arial" w:cs="Arial"/>
          <w:sz w:val="20"/>
          <w:szCs w:val="16"/>
        </w:rPr>
        <w:t xml:space="preserve"> </w:t>
      </w:r>
      <w:r w:rsidRPr="00400D74">
        <w:rPr>
          <w:rFonts w:ascii="Arial" w:hAnsi="Arial" w:cs="Arial"/>
          <w:sz w:val="20"/>
          <w:szCs w:val="16"/>
        </w:rPr>
        <w:t>B., Kasture, M.</w:t>
      </w:r>
      <w:r>
        <w:rPr>
          <w:rFonts w:ascii="Arial" w:hAnsi="Arial" w:cs="Arial"/>
          <w:sz w:val="20"/>
          <w:szCs w:val="16"/>
        </w:rPr>
        <w:t xml:space="preserve"> </w:t>
      </w:r>
      <w:r w:rsidRPr="00400D74">
        <w:rPr>
          <w:rFonts w:ascii="Arial" w:hAnsi="Arial" w:cs="Arial"/>
          <w:sz w:val="20"/>
          <w:szCs w:val="16"/>
        </w:rPr>
        <w:t>C., Jadhav, S.</w:t>
      </w:r>
      <w:r>
        <w:rPr>
          <w:rFonts w:ascii="Arial" w:hAnsi="Arial" w:cs="Arial"/>
          <w:sz w:val="20"/>
          <w:szCs w:val="16"/>
        </w:rPr>
        <w:t xml:space="preserve"> </w:t>
      </w:r>
      <w:r w:rsidRPr="00400D74">
        <w:rPr>
          <w:rFonts w:ascii="Arial" w:hAnsi="Arial" w:cs="Arial"/>
          <w:sz w:val="20"/>
          <w:szCs w:val="16"/>
        </w:rPr>
        <w:t>C., Raut, S.</w:t>
      </w:r>
      <w:r>
        <w:rPr>
          <w:rFonts w:ascii="Arial" w:hAnsi="Arial" w:cs="Arial"/>
          <w:sz w:val="20"/>
          <w:szCs w:val="16"/>
        </w:rPr>
        <w:t xml:space="preserve"> </w:t>
      </w:r>
      <w:r w:rsidRPr="00400D74">
        <w:rPr>
          <w:rFonts w:ascii="Arial" w:hAnsi="Arial" w:cs="Arial"/>
          <w:sz w:val="20"/>
          <w:szCs w:val="16"/>
        </w:rPr>
        <w:t xml:space="preserve">V. </w:t>
      </w:r>
      <w:r>
        <w:rPr>
          <w:rFonts w:ascii="Arial" w:hAnsi="Arial" w:cs="Arial"/>
          <w:sz w:val="20"/>
          <w:szCs w:val="16"/>
        </w:rPr>
        <w:t>&amp;</w:t>
      </w:r>
      <w:r w:rsidRPr="00400D74">
        <w:rPr>
          <w:rFonts w:ascii="Arial" w:hAnsi="Arial" w:cs="Arial"/>
          <w:sz w:val="20"/>
          <w:szCs w:val="16"/>
        </w:rPr>
        <w:t xml:space="preserve"> Kambala, N.</w:t>
      </w:r>
      <w:r>
        <w:rPr>
          <w:rFonts w:ascii="Arial" w:hAnsi="Arial" w:cs="Arial"/>
          <w:sz w:val="20"/>
          <w:szCs w:val="16"/>
        </w:rPr>
        <w:t xml:space="preserve"> </w:t>
      </w:r>
      <w:r w:rsidRPr="00400D74">
        <w:rPr>
          <w:rFonts w:ascii="Arial" w:hAnsi="Arial" w:cs="Arial"/>
          <w:sz w:val="20"/>
          <w:szCs w:val="16"/>
        </w:rPr>
        <w:t>A. (2018). Effect of integrated nutrient management on snake gourd (</w:t>
      </w:r>
      <w:proofErr w:type="spellStart"/>
      <w:r w:rsidRPr="00A84160">
        <w:rPr>
          <w:rFonts w:ascii="Arial" w:hAnsi="Arial" w:cs="Arial"/>
          <w:i/>
          <w:iCs/>
          <w:sz w:val="20"/>
          <w:szCs w:val="16"/>
        </w:rPr>
        <w:t>Trichosanthes</w:t>
      </w:r>
      <w:proofErr w:type="spellEnd"/>
      <w:r w:rsidRPr="00A84160">
        <w:rPr>
          <w:rFonts w:ascii="Arial" w:hAnsi="Arial" w:cs="Arial"/>
          <w:i/>
          <w:iCs/>
          <w:sz w:val="20"/>
          <w:szCs w:val="16"/>
        </w:rPr>
        <w:t xml:space="preserve"> </w:t>
      </w:r>
      <w:proofErr w:type="spellStart"/>
      <w:r w:rsidRPr="00A84160">
        <w:rPr>
          <w:rFonts w:ascii="Arial" w:hAnsi="Arial" w:cs="Arial"/>
          <w:i/>
          <w:iCs/>
          <w:sz w:val="20"/>
          <w:szCs w:val="16"/>
        </w:rPr>
        <w:t>anguina</w:t>
      </w:r>
      <w:proofErr w:type="spellEnd"/>
      <w:r w:rsidRPr="00400D74">
        <w:rPr>
          <w:rFonts w:ascii="Arial" w:hAnsi="Arial" w:cs="Arial"/>
          <w:sz w:val="20"/>
          <w:szCs w:val="16"/>
        </w:rPr>
        <w:t xml:space="preserve"> L.).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 xml:space="preserve">, </w:t>
      </w:r>
      <w:r w:rsidRPr="00400D74">
        <w:rPr>
          <w:rFonts w:ascii="Arial" w:hAnsi="Arial" w:cs="Arial"/>
          <w:sz w:val="20"/>
          <w:szCs w:val="16"/>
        </w:rPr>
        <w:t>1114-1118.</w:t>
      </w:r>
    </w:p>
    <w:p w14:paraId="744F2021" w14:textId="00C91FB6"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Mandloi</w:t>
      </w:r>
      <w:proofErr w:type="spellEnd"/>
      <w:r w:rsidRPr="00400D74">
        <w:rPr>
          <w:rFonts w:ascii="Arial" w:hAnsi="Arial" w:cs="Arial"/>
          <w:sz w:val="20"/>
          <w:szCs w:val="16"/>
        </w:rPr>
        <w:t xml:space="preserve">, S., Tomar, A.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Barche</w:t>
      </w:r>
      <w:proofErr w:type="spellEnd"/>
      <w:r w:rsidRPr="00400D74">
        <w:rPr>
          <w:rFonts w:ascii="Arial" w:hAnsi="Arial" w:cs="Arial"/>
          <w:sz w:val="20"/>
          <w:szCs w:val="16"/>
        </w:rPr>
        <w:t>, S. (2022). Integrated Nutrient Management in Bottle gourd [</w:t>
      </w:r>
      <w:r w:rsidRPr="00F762C6">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variety Kashi Ganga under Malwa condition of Madhya Pradesh. </w:t>
      </w:r>
      <w:r w:rsidRPr="00853D47">
        <w:rPr>
          <w:rFonts w:ascii="Arial" w:hAnsi="Arial" w:cs="Arial"/>
          <w:i/>
          <w:iCs/>
          <w:sz w:val="20"/>
          <w:szCs w:val="16"/>
        </w:rPr>
        <w:t>International Journal of Current Science Research and Review</w:t>
      </w:r>
      <w:r w:rsidRPr="00400D74">
        <w:rPr>
          <w:rFonts w:ascii="Arial" w:hAnsi="Arial" w:cs="Arial"/>
          <w:sz w:val="20"/>
          <w:szCs w:val="16"/>
        </w:rPr>
        <w:t>, 5(8)</w:t>
      </w:r>
      <w:r>
        <w:rPr>
          <w:rFonts w:ascii="Arial" w:hAnsi="Arial" w:cs="Arial"/>
          <w:sz w:val="20"/>
          <w:szCs w:val="16"/>
        </w:rPr>
        <w:t>,</w:t>
      </w:r>
      <w:r w:rsidRPr="00400D74">
        <w:rPr>
          <w:rFonts w:ascii="Arial" w:hAnsi="Arial" w:cs="Arial"/>
          <w:sz w:val="20"/>
          <w:szCs w:val="16"/>
        </w:rPr>
        <w:t xml:space="preserve"> 3034-3040.</w:t>
      </w:r>
    </w:p>
    <w:p w14:paraId="1A909830"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Nagar, M., Soni, A. K. &amp; </w:t>
      </w:r>
      <w:proofErr w:type="spellStart"/>
      <w:r w:rsidRPr="00697D44">
        <w:rPr>
          <w:rFonts w:ascii="Arial" w:hAnsi="Arial" w:cs="Arial"/>
          <w:sz w:val="20"/>
          <w:szCs w:val="16"/>
        </w:rPr>
        <w:t>Sarolia</w:t>
      </w:r>
      <w:proofErr w:type="spellEnd"/>
      <w:r w:rsidRPr="00697D44">
        <w:rPr>
          <w:rFonts w:ascii="Arial" w:hAnsi="Arial" w:cs="Arial"/>
          <w:sz w:val="20"/>
          <w:szCs w:val="16"/>
        </w:rPr>
        <w:t xml:space="preserve">, D. K. (2017). </w:t>
      </w:r>
      <w:r w:rsidRPr="00400D74">
        <w:rPr>
          <w:rFonts w:ascii="Arial" w:hAnsi="Arial" w:cs="Arial"/>
          <w:sz w:val="20"/>
          <w:szCs w:val="16"/>
        </w:rPr>
        <w:t>Effect of organic manures and different levels of NPK on growth and quality of bottle gourd [</w:t>
      </w:r>
      <w:r w:rsidRPr="00514822">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6(5)</w:t>
      </w:r>
      <w:r>
        <w:rPr>
          <w:rFonts w:ascii="Arial" w:hAnsi="Arial" w:cs="Arial"/>
          <w:sz w:val="20"/>
          <w:szCs w:val="16"/>
        </w:rPr>
        <w:t>,</w:t>
      </w:r>
      <w:r w:rsidRPr="00400D74">
        <w:rPr>
          <w:rFonts w:ascii="Arial" w:hAnsi="Arial" w:cs="Arial"/>
          <w:sz w:val="20"/>
          <w:szCs w:val="16"/>
        </w:rPr>
        <w:t xml:space="preserve"> 1776-1780.</w:t>
      </w:r>
    </w:p>
    <w:p w14:paraId="382B2934"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 xml:space="preserve">Niharika, Deepanshu, Singh, D. </w:t>
      </w:r>
      <w:r>
        <w:rPr>
          <w:rFonts w:ascii="Arial" w:hAnsi="Arial" w:cs="Arial"/>
          <w:sz w:val="20"/>
          <w:szCs w:val="16"/>
        </w:rPr>
        <w:t>&amp;</w:t>
      </w:r>
      <w:r w:rsidRPr="00400D74">
        <w:rPr>
          <w:rFonts w:ascii="Arial" w:hAnsi="Arial" w:cs="Arial"/>
          <w:sz w:val="20"/>
          <w:szCs w:val="16"/>
        </w:rPr>
        <w:t xml:space="preserve"> Marak, A.</w:t>
      </w:r>
      <w:r>
        <w:rPr>
          <w:rFonts w:ascii="Arial" w:hAnsi="Arial" w:cs="Arial"/>
          <w:sz w:val="20"/>
          <w:szCs w:val="16"/>
        </w:rPr>
        <w:t xml:space="preserve"> </w:t>
      </w:r>
      <w:r w:rsidRPr="00400D74">
        <w:rPr>
          <w:rFonts w:ascii="Arial" w:hAnsi="Arial" w:cs="Arial"/>
          <w:sz w:val="20"/>
          <w:szCs w:val="16"/>
        </w:rPr>
        <w:t>C.</w:t>
      </w:r>
      <w:r>
        <w:rPr>
          <w:rFonts w:ascii="Arial" w:hAnsi="Arial" w:cs="Arial"/>
          <w:sz w:val="20"/>
          <w:szCs w:val="16"/>
        </w:rPr>
        <w:t xml:space="preserve"> </w:t>
      </w:r>
      <w:r w:rsidRPr="00400D74">
        <w:rPr>
          <w:rFonts w:ascii="Arial" w:hAnsi="Arial" w:cs="Arial"/>
          <w:sz w:val="20"/>
          <w:szCs w:val="16"/>
        </w:rPr>
        <w:t>M. (2023). Effect of Different Inorganic Fertilizers and Bio-Fertilizers on Growth, Yield and Quality of Sponge Gourd (</w:t>
      </w:r>
      <w:r w:rsidRPr="00D14409">
        <w:rPr>
          <w:rFonts w:ascii="Arial" w:hAnsi="Arial" w:cs="Arial"/>
          <w:i/>
          <w:iCs/>
          <w:sz w:val="20"/>
          <w:szCs w:val="16"/>
        </w:rPr>
        <w:t>Luffa cylindrica</w:t>
      </w:r>
      <w:r w:rsidRPr="00400D74">
        <w:rPr>
          <w:rFonts w:ascii="Arial" w:hAnsi="Arial" w:cs="Arial"/>
          <w:sz w:val="20"/>
          <w:szCs w:val="16"/>
        </w:rPr>
        <w:t xml:space="preserve"> L.). </w:t>
      </w:r>
      <w:r w:rsidRPr="00853D47">
        <w:rPr>
          <w:rFonts w:ascii="Arial" w:hAnsi="Arial" w:cs="Arial"/>
          <w:i/>
          <w:iCs/>
          <w:sz w:val="20"/>
          <w:szCs w:val="16"/>
        </w:rPr>
        <w:t>International Journal of Environment and Climate Change</w:t>
      </w:r>
      <w:r w:rsidRPr="00400D74">
        <w:rPr>
          <w:rFonts w:ascii="Arial" w:hAnsi="Arial" w:cs="Arial"/>
          <w:sz w:val="20"/>
          <w:szCs w:val="16"/>
        </w:rPr>
        <w:t>, 13(9)</w:t>
      </w:r>
      <w:r>
        <w:rPr>
          <w:rFonts w:ascii="Arial" w:hAnsi="Arial" w:cs="Arial"/>
          <w:sz w:val="20"/>
          <w:szCs w:val="16"/>
        </w:rPr>
        <w:t>,</w:t>
      </w:r>
      <w:r w:rsidRPr="00400D74">
        <w:rPr>
          <w:rFonts w:ascii="Arial" w:hAnsi="Arial" w:cs="Arial"/>
          <w:sz w:val="20"/>
          <w:szCs w:val="16"/>
        </w:rPr>
        <w:t xml:space="preserve"> 3426-3433. </w:t>
      </w:r>
    </w:p>
    <w:p w14:paraId="6AD87978"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Panse, V.</w:t>
      </w:r>
      <w:r>
        <w:rPr>
          <w:rFonts w:ascii="Arial" w:hAnsi="Arial" w:cs="Arial"/>
          <w:sz w:val="20"/>
          <w:szCs w:val="16"/>
        </w:rPr>
        <w:t xml:space="preserve"> </w:t>
      </w:r>
      <w:r w:rsidRPr="00400D74">
        <w:rPr>
          <w:rFonts w:ascii="Arial" w:hAnsi="Arial" w:cs="Arial"/>
          <w:sz w:val="20"/>
          <w:szCs w:val="16"/>
        </w:rPr>
        <w:t xml:space="preserve">G.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Sukhatme</w:t>
      </w:r>
      <w:proofErr w:type="spellEnd"/>
      <w:r w:rsidRPr="00400D74">
        <w:rPr>
          <w:rFonts w:ascii="Arial" w:hAnsi="Arial" w:cs="Arial"/>
          <w:sz w:val="20"/>
          <w:szCs w:val="16"/>
        </w:rPr>
        <w:t>, P.</w:t>
      </w:r>
      <w:r>
        <w:rPr>
          <w:rFonts w:ascii="Arial" w:hAnsi="Arial" w:cs="Arial"/>
          <w:sz w:val="20"/>
          <w:szCs w:val="16"/>
        </w:rPr>
        <w:t xml:space="preserve"> </w:t>
      </w:r>
      <w:r w:rsidRPr="00400D74">
        <w:rPr>
          <w:rFonts w:ascii="Arial" w:hAnsi="Arial" w:cs="Arial"/>
          <w:sz w:val="20"/>
          <w:szCs w:val="16"/>
        </w:rPr>
        <w:t>V. (1985). Statistical methods for agricultural workers. Fourth Enlarged Edition, ICAR publication, New Delhi.</w:t>
      </w:r>
    </w:p>
    <w:p w14:paraId="0DB8D8A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 xml:space="preserve">Patel, P., Patel, K, D., </w:t>
      </w:r>
      <w:proofErr w:type="spellStart"/>
      <w:r w:rsidRPr="00400D74">
        <w:rPr>
          <w:rFonts w:ascii="Arial" w:hAnsi="Arial" w:cs="Arial"/>
          <w:sz w:val="20"/>
          <w:szCs w:val="16"/>
        </w:rPr>
        <w:t>Mavdiya</w:t>
      </w:r>
      <w:proofErr w:type="spellEnd"/>
      <w:r w:rsidRPr="00400D74">
        <w:rPr>
          <w:rFonts w:ascii="Arial" w:hAnsi="Arial" w:cs="Arial"/>
          <w:sz w:val="20"/>
          <w:szCs w:val="16"/>
        </w:rPr>
        <w:t xml:space="preserve">, V., Patel, H.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Adodariya</w:t>
      </w:r>
      <w:proofErr w:type="spellEnd"/>
      <w:r w:rsidRPr="00400D74">
        <w:rPr>
          <w:rFonts w:ascii="Arial" w:hAnsi="Arial" w:cs="Arial"/>
          <w:sz w:val="20"/>
          <w:szCs w:val="16"/>
        </w:rPr>
        <w:t>, B. (2019). Effect of organic fertilizers on growth and yield attributes of bitter gourd (</w:t>
      </w:r>
      <w:r w:rsidRPr="00CA2514">
        <w:rPr>
          <w:rFonts w:ascii="Arial" w:hAnsi="Arial" w:cs="Arial"/>
          <w:i/>
          <w:iCs/>
          <w:sz w:val="20"/>
          <w:szCs w:val="16"/>
        </w:rPr>
        <w:t xml:space="preserve">Momordica </w:t>
      </w:r>
      <w:proofErr w:type="spellStart"/>
      <w:r w:rsidRPr="00CA2514">
        <w:rPr>
          <w:rFonts w:ascii="Arial" w:hAnsi="Arial" w:cs="Arial"/>
          <w:i/>
          <w:iCs/>
          <w:sz w:val="20"/>
          <w:szCs w:val="16"/>
        </w:rPr>
        <w:t>charantia</w:t>
      </w:r>
      <w:proofErr w:type="spellEnd"/>
      <w:r w:rsidRPr="00400D74">
        <w:rPr>
          <w:rFonts w:ascii="Arial" w:hAnsi="Arial" w:cs="Arial"/>
          <w:sz w:val="20"/>
          <w:szCs w:val="16"/>
        </w:rPr>
        <w:t xml:space="preserve"> L.). </w:t>
      </w:r>
      <w:r w:rsidRPr="00853D47">
        <w:rPr>
          <w:rFonts w:ascii="Arial" w:hAnsi="Arial" w:cs="Arial"/>
          <w:i/>
          <w:iCs/>
          <w:sz w:val="20"/>
          <w:szCs w:val="16"/>
        </w:rPr>
        <w:t>International Journal of Chemical Studies</w:t>
      </w:r>
      <w:r w:rsidRPr="00400D74">
        <w:rPr>
          <w:rFonts w:ascii="Arial" w:hAnsi="Arial" w:cs="Arial"/>
          <w:sz w:val="20"/>
          <w:szCs w:val="16"/>
        </w:rPr>
        <w:t>, 7(4)</w:t>
      </w:r>
      <w:r>
        <w:rPr>
          <w:rFonts w:ascii="Arial" w:hAnsi="Arial" w:cs="Arial"/>
          <w:sz w:val="20"/>
          <w:szCs w:val="16"/>
        </w:rPr>
        <w:t>,</w:t>
      </w:r>
      <w:r w:rsidRPr="00400D74">
        <w:rPr>
          <w:rFonts w:ascii="Arial" w:hAnsi="Arial" w:cs="Arial"/>
          <w:sz w:val="20"/>
          <w:szCs w:val="16"/>
        </w:rPr>
        <w:t xml:space="preserve"> 514-516. </w:t>
      </w:r>
    </w:p>
    <w:p w14:paraId="075CFD81"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Pathak, M., Dash, S. K., Sahu, G. S., Tripathy, P.</w:t>
      </w:r>
      <w:r>
        <w:rPr>
          <w:rFonts w:ascii="Arial" w:hAnsi="Arial" w:cs="Arial"/>
          <w:sz w:val="20"/>
          <w:szCs w:val="16"/>
        </w:rPr>
        <w:t xml:space="preserve"> &amp;</w:t>
      </w:r>
      <w:r w:rsidRPr="00400D74">
        <w:rPr>
          <w:rFonts w:ascii="Arial" w:hAnsi="Arial" w:cs="Arial"/>
          <w:sz w:val="20"/>
          <w:szCs w:val="16"/>
        </w:rPr>
        <w:t xml:space="preserve"> Mishra, A. (2022). Effect of Different Nutrient Management Sources on the Vegetative Growth, Flowering and Sex Expression of the Bottle Gourd [</w:t>
      </w:r>
      <w:r w:rsidRPr="001336D7">
        <w:rPr>
          <w:rFonts w:ascii="Arial" w:hAnsi="Arial" w:cs="Arial"/>
          <w:i/>
          <w:iCs/>
          <w:sz w:val="20"/>
          <w:szCs w:val="16"/>
        </w:rPr>
        <w:t>Lagenaria siceraria</w:t>
      </w:r>
      <w:r w:rsidRPr="00400D74">
        <w:rPr>
          <w:rFonts w:ascii="Arial" w:hAnsi="Arial" w:cs="Arial"/>
          <w:sz w:val="20"/>
          <w:szCs w:val="16"/>
        </w:rPr>
        <w:t xml:space="preserve"> L.] cv BBOG-3-1. </w:t>
      </w:r>
      <w:r w:rsidRPr="00853D47">
        <w:rPr>
          <w:rFonts w:ascii="Arial" w:hAnsi="Arial" w:cs="Arial"/>
          <w:i/>
          <w:iCs/>
          <w:sz w:val="20"/>
          <w:szCs w:val="16"/>
        </w:rPr>
        <w:t>International Journal of Plant &amp; Soil Science</w:t>
      </w:r>
      <w:r w:rsidRPr="00400D74">
        <w:rPr>
          <w:rFonts w:ascii="Arial" w:hAnsi="Arial" w:cs="Arial"/>
          <w:sz w:val="20"/>
          <w:szCs w:val="16"/>
        </w:rPr>
        <w:t>,</w:t>
      </w:r>
      <w:r>
        <w:rPr>
          <w:rFonts w:ascii="Arial" w:hAnsi="Arial" w:cs="Arial"/>
          <w:sz w:val="20"/>
          <w:szCs w:val="16"/>
        </w:rPr>
        <w:t xml:space="preserve"> </w:t>
      </w:r>
      <w:r w:rsidRPr="00400D74">
        <w:rPr>
          <w:rFonts w:ascii="Arial" w:hAnsi="Arial" w:cs="Arial"/>
          <w:sz w:val="20"/>
          <w:szCs w:val="16"/>
        </w:rPr>
        <w:t>34(20)</w:t>
      </w:r>
      <w:r>
        <w:rPr>
          <w:rFonts w:ascii="Arial" w:hAnsi="Arial" w:cs="Arial"/>
          <w:sz w:val="20"/>
          <w:szCs w:val="16"/>
        </w:rPr>
        <w:t>,</w:t>
      </w:r>
      <w:r w:rsidRPr="00400D74">
        <w:rPr>
          <w:rFonts w:ascii="Arial" w:hAnsi="Arial" w:cs="Arial"/>
          <w:sz w:val="20"/>
          <w:szCs w:val="16"/>
        </w:rPr>
        <w:t xml:space="preserve"> 194-201.</w:t>
      </w:r>
    </w:p>
    <w:p w14:paraId="1575E820" w14:textId="77777777"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Patle</w:t>
      </w:r>
      <w:proofErr w:type="spellEnd"/>
      <w:r w:rsidRPr="00400D74">
        <w:rPr>
          <w:rFonts w:ascii="Arial" w:hAnsi="Arial" w:cs="Arial"/>
          <w:sz w:val="20"/>
          <w:szCs w:val="16"/>
        </w:rPr>
        <w:t>, B. J., Wagh, A.</w:t>
      </w:r>
      <w:r>
        <w:rPr>
          <w:rFonts w:ascii="Arial" w:hAnsi="Arial" w:cs="Arial"/>
          <w:sz w:val="20"/>
          <w:szCs w:val="16"/>
        </w:rPr>
        <w:t xml:space="preserve"> </w:t>
      </w:r>
      <w:r w:rsidRPr="00400D74">
        <w:rPr>
          <w:rFonts w:ascii="Arial" w:hAnsi="Arial" w:cs="Arial"/>
          <w:sz w:val="20"/>
          <w:szCs w:val="16"/>
        </w:rPr>
        <w:t xml:space="preserve">P., Umbarkar, P. S. </w:t>
      </w:r>
      <w:r>
        <w:rPr>
          <w:rFonts w:ascii="Arial" w:hAnsi="Arial" w:cs="Arial"/>
          <w:sz w:val="20"/>
          <w:szCs w:val="16"/>
        </w:rPr>
        <w:t>&amp;</w:t>
      </w:r>
      <w:r w:rsidRPr="00400D74">
        <w:rPr>
          <w:rFonts w:ascii="Arial" w:hAnsi="Arial" w:cs="Arial"/>
          <w:sz w:val="20"/>
          <w:szCs w:val="16"/>
        </w:rPr>
        <w:t xml:space="preserve"> Bondre, S. V. (2018). Integrated nutrient management studies in bottle gourd.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1383-1385.</w:t>
      </w:r>
    </w:p>
    <w:p w14:paraId="6756D82F"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Rabari, S. S., </w:t>
      </w:r>
      <w:proofErr w:type="spellStart"/>
      <w:r w:rsidRPr="00697D44">
        <w:rPr>
          <w:rFonts w:ascii="Arial" w:hAnsi="Arial" w:cs="Arial"/>
          <w:sz w:val="20"/>
          <w:szCs w:val="16"/>
        </w:rPr>
        <w:t>Vadodaria</w:t>
      </w:r>
      <w:proofErr w:type="spellEnd"/>
      <w:r w:rsidRPr="00697D44">
        <w:rPr>
          <w:rFonts w:ascii="Arial" w:hAnsi="Arial" w:cs="Arial"/>
          <w:sz w:val="20"/>
          <w:szCs w:val="16"/>
        </w:rPr>
        <w:t xml:space="preserve">, J. R., More, S. G., Acharya, M. D. &amp; Chaudhary, B. M. (2019). </w:t>
      </w:r>
      <w:r w:rsidRPr="00400D74">
        <w:rPr>
          <w:rFonts w:ascii="Arial" w:hAnsi="Arial" w:cs="Arial"/>
          <w:sz w:val="20"/>
          <w:szCs w:val="16"/>
        </w:rPr>
        <w:t>Effect of different organic sources of nitrogen with biofertilizers on plant growth, flowering and sex expression of bottle gourd (</w:t>
      </w:r>
      <w:r w:rsidRPr="007C630D">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cv. Pusa Naveen. </w:t>
      </w:r>
      <w:r w:rsidRPr="00853D47">
        <w:rPr>
          <w:rFonts w:ascii="Arial" w:hAnsi="Arial" w:cs="Arial"/>
          <w:i/>
          <w:iCs/>
          <w:sz w:val="20"/>
          <w:szCs w:val="16"/>
        </w:rPr>
        <w:t>Journal of Entomology and Zoology Studies</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1092-1095.</w:t>
      </w:r>
    </w:p>
    <w:p w14:paraId="09B064A2"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Shah, P.</w:t>
      </w:r>
      <w:r>
        <w:rPr>
          <w:rFonts w:ascii="Arial" w:hAnsi="Arial" w:cs="Arial"/>
          <w:sz w:val="20"/>
          <w:szCs w:val="16"/>
        </w:rPr>
        <w:t xml:space="preserve"> </w:t>
      </w:r>
      <w:r w:rsidRPr="00400D74">
        <w:rPr>
          <w:rFonts w:ascii="Arial" w:hAnsi="Arial" w:cs="Arial"/>
          <w:sz w:val="20"/>
          <w:szCs w:val="16"/>
        </w:rPr>
        <w:t xml:space="preserve">S., Nabi, G., Khan, M., Hussain, S. </w:t>
      </w:r>
      <w:r>
        <w:rPr>
          <w:rFonts w:ascii="Arial" w:hAnsi="Arial" w:cs="Arial"/>
          <w:sz w:val="20"/>
          <w:szCs w:val="16"/>
        </w:rPr>
        <w:t>&amp;</w:t>
      </w:r>
      <w:r w:rsidRPr="00400D74">
        <w:rPr>
          <w:rFonts w:ascii="Arial" w:hAnsi="Arial" w:cs="Arial"/>
          <w:sz w:val="20"/>
          <w:szCs w:val="16"/>
        </w:rPr>
        <w:t xml:space="preserve"> Jan, J.</w:t>
      </w:r>
      <w:r>
        <w:rPr>
          <w:rFonts w:ascii="Arial" w:hAnsi="Arial" w:cs="Arial"/>
          <w:sz w:val="20"/>
          <w:szCs w:val="16"/>
        </w:rPr>
        <w:t xml:space="preserve"> </w:t>
      </w:r>
      <w:r w:rsidRPr="00400D74">
        <w:rPr>
          <w:rFonts w:ascii="Arial" w:hAnsi="Arial" w:cs="Arial"/>
          <w:sz w:val="20"/>
          <w:szCs w:val="16"/>
        </w:rPr>
        <w:t xml:space="preserve">A. (2020). Performance of sponge gourd cultivars under organic and inorganic fertilizer regimes. </w:t>
      </w:r>
      <w:r w:rsidRPr="00853D47">
        <w:rPr>
          <w:rFonts w:ascii="Arial" w:hAnsi="Arial" w:cs="Arial"/>
          <w:i/>
          <w:iCs/>
          <w:sz w:val="20"/>
          <w:szCs w:val="16"/>
        </w:rPr>
        <w:t>Sarhad Journal of Agriculture</w:t>
      </w:r>
      <w:r w:rsidRPr="00400D74">
        <w:rPr>
          <w:rFonts w:ascii="Arial" w:hAnsi="Arial" w:cs="Arial"/>
          <w:sz w:val="20"/>
          <w:szCs w:val="16"/>
        </w:rPr>
        <w:t>, 36(2)</w:t>
      </w:r>
      <w:r>
        <w:rPr>
          <w:rFonts w:ascii="Arial" w:hAnsi="Arial" w:cs="Arial"/>
          <w:sz w:val="20"/>
          <w:szCs w:val="16"/>
        </w:rPr>
        <w:t>,</w:t>
      </w:r>
      <w:r w:rsidRPr="00400D74">
        <w:rPr>
          <w:rFonts w:ascii="Arial" w:hAnsi="Arial" w:cs="Arial"/>
          <w:sz w:val="20"/>
          <w:szCs w:val="16"/>
        </w:rPr>
        <w:t xml:space="preserve"> 478-488.</w:t>
      </w:r>
    </w:p>
    <w:p w14:paraId="4F11615C" w14:textId="0262312C"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Shree, S., Regar, C.</w:t>
      </w:r>
      <w:r>
        <w:rPr>
          <w:rFonts w:ascii="Arial" w:hAnsi="Arial" w:cs="Arial"/>
          <w:sz w:val="20"/>
          <w:szCs w:val="16"/>
        </w:rPr>
        <w:t xml:space="preserve"> </w:t>
      </w:r>
      <w:r w:rsidRPr="00400D74">
        <w:rPr>
          <w:rFonts w:ascii="Arial" w:hAnsi="Arial" w:cs="Arial"/>
          <w:sz w:val="20"/>
          <w:szCs w:val="16"/>
        </w:rPr>
        <w:t>L., Ahmad, F., Singh, V.</w:t>
      </w:r>
      <w:r>
        <w:rPr>
          <w:rFonts w:ascii="Arial" w:hAnsi="Arial" w:cs="Arial"/>
          <w:sz w:val="20"/>
          <w:szCs w:val="16"/>
        </w:rPr>
        <w:t xml:space="preserve"> </w:t>
      </w:r>
      <w:r w:rsidRPr="00400D74">
        <w:rPr>
          <w:rFonts w:ascii="Arial" w:hAnsi="Arial" w:cs="Arial"/>
          <w:sz w:val="20"/>
          <w:szCs w:val="16"/>
        </w:rPr>
        <w:t xml:space="preserve">K., Kumari, R. </w:t>
      </w:r>
      <w:r>
        <w:rPr>
          <w:rFonts w:ascii="Arial" w:hAnsi="Arial" w:cs="Arial"/>
          <w:sz w:val="20"/>
          <w:szCs w:val="16"/>
        </w:rPr>
        <w:t>&amp;</w:t>
      </w:r>
      <w:r w:rsidRPr="00400D74">
        <w:rPr>
          <w:rFonts w:ascii="Arial" w:hAnsi="Arial" w:cs="Arial"/>
          <w:sz w:val="20"/>
          <w:szCs w:val="16"/>
        </w:rPr>
        <w:t xml:space="preserve"> Kumari, A. (2018). Effect of Organic and Inorganic Fertilizers on growth, yield and quality attributes of hybrid bitter gourd (</w:t>
      </w:r>
      <w:r w:rsidRPr="00C47592">
        <w:rPr>
          <w:rFonts w:ascii="Arial" w:hAnsi="Arial" w:cs="Arial"/>
          <w:i/>
          <w:iCs/>
          <w:sz w:val="20"/>
          <w:szCs w:val="16"/>
        </w:rPr>
        <w:t xml:space="preserve">Momordica </w:t>
      </w:r>
      <w:proofErr w:type="spellStart"/>
      <w:r w:rsidRPr="00C47592">
        <w:rPr>
          <w:rFonts w:ascii="Arial" w:hAnsi="Arial" w:cs="Arial"/>
          <w:i/>
          <w:iCs/>
          <w:sz w:val="20"/>
          <w:szCs w:val="16"/>
        </w:rPr>
        <w:t>charantia</w:t>
      </w:r>
      <w:proofErr w:type="spellEnd"/>
      <w:r w:rsidRPr="00400D74">
        <w:rPr>
          <w:rFonts w:ascii="Arial" w:hAnsi="Arial" w:cs="Arial"/>
          <w:sz w:val="20"/>
          <w:szCs w:val="16"/>
        </w:rPr>
        <w:t xml:space="preserve"> L.)</w:t>
      </w:r>
      <w:r w:rsidR="001336D7">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7(4)</w:t>
      </w:r>
      <w:r>
        <w:rPr>
          <w:rFonts w:ascii="Arial" w:hAnsi="Arial" w:cs="Arial"/>
          <w:sz w:val="20"/>
          <w:szCs w:val="16"/>
        </w:rPr>
        <w:t xml:space="preserve">, </w:t>
      </w:r>
      <w:r w:rsidRPr="00400D74">
        <w:rPr>
          <w:rFonts w:ascii="Arial" w:hAnsi="Arial" w:cs="Arial"/>
          <w:sz w:val="20"/>
          <w:szCs w:val="16"/>
        </w:rPr>
        <w:t>2256-2266.</w:t>
      </w:r>
    </w:p>
    <w:p w14:paraId="68D0DD56" w14:textId="77777777" w:rsidR="00F67D64" w:rsidRPr="0029236F" w:rsidRDefault="00F67D64" w:rsidP="00E63601">
      <w:pPr>
        <w:ind w:left="851" w:hanging="851"/>
        <w:rPr>
          <w:rFonts w:ascii="Arial" w:eastAsia="CIDFont+F5" w:hAnsi="Arial" w:cs="Arial"/>
          <w:sz w:val="20"/>
          <w:szCs w:val="17"/>
          <w:lang w:val="en-US"/>
        </w:rPr>
      </w:pPr>
      <w:r w:rsidRPr="0029236F">
        <w:rPr>
          <w:rFonts w:ascii="Arial" w:hAnsi="Arial" w:cs="Arial"/>
          <w:sz w:val="20"/>
          <w:szCs w:val="18"/>
        </w:rPr>
        <w:t>Singh, J., Singh, M. K., Kumar, M., Kumar, V., Singh, K. P. &amp; Omid, A. Q. (2018). Effect of integrated nutrient management on growth, flowering and yield attributes of cucumber (</w:t>
      </w:r>
      <w:r w:rsidRPr="00A847CA">
        <w:rPr>
          <w:rFonts w:ascii="Arial" w:hAnsi="Arial" w:cs="Arial"/>
          <w:i/>
          <w:iCs/>
          <w:sz w:val="20"/>
          <w:szCs w:val="18"/>
        </w:rPr>
        <w:t>Cucumis sativus</w:t>
      </w:r>
      <w:r w:rsidRPr="0029236F">
        <w:rPr>
          <w:rFonts w:ascii="Arial" w:hAnsi="Arial" w:cs="Arial"/>
          <w:sz w:val="20"/>
          <w:szCs w:val="18"/>
        </w:rPr>
        <w:t xml:space="preserve"> L.). </w:t>
      </w:r>
      <w:r w:rsidRPr="00853D47">
        <w:rPr>
          <w:rFonts w:ascii="Arial" w:hAnsi="Arial" w:cs="Arial"/>
          <w:i/>
          <w:iCs/>
          <w:sz w:val="20"/>
          <w:szCs w:val="16"/>
        </w:rPr>
        <w:t>International Journal of Chemical Studies</w:t>
      </w:r>
      <w:r w:rsidRPr="0029236F">
        <w:rPr>
          <w:rFonts w:ascii="Arial" w:eastAsia="CIDFont+F5" w:hAnsi="Arial" w:cs="Arial"/>
          <w:sz w:val="20"/>
          <w:szCs w:val="17"/>
          <w:lang w:val="en-US"/>
        </w:rPr>
        <w:t xml:space="preserve">, </w:t>
      </w:r>
      <w:r w:rsidRPr="00A847CA">
        <w:rPr>
          <w:rFonts w:ascii="Arial" w:eastAsia="CIDFont+F5" w:hAnsi="Arial" w:cs="Arial"/>
          <w:bCs/>
          <w:sz w:val="20"/>
          <w:szCs w:val="17"/>
          <w:lang w:val="en-US"/>
        </w:rPr>
        <w:t>6</w:t>
      </w:r>
      <w:r w:rsidRPr="0029236F">
        <w:rPr>
          <w:rFonts w:ascii="Arial" w:eastAsia="CIDFont+F5" w:hAnsi="Arial" w:cs="Arial"/>
          <w:sz w:val="20"/>
          <w:szCs w:val="17"/>
          <w:lang w:val="en-US"/>
        </w:rPr>
        <w:t>(4)</w:t>
      </w:r>
      <w:r>
        <w:rPr>
          <w:rFonts w:ascii="Arial" w:eastAsia="CIDFont+F5" w:hAnsi="Arial" w:cs="Arial"/>
          <w:sz w:val="20"/>
          <w:szCs w:val="17"/>
          <w:lang w:val="en-US"/>
        </w:rPr>
        <w:t>,</w:t>
      </w:r>
      <w:r w:rsidRPr="0029236F">
        <w:rPr>
          <w:rFonts w:ascii="Arial" w:eastAsia="CIDFont+F5" w:hAnsi="Arial" w:cs="Arial"/>
          <w:sz w:val="20"/>
          <w:szCs w:val="17"/>
          <w:lang w:val="en-US"/>
        </w:rPr>
        <w:t xml:space="preserve"> 567-522.</w:t>
      </w:r>
    </w:p>
    <w:p w14:paraId="2FC8210F" w14:textId="4D94A5C0"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lastRenderedPageBreak/>
        <w:t>Tirumalesh</w:t>
      </w:r>
      <w:proofErr w:type="spellEnd"/>
      <w:r w:rsidRPr="00400D74">
        <w:rPr>
          <w:rFonts w:ascii="Arial" w:hAnsi="Arial" w:cs="Arial"/>
          <w:sz w:val="20"/>
          <w:szCs w:val="16"/>
        </w:rPr>
        <w:t xml:space="preserve">, M., Mandal, J.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Dhangrah</w:t>
      </w:r>
      <w:proofErr w:type="spellEnd"/>
      <w:r w:rsidRPr="00400D74">
        <w:rPr>
          <w:rFonts w:ascii="Arial" w:hAnsi="Arial" w:cs="Arial"/>
          <w:sz w:val="20"/>
          <w:szCs w:val="16"/>
        </w:rPr>
        <w:t>, V.</w:t>
      </w:r>
      <w:r>
        <w:rPr>
          <w:rFonts w:ascii="Arial" w:hAnsi="Arial" w:cs="Arial"/>
          <w:sz w:val="20"/>
          <w:szCs w:val="16"/>
        </w:rPr>
        <w:t xml:space="preserve"> </w:t>
      </w:r>
      <w:r w:rsidRPr="00400D74">
        <w:rPr>
          <w:rFonts w:ascii="Arial" w:hAnsi="Arial" w:cs="Arial"/>
          <w:sz w:val="20"/>
          <w:szCs w:val="16"/>
        </w:rPr>
        <w:t xml:space="preserve">K. (2016). Variation in flowering characters of bottle gourd. </w:t>
      </w:r>
      <w:proofErr w:type="spellStart"/>
      <w:r w:rsidRPr="00853D47">
        <w:rPr>
          <w:rFonts w:ascii="Arial" w:hAnsi="Arial" w:cs="Arial"/>
          <w:i/>
          <w:iCs/>
          <w:sz w:val="20"/>
          <w:szCs w:val="16"/>
        </w:rPr>
        <w:t>HortFlora</w:t>
      </w:r>
      <w:proofErr w:type="spellEnd"/>
      <w:r w:rsidRPr="00853D47">
        <w:rPr>
          <w:rFonts w:ascii="Arial" w:hAnsi="Arial" w:cs="Arial"/>
          <w:i/>
          <w:iCs/>
          <w:sz w:val="20"/>
          <w:szCs w:val="16"/>
        </w:rPr>
        <w:t xml:space="preserve"> Research Spectrum</w:t>
      </w:r>
      <w:r w:rsidRPr="00400D74">
        <w:rPr>
          <w:rFonts w:ascii="Arial" w:hAnsi="Arial" w:cs="Arial"/>
          <w:sz w:val="20"/>
          <w:szCs w:val="16"/>
        </w:rPr>
        <w:t>, 5(1)</w:t>
      </w:r>
      <w:r>
        <w:rPr>
          <w:rFonts w:ascii="Arial" w:hAnsi="Arial" w:cs="Arial"/>
          <w:sz w:val="20"/>
          <w:szCs w:val="16"/>
        </w:rPr>
        <w:t>,</w:t>
      </w:r>
      <w:r w:rsidRPr="00400D74">
        <w:rPr>
          <w:rFonts w:ascii="Arial" w:hAnsi="Arial" w:cs="Arial"/>
          <w:sz w:val="20"/>
          <w:szCs w:val="16"/>
        </w:rPr>
        <w:t xml:space="preserve"> 39-42.</w:t>
      </w:r>
    </w:p>
    <w:p w14:paraId="2BA8F6BF" w14:textId="72F0213D" w:rsidR="00F67D64" w:rsidRPr="002000E9"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Tripathi, Y. K., </w:t>
      </w:r>
      <w:proofErr w:type="spellStart"/>
      <w:r w:rsidRPr="00697D44">
        <w:rPr>
          <w:rFonts w:ascii="Arial" w:hAnsi="Arial" w:cs="Arial"/>
          <w:sz w:val="20"/>
          <w:szCs w:val="16"/>
        </w:rPr>
        <w:t>Kasera</w:t>
      </w:r>
      <w:proofErr w:type="spellEnd"/>
      <w:r w:rsidRPr="00697D44">
        <w:rPr>
          <w:rFonts w:ascii="Arial" w:hAnsi="Arial" w:cs="Arial"/>
          <w:sz w:val="20"/>
          <w:szCs w:val="16"/>
        </w:rPr>
        <w:t xml:space="preserve">, S., Mishra, S. K., Prasad, V. M. &amp; Dwivedi, A. (2018). </w:t>
      </w:r>
      <w:r w:rsidRPr="00400D74">
        <w:rPr>
          <w:rFonts w:ascii="Arial" w:hAnsi="Arial" w:cs="Arial"/>
          <w:sz w:val="20"/>
          <w:szCs w:val="16"/>
        </w:rPr>
        <w:t>Integrated nutrient management (INM) practices influenced vegetative growth and flowering of rainy season bottle gourd [</w:t>
      </w:r>
      <w:r w:rsidRPr="007C630D">
        <w:rPr>
          <w:rFonts w:ascii="Arial" w:hAnsi="Arial" w:cs="Arial"/>
          <w:i/>
          <w:iCs/>
          <w:sz w:val="20"/>
          <w:szCs w:val="16"/>
        </w:rPr>
        <w:t>Lagenaria siceraria</w:t>
      </w:r>
      <w:r w:rsidRPr="00400D74">
        <w:rPr>
          <w:rFonts w:ascii="Arial" w:hAnsi="Arial" w:cs="Arial"/>
          <w:sz w:val="20"/>
          <w:szCs w:val="16"/>
        </w:rPr>
        <w:t xml:space="preserve"> (Molina) </w:t>
      </w:r>
      <w:proofErr w:type="spellStart"/>
      <w:r w:rsidRPr="00400D74">
        <w:rPr>
          <w:rFonts w:ascii="Arial" w:hAnsi="Arial" w:cs="Arial"/>
          <w:sz w:val="20"/>
          <w:szCs w:val="16"/>
        </w:rPr>
        <w:t>Standl</w:t>
      </w:r>
      <w:proofErr w:type="spellEnd"/>
      <w:r w:rsidRPr="00400D74">
        <w:rPr>
          <w:rFonts w:ascii="Arial" w:hAnsi="Arial" w:cs="Arial"/>
          <w:sz w:val="20"/>
          <w:szCs w:val="16"/>
        </w:rPr>
        <w:t>.]</w:t>
      </w:r>
      <w:r>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 xml:space="preserve">The </w:t>
      </w:r>
      <w:r w:rsidRPr="002000E9">
        <w:rPr>
          <w:rFonts w:ascii="Arial" w:hAnsi="Arial" w:cs="Arial"/>
          <w:i/>
          <w:iCs/>
          <w:sz w:val="20"/>
          <w:szCs w:val="16"/>
        </w:rPr>
        <w:t>Pharma Innovation Journal</w:t>
      </w:r>
      <w:r w:rsidRPr="002000E9">
        <w:rPr>
          <w:rFonts w:ascii="Arial" w:hAnsi="Arial" w:cs="Arial"/>
          <w:sz w:val="20"/>
          <w:szCs w:val="16"/>
        </w:rPr>
        <w:t>, 7(7), 555-558.</w:t>
      </w:r>
    </w:p>
    <w:sectPr w:rsidR="00F67D64" w:rsidRPr="002000E9" w:rsidSect="0064189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MBHUNATH GHOSH" w:date="2025-05-05T13:42:00Z" w:initials="SG">
    <w:p w14:paraId="63AC6D6A" w14:textId="77777777" w:rsidR="00DD31C0" w:rsidRDefault="00DD31C0">
      <w:pPr>
        <w:pStyle w:val="CommentText"/>
      </w:pPr>
      <w:r>
        <w:rPr>
          <w:rStyle w:val="CommentReference"/>
        </w:rPr>
        <w:annotationRef/>
      </w:r>
      <w:r>
        <w:t>Provide treatment details in abstract</w:t>
      </w:r>
    </w:p>
    <w:p w14:paraId="7E9F9A95" w14:textId="6D84F2A4" w:rsidR="00DD31C0" w:rsidRDefault="00DD31C0">
      <w:pPr>
        <w:pStyle w:val="CommentText"/>
      </w:pPr>
      <w:r>
        <w:t>Mention the actual dose of RDF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9F9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1D61D" w16cex:dateUtc="2025-05-05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F9A95" w16cid:durableId="3A51D6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40E6" w14:textId="77777777" w:rsidR="000552B6" w:rsidRDefault="000552B6" w:rsidP="00F52138">
      <w:pPr>
        <w:spacing w:after="0" w:line="240" w:lineRule="auto"/>
      </w:pPr>
      <w:r>
        <w:separator/>
      </w:r>
    </w:p>
  </w:endnote>
  <w:endnote w:type="continuationSeparator" w:id="0">
    <w:p w14:paraId="072F325F" w14:textId="77777777" w:rsidR="000552B6" w:rsidRDefault="000552B6" w:rsidP="00F5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IDFont+F3"/>
    <w:charset w:val="00"/>
    <w:family w:val="auto"/>
    <w:pitch w:val="default"/>
    <w:sig w:usb0="00000003" w:usb1="00000000" w:usb2="00000000" w:usb3="00000000" w:csb0="00000001" w:csb1="00000000"/>
  </w:font>
  <w:font w:name="CIDFont+F5">
    <w:altName w:val="Malgun Gothic"/>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921B" w14:textId="77777777" w:rsidR="002F3C27" w:rsidRDefault="002F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1E45" w14:textId="77777777" w:rsidR="002F3C27" w:rsidRDefault="002F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F223" w14:textId="77777777" w:rsidR="002F3C27" w:rsidRDefault="002F3C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2111" w14:textId="77777777" w:rsidR="00C92BE5" w:rsidRDefault="00C9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1214" w14:textId="77777777" w:rsidR="000552B6" w:rsidRDefault="000552B6" w:rsidP="00F52138">
      <w:pPr>
        <w:spacing w:after="0" w:line="240" w:lineRule="auto"/>
      </w:pPr>
      <w:r>
        <w:separator/>
      </w:r>
    </w:p>
  </w:footnote>
  <w:footnote w:type="continuationSeparator" w:id="0">
    <w:p w14:paraId="32779EA0" w14:textId="77777777" w:rsidR="000552B6" w:rsidRDefault="000552B6" w:rsidP="00F52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9755" w14:textId="71702558" w:rsidR="002F3C27" w:rsidRDefault="00000000">
    <w:pPr>
      <w:pStyle w:val="Header"/>
    </w:pPr>
    <w:r>
      <w:rPr>
        <w:noProof/>
      </w:rPr>
      <w:pict w14:anchorId="77D64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B7DF" w14:textId="6828964E" w:rsidR="002F3C27" w:rsidRDefault="00000000">
    <w:pPr>
      <w:pStyle w:val="Header"/>
    </w:pPr>
    <w:r>
      <w:rPr>
        <w:noProof/>
      </w:rPr>
      <w:pict w14:anchorId="4B146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D004" w14:textId="2013078A" w:rsidR="002F3C27" w:rsidRDefault="00000000">
    <w:pPr>
      <w:pStyle w:val="Header"/>
    </w:pPr>
    <w:r>
      <w:rPr>
        <w:noProof/>
      </w:rPr>
      <w:pict w14:anchorId="35F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C292" w14:textId="3FD3BF5E" w:rsidR="002F3C27" w:rsidRDefault="00000000">
    <w:pPr>
      <w:pStyle w:val="Header"/>
    </w:pPr>
    <w:r>
      <w:rPr>
        <w:noProof/>
      </w:rPr>
      <w:pict w14:anchorId="39DBC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2F98" w14:textId="390BD98F" w:rsidR="002F3C27" w:rsidRDefault="00000000">
    <w:pPr>
      <w:pStyle w:val="Header"/>
    </w:pPr>
    <w:r>
      <w:rPr>
        <w:noProof/>
      </w:rPr>
      <w:pict w14:anchorId="761FB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5304" w14:textId="1A035013" w:rsidR="002F3C27" w:rsidRDefault="00000000">
    <w:pPr>
      <w:pStyle w:val="Header"/>
    </w:pPr>
    <w:r>
      <w:rPr>
        <w:noProof/>
      </w:rPr>
      <w:pict w14:anchorId="62B02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MBHUNATH GHOSH">
    <w15:presenceInfo w15:providerId="Windows Live" w15:userId="e7ad83bd6c663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48"/>
    <w:rsid w:val="000218A0"/>
    <w:rsid w:val="000552B6"/>
    <w:rsid w:val="00060A97"/>
    <w:rsid w:val="00063E86"/>
    <w:rsid w:val="000831C4"/>
    <w:rsid w:val="00087485"/>
    <w:rsid w:val="000906E5"/>
    <w:rsid w:val="00094BB1"/>
    <w:rsid w:val="000A0643"/>
    <w:rsid w:val="000A1461"/>
    <w:rsid w:val="000A5E91"/>
    <w:rsid w:val="000B6522"/>
    <w:rsid w:val="000C32A3"/>
    <w:rsid w:val="000D0BE8"/>
    <w:rsid w:val="000D2644"/>
    <w:rsid w:val="000E0B57"/>
    <w:rsid w:val="00100AD8"/>
    <w:rsid w:val="001014D5"/>
    <w:rsid w:val="00102829"/>
    <w:rsid w:val="00106097"/>
    <w:rsid w:val="00126471"/>
    <w:rsid w:val="00127741"/>
    <w:rsid w:val="00127B9C"/>
    <w:rsid w:val="00131962"/>
    <w:rsid w:val="001336D7"/>
    <w:rsid w:val="00141B31"/>
    <w:rsid w:val="0014405A"/>
    <w:rsid w:val="00150CA5"/>
    <w:rsid w:val="00153D40"/>
    <w:rsid w:val="00167263"/>
    <w:rsid w:val="00170732"/>
    <w:rsid w:val="00172F7A"/>
    <w:rsid w:val="00180F1B"/>
    <w:rsid w:val="00192071"/>
    <w:rsid w:val="001967D7"/>
    <w:rsid w:val="001A0752"/>
    <w:rsid w:val="001A72B0"/>
    <w:rsid w:val="001C5EBE"/>
    <w:rsid w:val="001D7870"/>
    <w:rsid w:val="001F2E50"/>
    <w:rsid w:val="002000E9"/>
    <w:rsid w:val="00212451"/>
    <w:rsid w:val="002225E9"/>
    <w:rsid w:val="002249AF"/>
    <w:rsid w:val="00233CCD"/>
    <w:rsid w:val="002354C5"/>
    <w:rsid w:val="00252B87"/>
    <w:rsid w:val="00253606"/>
    <w:rsid w:val="00260A78"/>
    <w:rsid w:val="002817EA"/>
    <w:rsid w:val="002856CA"/>
    <w:rsid w:val="0029236F"/>
    <w:rsid w:val="002A4E6B"/>
    <w:rsid w:val="002B55D7"/>
    <w:rsid w:val="002F3C27"/>
    <w:rsid w:val="0031441A"/>
    <w:rsid w:val="00321146"/>
    <w:rsid w:val="003218A3"/>
    <w:rsid w:val="00333BCE"/>
    <w:rsid w:val="003343EA"/>
    <w:rsid w:val="0033609E"/>
    <w:rsid w:val="00340789"/>
    <w:rsid w:val="003449C9"/>
    <w:rsid w:val="00346F6F"/>
    <w:rsid w:val="00350872"/>
    <w:rsid w:val="00350A2D"/>
    <w:rsid w:val="00352B77"/>
    <w:rsid w:val="00354879"/>
    <w:rsid w:val="00373E84"/>
    <w:rsid w:val="003741FD"/>
    <w:rsid w:val="003912B7"/>
    <w:rsid w:val="003A7141"/>
    <w:rsid w:val="003B28F5"/>
    <w:rsid w:val="003B2C99"/>
    <w:rsid w:val="003B51C8"/>
    <w:rsid w:val="003C28EC"/>
    <w:rsid w:val="003C3DEB"/>
    <w:rsid w:val="003C4F44"/>
    <w:rsid w:val="003D4407"/>
    <w:rsid w:val="003E0D03"/>
    <w:rsid w:val="003E37B2"/>
    <w:rsid w:val="003F0D89"/>
    <w:rsid w:val="00400D74"/>
    <w:rsid w:val="00401EA8"/>
    <w:rsid w:val="0040291B"/>
    <w:rsid w:val="00405131"/>
    <w:rsid w:val="00410CE9"/>
    <w:rsid w:val="00430555"/>
    <w:rsid w:val="0043090A"/>
    <w:rsid w:val="00435477"/>
    <w:rsid w:val="00435CCF"/>
    <w:rsid w:val="0044399F"/>
    <w:rsid w:val="00450553"/>
    <w:rsid w:val="00453559"/>
    <w:rsid w:val="00455F48"/>
    <w:rsid w:val="00456636"/>
    <w:rsid w:val="00475EB2"/>
    <w:rsid w:val="00486D20"/>
    <w:rsid w:val="00491BEA"/>
    <w:rsid w:val="004A7507"/>
    <w:rsid w:val="004B221A"/>
    <w:rsid w:val="004B675E"/>
    <w:rsid w:val="004C64C5"/>
    <w:rsid w:val="004D0D43"/>
    <w:rsid w:val="004E6734"/>
    <w:rsid w:val="004E6AC9"/>
    <w:rsid w:val="004E7E31"/>
    <w:rsid w:val="004F1006"/>
    <w:rsid w:val="0050584A"/>
    <w:rsid w:val="005073F8"/>
    <w:rsid w:val="00514822"/>
    <w:rsid w:val="00516200"/>
    <w:rsid w:val="00516B11"/>
    <w:rsid w:val="00523174"/>
    <w:rsid w:val="0052385E"/>
    <w:rsid w:val="005365DD"/>
    <w:rsid w:val="00546FA5"/>
    <w:rsid w:val="00557380"/>
    <w:rsid w:val="00584CD0"/>
    <w:rsid w:val="00590EEB"/>
    <w:rsid w:val="00592936"/>
    <w:rsid w:val="00594D7F"/>
    <w:rsid w:val="00595344"/>
    <w:rsid w:val="00597A1E"/>
    <w:rsid w:val="005A00CA"/>
    <w:rsid w:val="005B2F75"/>
    <w:rsid w:val="005B4503"/>
    <w:rsid w:val="005B5EE5"/>
    <w:rsid w:val="005B7D39"/>
    <w:rsid w:val="005C2DF4"/>
    <w:rsid w:val="005D189E"/>
    <w:rsid w:val="005E6433"/>
    <w:rsid w:val="005E70C4"/>
    <w:rsid w:val="005F440C"/>
    <w:rsid w:val="00610E56"/>
    <w:rsid w:val="0061144B"/>
    <w:rsid w:val="006138B1"/>
    <w:rsid w:val="006143FE"/>
    <w:rsid w:val="00617308"/>
    <w:rsid w:val="00623ACF"/>
    <w:rsid w:val="00641891"/>
    <w:rsid w:val="00641A09"/>
    <w:rsid w:val="00643C00"/>
    <w:rsid w:val="0066450D"/>
    <w:rsid w:val="00664FB1"/>
    <w:rsid w:val="00674472"/>
    <w:rsid w:val="00691111"/>
    <w:rsid w:val="00697D44"/>
    <w:rsid w:val="00697ED7"/>
    <w:rsid w:val="006B3107"/>
    <w:rsid w:val="006B4531"/>
    <w:rsid w:val="006E32C7"/>
    <w:rsid w:val="006E57ED"/>
    <w:rsid w:val="006E6AB8"/>
    <w:rsid w:val="006E6EEB"/>
    <w:rsid w:val="00712C9D"/>
    <w:rsid w:val="00713951"/>
    <w:rsid w:val="00716A94"/>
    <w:rsid w:val="0072039A"/>
    <w:rsid w:val="007223A7"/>
    <w:rsid w:val="00722516"/>
    <w:rsid w:val="007324CB"/>
    <w:rsid w:val="00733314"/>
    <w:rsid w:val="00733523"/>
    <w:rsid w:val="007420D7"/>
    <w:rsid w:val="00742CE7"/>
    <w:rsid w:val="00744FBF"/>
    <w:rsid w:val="00747FCB"/>
    <w:rsid w:val="00750639"/>
    <w:rsid w:val="00751A7C"/>
    <w:rsid w:val="00751B5C"/>
    <w:rsid w:val="00762AAA"/>
    <w:rsid w:val="007722F5"/>
    <w:rsid w:val="007A7F55"/>
    <w:rsid w:val="007B1057"/>
    <w:rsid w:val="007C053E"/>
    <w:rsid w:val="007C311C"/>
    <w:rsid w:val="007C630D"/>
    <w:rsid w:val="007D0BB3"/>
    <w:rsid w:val="007D2E19"/>
    <w:rsid w:val="007D62D6"/>
    <w:rsid w:val="007E344A"/>
    <w:rsid w:val="0081192B"/>
    <w:rsid w:val="00834959"/>
    <w:rsid w:val="008538C7"/>
    <w:rsid w:val="00853D47"/>
    <w:rsid w:val="00875C39"/>
    <w:rsid w:val="00880CF5"/>
    <w:rsid w:val="00881489"/>
    <w:rsid w:val="00885971"/>
    <w:rsid w:val="0089113A"/>
    <w:rsid w:val="00897824"/>
    <w:rsid w:val="008A7925"/>
    <w:rsid w:val="008B7A81"/>
    <w:rsid w:val="008C1348"/>
    <w:rsid w:val="008D179D"/>
    <w:rsid w:val="008D5E57"/>
    <w:rsid w:val="008D6DB4"/>
    <w:rsid w:val="008F6D3B"/>
    <w:rsid w:val="0090301C"/>
    <w:rsid w:val="00905D17"/>
    <w:rsid w:val="00920CFE"/>
    <w:rsid w:val="00920D0B"/>
    <w:rsid w:val="00931DC7"/>
    <w:rsid w:val="00932AB3"/>
    <w:rsid w:val="00957F6F"/>
    <w:rsid w:val="0097464D"/>
    <w:rsid w:val="0097488F"/>
    <w:rsid w:val="009B070B"/>
    <w:rsid w:val="009B75B3"/>
    <w:rsid w:val="009D1663"/>
    <w:rsid w:val="009D4DEE"/>
    <w:rsid w:val="009D7509"/>
    <w:rsid w:val="009E08A8"/>
    <w:rsid w:val="009E6836"/>
    <w:rsid w:val="009E7447"/>
    <w:rsid w:val="009F07DC"/>
    <w:rsid w:val="00A00DD9"/>
    <w:rsid w:val="00A022BB"/>
    <w:rsid w:val="00A149F6"/>
    <w:rsid w:val="00A35557"/>
    <w:rsid w:val="00A42750"/>
    <w:rsid w:val="00A44E6A"/>
    <w:rsid w:val="00A84160"/>
    <w:rsid w:val="00A847CA"/>
    <w:rsid w:val="00A907CF"/>
    <w:rsid w:val="00A97E35"/>
    <w:rsid w:val="00AA2828"/>
    <w:rsid w:val="00AA2A27"/>
    <w:rsid w:val="00AA7FA4"/>
    <w:rsid w:val="00AD089C"/>
    <w:rsid w:val="00AE0FE0"/>
    <w:rsid w:val="00AE5218"/>
    <w:rsid w:val="00AF7332"/>
    <w:rsid w:val="00B12EA3"/>
    <w:rsid w:val="00B17C82"/>
    <w:rsid w:val="00B23588"/>
    <w:rsid w:val="00B31632"/>
    <w:rsid w:val="00B571EC"/>
    <w:rsid w:val="00B60DD0"/>
    <w:rsid w:val="00B60E84"/>
    <w:rsid w:val="00B6183E"/>
    <w:rsid w:val="00B641FF"/>
    <w:rsid w:val="00B67B53"/>
    <w:rsid w:val="00B7083F"/>
    <w:rsid w:val="00B7685A"/>
    <w:rsid w:val="00B8224C"/>
    <w:rsid w:val="00B902B8"/>
    <w:rsid w:val="00BA6BFF"/>
    <w:rsid w:val="00BB2314"/>
    <w:rsid w:val="00BF0C64"/>
    <w:rsid w:val="00BF7C7B"/>
    <w:rsid w:val="00C0706F"/>
    <w:rsid w:val="00C106AF"/>
    <w:rsid w:val="00C24976"/>
    <w:rsid w:val="00C317FB"/>
    <w:rsid w:val="00C369AF"/>
    <w:rsid w:val="00C36A95"/>
    <w:rsid w:val="00C42E49"/>
    <w:rsid w:val="00C47592"/>
    <w:rsid w:val="00C712FE"/>
    <w:rsid w:val="00C75F79"/>
    <w:rsid w:val="00C76314"/>
    <w:rsid w:val="00C82A84"/>
    <w:rsid w:val="00C8404F"/>
    <w:rsid w:val="00C90590"/>
    <w:rsid w:val="00C92BE5"/>
    <w:rsid w:val="00CA2514"/>
    <w:rsid w:val="00CA7A9F"/>
    <w:rsid w:val="00CB195C"/>
    <w:rsid w:val="00CB7060"/>
    <w:rsid w:val="00CC2607"/>
    <w:rsid w:val="00CE22DF"/>
    <w:rsid w:val="00CE7F4A"/>
    <w:rsid w:val="00D142CD"/>
    <w:rsid w:val="00D14409"/>
    <w:rsid w:val="00D15639"/>
    <w:rsid w:val="00D229B2"/>
    <w:rsid w:val="00D301E6"/>
    <w:rsid w:val="00D3136B"/>
    <w:rsid w:val="00D31BA7"/>
    <w:rsid w:val="00D31CE1"/>
    <w:rsid w:val="00D34072"/>
    <w:rsid w:val="00D36858"/>
    <w:rsid w:val="00D41B36"/>
    <w:rsid w:val="00D61C3C"/>
    <w:rsid w:val="00D87447"/>
    <w:rsid w:val="00DA3693"/>
    <w:rsid w:val="00DA7776"/>
    <w:rsid w:val="00DA7DEF"/>
    <w:rsid w:val="00DB127E"/>
    <w:rsid w:val="00DC2315"/>
    <w:rsid w:val="00DC5064"/>
    <w:rsid w:val="00DC53B2"/>
    <w:rsid w:val="00DD31C0"/>
    <w:rsid w:val="00DD6E22"/>
    <w:rsid w:val="00DF27A6"/>
    <w:rsid w:val="00DF636D"/>
    <w:rsid w:val="00E01C0E"/>
    <w:rsid w:val="00E1575E"/>
    <w:rsid w:val="00E161B6"/>
    <w:rsid w:val="00E2363C"/>
    <w:rsid w:val="00E3568B"/>
    <w:rsid w:val="00E425AA"/>
    <w:rsid w:val="00E504B5"/>
    <w:rsid w:val="00E52F91"/>
    <w:rsid w:val="00E63601"/>
    <w:rsid w:val="00E73E5B"/>
    <w:rsid w:val="00E82184"/>
    <w:rsid w:val="00E964C4"/>
    <w:rsid w:val="00EB7268"/>
    <w:rsid w:val="00EB7AA6"/>
    <w:rsid w:val="00EC6F8B"/>
    <w:rsid w:val="00ED33DE"/>
    <w:rsid w:val="00ED5B8C"/>
    <w:rsid w:val="00ED7FB5"/>
    <w:rsid w:val="00EF1602"/>
    <w:rsid w:val="00F23068"/>
    <w:rsid w:val="00F23F47"/>
    <w:rsid w:val="00F30EE7"/>
    <w:rsid w:val="00F32CD4"/>
    <w:rsid w:val="00F42995"/>
    <w:rsid w:val="00F4485C"/>
    <w:rsid w:val="00F44B28"/>
    <w:rsid w:val="00F51F8A"/>
    <w:rsid w:val="00F52138"/>
    <w:rsid w:val="00F61555"/>
    <w:rsid w:val="00F63BC6"/>
    <w:rsid w:val="00F67D64"/>
    <w:rsid w:val="00F762C6"/>
    <w:rsid w:val="00F8174A"/>
    <w:rsid w:val="00F8203F"/>
    <w:rsid w:val="00FA48A2"/>
    <w:rsid w:val="00FB1222"/>
    <w:rsid w:val="00FC6931"/>
    <w:rsid w:val="00FC6D40"/>
    <w:rsid w:val="00FD6A40"/>
    <w:rsid w:val="00FE0A96"/>
    <w:rsid w:val="00FF50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8BFC8"/>
  <w15:chartTrackingRefBased/>
  <w15:docId w15:val="{D82277D3-096E-4921-B12C-CFAD774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34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C134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C134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C13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3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4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C134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C134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C13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3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48"/>
    <w:rPr>
      <w:rFonts w:eastAsiaTheme="majorEastAsia" w:cstheme="majorBidi"/>
      <w:color w:val="272727" w:themeColor="text1" w:themeTint="D8"/>
    </w:rPr>
  </w:style>
  <w:style w:type="paragraph" w:styleId="Title">
    <w:name w:val="Title"/>
    <w:basedOn w:val="Normal"/>
    <w:next w:val="Normal"/>
    <w:link w:val="TitleChar"/>
    <w:uiPriority w:val="10"/>
    <w:qFormat/>
    <w:rsid w:val="008C134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C134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C134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C134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C1348"/>
    <w:pPr>
      <w:spacing w:before="160"/>
      <w:jc w:val="center"/>
    </w:pPr>
    <w:rPr>
      <w:i/>
      <w:iCs/>
      <w:color w:val="404040" w:themeColor="text1" w:themeTint="BF"/>
    </w:rPr>
  </w:style>
  <w:style w:type="character" w:customStyle="1" w:styleId="QuoteChar">
    <w:name w:val="Quote Char"/>
    <w:basedOn w:val="DefaultParagraphFont"/>
    <w:link w:val="Quote"/>
    <w:uiPriority w:val="29"/>
    <w:rsid w:val="008C1348"/>
    <w:rPr>
      <w:i/>
      <w:iCs/>
      <w:color w:val="404040" w:themeColor="text1" w:themeTint="BF"/>
    </w:rPr>
  </w:style>
  <w:style w:type="paragraph" w:styleId="ListParagraph">
    <w:name w:val="List Paragraph"/>
    <w:basedOn w:val="Normal"/>
    <w:uiPriority w:val="34"/>
    <w:qFormat/>
    <w:rsid w:val="008C1348"/>
    <w:pPr>
      <w:ind w:left="720"/>
      <w:contextualSpacing/>
    </w:pPr>
  </w:style>
  <w:style w:type="character" w:styleId="IntenseEmphasis">
    <w:name w:val="Intense Emphasis"/>
    <w:basedOn w:val="DefaultParagraphFont"/>
    <w:uiPriority w:val="21"/>
    <w:qFormat/>
    <w:rsid w:val="008C1348"/>
    <w:rPr>
      <w:i/>
      <w:iCs/>
      <w:color w:val="2F5496" w:themeColor="accent1" w:themeShade="BF"/>
    </w:rPr>
  </w:style>
  <w:style w:type="paragraph" w:styleId="IntenseQuote">
    <w:name w:val="Intense Quote"/>
    <w:basedOn w:val="Normal"/>
    <w:next w:val="Normal"/>
    <w:link w:val="IntenseQuoteChar"/>
    <w:uiPriority w:val="30"/>
    <w:qFormat/>
    <w:rsid w:val="008C1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348"/>
    <w:rPr>
      <w:i/>
      <w:iCs/>
      <w:color w:val="2F5496" w:themeColor="accent1" w:themeShade="BF"/>
    </w:rPr>
  </w:style>
  <w:style w:type="character" w:styleId="IntenseReference">
    <w:name w:val="Intense Reference"/>
    <w:basedOn w:val="DefaultParagraphFont"/>
    <w:uiPriority w:val="32"/>
    <w:qFormat/>
    <w:rsid w:val="008C1348"/>
    <w:rPr>
      <w:b/>
      <w:bCs/>
      <w:smallCaps/>
      <w:color w:val="2F5496" w:themeColor="accent1" w:themeShade="BF"/>
      <w:spacing w:val="5"/>
    </w:rPr>
  </w:style>
  <w:style w:type="character" w:styleId="Hyperlink">
    <w:name w:val="Hyperlink"/>
    <w:basedOn w:val="DefaultParagraphFont"/>
    <w:uiPriority w:val="99"/>
    <w:unhideWhenUsed/>
    <w:rsid w:val="00D61C3C"/>
    <w:rPr>
      <w:color w:val="0563C1" w:themeColor="hyperlink"/>
      <w:u w:val="single"/>
    </w:rPr>
  </w:style>
  <w:style w:type="character" w:customStyle="1" w:styleId="UnresolvedMention1">
    <w:name w:val="Unresolved Mention1"/>
    <w:basedOn w:val="DefaultParagraphFont"/>
    <w:uiPriority w:val="99"/>
    <w:semiHidden/>
    <w:unhideWhenUsed/>
    <w:rsid w:val="00D61C3C"/>
    <w:rPr>
      <w:color w:val="605E5C"/>
      <w:shd w:val="clear" w:color="auto" w:fill="E1DFDD"/>
    </w:rPr>
  </w:style>
  <w:style w:type="table" w:styleId="TableGrid">
    <w:name w:val="Table Grid"/>
    <w:basedOn w:val="TableNormal"/>
    <w:uiPriority w:val="39"/>
    <w:rsid w:val="0013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50D"/>
    <w:pPr>
      <w:autoSpaceDE w:val="0"/>
      <w:autoSpaceDN w:val="0"/>
      <w:adjustRightInd w:val="0"/>
      <w:spacing w:after="0" w:line="240" w:lineRule="auto"/>
    </w:pPr>
    <w:rPr>
      <w:rFonts w:ascii="Arial" w:eastAsia="Calibri" w:hAnsi="Arial" w:cs="Arial"/>
      <w:color w:val="000000"/>
      <w:kern w:val="0"/>
      <w:szCs w:val="24"/>
      <w14:ligatures w14:val="none"/>
    </w:rPr>
  </w:style>
  <w:style w:type="paragraph" w:styleId="Header">
    <w:name w:val="header"/>
    <w:basedOn w:val="Normal"/>
    <w:link w:val="HeaderChar"/>
    <w:uiPriority w:val="99"/>
    <w:unhideWhenUsed/>
    <w:rsid w:val="00F52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138"/>
  </w:style>
  <w:style w:type="paragraph" w:styleId="Footer">
    <w:name w:val="footer"/>
    <w:basedOn w:val="Normal"/>
    <w:link w:val="FooterChar"/>
    <w:uiPriority w:val="99"/>
    <w:unhideWhenUsed/>
    <w:rsid w:val="00F52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138"/>
  </w:style>
  <w:style w:type="paragraph" w:styleId="Revision">
    <w:name w:val="Revision"/>
    <w:hidden/>
    <w:uiPriority w:val="99"/>
    <w:semiHidden/>
    <w:rsid w:val="00DD31C0"/>
    <w:pPr>
      <w:spacing w:after="0" w:line="240" w:lineRule="auto"/>
    </w:pPr>
  </w:style>
  <w:style w:type="character" w:styleId="CommentReference">
    <w:name w:val="annotation reference"/>
    <w:basedOn w:val="DefaultParagraphFont"/>
    <w:uiPriority w:val="99"/>
    <w:semiHidden/>
    <w:unhideWhenUsed/>
    <w:rsid w:val="00DD31C0"/>
    <w:rPr>
      <w:sz w:val="16"/>
      <w:szCs w:val="16"/>
    </w:rPr>
  </w:style>
  <w:style w:type="paragraph" w:styleId="CommentText">
    <w:name w:val="annotation text"/>
    <w:basedOn w:val="Normal"/>
    <w:link w:val="CommentTextChar"/>
    <w:uiPriority w:val="99"/>
    <w:semiHidden/>
    <w:unhideWhenUsed/>
    <w:rsid w:val="00DD31C0"/>
    <w:pPr>
      <w:spacing w:line="240" w:lineRule="auto"/>
    </w:pPr>
    <w:rPr>
      <w:sz w:val="20"/>
      <w:szCs w:val="18"/>
    </w:rPr>
  </w:style>
  <w:style w:type="character" w:customStyle="1" w:styleId="CommentTextChar">
    <w:name w:val="Comment Text Char"/>
    <w:basedOn w:val="DefaultParagraphFont"/>
    <w:link w:val="CommentText"/>
    <w:uiPriority w:val="99"/>
    <w:semiHidden/>
    <w:rsid w:val="00DD31C0"/>
    <w:rPr>
      <w:sz w:val="20"/>
      <w:szCs w:val="18"/>
    </w:rPr>
  </w:style>
  <w:style w:type="paragraph" w:styleId="CommentSubject">
    <w:name w:val="annotation subject"/>
    <w:basedOn w:val="CommentText"/>
    <w:next w:val="CommentText"/>
    <w:link w:val="CommentSubjectChar"/>
    <w:uiPriority w:val="99"/>
    <w:semiHidden/>
    <w:unhideWhenUsed/>
    <w:rsid w:val="00DD31C0"/>
    <w:rPr>
      <w:b/>
      <w:bCs/>
    </w:rPr>
  </w:style>
  <w:style w:type="character" w:customStyle="1" w:styleId="CommentSubjectChar">
    <w:name w:val="Comment Subject Char"/>
    <w:basedOn w:val="CommentTextChar"/>
    <w:link w:val="CommentSubject"/>
    <w:uiPriority w:val="99"/>
    <w:semiHidden/>
    <w:rsid w:val="00DD31C0"/>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yperlink" Target="http://agriwelfare.gov.in/"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8</Pages>
  <Words>3994</Words>
  <Characters>20452</Characters>
  <Application>Microsoft Office Word</Application>
  <DocSecurity>0</DocSecurity>
  <Lines>639</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 Dongre</dc:creator>
  <cp:keywords/>
  <dc:description/>
  <cp:lastModifiedBy>SHAMBHUNATH GHOSH</cp:lastModifiedBy>
  <cp:revision>331</cp:revision>
  <dcterms:created xsi:type="dcterms:W3CDTF">2025-04-23T04:54:00Z</dcterms:created>
  <dcterms:modified xsi:type="dcterms:W3CDTF">2025-05-05T08:22:00Z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779d0c8d-520f-40ae-a68b-ec04e9f991ef</vt:lpwstr>
  </property>
</Properties>
</file>