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CA900C">
      <w:pPr>
        <w:tabs>
          <w:tab w:val="left" w:pos="2410"/>
        </w:tabs>
        <w:spacing w:line="240" w:lineRule="auto"/>
        <w:rPr>
          <w:rFonts w:ascii="Arial" w:hAnsi="Arial" w:cs="Arial"/>
          <w:b/>
          <w:bCs/>
          <w:i/>
          <w:iCs/>
          <w:sz w:val="20"/>
          <w:szCs w:val="20"/>
          <w:u w:val="single"/>
        </w:rPr>
      </w:pPr>
      <w:r>
        <w:rPr>
          <w:rFonts w:ascii="Arial" w:hAnsi="Arial" w:cs="Arial"/>
          <w:b/>
          <w:bCs/>
          <w:i/>
          <w:iCs/>
          <w:sz w:val="20"/>
          <w:szCs w:val="20"/>
          <w:u w:val="single"/>
        </w:rPr>
        <w:t>Original Research Article</w:t>
      </w:r>
    </w:p>
    <w:p w14:paraId="1A6241B5">
      <w:pPr>
        <w:tabs>
          <w:tab w:val="left" w:pos="2410"/>
        </w:tabs>
        <w:spacing w:line="240" w:lineRule="auto"/>
        <w:jc w:val="center"/>
        <w:rPr>
          <w:rFonts w:ascii="Arial" w:hAnsi="Arial" w:cs="Arial"/>
          <w:b/>
          <w:bCs/>
          <w:sz w:val="20"/>
          <w:szCs w:val="20"/>
        </w:rPr>
      </w:pPr>
      <w:r>
        <w:rPr>
          <w:rFonts w:ascii="Arial" w:hAnsi="Arial" w:cs="Arial"/>
          <w:b/>
          <w:bCs/>
          <w:sz w:val="20"/>
          <w:szCs w:val="20"/>
        </w:rPr>
        <w:t>Unveiling drought tolerance biomarkers in Cocoa: A com</w:t>
      </w:r>
      <w:bookmarkStart w:id="1" w:name="_GoBack"/>
      <w:bookmarkEnd w:id="1"/>
      <w:r>
        <w:rPr>
          <w:rFonts w:ascii="Arial" w:hAnsi="Arial" w:cs="Arial"/>
          <w:b/>
          <w:bCs/>
          <w:sz w:val="20"/>
          <w:szCs w:val="20"/>
        </w:rPr>
        <w:t>parative study under controlled and field conditions</w:t>
      </w:r>
    </w:p>
    <w:p w14:paraId="70BFB4D8">
      <w:pPr>
        <w:tabs>
          <w:tab w:val="left" w:pos="2410"/>
        </w:tabs>
        <w:spacing w:line="240" w:lineRule="auto"/>
        <w:jc w:val="both"/>
        <w:rPr>
          <w:rFonts w:ascii="Arial" w:hAnsi="Arial" w:cs="Arial"/>
          <w:sz w:val="20"/>
          <w:szCs w:val="20"/>
        </w:rPr>
      </w:pPr>
    </w:p>
    <w:p w14:paraId="1D30E873">
      <w:pPr>
        <w:tabs>
          <w:tab w:val="left" w:pos="2410"/>
        </w:tabs>
        <w:spacing w:line="240" w:lineRule="auto"/>
        <w:rPr>
          <w:rFonts w:ascii="Arial" w:hAnsi="Arial" w:cs="Arial"/>
          <w:b/>
          <w:bCs/>
          <w:sz w:val="20"/>
          <w:szCs w:val="20"/>
        </w:rPr>
      </w:pPr>
    </w:p>
    <w:p w14:paraId="78524603">
      <w:pPr>
        <w:tabs>
          <w:tab w:val="left" w:pos="2410"/>
        </w:tabs>
        <w:spacing w:line="240" w:lineRule="auto"/>
        <w:rPr>
          <w:rFonts w:ascii="Arial" w:hAnsi="Arial" w:cs="Arial"/>
          <w:b/>
          <w:bCs/>
        </w:rPr>
      </w:pPr>
      <w:r>
        <w:rPr>
          <w:rFonts w:ascii="Arial" w:hAnsi="Arial" w:cs="Arial"/>
          <w:b/>
          <w:bCs/>
        </w:rPr>
        <w:t>Abstract:</w:t>
      </w:r>
    </w:p>
    <w:p w14:paraId="0754D0D0">
      <w:pPr>
        <w:tabs>
          <w:tab w:val="left" w:pos="2410"/>
        </w:tabs>
        <w:spacing w:line="240" w:lineRule="auto"/>
        <w:jc w:val="both"/>
        <w:rPr>
          <w:rFonts w:ascii="Arial" w:hAnsi="Arial" w:cs="Arial"/>
          <w:sz w:val="20"/>
          <w:szCs w:val="20"/>
        </w:rPr>
      </w:pPr>
      <w:commentRangeStart w:id="0"/>
      <w:r>
        <w:rPr>
          <w:rFonts w:ascii="Arial" w:hAnsi="Arial" w:cs="Arial"/>
          <w:sz w:val="20"/>
          <w:szCs w:val="20"/>
        </w:rPr>
        <w:t>Drought stress poses a significant threat to cocoa (</w:t>
      </w:r>
      <w:r>
        <w:rPr>
          <w:rFonts w:ascii="Arial" w:hAnsi="Arial" w:cs="Arial"/>
          <w:i/>
          <w:iCs/>
          <w:sz w:val="20"/>
          <w:szCs w:val="20"/>
        </w:rPr>
        <w:t>Theobroma cacao</w:t>
      </w:r>
      <w:r>
        <w:rPr>
          <w:rFonts w:ascii="Arial" w:hAnsi="Arial" w:cs="Arial"/>
          <w:sz w:val="20"/>
          <w:szCs w:val="20"/>
        </w:rPr>
        <w:t xml:space="preserve"> L.) cultivation, particularly as climate variability disrupts traditional rainfall patterns in expanding cocoa growing regions of India.</w:t>
      </w:r>
      <w:commentRangeEnd w:id="0"/>
      <w:r>
        <w:commentReference w:id="0"/>
      </w:r>
      <w:r>
        <w:rPr>
          <w:rFonts w:ascii="Arial" w:hAnsi="Arial" w:cs="Arial"/>
          <w:sz w:val="20"/>
          <w:szCs w:val="20"/>
        </w:rPr>
        <w:t xml:space="preserve"> </w:t>
      </w:r>
      <w:commentRangeStart w:id="1"/>
      <w:r>
        <w:rPr>
          <w:rFonts w:ascii="Arial" w:hAnsi="Arial" w:cs="Arial"/>
          <w:sz w:val="20"/>
          <w:szCs w:val="20"/>
        </w:rPr>
        <w:t>This study aimed to identify reliable biochemical biomarkers indicative of drought tolerance in cocoa by comparing biochemical responses of eleven hybrids under controlled nursery and field-imposed drought conditions.</w:t>
      </w:r>
      <w:commentRangeEnd w:id="1"/>
      <w:r>
        <w:commentReference w:id="1"/>
      </w:r>
      <w:r>
        <w:rPr>
          <w:rFonts w:ascii="Arial" w:hAnsi="Arial" w:cs="Arial"/>
          <w:sz w:val="20"/>
          <w:szCs w:val="20"/>
        </w:rPr>
        <w:t xml:space="preserve"> Four key biochemical parameters including proline, nitrate reductase activity (NRA), superoxide dismutase (SOD), and glycine betaine were quantified and analysed using paired t-tests. Results revealed statistically significant differences in SOD and glycine betaine levels between nursery and field conditions, while proline and NRA exhibited consistent responses across environments. Tolerant hybrids maintained higher proline and NRA levels under drought, highlighting their potential as predictive biomarkers for early-stage drought screening. This comparative approach bridges the gap between controlled and field research, offering a practical strategy for accelerating the selection of drought-resilient cocoa genotypes. The findings underscore the utility of integrating biochemical markers into breeding programs to enhance climate resilience in cocoa cultivation.</w:t>
      </w:r>
    </w:p>
    <w:p w14:paraId="5BDB6871">
      <w:pPr>
        <w:tabs>
          <w:tab w:val="left" w:pos="2410"/>
        </w:tabs>
        <w:spacing w:line="240" w:lineRule="auto"/>
        <w:jc w:val="both"/>
        <w:rPr>
          <w:rFonts w:ascii="Arial" w:hAnsi="Arial" w:cs="Arial"/>
          <w:sz w:val="20"/>
          <w:szCs w:val="20"/>
        </w:rPr>
      </w:pPr>
      <w:r>
        <w:rPr>
          <w:rFonts w:ascii="Arial" w:hAnsi="Arial" w:cs="Arial"/>
          <w:sz w:val="20"/>
          <w:szCs w:val="20"/>
        </w:rPr>
        <w:t xml:space="preserve">Keywords: Cocoa, Biomarkers, </w:t>
      </w:r>
      <w:commentRangeStart w:id="2"/>
      <w:r>
        <w:rPr>
          <w:rFonts w:ascii="Arial" w:hAnsi="Arial" w:cs="Arial"/>
          <w:sz w:val="20"/>
          <w:szCs w:val="20"/>
        </w:rPr>
        <w:t>Drought</w:t>
      </w:r>
      <w:commentRangeEnd w:id="2"/>
      <w:r>
        <w:commentReference w:id="2"/>
      </w:r>
      <w:r>
        <w:rPr>
          <w:rFonts w:ascii="Arial" w:hAnsi="Arial" w:cs="Arial"/>
          <w:sz w:val="20"/>
          <w:szCs w:val="20"/>
        </w:rPr>
        <w:t>, NRA, Proline</w:t>
      </w:r>
    </w:p>
    <w:p w14:paraId="0B42AFB0">
      <w:pPr>
        <w:tabs>
          <w:tab w:val="left" w:pos="2410"/>
        </w:tabs>
        <w:spacing w:line="240" w:lineRule="auto"/>
        <w:rPr>
          <w:rFonts w:ascii="Arial" w:hAnsi="Arial" w:cs="Arial"/>
          <w:b/>
          <w:bCs/>
        </w:rPr>
      </w:pPr>
      <w:r>
        <w:rPr>
          <w:rFonts w:ascii="Arial" w:hAnsi="Arial" w:cs="Arial"/>
          <w:b/>
          <w:bCs/>
        </w:rPr>
        <w:t>Introduction:</w:t>
      </w:r>
    </w:p>
    <w:p w14:paraId="185AB75A">
      <w:pPr>
        <w:spacing w:line="240" w:lineRule="auto"/>
        <w:jc w:val="both"/>
        <w:rPr>
          <w:rFonts w:ascii="Arial" w:hAnsi="Arial" w:cs="Arial"/>
          <w:sz w:val="20"/>
          <w:szCs w:val="20"/>
        </w:rPr>
      </w:pPr>
      <w:r>
        <w:rPr>
          <w:rFonts w:ascii="Arial" w:hAnsi="Arial" w:cs="Arial"/>
          <w:sz w:val="20"/>
          <w:szCs w:val="20"/>
        </w:rPr>
        <w:t>Cocoa (</w:t>
      </w:r>
      <w:r>
        <w:rPr>
          <w:rFonts w:ascii="Arial" w:hAnsi="Arial" w:cs="Arial"/>
          <w:i/>
          <w:iCs/>
          <w:sz w:val="20"/>
          <w:szCs w:val="20"/>
        </w:rPr>
        <w:t>Theobroma cacao</w:t>
      </w:r>
      <w:r>
        <w:rPr>
          <w:rFonts w:ascii="Arial" w:hAnsi="Arial" w:cs="Arial"/>
          <w:sz w:val="20"/>
          <w:szCs w:val="20"/>
        </w:rPr>
        <w:t xml:space="preserve"> L.), revered as the 'food of the gods,' is a valuable crop within the Malvaceae family. As a crucial component in chocolate production, cocoa beans have become a sought-after commodity, empowering small-scale farmers through their participation in the global value chain. It is the smallest yet most impactful soft commodity globally, exerting significant influence on the food, confectionery, and retail industries. India leads the world in cocoa productivity, outpacing other major producers (DCCD., 2024). Now the production is expanding to non-traditional areas in Karnataka, Tamil Nadu, and Andhra Pradesh.  International Market Analysis Research and Consulting Group forecasts that India's chocolate market will expand from $2.6 billion in 2023 to $5.3 billion by 2032, driven by a robust compound annual growth rate of 7.7%, indicating a promising future for the industry. However, a divergence from this anticipated outcome can arise by the potential disruption to India's summer monsoon due to rising temperatures and inadequate rainfall, given its requirement for 1500-3000 mm annual rainfall and 24 liters of water per day in summer (Prasannakumari </w:t>
      </w:r>
      <w:r>
        <w:rPr>
          <w:rFonts w:ascii="Arial" w:hAnsi="Arial" w:cs="Arial"/>
          <w:i/>
          <w:iCs/>
          <w:sz w:val="20"/>
          <w:szCs w:val="20"/>
        </w:rPr>
        <w:t>et al</w:t>
      </w:r>
      <w:r>
        <w:rPr>
          <w:rFonts w:ascii="Arial" w:hAnsi="Arial" w:cs="Arial"/>
          <w:sz w:val="20"/>
          <w:szCs w:val="20"/>
        </w:rPr>
        <w:t xml:space="preserve">., 2009). </w:t>
      </w:r>
    </w:p>
    <w:p w14:paraId="6B38A4F3">
      <w:pPr>
        <w:spacing w:line="240" w:lineRule="auto"/>
        <w:jc w:val="both"/>
        <w:rPr>
          <w:rFonts w:ascii="Arial" w:hAnsi="Arial" w:eastAsia="Times New Roman" w:cs="Arial"/>
          <w:color w:val="000000" w:themeColor="text1"/>
          <w:kern w:val="0"/>
          <w:sz w:val="20"/>
          <w:szCs w:val="20"/>
          <w14:textFill>
            <w14:solidFill>
              <w14:schemeClr w14:val="tx1"/>
            </w14:solidFill>
          </w14:textFill>
          <w14:ligatures w14:val="none"/>
        </w:rPr>
      </w:pPr>
      <w:r>
        <w:rPr>
          <w:rFonts w:ascii="Arial" w:hAnsi="Arial" w:cs="Arial"/>
          <w:sz w:val="20"/>
          <w:szCs w:val="20"/>
        </w:rPr>
        <w:t xml:space="preserve">Water availability is a primary constraint on plant growth, influencing vegetation patterns worldwide, and causing drought stress when soil water is insufficient or transpiration losses exceed compensation. The impact of drought stress is modulated by the duration and severity of the stress event. The movement of water through plants is driven by natural gradients of pressure and chemical potential. Severe drought disrupts water transport by increasing evaporative demand, leading to xylem embolism and reduced water flow through the plant </w:t>
      </w:r>
      <w:r>
        <w:rPr>
          <w:rFonts w:ascii="Arial" w:hAnsi="Arial" w:eastAsia="Times New Roman" w:cs="Arial"/>
          <w:color w:val="000000" w:themeColor="text1"/>
          <w:kern w:val="0"/>
          <w:sz w:val="20"/>
          <w:szCs w:val="20"/>
          <w14:textFill>
            <w14:solidFill>
              <w14:schemeClr w14:val="tx1"/>
            </w14:solidFill>
          </w14:textFill>
          <w14:ligatures w14:val="none"/>
        </w:rPr>
        <w:t>(</w:t>
      </w:r>
      <w:commentRangeStart w:id="3"/>
      <w:r>
        <w:rPr>
          <w:rFonts w:ascii="Arial" w:hAnsi="Arial" w:eastAsia="Times New Roman" w:cs="Arial"/>
          <w:kern w:val="0"/>
          <w:sz w:val="20"/>
          <w:szCs w:val="20"/>
          <w14:ligatures w14:val="none"/>
        </w:rPr>
        <w:t>Tyree and Sperry 1989</w:t>
      </w:r>
      <w:commentRangeEnd w:id="3"/>
      <w:r>
        <w:commentReference w:id="3"/>
      </w:r>
      <w:r>
        <w:rPr>
          <w:rFonts w:ascii="Arial" w:hAnsi="Arial" w:eastAsia="Times New Roman" w:cs="Arial"/>
          <w:kern w:val="0"/>
          <w:sz w:val="20"/>
          <w:szCs w:val="20"/>
          <w14:ligatures w14:val="none"/>
        </w:rPr>
        <w:t xml:space="preserve">; Kaack </w:t>
      </w:r>
      <w:r>
        <w:rPr>
          <w:rFonts w:ascii="Arial" w:hAnsi="Arial" w:eastAsia="Times New Roman" w:cs="Arial"/>
          <w:i/>
          <w:iCs/>
          <w:kern w:val="0"/>
          <w:sz w:val="20"/>
          <w:szCs w:val="20"/>
          <w14:ligatures w14:val="none"/>
        </w:rPr>
        <w:t>et a</w:t>
      </w:r>
      <w:commentRangeStart w:id="4"/>
      <w:r>
        <w:rPr>
          <w:rFonts w:ascii="Arial" w:hAnsi="Arial" w:eastAsia="Times New Roman" w:cs="Arial"/>
          <w:i/>
          <w:iCs/>
          <w:kern w:val="0"/>
          <w:sz w:val="20"/>
          <w:szCs w:val="20"/>
          <w14:ligatures w14:val="none"/>
        </w:rPr>
        <w:t>l</w:t>
      </w:r>
      <w:r>
        <w:rPr>
          <w:rFonts w:ascii="Arial" w:hAnsi="Arial" w:eastAsia="Times New Roman" w:cs="Arial"/>
          <w:kern w:val="0"/>
          <w:sz w:val="20"/>
          <w:szCs w:val="20"/>
          <w14:ligatures w14:val="none"/>
        </w:rPr>
        <w:t>.</w:t>
      </w:r>
      <w:commentRangeEnd w:id="4"/>
      <w:r>
        <w:commentReference w:id="4"/>
      </w:r>
      <w:r>
        <w:rPr>
          <w:rFonts w:ascii="Arial" w:hAnsi="Arial" w:eastAsia="Times New Roman" w:cs="Arial"/>
          <w:kern w:val="0"/>
          <w:sz w:val="20"/>
          <w:szCs w:val="20"/>
          <w14:ligatures w14:val="none"/>
        </w:rPr>
        <w:t xml:space="preserve"> 2021</w:t>
      </w:r>
      <w:r>
        <w:rPr>
          <w:rFonts w:ascii="Arial" w:hAnsi="Arial" w:eastAsia="Times New Roman" w:cs="Arial"/>
          <w:color w:val="000000" w:themeColor="text1"/>
          <w:kern w:val="0"/>
          <w:sz w:val="20"/>
          <w:szCs w:val="20"/>
          <w14:textFill>
            <w14:solidFill>
              <w14:schemeClr w14:val="tx1"/>
            </w14:solidFill>
          </w14:textFill>
          <w14:ligatures w14:val="none"/>
        </w:rPr>
        <w:t>). Embolism spread through the xylem network reducing hydraulic conductivity, ultimately leading to plant mortality (</w:t>
      </w:r>
      <w:r>
        <w:rPr>
          <w:rFonts w:ascii="Arial" w:hAnsi="Arial" w:eastAsia="Times New Roman" w:cs="Arial"/>
          <w:kern w:val="0"/>
          <w:sz w:val="20"/>
          <w:szCs w:val="20"/>
          <w14:ligatures w14:val="none"/>
        </w:rPr>
        <w:t xml:space="preserve">Johnson </w:t>
      </w:r>
      <w:r>
        <w:rPr>
          <w:rFonts w:ascii="Arial" w:hAnsi="Arial" w:eastAsia="Times New Roman" w:cs="Arial"/>
          <w:i/>
          <w:iCs/>
          <w:kern w:val="0"/>
          <w:sz w:val="20"/>
          <w:szCs w:val="20"/>
          <w14:ligatures w14:val="none"/>
        </w:rPr>
        <w:t>et a</w:t>
      </w:r>
      <w:commentRangeStart w:id="5"/>
      <w:r>
        <w:rPr>
          <w:rFonts w:ascii="Arial" w:hAnsi="Arial" w:eastAsia="Times New Roman" w:cs="Arial"/>
          <w:i/>
          <w:iCs/>
          <w:kern w:val="0"/>
          <w:sz w:val="20"/>
          <w:szCs w:val="20"/>
          <w14:ligatures w14:val="none"/>
        </w:rPr>
        <w:t>l</w:t>
      </w:r>
      <w:r>
        <w:rPr>
          <w:rFonts w:ascii="Arial" w:hAnsi="Arial" w:eastAsia="Times New Roman" w:cs="Arial"/>
          <w:kern w:val="0"/>
          <w:sz w:val="20"/>
          <w:szCs w:val="20"/>
          <w14:ligatures w14:val="none"/>
        </w:rPr>
        <w:t>.</w:t>
      </w:r>
      <w:commentRangeEnd w:id="5"/>
      <w:r>
        <w:commentReference w:id="5"/>
      </w:r>
      <w:r>
        <w:rPr>
          <w:rFonts w:ascii="Arial" w:hAnsi="Arial" w:eastAsia="Times New Roman" w:cs="Arial"/>
          <w:kern w:val="0"/>
          <w:sz w:val="20"/>
          <w:szCs w:val="20"/>
          <w14:ligatures w14:val="none"/>
        </w:rPr>
        <w:t xml:space="preserve"> 2020; Guan </w:t>
      </w:r>
      <w:r>
        <w:rPr>
          <w:rFonts w:ascii="Arial" w:hAnsi="Arial" w:eastAsia="Times New Roman" w:cs="Arial"/>
          <w:i/>
          <w:iCs/>
          <w:kern w:val="0"/>
          <w:sz w:val="20"/>
          <w:szCs w:val="20"/>
          <w14:ligatures w14:val="none"/>
        </w:rPr>
        <w:t>et a</w:t>
      </w:r>
      <w:commentRangeStart w:id="6"/>
      <w:r>
        <w:rPr>
          <w:rFonts w:ascii="Arial" w:hAnsi="Arial" w:eastAsia="Times New Roman" w:cs="Arial"/>
          <w:i/>
          <w:iCs/>
          <w:kern w:val="0"/>
          <w:sz w:val="20"/>
          <w:szCs w:val="20"/>
          <w14:ligatures w14:val="none"/>
        </w:rPr>
        <w:t>l</w:t>
      </w:r>
      <w:r>
        <w:rPr>
          <w:rFonts w:ascii="Arial" w:hAnsi="Arial" w:eastAsia="Times New Roman" w:cs="Arial"/>
          <w:kern w:val="0"/>
          <w:sz w:val="20"/>
          <w:szCs w:val="20"/>
          <w14:ligatures w14:val="none"/>
        </w:rPr>
        <w:t>.</w:t>
      </w:r>
      <w:commentRangeEnd w:id="6"/>
      <w:r>
        <w:commentReference w:id="6"/>
      </w:r>
      <w:r>
        <w:rPr>
          <w:rFonts w:ascii="Arial" w:hAnsi="Arial" w:eastAsia="Times New Roman" w:cs="Arial"/>
          <w:kern w:val="0"/>
          <w:sz w:val="20"/>
          <w:szCs w:val="20"/>
          <w14:ligatures w14:val="none"/>
        </w:rPr>
        <w:t xml:space="preserve"> 2021</w:t>
      </w:r>
      <w:r>
        <w:rPr>
          <w:rFonts w:ascii="Arial" w:hAnsi="Arial" w:eastAsia="Times New Roman" w:cs="Arial"/>
          <w:color w:val="000000" w:themeColor="text1"/>
          <w:kern w:val="0"/>
          <w:sz w:val="20"/>
          <w:szCs w:val="20"/>
          <w14:textFill>
            <w14:solidFill>
              <w14:schemeClr w14:val="tx1"/>
            </w14:solidFill>
          </w14:textFill>
          <w14:ligatures w14:val="none"/>
        </w:rPr>
        <w:t>). Phloem transport is compromised during drought due to increased sugar concentration and viscosity, leading to nutrient starvation and impaired growth (</w:t>
      </w:r>
      <w:r>
        <w:rPr>
          <w:rFonts w:ascii="Arial" w:hAnsi="Arial" w:cs="Arial"/>
          <w:color w:val="000000" w:themeColor="text1"/>
          <w:sz w:val="20"/>
          <w:szCs w:val="20"/>
          <w14:textFill>
            <w14:solidFill>
              <w14:schemeClr w14:val="tx1"/>
            </w14:solidFill>
          </w14:textFill>
        </w:rPr>
        <w:t xml:space="preserve">Hölttä </w:t>
      </w:r>
      <w:r>
        <w:rPr>
          <w:rFonts w:ascii="Arial" w:hAnsi="Arial" w:cs="Arial"/>
          <w:i/>
          <w:iCs/>
          <w:color w:val="000000" w:themeColor="text1"/>
          <w:sz w:val="20"/>
          <w:szCs w:val="20"/>
          <w14:textFill>
            <w14:solidFill>
              <w14:schemeClr w14:val="tx1"/>
            </w14:solidFill>
          </w14:textFill>
        </w:rPr>
        <w:t>et al</w:t>
      </w:r>
      <w:r>
        <w:rPr>
          <w:rFonts w:ascii="Arial" w:hAnsi="Arial" w:cs="Arial"/>
          <w:color w:val="000000" w:themeColor="text1"/>
          <w:sz w:val="20"/>
          <w:szCs w:val="20"/>
          <w14:textFill>
            <w14:solidFill>
              <w14:schemeClr w14:val="tx1"/>
            </w14:solidFill>
          </w14:textFill>
        </w:rPr>
        <w:t xml:space="preserve">., 2009; </w:t>
      </w:r>
      <w:r>
        <w:rPr>
          <w:rFonts w:ascii="Arial" w:hAnsi="Arial" w:eastAsia="Times New Roman" w:cs="Arial"/>
          <w:color w:val="000000" w:themeColor="text1"/>
          <w:kern w:val="0"/>
          <w:sz w:val="20"/>
          <w:szCs w:val="20"/>
          <w14:textFill>
            <w14:solidFill>
              <w14:schemeClr w14:val="tx1"/>
            </w14:solidFill>
          </w14:textFill>
          <w14:ligatures w14:val="none"/>
        </w:rPr>
        <w:t xml:space="preserve">Nikinmaa </w:t>
      </w:r>
      <w:r>
        <w:rPr>
          <w:rFonts w:ascii="Arial" w:hAnsi="Arial" w:eastAsia="Times New Roman" w:cs="Arial"/>
          <w:i/>
          <w:iCs/>
          <w:color w:val="000000" w:themeColor="text1"/>
          <w:kern w:val="0"/>
          <w:sz w:val="20"/>
          <w:szCs w:val="20"/>
          <w14:textFill>
            <w14:solidFill>
              <w14:schemeClr w14:val="tx1"/>
            </w14:solidFill>
          </w14:textFill>
          <w14:ligatures w14:val="none"/>
        </w:rPr>
        <w:t xml:space="preserve">et </w:t>
      </w:r>
      <w:commentRangeStart w:id="7"/>
      <w:r>
        <w:rPr>
          <w:rFonts w:ascii="Arial" w:hAnsi="Arial" w:eastAsia="Times New Roman" w:cs="Arial"/>
          <w:i/>
          <w:iCs/>
          <w:color w:val="000000" w:themeColor="text1"/>
          <w:kern w:val="0"/>
          <w:sz w:val="20"/>
          <w:szCs w:val="20"/>
          <w14:textFill>
            <w14:solidFill>
              <w14:schemeClr w14:val="tx1"/>
            </w14:solidFill>
          </w14:textFill>
          <w14:ligatures w14:val="none"/>
        </w:rPr>
        <w:t>al</w:t>
      </w:r>
      <w:r>
        <w:rPr>
          <w:rFonts w:ascii="Arial" w:hAnsi="Arial" w:eastAsia="Times New Roman" w:cs="Arial"/>
          <w:color w:val="000000" w:themeColor="text1"/>
          <w:kern w:val="0"/>
          <w:sz w:val="20"/>
          <w:szCs w:val="20"/>
          <w14:textFill>
            <w14:solidFill>
              <w14:schemeClr w14:val="tx1"/>
            </w14:solidFill>
          </w14:textFill>
          <w14:ligatures w14:val="none"/>
        </w:rPr>
        <w:t xml:space="preserve"> </w:t>
      </w:r>
      <w:commentRangeEnd w:id="7"/>
      <w:r>
        <w:commentReference w:id="7"/>
      </w:r>
      <w:r>
        <w:rPr>
          <w:rFonts w:ascii="Arial" w:hAnsi="Arial" w:eastAsia="Times New Roman" w:cs="Arial"/>
          <w:color w:val="000000" w:themeColor="text1"/>
          <w:kern w:val="0"/>
          <w:sz w:val="20"/>
          <w:szCs w:val="20"/>
          <w14:textFill>
            <w14:solidFill>
              <w14:schemeClr w14:val="tx1"/>
            </w14:solidFill>
          </w14:textFill>
          <w14:ligatures w14:val="none"/>
        </w:rPr>
        <w:t>2013). Prolonged water stress further triggers cellular desiccation, disrupts metabolic pathways and impairs photosynthesis (</w:t>
      </w:r>
      <w:commentRangeStart w:id="8"/>
      <w:r>
        <w:rPr>
          <w:rFonts w:ascii="Arial" w:hAnsi="Arial" w:cs="Arial"/>
          <w:color w:val="000000" w:themeColor="text1"/>
          <w:sz w:val="20"/>
          <w:szCs w:val="20"/>
          <w14:textFill>
            <w14:solidFill>
              <w14:schemeClr w14:val="tx1"/>
            </w14:solidFill>
          </w14:textFill>
        </w:rPr>
        <w:t>Bohnert and Jensen., 1996</w:t>
      </w:r>
      <w:commentRangeEnd w:id="8"/>
      <w:r>
        <w:commentReference w:id="8"/>
      </w:r>
      <w:r>
        <w:rPr>
          <w:rFonts w:ascii="Arial" w:hAnsi="Arial" w:eastAsia="Times New Roman" w:cs="Arial"/>
          <w:color w:val="000000" w:themeColor="text1"/>
          <w:kern w:val="0"/>
          <w:sz w:val="20"/>
          <w:szCs w:val="20"/>
          <w14:textFill>
            <w14:solidFill>
              <w14:schemeClr w14:val="tx1"/>
            </w14:solidFill>
          </w14:textFill>
          <w14:ligatures w14:val="none"/>
        </w:rPr>
        <w:t xml:space="preserve">). Plants have developed diverse adaptations to counter water scarcity, including stress avoidance and tolerance mechanisms, enabling them to survive and grow in challenging environments. Water stress resilience is deeply rooted in an array of morpho-physio-biochemical and molecular mechanisms. Roots perceive water deficit, activating a stress response to mitigate cellular damage. Under requisite amounts, reactive oxygen species (ROS) are the major signaling molecule, but at higher concentrations, it possess lethality. The efficacy of the tolerance response to drought stress is contingent upon the integrity of stress perception and signaling pathways. Research on </w:t>
      </w:r>
      <w:r>
        <w:rPr>
          <w:rFonts w:ascii="Arial" w:hAnsi="Arial" w:eastAsia="Times New Roman" w:cs="Arial"/>
          <w:i/>
          <w:iCs/>
          <w:color w:val="000000" w:themeColor="text1"/>
          <w:kern w:val="0"/>
          <w:sz w:val="20"/>
          <w:szCs w:val="20"/>
          <w14:textFill>
            <w14:solidFill>
              <w14:schemeClr w14:val="tx1"/>
            </w14:solidFill>
          </w14:textFill>
          <w14:ligatures w14:val="none"/>
        </w:rPr>
        <w:t xml:space="preserve">Theobroma cacao </w:t>
      </w:r>
      <w:r>
        <w:rPr>
          <w:rFonts w:ascii="Arial" w:hAnsi="Arial" w:eastAsia="Times New Roman" w:cs="Arial"/>
          <w:color w:val="000000" w:themeColor="text1"/>
          <w:kern w:val="0"/>
          <w:sz w:val="20"/>
          <w:szCs w:val="20"/>
          <w14:textFill>
            <w14:solidFill>
              <w14:schemeClr w14:val="tx1"/>
            </w14:solidFill>
          </w14:textFill>
          <w14:ligatures w14:val="none"/>
        </w:rPr>
        <w:t xml:space="preserve">under a controlled environment suggests that the accumulation of osmolytes and antioxidants counteract ROS toxicity and regulate water homeostasis (Dzandu </w:t>
      </w:r>
      <w:commentRangeStart w:id="9"/>
      <w:r>
        <w:rPr>
          <w:rFonts w:ascii="Arial" w:hAnsi="Arial" w:eastAsia="Times New Roman" w:cs="Arial"/>
          <w:color w:val="000000" w:themeColor="text1"/>
          <w:kern w:val="0"/>
          <w:sz w:val="20"/>
          <w:szCs w:val="20"/>
          <w14:textFill>
            <w14:solidFill>
              <w14:schemeClr w14:val="tx1"/>
            </w14:solidFill>
          </w14:textFill>
          <w14:ligatures w14:val="none"/>
        </w:rPr>
        <w:t>et al</w:t>
      </w:r>
      <w:commentRangeEnd w:id="9"/>
      <w:r>
        <w:commentReference w:id="9"/>
      </w:r>
      <w:r>
        <w:rPr>
          <w:rFonts w:ascii="Arial" w:hAnsi="Arial" w:eastAsia="Times New Roman" w:cs="Arial"/>
          <w:color w:val="000000" w:themeColor="text1"/>
          <w:kern w:val="0"/>
          <w:sz w:val="20"/>
          <w:szCs w:val="20"/>
          <w14:textFill>
            <w14:solidFill>
              <w14:schemeClr w14:val="tx1"/>
            </w14:solidFill>
          </w14:textFill>
          <w14:ligatures w14:val="none"/>
        </w:rPr>
        <w:t xml:space="preserve">., 2021; Juby </w:t>
      </w:r>
      <w:r>
        <w:rPr>
          <w:rFonts w:ascii="Arial" w:hAnsi="Arial" w:eastAsia="Times New Roman" w:cs="Arial"/>
          <w:i/>
          <w:iCs/>
          <w:color w:val="000000" w:themeColor="text1"/>
          <w:kern w:val="0"/>
          <w:sz w:val="20"/>
          <w:szCs w:val="20"/>
          <w14:textFill>
            <w14:solidFill>
              <w14:schemeClr w14:val="tx1"/>
            </w14:solidFill>
          </w14:textFill>
          <w14:ligatures w14:val="none"/>
        </w:rPr>
        <w:t>et al</w:t>
      </w:r>
      <w:r>
        <w:rPr>
          <w:rFonts w:ascii="Arial" w:hAnsi="Arial" w:eastAsia="Times New Roman" w:cs="Arial"/>
          <w:color w:val="000000" w:themeColor="text1"/>
          <w:kern w:val="0"/>
          <w:sz w:val="20"/>
          <w:szCs w:val="20"/>
          <w14:textFill>
            <w14:solidFill>
              <w14:schemeClr w14:val="tx1"/>
            </w14:solidFill>
          </w14:textFill>
          <w14:ligatures w14:val="none"/>
        </w:rPr>
        <w:t xml:space="preserve">., 2021; Suchithra </w:t>
      </w:r>
      <w:r>
        <w:rPr>
          <w:rFonts w:ascii="Arial" w:hAnsi="Arial" w:eastAsia="Times New Roman" w:cs="Arial"/>
          <w:i/>
          <w:iCs/>
          <w:color w:val="000000" w:themeColor="text1"/>
          <w:kern w:val="0"/>
          <w:sz w:val="20"/>
          <w:szCs w:val="20"/>
          <w14:textFill>
            <w14:solidFill>
              <w14:schemeClr w14:val="tx1"/>
            </w14:solidFill>
          </w14:textFill>
          <w14:ligatures w14:val="none"/>
        </w:rPr>
        <w:t>et al</w:t>
      </w:r>
      <w:r>
        <w:rPr>
          <w:rFonts w:ascii="Arial" w:hAnsi="Arial" w:eastAsia="Times New Roman" w:cs="Arial"/>
          <w:color w:val="000000" w:themeColor="text1"/>
          <w:kern w:val="0"/>
          <w:sz w:val="20"/>
          <w:szCs w:val="20"/>
          <w14:textFill>
            <w14:solidFill>
              <w14:schemeClr w14:val="tx1"/>
            </w14:solidFill>
          </w14:textFill>
          <w14:ligatures w14:val="none"/>
        </w:rPr>
        <w:t xml:space="preserve">., 2023). </w:t>
      </w:r>
      <w:commentRangeStart w:id="10"/>
      <w:r>
        <w:rPr>
          <w:rFonts w:ascii="Arial" w:hAnsi="Arial" w:eastAsia="Times New Roman" w:cs="Arial"/>
          <w:color w:val="000000" w:themeColor="text1"/>
          <w:kern w:val="0"/>
          <w:sz w:val="20"/>
          <w:szCs w:val="20"/>
          <w14:textFill>
            <w14:solidFill>
              <w14:schemeClr w14:val="tx1"/>
            </w14:solidFill>
          </w14:textFill>
          <w14:ligatures w14:val="none"/>
        </w:rPr>
        <w:t>However, the relevance of these results to cocoa trees under field conditions remains to be determined.</w:t>
      </w:r>
      <w:commentRangeEnd w:id="10"/>
      <w:r>
        <w:commentReference w:id="10"/>
      </w:r>
    </w:p>
    <w:p w14:paraId="771CF363">
      <w:pPr>
        <w:spacing w:line="240" w:lineRule="auto"/>
        <w:jc w:val="both"/>
        <w:rPr>
          <w:rFonts w:ascii="Arial" w:hAnsi="Arial" w:eastAsia="Times New Roman" w:cs="Arial"/>
          <w:color w:val="000000" w:themeColor="text1"/>
          <w:kern w:val="0"/>
          <w:sz w:val="20"/>
          <w:szCs w:val="20"/>
          <w14:textFill>
            <w14:solidFill>
              <w14:schemeClr w14:val="tx1"/>
            </w14:solidFill>
          </w14:textFill>
          <w14:ligatures w14:val="none"/>
        </w:rPr>
      </w:pPr>
      <w:r>
        <w:rPr>
          <w:rFonts w:ascii="Arial" w:hAnsi="Arial" w:eastAsia="Times New Roman" w:cs="Arial"/>
          <w:color w:val="000000" w:themeColor="text1"/>
          <w:kern w:val="0"/>
          <w:sz w:val="20"/>
          <w:szCs w:val="20"/>
          <w14:textFill>
            <w14:solidFill>
              <w14:schemeClr w14:val="tx1"/>
            </w14:solidFill>
          </w14:textFill>
          <w14:ligatures w14:val="none"/>
        </w:rPr>
        <w:t xml:space="preserve">This study aims to discover biomarkers associated with drought tolerance, which can serve as reliable predictive indicators through a comprehensive comparative analysis among cocoa hybrids under both controlled and field conditions. By leveraging this robust approach, researchers can expedite the identification of drought tolerant cocoa hybrids at the nursery level, thereby circumventing the limitations and practical constraints of field based abiotic stress research. </w:t>
      </w:r>
    </w:p>
    <w:p w14:paraId="2CB21992">
      <w:pPr>
        <w:spacing w:line="240" w:lineRule="auto"/>
        <w:jc w:val="both"/>
        <w:rPr>
          <w:rFonts w:ascii="Arial" w:hAnsi="Arial" w:cs="Arial"/>
        </w:rPr>
      </w:pPr>
      <w:r>
        <w:rPr>
          <w:rFonts w:ascii="Arial" w:hAnsi="Arial" w:cs="Arial"/>
          <w:b/>
          <w:bCs/>
        </w:rPr>
        <w:t>Materials and methods:</w:t>
      </w:r>
    </w:p>
    <w:p w14:paraId="478BD293">
      <w:pPr>
        <w:spacing w:line="240" w:lineRule="auto"/>
        <w:jc w:val="both"/>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Experimental site and water stress imposition</w:t>
      </w:r>
    </w:p>
    <w:p w14:paraId="5A1A37C1">
      <w:pPr>
        <w:spacing w:line="24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 xml:space="preserve">Drought-tolerant genotypes identified during the preliminary study (Binimol, 2005) were used to develop hybrids, which were screened for their tolerance at 40 per cent and 100 per cent field capacities (Juby </w:t>
      </w:r>
      <w:commentRangeStart w:id="11"/>
      <w:r>
        <w:rPr>
          <w:rFonts w:ascii="Arial" w:hAnsi="Arial" w:cs="Arial"/>
          <w:color w:val="000000" w:themeColor="text1"/>
          <w:sz w:val="20"/>
          <w:szCs w:val="20"/>
          <w14:textFill>
            <w14:solidFill>
              <w14:schemeClr w14:val="tx1"/>
            </w14:solidFill>
          </w14:textFill>
        </w:rPr>
        <w:t>et al</w:t>
      </w:r>
      <w:commentRangeEnd w:id="11"/>
      <w:r>
        <w:commentReference w:id="11"/>
      </w:r>
      <w:r>
        <w:rPr>
          <w:rFonts w:ascii="Arial" w:hAnsi="Arial" w:cs="Arial"/>
          <w:color w:val="000000" w:themeColor="text1"/>
          <w:sz w:val="20"/>
          <w:szCs w:val="20"/>
          <w14:textFill>
            <w14:solidFill>
              <w14:schemeClr w14:val="tx1"/>
            </w14:solidFill>
          </w14:textFill>
        </w:rPr>
        <w:t xml:space="preserve">., 2021). Based on this, eleven hybrids including seven tolerant (H101, H113, H102, H103, H119, H85, and H74) and four susceptible (H8, H49, H55, H65) were selected and established </w:t>
      </w:r>
      <w:commentRangeStart w:id="12"/>
      <w:r>
        <w:rPr>
          <w:rFonts w:ascii="Arial" w:hAnsi="Arial" w:cs="Arial"/>
          <w:color w:val="000000" w:themeColor="text1"/>
          <w:sz w:val="20"/>
          <w:szCs w:val="20"/>
          <w14:textFill>
            <w14:solidFill>
              <w14:schemeClr w14:val="tx1"/>
            </w14:solidFill>
          </w14:textFill>
        </w:rPr>
        <w:t>in the field</w:t>
      </w:r>
      <w:commentRangeEnd w:id="12"/>
      <w:r>
        <w:commentReference w:id="12"/>
      </w:r>
      <w:r>
        <w:rPr>
          <w:rFonts w:ascii="Arial" w:hAnsi="Arial" w:cs="Arial"/>
          <w:color w:val="000000" w:themeColor="text1"/>
          <w:sz w:val="20"/>
          <w:szCs w:val="20"/>
          <w14:textFill>
            <w14:solidFill>
              <w14:schemeClr w14:val="tx1"/>
            </w14:solidFill>
          </w14:textFill>
        </w:rPr>
        <w:t>. The field was managed to induce drought conditions by controlling irrigation and applying plastic mulches.</w:t>
      </w:r>
    </w:p>
    <w:p w14:paraId="3AD9C599">
      <w:pPr>
        <w:spacing w:line="240" w:lineRule="auto"/>
        <w:jc w:val="both"/>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Biochemical analysis</w:t>
      </w:r>
    </w:p>
    <w:p w14:paraId="4F7E5A4B">
      <w:pPr>
        <w:spacing w:line="240" w:lineRule="auto"/>
        <w:jc w:val="both"/>
        <w:rPr>
          <w:rFonts w:ascii="Arial" w:hAnsi="Arial" w:cs="Arial"/>
          <w:b/>
          <w:bCs/>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Biochemical parameters including</w:t>
      </w:r>
      <w:r>
        <w:rPr>
          <w:rFonts w:ascii="Arial" w:hAnsi="Arial" w:cs="Arial"/>
          <w:b/>
          <w:bCs/>
          <w:color w:val="000000" w:themeColor="text1"/>
          <w:sz w:val="20"/>
          <w:szCs w:val="20"/>
          <w14:textFill>
            <w14:solidFill>
              <w14:schemeClr w14:val="tx1"/>
            </w14:solidFill>
          </w14:textFill>
        </w:rPr>
        <w:t xml:space="preserve"> </w:t>
      </w:r>
      <w:r>
        <w:rPr>
          <w:rFonts w:ascii="Arial" w:hAnsi="Arial" w:cs="Arial"/>
          <w:sz w:val="20"/>
          <w:szCs w:val="20"/>
        </w:rPr>
        <w:t>proline (µg g</w:t>
      </w:r>
      <w:r>
        <w:rPr>
          <w:rFonts w:ascii="Arial" w:hAnsi="Arial" w:cs="Arial"/>
          <w:sz w:val="20"/>
          <w:szCs w:val="20"/>
          <w:vertAlign w:val="superscript"/>
        </w:rPr>
        <w:t>-1</w:t>
      </w:r>
      <w:r>
        <w:rPr>
          <w:rFonts w:ascii="Arial" w:hAnsi="Arial" w:cs="Arial"/>
          <w:sz w:val="20"/>
          <w:szCs w:val="20"/>
        </w:rPr>
        <w:t xml:space="preserve">) (Bates </w:t>
      </w:r>
      <w:r>
        <w:rPr>
          <w:rFonts w:ascii="Arial" w:hAnsi="Arial" w:cs="Arial"/>
          <w:i/>
          <w:iCs/>
          <w:sz w:val="20"/>
          <w:szCs w:val="20"/>
        </w:rPr>
        <w:t>et al</w:t>
      </w:r>
      <w:r>
        <w:rPr>
          <w:rFonts w:ascii="Arial" w:hAnsi="Arial" w:cs="Arial"/>
          <w:sz w:val="20"/>
          <w:szCs w:val="20"/>
        </w:rPr>
        <w:t>., 1973), glycine betaine (µmol g</w:t>
      </w:r>
      <w:r>
        <w:rPr>
          <w:rFonts w:ascii="Arial" w:hAnsi="Arial" w:cs="Arial"/>
          <w:sz w:val="20"/>
          <w:szCs w:val="20"/>
          <w:vertAlign w:val="superscript"/>
        </w:rPr>
        <w:t>-1</w:t>
      </w:r>
      <w:r>
        <w:rPr>
          <w:rFonts w:ascii="Arial" w:hAnsi="Arial" w:cs="Arial"/>
          <w:sz w:val="20"/>
          <w:szCs w:val="20"/>
        </w:rPr>
        <w:t xml:space="preserve"> dw</w:t>
      </w:r>
      <w:r>
        <w:rPr>
          <w:rFonts w:ascii="Arial" w:hAnsi="Arial" w:cs="Arial"/>
          <w:sz w:val="20"/>
          <w:szCs w:val="20"/>
          <w:vertAlign w:val="superscript"/>
        </w:rPr>
        <w:t>-1</w:t>
      </w:r>
      <w:r>
        <w:rPr>
          <w:rFonts w:ascii="Arial" w:hAnsi="Arial" w:cs="Arial"/>
          <w:sz w:val="20"/>
          <w:szCs w:val="20"/>
        </w:rPr>
        <w:t>) (Grieve and Grattan, 1983), nitrate reductase activity (mmol nitrite g</w:t>
      </w:r>
      <w:r>
        <w:rPr>
          <w:rFonts w:ascii="Arial" w:hAnsi="Arial" w:cs="Arial"/>
          <w:sz w:val="20"/>
          <w:szCs w:val="20"/>
          <w:vertAlign w:val="superscript"/>
        </w:rPr>
        <w:t>-1</w:t>
      </w:r>
      <w:r>
        <w:rPr>
          <w:rFonts w:ascii="Arial" w:hAnsi="Arial" w:cs="Arial"/>
          <w:sz w:val="20"/>
          <w:szCs w:val="20"/>
        </w:rPr>
        <w:t>hr</w:t>
      </w:r>
      <w:r>
        <w:rPr>
          <w:rFonts w:ascii="Arial" w:hAnsi="Arial" w:cs="Arial"/>
          <w:sz w:val="20"/>
          <w:szCs w:val="20"/>
          <w:vertAlign w:val="superscript"/>
        </w:rPr>
        <w:t>-1</w:t>
      </w:r>
      <w:r>
        <w:rPr>
          <w:rFonts w:ascii="Arial" w:hAnsi="Arial" w:cs="Arial"/>
          <w:sz w:val="20"/>
          <w:szCs w:val="20"/>
        </w:rPr>
        <w:t>) (Evans and Nason, 1953), and superoxide dismutase (units</w:t>
      </w:r>
      <w:r>
        <w:rPr>
          <w:rFonts w:ascii="Arial" w:hAnsi="Arial" w:cs="Arial"/>
          <w:sz w:val="20"/>
          <w:szCs w:val="20"/>
          <w:vertAlign w:val="superscript"/>
        </w:rPr>
        <w:t xml:space="preserve">-1 </w:t>
      </w:r>
      <w:r>
        <w:rPr>
          <w:rFonts w:ascii="Arial" w:hAnsi="Arial" w:cs="Arial"/>
          <w:sz w:val="20"/>
          <w:szCs w:val="20"/>
        </w:rPr>
        <w:t>mg protein</w:t>
      </w:r>
      <w:r>
        <w:rPr>
          <w:rFonts w:ascii="Arial" w:hAnsi="Arial" w:cs="Arial"/>
          <w:sz w:val="20"/>
          <w:szCs w:val="20"/>
          <w:vertAlign w:val="superscript"/>
        </w:rPr>
        <w:t>-1</w:t>
      </w:r>
      <w:r>
        <w:rPr>
          <w:rFonts w:ascii="Arial" w:hAnsi="Arial" w:cs="Arial"/>
          <w:sz w:val="20"/>
          <w:szCs w:val="20"/>
        </w:rPr>
        <w:t>g</w:t>
      </w:r>
      <w:r>
        <w:rPr>
          <w:rFonts w:ascii="Arial" w:hAnsi="Arial" w:cs="Arial"/>
          <w:sz w:val="20"/>
          <w:szCs w:val="20"/>
          <w:vertAlign w:val="superscript"/>
        </w:rPr>
        <w:t>-1</w:t>
      </w:r>
      <w:r>
        <w:rPr>
          <w:rFonts w:ascii="Arial" w:hAnsi="Arial" w:cs="Arial"/>
          <w:sz w:val="20"/>
          <w:szCs w:val="20"/>
        </w:rPr>
        <w:t xml:space="preserve">) (Dhindsa </w:t>
      </w:r>
      <w:r>
        <w:rPr>
          <w:rFonts w:ascii="Arial" w:hAnsi="Arial" w:cs="Arial"/>
          <w:i/>
          <w:iCs/>
          <w:sz w:val="20"/>
          <w:szCs w:val="20"/>
        </w:rPr>
        <w:t>et al</w:t>
      </w:r>
      <w:r>
        <w:rPr>
          <w:rFonts w:ascii="Arial" w:hAnsi="Arial" w:cs="Arial"/>
          <w:sz w:val="20"/>
          <w:szCs w:val="20"/>
        </w:rPr>
        <w:t>., 1981) were analysed under drought stress conditions using standard procedures.</w:t>
      </w:r>
    </w:p>
    <w:p w14:paraId="3D5AD5AC">
      <w:pPr>
        <w:spacing w:line="240" w:lineRule="auto"/>
        <w:rPr>
          <w:rFonts w:ascii="Arial" w:hAnsi="Arial" w:cs="Arial"/>
          <w:b/>
          <w:bCs/>
        </w:rPr>
      </w:pPr>
      <w:r>
        <w:rPr>
          <w:rFonts w:ascii="Arial" w:hAnsi="Arial" w:cs="Arial"/>
          <w:b/>
          <w:bCs/>
        </w:rPr>
        <w:t>Results and discussion:</w:t>
      </w:r>
    </w:p>
    <w:p w14:paraId="60C40CF0">
      <w:pPr>
        <w:spacing w:line="240" w:lineRule="auto"/>
        <w:jc w:val="both"/>
        <w:rPr>
          <w:rFonts w:ascii="Arial" w:hAnsi="Arial" w:cs="Arial"/>
          <w:sz w:val="20"/>
          <w:szCs w:val="20"/>
        </w:rPr>
      </w:pPr>
      <w:commentRangeStart w:id="13"/>
      <w:r>
        <w:rPr>
          <w:rFonts w:ascii="Arial" w:hAnsi="Arial" w:cs="Arial"/>
          <w:sz w:val="20"/>
          <w:szCs w:val="20"/>
        </w:rPr>
        <w:t xml:space="preserve">Biomarkers are molecular messengers providing critical insights into an organism’s cellular state in response to external stimuli and its level varies significantly from the baseline found in healthy ones (Paniagua-Michel and Olmos-Soto, 2016, and Bodaghi </w:t>
      </w:r>
      <w:r>
        <w:rPr>
          <w:rFonts w:ascii="Arial" w:hAnsi="Arial" w:cs="Arial"/>
          <w:i/>
          <w:iCs/>
          <w:sz w:val="20"/>
          <w:szCs w:val="20"/>
        </w:rPr>
        <w:t>et al</w:t>
      </w:r>
      <w:r>
        <w:rPr>
          <w:rFonts w:ascii="Arial" w:hAnsi="Arial" w:cs="Arial"/>
          <w:sz w:val="20"/>
          <w:szCs w:val="20"/>
        </w:rPr>
        <w:t>., 2023). Its significant variation during abiotic and biotic stress factors can be exploited for the development of stress tolerant crops. During drought, the plant employs biochemical adaptation strategies involving the accumulation of osmoprotectants and antioxidants along with the regulation of nitrate assimilation.</w:t>
      </w:r>
      <w:commentRangeEnd w:id="13"/>
      <w:r>
        <w:commentReference w:id="13"/>
      </w:r>
    </w:p>
    <w:p w14:paraId="5C312AC7">
      <w:pPr>
        <w:spacing w:line="240" w:lineRule="auto"/>
        <w:jc w:val="both"/>
        <w:rPr>
          <w:rFonts w:ascii="Arial" w:hAnsi="Arial" w:cs="Arial"/>
          <w:sz w:val="20"/>
          <w:szCs w:val="20"/>
        </w:rPr>
      </w:pPr>
      <w:r>
        <w:rPr>
          <w:rFonts w:ascii="Arial" w:hAnsi="Arial" w:cs="Arial"/>
          <w:sz w:val="20"/>
          <w:szCs w:val="20"/>
        </w:rPr>
        <w:t xml:space="preserve">When the hybrids were forwarded to field-level drought screening, an increase in proline, glycine betaine, SOD, and NRA was observed for both tolerant and susceptible hybrids. Comparative analysis of biochemical parameters between nursery and field levels based on paired t-test emphasizes that a statistical significance at 1% probability was found with SOD activity (4.56*), glycine betaine content (11.80*) while proline content (0.28) and NRA activity (0.46) were non-significant (Table 1). The hybrids exhibited similar biochemical responses with respect to proline and NRA activity in both environments under drought stress. Studies have shown that leaf proline increases significantly with decreasing levels of soil moisture (Darwish </w:t>
      </w:r>
      <w:r>
        <w:rPr>
          <w:rFonts w:ascii="Arial" w:hAnsi="Arial" w:cs="Arial"/>
          <w:i/>
          <w:iCs/>
          <w:sz w:val="20"/>
          <w:szCs w:val="20"/>
        </w:rPr>
        <w:t>et al</w:t>
      </w:r>
      <w:r>
        <w:rPr>
          <w:rFonts w:ascii="Arial" w:hAnsi="Arial" w:cs="Arial"/>
          <w:sz w:val="20"/>
          <w:szCs w:val="20"/>
        </w:rPr>
        <w:t xml:space="preserve">., 2016). </w:t>
      </w:r>
      <w:r>
        <w:rPr>
          <w:rFonts w:ascii="Arial" w:hAnsi="Arial" w:cs="Arial"/>
          <w:color w:val="000000" w:themeColor="text1"/>
          <w:sz w:val="20"/>
          <w:szCs w:val="20"/>
          <w14:textFill>
            <w14:solidFill>
              <w14:schemeClr w14:val="tx1"/>
            </w14:solidFill>
          </w14:textFill>
        </w:rPr>
        <w:t xml:space="preserve">Proline, a key compatible solute is synthesized in foliar tissues and allocated to roots, where it facilitates the maintenance of cellular balance and stability (Wang </w:t>
      </w:r>
      <w:r>
        <w:rPr>
          <w:rFonts w:ascii="Arial" w:hAnsi="Arial" w:cs="Arial"/>
          <w:i/>
          <w:iCs/>
          <w:color w:val="000000" w:themeColor="text1"/>
          <w:sz w:val="20"/>
          <w:szCs w:val="20"/>
          <w14:textFill>
            <w14:solidFill>
              <w14:schemeClr w14:val="tx1"/>
            </w14:solidFill>
          </w14:textFill>
        </w:rPr>
        <w:t>et al</w:t>
      </w:r>
      <w:r>
        <w:rPr>
          <w:rFonts w:ascii="Arial" w:hAnsi="Arial" w:cs="Arial"/>
          <w:color w:val="000000" w:themeColor="text1"/>
          <w:sz w:val="20"/>
          <w:szCs w:val="20"/>
          <w14:textFill>
            <w14:solidFill>
              <w14:schemeClr w14:val="tx1"/>
            </w14:solidFill>
          </w14:textFill>
        </w:rPr>
        <w:t>., 2022). Beyond its established function in osmoprotection and homeostatic regulation, it is involved in the maintenance of subcellular integrity, enhancement of antioxidant capacity through redox modulation, and optimization of photosynthetic efficiency via regulation of photosystem II and chlorophyll metabolism (</w:t>
      </w:r>
      <w:r>
        <w:rPr>
          <w:rFonts w:ascii="Arial" w:hAnsi="Arial" w:cs="Arial"/>
          <w:sz w:val="20"/>
          <w:szCs w:val="20"/>
        </w:rPr>
        <w:t xml:space="preserve">Arshaf and Foolad, 2007, and Altuntas </w:t>
      </w:r>
      <w:r>
        <w:rPr>
          <w:rFonts w:ascii="Arial" w:hAnsi="Arial" w:cs="Arial"/>
          <w:i/>
          <w:iCs/>
          <w:sz w:val="20"/>
          <w:szCs w:val="20"/>
        </w:rPr>
        <w:t>et al</w:t>
      </w:r>
      <w:r>
        <w:rPr>
          <w:rFonts w:ascii="Arial" w:hAnsi="Arial" w:cs="Arial"/>
          <w:sz w:val="20"/>
          <w:szCs w:val="20"/>
        </w:rPr>
        <w:t>., 2020</w:t>
      </w:r>
      <w:r>
        <w:rPr>
          <w:rFonts w:ascii="Arial" w:hAnsi="Arial" w:cs="Arial"/>
          <w:color w:val="000000" w:themeColor="text1"/>
          <w:sz w:val="20"/>
          <w:szCs w:val="20"/>
          <w14:textFill>
            <w14:solidFill>
              <w14:schemeClr w14:val="tx1"/>
            </w14:solidFill>
          </w14:textFill>
        </w:rPr>
        <w:t>)</w:t>
      </w:r>
      <w:r>
        <w:rPr>
          <w:rFonts w:ascii="Arial" w:hAnsi="Arial" w:cs="Arial"/>
          <w:sz w:val="20"/>
          <w:szCs w:val="20"/>
        </w:rPr>
        <w:t>. Drought-induced proline accumulation has been found in diverse crops including</w:t>
      </w:r>
      <w:r>
        <w:rPr>
          <w:rFonts w:ascii="Arial" w:hAnsi="Arial" w:cs="Arial"/>
          <w:color w:val="000000" w:themeColor="text1"/>
          <w:sz w:val="20"/>
          <w:szCs w:val="20"/>
          <w14:textFill>
            <w14:solidFill>
              <w14:schemeClr w14:val="tx1"/>
            </w14:solidFill>
          </w14:textFill>
        </w:rPr>
        <w:t xml:space="preserve"> wheat</w:t>
      </w:r>
      <w:r>
        <w:rPr>
          <w:rFonts w:ascii="Arial" w:hAnsi="Arial" w:cs="Arial"/>
          <w:color w:val="FF0000"/>
          <w:sz w:val="20"/>
          <w:szCs w:val="20"/>
        </w:rPr>
        <w:t xml:space="preserve"> </w:t>
      </w:r>
      <w:r>
        <w:rPr>
          <w:rFonts w:ascii="Arial" w:hAnsi="Arial" w:cs="Arial"/>
          <w:sz w:val="20"/>
          <w:szCs w:val="20"/>
        </w:rPr>
        <w:t xml:space="preserve">(Mwadzingeni </w:t>
      </w:r>
      <w:r>
        <w:rPr>
          <w:rFonts w:ascii="Arial" w:hAnsi="Arial" w:cs="Arial"/>
          <w:i/>
          <w:iCs/>
          <w:sz w:val="20"/>
          <w:szCs w:val="20"/>
        </w:rPr>
        <w:t>et al</w:t>
      </w:r>
      <w:r>
        <w:rPr>
          <w:rFonts w:ascii="Arial" w:hAnsi="Arial" w:cs="Arial"/>
          <w:sz w:val="20"/>
          <w:szCs w:val="20"/>
        </w:rPr>
        <w:t xml:space="preserve">., 2016), </w:t>
      </w:r>
      <w:r>
        <w:rPr>
          <w:rFonts w:ascii="Arial" w:hAnsi="Arial" w:cs="Arial"/>
          <w:color w:val="000000" w:themeColor="text1"/>
          <w:sz w:val="20"/>
          <w:szCs w:val="20"/>
          <w14:textFill>
            <w14:solidFill>
              <w14:schemeClr w14:val="tx1"/>
            </w14:solidFill>
          </w14:textFill>
        </w:rPr>
        <w:t xml:space="preserve">coffee (Patil </w:t>
      </w:r>
      <w:r>
        <w:rPr>
          <w:rFonts w:ascii="Arial" w:hAnsi="Arial" w:cs="Arial"/>
          <w:i/>
          <w:iCs/>
          <w:color w:val="000000" w:themeColor="text1"/>
          <w:sz w:val="20"/>
          <w:szCs w:val="20"/>
          <w14:textFill>
            <w14:solidFill>
              <w14:schemeClr w14:val="tx1"/>
            </w14:solidFill>
          </w14:textFill>
        </w:rPr>
        <w:t>et al</w:t>
      </w:r>
      <w:r>
        <w:rPr>
          <w:rFonts w:ascii="Arial" w:hAnsi="Arial" w:cs="Arial"/>
          <w:color w:val="000000" w:themeColor="text1"/>
          <w:sz w:val="20"/>
          <w:szCs w:val="20"/>
          <w14:textFill>
            <w14:solidFill>
              <w14:schemeClr w14:val="tx1"/>
            </w14:solidFill>
          </w14:textFill>
        </w:rPr>
        <w:t>., 2019)</w:t>
      </w:r>
      <w:r>
        <w:rPr>
          <w:rFonts w:ascii="Arial" w:hAnsi="Arial" w:cs="Arial"/>
          <w:sz w:val="20"/>
          <w:szCs w:val="20"/>
        </w:rPr>
        <w:t xml:space="preserve">, </w:t>
      </w:r>
      <w:r>
        <w:rPr>
          <w:rFonts w:ascii="Arial" w:hAnsi="Arial" w:cs="Arial"/>
          <w:color w:val="000000" w:themeColor="text1"/>
          <w:sz w:val="20"/>
          <w:szCs w:val="20"/>
          <w14:textFill>
            <w14:solidFill>
              <w14:schemeClr w14:val="tx1"/>
            </w14:solidFill>
          </w14:textFill>
        </w:rPr>
        <w:t xml:space="preserve">tea (Rahimi </w:t>
      </w:r>
      <w:r>
        <w:rPr>
          <w:rFonts w:ascii="Arial" w:hAnsi="Arial" w:cs="Arial"/>
          <w:i/>
          <w:iCs/>
          <w:color w:val="000000" w:themeColor="text1"/>
          <w:sz w:val="20"/>
          <w:szCs w:val="20"/>
          <w14:textFill>
            <w14:solidFill>
              <w14:schemeClr w14:val="tx1"/>
            </w14:solidFill>
          </w14:textFill>
        </w:rPr>
        <w:t>et al</w:t>
      </w:r>
      <w:r>
        <w:rPr>
          <w:rFonts w:ascii="Arial" w:hAnsi="Arial" w:cs="Arial"/>
          <w:color w:val="000000" w:themeColor="text1"/>
          <w:sz w:val="20"/>
          <w:szCs w:val="20"/>
          <w14:textFill>
            <w14:solidFill>
              <w14:schemeClr w14:val="tx1"/>
            </w14:solidFill>
          </w14:textFill>
        </w:rPr>
        <w:t xml:space="preserve">., 2019), and </w:t>
      </w:r>
      <w:r>
        <w:rPr>
          <w:rFonts w:ascii="Arial" w:hAnsi="Arial" w:cs="Arial"/>
          <w:sz w:val="20"/>
          <w:szCs w:val="20"/>
        </w:rPr>
        <w:t xml:space="preserve">cotton (Tisarum </w:t>
      </w:r>
      <w:r>
        <w:rPr>
          <w:rFonts w:ascii="Arial" w:hAnsi="Arial" w:cs="Arial"/>
          <w:i/>
          <w:iCs/>
          <w:sz w:val="20"/>
          <w:szCs w:val="20"/>
        </w:rPr>
        <w:t>et al</w:t>
      </w:r>
      <w:r>
        <w:rPr>
          <w:rFonts w:ascii="Arial" w:hAnsi="Arial" w:cs="Arial"/>
          <w:sz w:val="20"/>
          <w:szCs w:val="20"/>
        </w:rPr>
        <w:t>., 2024</w:t>
      </w:r>
      <w:r>
        <w:rPr>
          <w:rFonts w:ascii="Arial" w:hAnsi="Arial" w:cs="Arial"/>
          <w:color w:val="000000" w:themeColor="text1"/>
          <w:sz w:val="20"/>
          <w:szCs w:val="20"/>
          <w14:textFill>
            <w14:solidFill>
              <w14:schemeClr w14:val="tx1"/>
            </w14:solidFill>
          </w14:textFill>
        </w:rPr>
        <w:t>)</w:t>
      </w:r>
      <w:r>
        <w:rPr>
          <w:rFonts w:ascii="Arial" w:hAnsi="Arial" w:cs="Arial"/>
          <w:sz w:val="20"/>
          <w:szCs w:val="20"/>
        </w:rPr>
        <w:t xml:space="preserve">. A direct association between proline and relative water content is observed in cocoa, highlighting its role in maintaining cellular turgidity during water-limited scenarios (Dzandu </w:t>
      </w:r>
      <w:r>
        <w:rPr>
          <w:rFonts w:ascii="Arial" w:hAnsi="Arial" w:cs="Arial"/>
          <w:i/>
          <w:iCs/>
          <w:sz w:val="20"/>
          <w:szCs w:val="20"/>
        </w:rPr>
        <w:t>et al</w:t>
      </w:r>
      <w:r>
        <w:rPr>
          <w:rFonts w:ascii="Arial" w:hAnsi="Arial" w:cs="Arial"/>
          <w:sz w:val="20"/>
          <w:szCs w:val="20"/>
        </w:rPr>
        <w:t xml:space="preserve">., 2021). </w:t>
      </w:r>
    </w:p>
    <w:p w14:paraId="6542FB18">
      <w:pPr>
        <w:spacing w:line="240" w:lineRule="auto"/>
        <w:jc w:val="both"/>
        <w:rPr>
          <w:rFonts w:ascii="Arial" w:hAnsi="Arial" w:cs="Arial"/>
          <w:sz w:val="20"/>
          <w:szCs w:val="20"/>
        </w:rPr>
      </w:pPr>
      <w:r>
        <w:rPr>
          <w:rFonts w:ascii="Arial" w:hAnsi="Arial" w:cs="Arial"/>
          <w:sz w:val="20"/>
          <w:szCs w:val="20"/>
        </w:rPr>
        <w:t>Nitrate reductase (NR) is a pivotal enzyme in nitrogen metabolism, serving as a rate-limiting step (</w:t>
      </w:r>
      <w:commentRangeStart w:id="14"/>
      <w:r>
        <w:rPr>
          <w:rFonts w:ascii="Arial" w:hAnsi="Arial" w:cs="Arial"/>
          <w:sz w:val="20"/>
          <w:szCs w:val="20"/>
        </w:rPr>
        <w:t>Campbell, 1988;</w:t>
      </w:r>
      <w:commentRangeEnd w:id="14"/>
      <w:r>
        <w:commentReference w:id="14"/>
      </w:r>
      <w:r>
        <w:rPr>
          <w:rFonts w:ascii="Arial" w:hAnsi="Arial" w:cs="Arial"/>
          <w:sz w:val="20"/>
          <w:szCs w:val="20"/>
        </w:rPr>
        <w:t xml:space="preserve"> Caravaca </w:t>
      </w:r>
      <w:r>
        <w:rPr>
          <w:rFonts w:ascii="Arial" w:hAnsi="Arial" w:cs="Arial"/>
          <w:i/>
          <w:iCs/>
          <w:sz w:val="20"/>
          <w:szCs w:val="20"/>
        </w:rPr>
        <w:t>et al</w:t>
      </w:r>
      <w:r>
        <w:rPr>
          <w:rFonts w:ascii="Arial" w:hAnsi="Arial" w:cs="Arial"/>
          <w:sz w:val="20"/>
          <w:szCs w:val="20"/>
        </w:rPr>
        <w:t xml:space="preserve">., 2004) that directly regulates the reduction of nitrate to nitrite (Chamizo-Ampudia </w:t>
      </w:r>
      <w:r>
        <w:rPr>
          <w:rFonts w:ascii="Arial" w:hAnsi="Arial" w:cs="Arial"/>
          <w:i/>
          <w:iCs/>
          <w:sz w:val="20"/>
          <w:szCs w:val="20"/>
        </w:rPr>
        <w:t>et al</w:t>
      </w:r>
      <w:r>
        <w:rPr>
          <w:rFonts w:ascii="Arial" w:hAnsi="Arial" w:cs="Arial"/>
          <w:sz w:val="20"/>
          <w:szCs w:val="20"/>
        </w:rPr>
        <w:t xml:space="preserve">., 2017; Han </w:t>
      </w:r>
      <w:r>
        <w:rPr>
          <w:rFonts w:ascii="Arial" w:hAnsi="Arial" w:cs="Arial"/>
          <w:i/>
          <w:iCs/>
          <w:sz w:val="20"/>
          <w:szCs w:val="20"/>
        </w:rPr>
        <w:t>et al</w:t>
      </w:r>
      <w:r>
        <w:rPr>
          <w:rFonts w:ascii="Arial" w:hAnsi="Arial" w:cs="Arial"/>
          <w:sz w:val="20"/>
          <w:szCs w:val="20"/>
        </w:rPr>
        <w:t xml:space="preserve">., 2022), ultimately influencing the efficiency of plant nitrogen utilization (Han </w:t>
      </w:r>
      <w:r>
        <w:rPr>
          <w:rFonts w:ascii="Arial" w:hAnsi="Arial" w:cs="Arial"/>
          <w:i/>
          <w:iCs/>
          <w:sz w:val="20"/>
          <w:szCs w:val="20"/>
        </w:rPr>
        <w:t>et al</w:t>
      </w:r>
      <w:r>
        <w:rPr>
          <w:rFonts w:ascii="Arial" w:hAnsi="Arial" w:cs="Arial"/>
          <w:sz w:val="20"/>
          <w:szCs w:val="20"/>
        </w:rPr>
        <w:t xml:space="preserve">., 2022). Drought stress led to marked changes in enzyme levels, </w:t>
      </w:r>
      <w:r>
        <w:rPr>
          <w:rFonts w:ascii="Arial" w:hAnsi="Arial" w:cs="Arial"/>
          <w:color w:val="000000" w:themeColor="text1"/>
          <w:sz w:val="20"/>
          <w:szCs w:val="20"/>
          <w14:textFill>
            <w14:solidFill>
              <w14:schemeClr w14:val="tx1"/>
            </w14:solidFill>
          </w14:textFill>
        </w:rPr>
        <w:t xml:space="preserve">with nitrate reductase activity exhibiting a progressive decline as drought severity increased (Foyer </w:t>
      </w:r>
      <w:commentRangeStart w:id="15"/>
      <w:r>
        <w:rPr>
          <w:rFonts w:ascii="Arial" w:hAnsi="Arial" w:cs="Arial"/>
          <w:i/>
          <w:iCs/>
          <w:color w:val="000000" w:themeColor="text1"/>
          <w:sz w:val="20"/>
          <w:szCs w:val="20"/>
          <w14:textFill>
            <w14:solidFill>
              <w14:schemeClr w14:val="tx1"/>
            </w14:solidFill>
          </w14:textFill>
        </w:rPr>
        <w:t>et al</w:t>
      </w:r>
      <w:r>
        <w:rPr>
          <w:rFonts w:ascii="Arial" w:hAnsi="Arial" w:cs="Arial"/>
          <w:color w:val="000000" w:themeColor="text1"/>
          <w:sz w:val="20"/>
          <w:szCs w:val="20"/>
          <w14:textFill>
            <w14:solidFill>
              <w14:schemeClr w14:val="tx1"/>
            </w14:solidFill>
          </w14:textFill>
        </w:rPr>
        <w:t>.,</w:t>
      </w:r>
      <w:commentRangeEnd w:id="15"/>
      <w:r>
        <w:commentReference w:id="15"/>
      </w:r>
      <w:r>
        <w:rPr>
          <w:rFonts w:ascii="Arial" w:hAnsi="Arial" w:cs="Arial"/>
          <w:color w:val="000000" w:themeColor="text1"/>
          <w:sz w:val="20"/>
          <w:szCs w:val="20"/>
          <w14:textFill>
            <w14:solidFill>
              <w14:schemeClr w14:val="tx1"/>
            </w14:solidFill>
          </w14:textFill>
        </w:rPr>
        <w:t xml:space="preserve"> Zhou </w:t>
      </w:r>
      <w:r>
        <w:rPr>
          <w:rFonts w:ascii="Arial" w:hAnsi="Arial" w:cs="Arial"/>
          <w:i/>
          <w:iCs/>
          <w:color w:val="000000" w:themeColor="text1"/>
          <w:sz w:val="20"/>
          <w:szCs w:val="20"/>
          <w14:textFill>
            <w14:solidFill>
              <w14:schemeClr w14:val="tx1"/>
            </w14:solidFill>
          </w14:textFill>
        </w:rPr>
        <w:t>et al</w:t>
      </w:r>
      <w:r>
        <w:rPr>
          <w:rFonts w:ascii="Arial" w:hAnsi="Arial" w:cs="Arial"/>
          <w:color w:val="000000" w:themeColor="text1"/>
          <w:sz w:val="20"/>
          <w:szCs w:val="20"/>
          <w14:textFill>
            <w14:solidFill>
              <w14:schemeClr w14:val="tx1"/>
            </w14:solidFill>
          </w14:textFill>
        </w:rPr>
        <w:t>., 2022). Research has revealed that hybrids with increased tolerance to osmotic stress tend to have elevated NR activity, implying that high NR activity is a key component of stress tolerance mechanisms (Baroowa and Gogo</w:t>
      </w:r>
      <w:commentRangeStart w:id="16"/>
      <w:r>
        <w:rPr>
          <w:rFonts w:ascii="Arial" w:hAnsi="Arial" w:cs="Arial"/>
          <w:color w:val="000000" w:themeColor="text1"/>
          <w:sz w:val="20"/>
          <w:szCs w:val="20"/>
          <w14:textFill>
            <w14:solidFill>
              <w14:schemeClr w14:val="tx1"/>
            </w14:solidFill>
          </w14:textFill>
        </w:rPr>
        <w:t xml:space="preserve">i </w:t>
      </w:r>
      <w:commentRangeEnd w:id="16"/>
      <w:r>
        <w:commentReference w:id="16"/>
      </w:r>
      <w:r>
        <w:rPr>
          <w:rFonts w:ascii="Arial" w:hAnsi="Arial" w:cs="Arial"/>
          <w:color w:val="000000" w:themeColor="text1"/>
          <w:sz w:val="20"/>
          <w:szCs w:val="20"/>
          <w14:textFill>
            <w14:solidFill>
              <w14:schemeClr w14:val="tx1"/>
            </w14:solidFill>
          </w14:textFill>
        </w:rPr>
        <w:t xml:space="preserve">2014) which is in complement with tolerant cocoa hybrids recording the highest NR. Hence, a minimal </w:t>
      </w:r>
      <w:r>
        <w:rPr>
          <w:rFonts w:ascii="Arial" w:hAnsi="Arial" w:cs="Arial"/>
          <w:sz w:val="20"/>
          <w:szCs w:val="20"/>
        </w:rPr>
        <w:t>decrease in activity has been correlated with increased drought tolerance, indicating that the ability to maintain enzyme function under drought conditions is a critical component of plant resilience (</w:t>
      </w:r>
      <w:bookmarkStart w:id="0" w:name="_Hlk196430218"/>
      <w:r>
        <w:rPr>
          <w:rFonts w:ascii="Arial" w:hAnsi="Arial" w:cs="Arial"/>
          <w:sz w:val="20"/>
          <w:szCs w:val="20"/>
        </w:rPr>
        <w:t xml:space="preserve">Chandra </w:t>
      </w:r>
      <w:r>
        <w:rPr>
          <w:rFonts w:ascii="Arial" w:hAnsi="Arial" w:cs="Arial"/>
          <w:i/>
          <w:iCs/>
          <w:sz w:val="20"/>
          <w:szCs w:val="20"/>
        </w:rPr>
        <w:t xml:space="preserve">et </w:t>
      </w:r>
      <w:commentRangeStart w:id="17"/>
      <w:r>
        <w:rPr>
          <w:rFonts w:ascii="Arial" w:hAnsi="Arial" w:cs="Arial"/>
          <w:i/>
          <w:iCs/>
          <w:sz w:val="20"/>
          <w:szCs w:val="20"/>
        </w:rPr>
        <w:t>al</w:t>
      </w:r>
      <w:r>
        <w:rPr>
          <w:rFonts w:ascii="Arial" w:hAnsi="Arial" w:cs="Arial"/>
          <w:sz w:val="20"/>
          <w:szCs w:val="20"/>
        </w:rPr>
        <w:t xml:space="preserve">. </w:t>
      </w:r>
      <w:commentRangeEnd w:id="17"/>
      <w:r>
        <w:commentReference w:id="17"/>
      </w:r>
      <w:r>
        <w:rPr>
          <w:rFonts w:ascii="Arial" w:hAnsi="Arial" w:cs="Arial"/>
          <w:sz w:val="20"/>
          <w:szCs w:val="20"/>
        </w:rPr>
        <w:t>2004</w:t>
      </w:r>
      <w:bookmarkEnd w:id="0"/>
      <w:r>
        <w:rPr>
          <w:rFonts w:ascii="Arial" w:hAnsi="Arial" w:cs="Arial"/>
          <w:sz w:val="20"/>
          <w:szCs w:val="20"/>
        </w:rPr>
        <w:t xml:space="preserve">). Variations in NR activity can serve as a sensitive indicator of the severity of water stress (Caravaca </w:t>
      </w:r>
      <w:r>
        <w:rPr>
          <w:rFonts w:ascii="Arial" w:hAnsi="Arial" w:cs="Arial"/>
          <w:i/>
          <w:iCs/>
          <w:sz w:val="20"/>
          <w:szCs w:val="20"/>
        </w:rPr>
        <w:t>et al</w:t>
      </w:r>
      <w:r>
        <w:rPr>
          <w:rFonts w:ascii="Arial" w:hAnsi="Arial" w:cs="Arial"/>
          <w:sz w:val="20"/>
          <w:szCs w:val="20"/>
        </w:rPr>
        <w:t xml:space="preserve">., 2005, and May </w:t>
      </w:r>
      <w:r>
        <w:rPr>
          <w:rFonts w:ascii="Arial" w:hAnsi="Arial" w:cs="Arial"/>
          <w:i/>
          <w:iCs/>
          <w:sz w:val="20"/>
          <w:szCs w:val="20"/>
        </w:rPr>
        <w:t>et al</w:t>
      </w:r>
      <w:r>
        <w:rPr>
          <w:rFonts w:ascii="Arial" w:hAnsi="Arial" w:cs="Arial"/>
          <w:sz w:val="20"/>
          <w:szCs w:val="20"/>
        </w:rPr>
        <w:t>., 2011). Due to its responsiveness to the internal metabolic and physiological status, NR has emerged as a widely used biomarker for stress detection in plant biology research (</w:t>
      </w:r>
      <w:commentRangeStart w:id="18"/>
      <w:r>
        <w:rPr>
          <w:rFonts w:ascii="Arial" w:hAnsi="Arial" w:cs="Arial"/>
          <w:sz w:val="20"/>
          <w:szCs w:val="20"/>
        </w:rPr>
        <w:t>Srivastava., 1980)</w:t>
      </w:r>
      <w:commentRangeEnd w:id="18"/>
      <w:r>
        <w:commentReference w:id="18"/>
      </w:r>
      <w:r>
        <w:rPr>
          <w:rFonts w:ascii="Arial" w:hAnsi="Arial" w:cs="Arial"/>
          <w:sz w:val="20"/>
          <w:szCs w:val="20"/>
        </w:rPr>
        <w:t xml:space="preserve">. The results suggest that proline and NRA can serve as a reliable indicator of drought tolerance at nursery screening enabling breeders to select promising varieties efficiently. </w:t>
      </w:r>
    </w:p>
    <w:p w14:paraId="55A7A9A6">
      <w:pPr>
        <w:spacing w:line="240" w:lineRule="auto"/>
        <w:rPr>
          <w:rFonts w:ascii="Arial" w:hAnsi="Arial" w:cs="Arial"/>
          <w:b/>
          <w:bCs/>
          <w:sz w:val="20"/>
          <w:szCs w:val="20"/>
        </w:rPr>
      </w:pPr>
      <w:r>
        <w:rPr>
          <w:rFonts w:ascii="Arial" w:hAnsi="Arial" w:cs="Arial"/>
          <w:b/>
          <w:bCs/>
          <w:sz w:val="20"/>
          <w:szCs w:val="20"/>
        </w:rPr>
        <w:t xml:space="preserve"> </w:t>
      </w:r>
      <w:r>
        <w:rPr>
          <w:rFonts w:ascii="Arial" w:hAnsi="Arial" w:cs="Arial"/>
          <w:b/>
          <w:bCs/>
          <w:sz w:val="20"/>
          <w:szCs w:val="20"/>
        </w:rPr>
        <w:drawing>
          <wp:inline distT="0" distB="0" distL="0" distR="0">
            <wp:extent cx="2843530" cy="1658620"/>
            <wp:effectExtent l="0" t="0" r="0" b="0"/>
            <wp:docPr id="192615716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157167"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844140" cy="1658752"/>
                    </a:xfrm>
                    <a:prstGeom prst="rect">
                      <a:avLst/>
                    </a:prstGeom>
                    <a:noFill/>
                  </pic:spPr>
                </pic:pic>
              </a:graphicData>
            </a:graphic>
          </wp:inline>
        </w:drawing>
      </w:r>
      <w:r>
        <w:rPr>
          <w:rFonts w:ascii="Arial" w:hAnsi="Arial" w:cs="Arial"/>
          <w:b/>
          <w:bCs/>
          <w:sz w:val="20"/>
          <w:szCs w:val="20"/>
        </w:rPr>
        <w:t xml:space="preserve"> </w:t>
      </w:r>
      <w:r>
        <w:rPr>
          <w:rFonts w:ascii="Arial" w:hAnsi="Arial" w:cs="Arial"/>
          <w:b/>
          <w:bCs/>
          <w:sz w:val="20"/>
          <w:szCs w:val="20"/>
        </w:rPr>
        <w:drawing>
          <wp:inline distT="0" distB="0" distL="0" distR="0">
            <wp:extent cx="2778125" cy="1658620"/>
            <wp:effectExtent l="0" t="0" r="3175" b="0"/>
            <wp:docPr id="103153094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530949"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778994" cy="1659099"/>
                    </a:xfrm>
                    <a:prstGeom prst="rect">
                      <a:avLst/>
                    </a:prstGeom>
                    <a:noFill/>
                  </pic:spPr>
                </pic:pic>
              </a:graphicData>
            </a:graphic>
          </wp:inline>
        </w:drawing>
      </w:r>
    </w:p>
    <w:p w14:paraId="1C242EA8">
      <w:pPr>
        <w:spacing w:line="240" w:lineRule="auto"/>
        <w:rPr>
          <w:rFonts w:ascii="Arial" w:hAnsi="Arial" w:cs="Arial"/>
          <w:b/>
          <w:bCs/>
          <w:sz w:val="20"/>
          <w:szCs w:val="20"/>
        </w:rPr>
      </w:pPr>
      <w:r>
        <w:rPr>
          <w:rFonts w:ascii="Arial" w:hAnsi="Arial" w:cs="Arial"/>
          <w:b/>
          <w:bCs/>
          <w:sz w:val="20"/>
          <w:szCs w:val="20"/>
        </w:rPr>
        <w:drawing>
          <wp:inline distT="0" distB="0" distL="0" distR="0">
            <wp:extent cx="2882265" cy="1697990"/>
            <wp:effectExtent l="0" t="0" r="0" b="0"/>
            <wp:docPr id="176609899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098998"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895966" cy="1706659"/>
                    </a:xfrm>
                    <a:prstGeom prst="rect">
                      <a:avLst/>
                    </a:prstGeom>
                    <a:noFill/>
                  </pic:spPr>
                </pic:pic>
              </a:graphicData>
            </a:graphic>
          </wp:inline>
        </w:drawing>
      </w:r>
      <w:r>
        <w:rPr>
          <w:rFonts w:ascii="Arial" w:hAnsi="Arial" w:cs="Arial"/>
          <w:b/>
          <w:bCs/>
          <w:sz w:val="20"/>
          <w:szCs w:val="20"/>
        </w:rPr>
        <w:t xml:space="preserve"> </w:t>
      </w:r>
      <w:r>
        <w:rPr>
          <w:rFonts w:ascii="Arial" w:hAnsi="Arial" w:cs="Arial"/>
          <w:b/>
          <w:bCs/>
          <w:sz w:val="20"/>
          <w:szCs w:val="20"/>
        </w:rPr>
        <w:drawing>
          <wp:inline distT="0" distB="0" distL="0" distR="0">
            <wp:extent cx="2778760" cy="1686560"/>
            <wp:effectExtent l="0" t="0" r="2540" b="8890"/>
            <wp:docPr id="125609281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092819"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786397" cy="1691206"/>
                    </a:xfrm>
                    <a:prstGeom prst="rect">
                      <a:avLst/>
                    </a:prstGeom>
                    <a:noFill/>
                  </pic:spPr>
                </pic:pic>
              </a:graphicData>
            </a:graphic>
          </wp:inline>
        </w:drawing>
      </w:r>
    </w:p>
    <w:p w14:paraId="331EA558">
      <w:pPr>
        <w:spacing w:line="240" w:lineRule="auto"/>
        <w:rPr>
          <w:rFonts w:ascii="Arial" w:hAnsi="Arial" w:cs="Arial"/>
          <w:b/>
          <w:bCs/>
          <w:sz w:val="20"/>
          <w:szCs w:val="20"/>
        </w:rPr>
      </w:pPr>
      <w:commentRangeStart w:id="19"/>
      <w:r>
        <w:rPr>
          <w:rFonts w:ascii="Arial" w:hAnsi="Arial" w:cs="Arial"/>
          <w:sz w:val="20"/>
          <w:szCs w:val="20"/>
        </w:rPr>
        <w:t>Figure1. Showing the variation among cocoa hybrids towards drought stress at nursery and field level a. Proline (</w:t>
      </w:r>
      <w:r>
        <w:rPr>
          <w:rFonts w:ascii="Arial" w:hAnsi="Arial" w:cs="Arial"/>
          <w:color w:val="000000" w:themeColor="text1"/>
          <w:sz w:val="20"/>
          <w:szCs w:val="20"/>
          <w14:textFill>
            <w14:solidFill>
              <w14:schemeClr w14:val="tx1"/>
            </w14:solidFill>
          </w14:textFill>
        </w:rPr>
        <w:t>µg g</w:t>
      </w:r>
      <w:r>
        <w:rPr>
          <w:rFonts w:ascii="Arial" w:hAnsi="Arial" w:cs="Arial"/>
          <w:color w:val="000000" w:themeColor="text1"/>
          <w:sz w:val="20"/>
          <w:szCs w:val="20"/>
          <w:vertAlign w:val="superscript"/>
          <w14:textFill>
            <w14:solidFill>
              <w14:schemeClr w14:val="tx1"/>
            </w14:solidFill>
          </w14:textFill>
        </w:rPr>
        <w:t>-1</w:t>
      </w:r>
      <w:r>
        <w:rPr>
          <w:rFonts w:ascii="Arial" w:hAnsi="Arial" w:cs="Arial"/>
          <w:sz w:val="20"/>
          <w:szCs w:val="20"/>
        </w:rPr>
        <w:t xml:space="preserve">) b. NRA </w:t>
      </w:r>
      <w:r>
        <w:rPr>
          <w:rFonts w:ascii="Arial" w:hAnsi="Arial" w:eastAsia="Times New Roman" w:cs="Arial"/>
          <w:color w:val="000000"/>
          <w:kern w:val="0"/>
          <w:sz w:val="20"/>
          <w:szCs w:val="20"/>
          <w:lang w:eastAsia="en-IN"/>
          <w14:ligatures w14:val="none"/>
        </w:rPr>
        <w:t>(</w:t>
      </w:r>
      <w:r>
        <w:rPr>
          <w:rFonts w:ascii="Arial" w:hAnsi="Arial" w:cs="Arial"/>
          <w:color w:val="000000" w:themeColor="text1"/>
          <w:sz w:val="20"/>
          <w:szCs w:val="20"/>
          <w14:textFill>
            <w14:solidFill>
              <w14:schemeClr w14:val="tx1"/>
            </w14:solidFill>
          </w14:textFill>
        </w:rPr>
        <w:t>mmol nitrite g</w:t>
      </w:r>
      <w:r>
        <w:rPr>
          <w:rFonts w:ascii="Arial" w:hAnsi="Arial" w:cs="Arial"/>
          <w:color w:val="000000" w:themeColor="text1"/>
          <w:sz w:val="20"/>
          <w:szCs w:val="20"/>
          <w:vertAlign w:val="superscript"/>
          <w14:textFill>
            <w14:solidFill>
              <w14:schemeClr w14:val="tx1"/>
            </w14:solidFill>
          </w14:textFill>
        </w:rPr>
        <w:t>-1</w:t>
      </w:r>
      <w:r>
        <w:rPr>
          <w:rFonts w:ascii="Arial" w:hAnsi="Arial" w:cs="Arial"/>
          <w:color w:val="000000" w:themeColor="text1"/>
          <w:sz w:val="20"/>
          <w:szCs w:val="20"/>
          <w14:textFill>
            <w14:solidFill>
              <w14:schemeClr w14:val="tx1"/>
            </w14:solidFill>
          </w14:textFill>
        </w:rPr>
        <w:t>hr</w:t>
      </w:r>
      <w:r>
        <w:rPr>
          <w:rFonts w:ascii="Arial" w:hAnsi="Arial" w:cs="Arial"/>
          <w:color w:val="000000" w:themeColor="text1"/>
          <w:sz w:val="20"/>
          <w:szCs w:val="20"/>
          <w:vertAlign w:val="superscript"/>
          <w14:textFill>
            <w14:solidFill>
              <w14:schemeClr w14:val="tx1"/>
            </w14:solidFill>
          </w14:textFill>
        </w:rPr>
        <w:t>-1</w:t>
      </w:r>
      <w:r>
        <w:rPr>
          <w:rFonts w:ascii="Arial" w:hAnsi="Arial" w:eastAsia="Times New Roman" w:cs="Arial"/>
          <w:color w:val="000000"/>
          <w:kern w:val="0"/>
          <w:sz w:val="20"/>
          <w:szCs w:val="20"/>
          <w:lang w:eastAsia="en-IN"/>
          <w14:ligatures w14:val="none"/>
        </w:rPr>
        <w:t xml:space="preserve">) </w:t>
      </w:r>
      <w:r>
        <w:rPr>
          <w:rFonts w:ascii="Arial" w:hAnsi="Arial" w:cs="Arial"/>
          <w:sz w:val="20"/>
          <w:szCs w:val="20"/>
        </w:rPr>
        <w:t>c. SOD (</w:t>
      </w:r>
      <w:r>
        <w:rPr>
          <w:rFonts w:ascii="Arial" w:hAnsi="Arial" w:cs="Arial"/>
          <w:color w:val="000000" w:themeColor="text1"/>
          <w:sz w:val="20"/>
          <w:szCs w:val="20"/>
          <w14:textFill>
            <w14:solidFill>
              <w14:schemeClr w14:val="tx1"/>
            </w14:solidFill>
          </w14:textFill>
        </w:rPr>
        <w:t>units</w:t>
      </w:r>
      <w:r>
        <w:rPr>
          <w:rFonts w:ascii="Arial" w:hAnsi="Arial" w:cs="Arial"/>
          <w:color w:val="000000" w:themeColor="text1"/>
          <w:sz w:val="20"/>
          <w:szCs w:val="20"/>
          <w:vertAlign w:val="superscript"/>
          <w14:textFill>
            <w14:solidFill>
              <w14:schemeClr w14:val="tx1"/>
            </w14:solidFill>
          </w14:textFill>
        </w:rPr>
        <w:t xml:space="preserve">-1 </w:t>
      </w:r>
      <w:r>
        <w:rPr>
          <w:rFonts w:ascii="Arial" w:hAnsi="Arial" w:cs="Arial"/>
          <w:color w:val="000000" w:themeColor="text1"/>
          <w:sz w:val="20"/>
          <w:szCs w:val="20"/>
          <w14:textFill>
            <w14:solidFill>
              <w14:schemeClr w14:val="tx1"/>
            </w14:solidFill>
          </w14:textFill>
        </w:rPr>
        <w:t>mg protein</w:t>
      </w:r>
      <w:r>
        <w:rPr>
          <w:rFonts w:ascii="Arial" w:hAnsi="Arial" w:cs="Arial"/>
          <w:color w:val="000000" w:themeColor="text1"/>
          <w:sz w:val="20"/>
          <w:szCs w:val="20"/>
          <w:vertAlign w:val="superscript"/>
          <w14:textFill>
            <w14:solidFill>
              <w14:schemeClr w14:val="tx1"/>
            </w14:solidFill>
          </w14:textFill>
        </w:rPr>
        <w:t>-1</w:t>
      </w:r>
      <w:r>
        <w:rPr>
          <w:rFonts w:ascii="Arial" w:hAnsi="Arial" w:cs="Arial"/>
          <w:color w:val="000000" w:themeColor="text1"/>
          <w:sz w:val="20"/>
          <w:szCs w:val="20"/>
          <w14:textFill>
            <w14:solidFill>
              <w14:schemeClr w14:val="tx1"/>
            </w14:solidFill>
          </w14:textFill>
        </w:rPr>
        <w:t>g</w:t>
      </w:r>
      <w:r>
        <w:rPr>
          <w:rFonts w:ascii="Arial" w:hAnsi="Arial" w:cs="Arial"/>
          <w:color w:val="000000" w:themeColor="text1"/>
          <w:sz w:val="20"/>
          <w:szCs w:val="20"/>
          <w:vertAlign w:val="superscript"/>
          <w14:textFill>
            <w14:solidFill>
              <w14:schemeClr w14:val="tx1"/>
            </w14:solidFill>
          </w14:textFill>
        </w:rPr>
        <w:t>-1</w:t>
      </w:r>
      <w:r>
        <w:rPr>
          <w:rFonts w:ascii="Arial" w:hAnsi="Arial" w:cs="Arial"/>
          <w:sz w:val="20"/>
          <w:szCs w:val="20"/>
        </w:rPr>
        <w:t>) d. Glycine betaine (</w:t>
      </w:r>
      <w:r>
        <w:rPr>
          <w:rFonts w:ascii="Arial" w:hAnsi="Arial" w:cs="Arial"/>
          <w:color w:val="000000" w:themeColor="text1"/>
          <w:sz w:val="20"/>
          <w:szCs w:val="20"/>
          <w14:textFill>
            <w14:solidFill>
              <w14:schemeClr w14:val="tx1"/>
            </w14:solidFill>
          </w14:textFill>
        </w:rPr>
        <w:t>µmol g</w:t>
      </w:r>
      <w:r>
        <w:rPr>
          <w:rFonts w:ascii="Arial" w:hAnsi="Arial" w:cs="Arial"/>
          <w:color w:val="000000" w:themeColor="text1"/>
          <w:sz w:val="20"/>
          <w:szCs w:val="20"/>
          <w:vertAlign w:val="superscript"/>
          <w14:textFill>
            <w14:solidFill>
              <w14:schemeClr w14:val="tx1"/>
            </w14:solidFill>
          </w14:textFill>
        </w:rPr>
        <w:t>-1</w:t>
      </w:r>
      <w:r>
        <w:rPr>
          <w:rFonts w:ascii="Arial" w:hAnsi="Arial" w:cs="Arial"/>
          <w:color w:val="000000" w:themeColor="text1"/>
          <w:sz w:val="20"/>
          <w:szCs w:val="20"/>
          <w14:textFill>
            <w14:solidFill>
              <w14:schemeClr w14:val="tx1"/>
            </w14:solidFill>
          </w14:textFill>
        </w:rPr>
        <w:t xml:space="preserve"> dw</w:t>
      </w:r>
      <w:r>
        <w:rPr>
          <w:rFonts w:ascii="Arial" w:hAnsi="Arial" w:cs="Arial"/>
          <w:color w:val="000000" w:themeColor="text1"/>
          <w:sz w:val="20"/>
          <w:szCs w:val="20"/>
          <w:vertAlign w:val="superscript"/>
          <w14:textFill>
            <w14:solidFill>
              <w14:schemeClr w14:val="tx1"/>
            </w14:solidFill>
          </w14:textFill>
        </w:rPr>
        <w:t>-1</w:t>
      </w:r>
      <w:r>
        <w:rPr>
          <w:rFonts w:ascii="Arial" w:hAnsi="Arial" w:cs="Arial"/>
          <w:sz w:val="20"/>
          <w:szCs w:val="20"/>
        </w:rPr>
        <w:t>).</w:t>
      </w:r>
      <w:commentRangeEnd w:id="19"/>
      <w:r>
        <w:commentReference w:id="19"/>
      </w:r>
    </w:p>
    <w:tbl>
      <w:tblPr>
        <w:tblStyle w:val="12"/>
        <w:tblW w:w="10915" w:type="dxa"/>
        <w:tblInd w:w="-714" w:type="dxa"/>
        <w:tblLayout w:type="fixed"/>
        <w:tblCellMar>
          <w:top w:w="0" w:type="dxa"/>
          <w:left w:w="108" w:type="dxa"/>
          <w:bottom w:w="0" w:type="dxa"/>
          <w:right w:w="108" w:type="dxa"/>
        </w:tblCellMar>
      </w:tblPr>
      <w:tblGrid>
        <w:gridCol w:w="993"/>
        <w:gridCol w:w="1017"/>
        <w:gridCol w:w="967"/>
        <w:gridCol w:w="709"/>
        <w:gridCol w:w="858"/>
        <w:gridCol w:w="842"/>
        <w:gridCol w:w="708"/>
        <w:gridCol w:w="861"/>
        <w:gridCol w:w="700"/>
        <w:gridCol w:w="709"/>
        <w:gridCol w:w="992"/>
        <w:gridCol w:w="851"/>
        <w:gridCol w:w="708"/>
      </w:tblGrid>
      <w:tr w14:paraId="309FF02C">
        <w:tblPrEx>
          <w:tblCellMar>
            <w:top w:w="0" w:type="dxa"/>
            <w:left w:w="108" w:type="dxa"/>
            <w:bottom w:w="0" w:type="dxa"/>
            <w:right w:w="108" w:type="dxa"/>
          </w:tblCellMar>
        </w:tblPrEx>
        <w:trPr>
          <w:trHeight w:val="288" w:hRule="atLeast"/>
        </w:trPr>
        <w:tc>
          <w:tcPr>
            <w:tcW w:w="993" w:type="dxa"/>
            <w:vMerge w:val="restart"/>
            <w:tcBorders>
              <w:top w:val="single" w:color="auto" w:sz="4" w:space="0"/>
              <w:left w:val="single" w:color="auto" w:sz="4" w:space="0"/>
              <w:right w:val="single" w:color="auto" w:sz="4" w:space="0"/>
            </w:tcBorders>
            <w:shd w:val="clear" w:color="auto" w:fill="auto"/>
            <w:noWrap/>
            <w:vAlign w:val="center"/>
          </w:tcPr>
          <w:p w14:paraId="39B9F14B">
            <w:pPr>
              <w:spacing w:after="0" w:line="240" w:lineRule="auto"/>
              <w:jc w:val="both"/>
              <w:rPr>
                <w:rFonts w:ascii="Arial" w:hAnsi="Arial" w:eastAsia="Times New Roman" w:cs="Arial"/>
                <w:color w:val="000000"/>
                <w:kern w:val="0"/>
                <w:sz w:val="20"/>
                <w:szCs w:val="20"/>
                <w:lang w:eastAsia="en-IN"/>
                <w14:ligatures w14:val="none"/>
              </w:rPr>
            </w:pPr>
            <w:r>
              <w:rPr>
                <w:rFonts w:ascii="Arial" w:hAnsi="Arial" w:eastAsia="Times New Roman" w:cs="Arial"/>
                <w:color w:val="000000"/>
                <w:kern w:val="0"/>
                <w:sz w:val="20"/>
                <w:szCs w:val="20"/>
                <w:lang w:eastAsia="en-IN"/>
                <w14:ligatures w14:val="none"/>
              </w:rPr>
              <w:t>Hybrids</w:t>
            </w:r>
          </w:p>
        </w:tc>
        <w:tc>
          <w:tcPr>
            <w:tcW w:w="1984" w:type="dxa"/>
            <w:gridSpan w:val="2"/>
            <w:tcBorders>
              <w:top w:val="single" w:color="auto" w:sz="4" w:space="0"/>
              <w:left w:val="nil"/>
              <w:bottom w:val="single" w:color="auto" w:sz="4" w:space="0"/>
              <w:right w:val="single" w:color="auto" w:sz="4" w:space="0"/>
            </w:tcBorders>
            <w:shd w:val="clear" w:color="auto" w:fill="auto"/>
            <w:noWrap/>
            <w:vAlign w:val="center"/>
          </w:tcPr>
          <w:p w14:paraId="2D6A994C">
            <w:pPr>
              <w:spacing w:after="0" w:line="240" w:lineRule="auto"/>
              <w:jc w:val="center"/>
              <w:rPr>
                <w:rFonts w:ascii="Arial" w:hAnsi="Arial" w:eastAsia="Times New Roman" w:cs="Arial"/>
                <w:color w:val="000000"/>
                <w:kern w:val="0"/>
                <w:sz w:val="20"/>
                <w:szCs w:val="20"/>
                <w:lang w:eastAsia="en-IN"/>
                <w14:ligatures w14:val="none"/>
              </w:rPr>
            </w:pPr>
            <w:r>
              <w:rPr>
                <w:rFonts w:ascii="Arial" w:hAnsi="Arial" w:eastAsia="Times New Roman" w:cs="Arial"/>
                <w:color w:val="000000"/>
                <w:kern w:val="0"/>
                <w:sz w:val="20"/>
                <w:szCs w:val="20"/>
                <w:lang w:eastAsia="en-IN"/>
                <w14:ligatures w14:val="none"/>
              </w:rPr>
              <w:t>Proline (</w:t>
            </w:r>
            <w:r>
              <w:rPr>
                <w:rFonts w:ascii="Arial" w:hAnsi="Arial" w:cs="Arial"/>
                <w:color w:val="000000" w:themeColor="text1"/>
                <w:sz w:val="20"/>
                <w:szCs w:val="20"/>
                <w14:textFill>
                  <w14:solidFill>
                    <w14:schemeClr w14:val="tx1"/>
                  </w14:solidFill>
                </w14:textFill>
              </w:rPr>
              <w:t>µg g</w:t>
            </w:r>
            <w:r>
              <w:rPr>
                <w:rFonts w:ascii="Arial" w:hAnsi="Arial" w:cs="Arial"/>
                <w:color w:val="000000" w:themeColor="text1"/>
                <w:sz w:val="20"/>
                <w:szCs w:val="20"/>
                <w:vertAlign w:val="superscript"/>
                <w14:textFill>
                  <w14:solidFill>
                    <w14:schemeClr w14:val="tx1"/>
                  </w14:solidFill>
                </w14:textFill>
              </w:rPr>
              <w:t>-1</w:t>
            </w:r>
            <w:r>
              <w:rPr>
                <w:rFonts w:ascii="Arial" w:hAnsi="Arial" w:eastAsia="Times New Roman" w:cs="Arial"/>
                <w:color w:val="000000"/>
                <w:kern w:val="0"/>
                <w:sz w:val="20"/>
                <w:szCs w:val="20"/>
                <w:lang w:eastAsia="en-IN"/>
                <w14:ligatures w14:val="none"/>
              </w:rPr>
              <w:t>)</w:t>
            </w:r>
          </w:p>
        </w:tc>
        <w:tc>
          <w:tcPr>
            <w:tcW w:w="709" w:type="dxa"/>
            <w:vMerge w:val="restart"/>
            <w:tcBorders>
              <w:top w:val="single" w:color="auto" w:sz="4" w:space="0"/>
              <w:left w:val="nil"/>
              <w:bottom w:val="single" w:color="auto" w:sz="4" w:space="0"/>
              <w:right w:val="single" w:color="auto" w:sz="4" w:space="0"/>
            </w:tcBorders>
            <w:vAlign w:val="center"/>
          </w:tcPr>
          <w:p w14:paraId="6D87C449">
            <w:pPr>
              <w:spacing w:after="0" w:line="240" w:lineRule="auto"/>
              <w:jc w:val="center"/>
              <w:rPr>
                <w:rFonts w:ascii="Arial" w:hAnsi="Arial" w:eastAsia="Times New Roman" w:cs="Arial"/>
                <w:color w:val="000000"/>
                <w:kern w:val="0"/>
                <w:sz w:val="20"/>
                <w:szCs w:val="20"/>
                <w:lang w:eastAsia="en-IN"/>
                <w14:ligatures w14:val="none"/>
              </w:rPr>
            </w:pPr>
            <w:r>
              <w:rPr>
                <w:rFonts w:ascii="Arial" w:hAnsi="Arial" w:eastAsia="Times New Roman" w:cs="Arial"/>
                <w:color w:val="000000"/>
                <w:kern w:val="0"/>
                <w:sz w:val="20"/>
                <w:szCs w:val="20"/>
                <w:lang w:eastAsia="en-IN"/>
                <w14:ligatures w14:val="none"/>
              </w:rPr>
              <w:t>t-Test</w:t>
            </w:r>
          </w:p>
        </w:tc>
        <w:tc>
          <w:tcPr>
            <w:tcW w:w="1700" w:type="dxa"/>
            <w:gridSpan w:val="2"/>
            <w:tcBorders>
              <w:top w:val="single" w:color="auto" w:sz="4" w:space="0"/>
              <w:left w:val="single" w:color="auto" w:sz="4" w:space="0"/>
              <w:bottom w:val="single" w:color="auto" w:sz="4" w:space="0"/>
              <w:right w:val="single" w:color="auto" w:sz="4" w:space="0"/>
            </w:tcBorders>
            <w:vAlign w:val="center"/>
          </w:tcPr>
          <w:p w14:paraId="0C820FE5">
            <w:pPr>
              <w:spacing w:after="0" w:line="240" w:lineRule="auto"/>
              <w:jc w:val="center"/>
              <w:rPr>
                <w:rFonts w:ascii="Arial" w:hAnsi="Arial" w:eastAsia="Times New Roman" w:cs="Arial"/>
                <w:color w:val="000000"/>
                <w:kern w:val="0"/>
                <w:sz w:val="20"/>
                <w:szCs w:val="20"/>
                <w:lang w:eastAsia="en-IN"/>
                <w14:ligatures w14:val="none"/>
              </w:rPr>
            </w:pPr>
            <w:r>
              <w:rPr>
                <w:rFonts w:ascii="Arial" w:hAnsi="Arial" w:eastAsia="Times New Roman" w:cs="Arial"/>
                <w:color w:val="000000"/>
                <w:kern w:val="0"/>
                <w:sz w:val="20"/>
                <w:szCs w:val="20"/>
                <w:lang w:eastAsia="en-IN"/>
                <w14:ligatures w14:val="none"/>
              </w:rPr>
              <w:t>NRA (</w:t>
            </w:r>
            <w:r>
              <w:rPr>
                <w:rFonts w:ascii="Arial" w:hAnsi="Arial" w:cs="Arial"/>
                <w:color w:val="000000" w:themeColor="text1"/>
                <w:sz w:val="20"/>
                <w:szCs w:val="20"/>
                <w14:textFill>
                  <w14:solidFill>
                    <w14:schemeClr w14:val="tx1"/>
                  </w14:solidFill>
                </w14:textFill>
              </w:rPr>
              <w:t>mmol nitrite g</w:t>
            </w:r>
            <w:r>
              <w:rPr>
                <w:rFonts w:ascii="Arial" w:hAnsi="Arial" w:cs="Arial"/>
                <w:color w:val="000000" w:themeColor="text1"/>
                <w:sz w:val="20"/>
                <w:szCs w:val="20"/>
                <w:vertAlign w:val="superscript"/>
                <w14:textFill>
                  <w14:solidFill>
                    <w14:schemeClr w14:val="tx1"/>
                  </w14:solidFill>
                </w14:textFill>
              </w:rPr>
              <w:t>-1</w:t>
            </w:r>
            <w:r>
              <w:rPr>
                <w:rFonts w:ascii="Arial" w:hAnsi="Arial" w:cs="Arial"/>
                <w:color w:val="000000" w:themeColor="text1"/>
                <w:sz w:val="20"/>
                <w:szCs w:val="20"/>
                <w14:textFill>
                  <w14:solidFill>
                    <w14:schemeClr w14:val="tx1"/>
                  </w14:solidFill>
                </w14:textFill>
              </w:rPr>
              <w:t>hr</w:t>
            </w:r>
            <w:r>
              <w:rPr>
                <w:rFonts w:ascii="Arial" w:hAnsi="Arial" w:cs="Arial"/>
                <w:color w:val="000000" w:themeColor="text1"/>
                <w:sz w:val="20"/>
                <w:szCs w:val="20"/>
                <w:vertAlign w:val="superscript"/>
                <w14:textFill>
                  <w14:solidFill>
                    <w14:schemeClr w14:val="tx1"/>
                  </w14:solidFill>
                </w14:textFill>
              </w:rPr>
              <w:t>-1</w:t>
            </w:r>
            <w:r>
              <w:rPr>
                <w:rFonts w:ascii="Arial" w:hAnsi="Arial" w:eastAsia="Times New Roman" w:cs="Arial"/>
                <w:color w:val="000000"/>
                <w:kern w:val="0"/>
                <w:sz w:val="20"/>
                <w:szCs w:val="20"/>
                <w:lang w:eastAsia="en-IN"/>
                <w14:ligatures w14:val="none"/>
              </w:rPr>
              <w:t>)</w:t>
            </w:r>
          </w:p>
        </w:tc>
        <w:tc>
          <w:tcPr>
            <w:tcW w:w="708" w:type="dxa"/>
            <w:vMerge w:val="restart"/>
            <w:tcBorders>
              <w:top w:val="single" w:color="auto" w:sz="4" w:space="0"/>
              <w:left w:val="single" w:color="auto" w:sz="4" w:space="0"/>
              <w:right w:val="single" w:color="auto" w:sz="4" w:space="0"/>
            </w:tcBorders>
            <w:vAlign w:val="center"/>
          </w:tcPr>
          <w:p w14:paraId="74A882E7">
            <w:pPr>
              <w:spacing w:after="0" w:line="240" w:lineRule="auto"/>
              <w:jc w:val="center"/>
              <w:rPr>
                <w:rFonts w:ascii="Arial" w:hAnsi="Arial" w:eastAsia="Times New Roman" w:cs="Arial"/>
                <w:color w:val="000000"/>
                <w:kern w:val="0"/>
                <w:sz w:val="20"/>
                <w:szCs w:val="20"/>
                <w:lang w:eastAsia="en-IN"/>
                <w14:ligatures w14:val="none"/>
              </w:rPr>
            </w:pPr>
            <w:r>
              <w:rPr>
                <w:rFonts w:ascii="Arial" w:hAnsi="Arial" w:eastAsia="Times New Roman" w:cs="Arial"/>
                <w:color w:val="000000"/>
                <w:kern w:val="0"/>
                <w:sz w:val="20"/>
                <w:szCs w:val="20"/>
                <w:lang w:eastAsia="en-IN"/>
                <w14:ligatures w14:val="none"/>
              </w:rPr>
              <w:t>t-Test</w:t>
            </w:r>
          </w:p>
        </w:tc>
        <w:tc>
          <w:tcPr>
            <w:tcW w:w="1561" w:type="dxa"/>
            <w:gridSpan w:val="2"/>
            <w:tcBorders>
              <w:top w:val="single" w:color="auto" w:sz="4" w:space="0"/>
              <w:left w:val="single" w:color="auto" w:sz="4" w:space="0"/>
              <w:bottom w:val="single" w:color="auto" w:sz="4" w:space="0"/>
              <w:right w:val="single" w:color="auto" w:sz="4" w:space="0"/>
            </w:tcBorders>
            <w:vAlign w:val="center"/>
          </w:tcPr>
          <w:p w14:paraId="7FB2D964">
            <w:pPr>
              <w:spacing w:after="0" w:line="240" w:lineRule="auto"/>
              <w:jc w:val="center"/>
              <w:rPr>
                <w:rFonts w:ascii="Arial" w:hAnsi="Arial" w:eastAsia="Times New Roman" w:cs="Arial"/>
                <w:color w:val="000000"/>
                <w:kern w:val="0"/>
                <w:sz w:val="20"/>
                <w:szCs w:val="20"/>
                <w:lang w:eastAsia="en-IN"/>
                <w14:ligatures w14:val="none"/>
              </w:rPr>
            </w:pPr>
            <w:r>
              <w:rPr>
                <w:rFonts w:ascii="Arial" w:hAnsi="Arial" w:eastAsia="Times New Roman" w:cs="Arial"/>
                <w:color w:val="000000"/>
                <w:kern w:val="0"/>
                <w:sz w:val="20"/>
                <w:szCs w:val="20"/>
                <w:lang w:eastAsia="en-IN"/>
                <w14:ligatures w14:val="none"/>
              </w:rPr>
              <w:t>SOD (</w:t>
            </w:r>
            <w:r>
              <w:rPr>
                <w:rFonts w:ascii="Arial" w:hAnsi="Arial" w:cs="Arial"/>
                <w:color w:val="000000" w:themeColor="text1"/>
                <w:sz w:val="20"/>
                <w:szCs w:val="20"/>
                <w14:textFill>
                  <w14:solidFill>
                    <w14:schemeClr w14:val="tx1"/>
                  </w14:solidFill>
                </w14:textFill>
              </w:rPr>
              <w:t>units</w:t>
            </w:r>
            <w:r>
              <w:rPr>
                <w:rFonts w:ascii="Arial" w:hAnsi="Arial" w:cs="Arial"/>
                <w:color w:val="000000" w:themeColor="text1"/>
                <w:sz w:val="20"/>
                <w:szCs w:val="20"/>
                <w:vertAlign w:val="superscript"/>
                <w14:textFill>
                  <w14:solidFill>
                    <w14:schemeClr w14:val="tx1"/>
                  </w14:solidFill>
                </w14:textFill>
              </w:rPr>
              <w:t xml:space="preserve">-1 </w:t>
            </w:r>
            <w:r>
              <w:rPr>
                <w:rFonts w:ascii="Arial" w:hAnsi="Arial" w:cs="Arial"/>
                <w:color w:val="000000" w:themeColor="text1"/>
                <w:sz w:val="20"/>
                <w:szCs w:val="20"/>
                <w14:textFill>
                  <w14:solidFill>
                    <w14:schemeClr w14:val="tx1"/>
                  </w14:solidFill>
                </w14:textFill>
              </w:rPr>
              <w:t>mg protein</w:t>
            </w:r>
            <w:r>
              <w:rPr>
                <w:rFonts w:ascii="Arial" w:hAnsi="Arial" w:cs="Arial"/>
                <w:color w:val="000000" w:themeColor="text1"/>
                <w:sz w:val="20"/>
                <w:szCs w:val="20"/>
                <w:vertAlign w:val="superscript"/>
                <w14:textFill>
                  <w14:solidFill>
                    <w14:schemeClr w14:val="tx1"/>
                  </w14:solidFill>
                </w14:textFill>
              </w:rPr>
              <w:t>-1</w:t>
            </w:r>
            <w:r>
              <w:rPr>
                <w:rFonts w:ascii="Arial" w:hAnsi="Arial" w:cs="Arial"/>
                <w:color w:val="000000" w:themeColor="text1"/>
                <w:sz w:val="20"/>
                <w:szCs w:val="20"/>
                <w14:textFill>
                  <w14:solidFill>
                    <w14:schemeClr w14:val="tx1"/>
                  </w14:solidFill>
                </w14:textFill>
              </w:rPr>
              <w:t>g</w:t>
            </w:r>
            <w:r>
              <w:rPr>
                <w:rFonts w:ascii="Arial" w:hAnsi="Arial" w:cs="Arial"/>
                <w:color w:val="000000" w:themeColor="text1"/>
                <w:sz w:val="20"/>
                <w:szCs w:val="20"/>
                <w:vertAlign w:val="superscript"/>
                <w14:textFill>
                  <w14:solidFill>
                    <w14:schemeClr w14:val="tx1"/>
                  </w14:solidFill>
                </w14:textFill>
              </w:rPr>
              <w:t>-1</w:t>
            </w:r>
            <w:r>
              <w:rPr>
                <w:rFonts w:ascii="Arial" w:hAnsi="Arial" w:eastAsia="Times New Roman" w:cs="Arial"/>
                <w:color w:val="000000"/>
                <w:kern w:val="0"/>
                <w:sz w:val="20"/>
                <w:szCs w:val="20"/>
                <w:lang w:eastAsia="en-IN"/>
                <w14:ligatures w14:val="none"/>
              </w:rPr>
              <w:t>)</w:t>
            </w:r>
          </w:p>
        </w:tc>
        <w:tc>
          <w:tcPr>
            <w:tcW w:w="709" w:type="dxa"/>
            <w:vMerge w:val="restart"/>
            <w:tcBorders>
              <w:top w:val="single" w:color="auto" w:sz="4" w:space="0"/>
              <w:left w:val="single" w:color="auto" w:sz="4" w:space="0"/>
              <w:right w:val="single" w:color="auto" w:sz="4" w:space="0"/>
            </w:tcBorders>
            <w:vAlign w:val="center"/>
          </w:tcPr>
          <w:p w14:paraId="0B4ACCBD">
            <w:pPr>
              <w:spacing w:after="0" w:line="240" w:lineRule="auto"/>
              <w:jc w:val="center"/>
              <w:rPr>
                <w:rFonts w:ascii="Arial" w:hAnsi="Arial" w:eastAsia="Times New Roman" w:cs="Arial"/>
                <w:color w:val="000000"/>
                <w:kern w:val="0"/>
                <w:sz w:val="20"/>
                <w:szCs w:val="20"/>
                <w:lang w:eastAsia="en-IN"/>
                <w14:ligatures w14:val="none"/>
              </w:rPr>
            </w:pPr>
            <w:r>
              <w:rPr>
                <w:rFonts w:ascii="Arial" w:hAnsi="Arial" w:eastAsia="Times New Roman" w:cs="Arial"/>
                <w:color w:val="000000"/>
                <w:kern w:val="0"/>
                <w:sz w:val="20"/>
                <w:szCs w:val="20"/>
                <w:lang w:eastAsia="en-IN"/>
                <w14:ligatures w14:val="none"/>
              </w:rPr>
              <w:t>t-Test</w:t>
            </w:r>
          </w:p>
        </w:tc>
        <w:tc>
          <w:tcPr>
            <w:tcW w:w="1843" w:type="dxa"/>
            <w:gridSpan w:val="2"/>
            <w:tcBorders>
              <w:top w:val="single" w:color="auto" w:sz="4" w:space="0"/>
              <w:left w:val="single" w:color="auto" w:sz="4" w:space="0"/>
              <w:bottom w:val="single" w:color="auto" w:sz="4" w:space="0"/>
              <w:right w:val="single" w:color="auto" w:sz="4" w:space="0"/>
            </w:tcBorders>
            <w:vAlign w:val="center"/>
          </w:tcPr>
          <w:p w14:paraId="4F9D286E">
            <w:pPr>
              <w:spacing w:after="0" w:line="240" w:lineRule="auto"/>
              <w:jc w:val="center"/>
              <w:rPr>
                <w:rFonts w:ascii="Arial" w:hAnsi="Arial" w:eastAsia="Times New Roman" w:cs="Arial"/>
                <w:color w:val="000000"/>
                <w:kern w:val="0"/>
                <w:sz w:val="20"/>
                <w:szCs w:val="20"/>
                <w:lang w:eastAsia="en-IN"/>
                <w14:ligatures w14:val="none"/>
              </w:rPr>
            </w:pPr>
            <w:r>
              <w:rPr>
                <w:rFonts w:ascii="Arial" w:hAnsi="Arial" w:eastAsia="Times New Roman" w:cs="Arial"/>
                <w:color w:val="000000"/>
                <w:kern w:val="0"/>
                <w:sz w:val="20"/>
                <w:szCs w:val="20"/>
                <w:lang w:eastAsia="en-IN"/>
                <w14:ligatures w14:val="none"/>
              </w:rPr>
              <w:t>Glycine betaine (</w:t>
            </w:r>
            <w:r>
              <w:rPr>
                <w:rFonts w:ascii="Arial" w:hAnsi="Arial" w:cs="Arial"/>
                <w:color w:val="000000" w:themeColor="text1"/>
                <w:sz w:val="20"/>
                <w:szCs w:val="20"/>
                <w14:textFill>
                  <w14:solidFill>
                    <w14:schemeClr w14:val="tx1"/>
                  </w14:solidFill>
                </w14:textFill>
              </w:rPr>
              <w:t>µmol g</w:t>
            </w:r>
            <w:r>
              <w:rPr>
                <w:rFonts w:ascii="Arial" w:hAnsi="Arial" w:cs="Arial"/>
                <w:color w:val="000000" w:themeColor="text1"/>
                <w:sz w:val="20"/>
                <w:szCs w:val="20"/>
                <w:vertAlign w:val="superscript"/>
                <w14:textFill>
                  <w14:solidFill>
                    <w14:schemeClr w14:val="tx1"/>
                  </w14:solidFill>
                </w14:textFill>
              </w:rPr>
              <w:t>-1</w:t>
            </w:r>
            <w:r>
              <w:rPr>
                <w:rFonts w:ascii="Arial" w:hAnsi="Arial" w:cs="Arial"/>
                <w:color w:val="000000" w:themeColor="text1"/>
                <w:sz w:val="20"/>
                <w:szCs w:val="20"/>
                <w14:textFill>
                  <w14:solidFill>
                    <w14:schemeClr w14:val="tx1"/>
                  </w14:solidFill>
                </w14:textFill>
              </w:rPr>
              <w:t xml:space="preserve"> dw</w:t>
            </w:r>
            <w:r>
              <w:rPr>
                <w:rFonts w:ascii="Arial" w:hAnsi="Arial" w:cs="Arial"/>
                <w:color w:val="000000" w:themeColor="text1"/>
                <w:sz w:val="20"/>
                <w:szCs w:val="20"/>
                <w:vertAlign w:val="superscript"/>
                <w14:textFill>
                  <w14:solidFill>
                    <w14:schemeClr w14:val="tx1"/>
                  </w14:solidFill>
                </w14:textFill>
              </w:rPr>
              <w:t>-1</w:t>
            </w:r>
            <w:r>
              <w:rPr>
                <w:rFonts w:ascii="Arial" w:hAnsi="Arial" w:eastAsia="Times New Roman" w:cs="Arial"/>
                <w:color w:val="000000"/>
                <w:kern w:val="0"/>
                <w:sz w:val="20"/>
                <w:szCs w:val="20"/>
                <w:lang w:eastAsia="en-IN"/>
                <w14:ligatures w14:val="none"/>
              </w:rPr>
              <w:t>)</w:t>
            </w:r>
          </w:p>
        </w:tc>
        <w:tc>
          <w:tcPr>
            <w:tcW w:w="708" w:type="dxa"/>
            <w:vMerge w:val="restart"/>
            <w:tcBorders>
              <w:top w:val="single" w:color="auto" w:sz="4" w:space="0"/>
              <w:left w:val="single" w:color="auto" w:sz="4" w:space="0"/>
              <w:right w:val="single" w:color="auto" w:sz="4" w:space="0"/>
            </w:tcBorders>
            <w:vAlign w:val="center"/>
          </w:tcPr>
          <w:p w14:paraId="5B24DF86">
            <w:pPr>
              <w:spacing w:after="0" w:line="240" w:lineRule="auto"/>
              <w:jc w:val="center"/>
              <w:rPr>
                <w:rFonts w:ascii="Arial" w:hAnsi="Arial" w:eastAsia="Times New Roman" w:cs="Arial"/>
                <w:color w:val="000000"/>
                <w:kern w:val="0"/>
                <w:sz w:val="20"/>
                <w:szCs w:val="20"/>
                <w:lang w:eastAsia="en-IN"/>
                <w14:ligatures w14:val="none"/>
              </w:rPr>
            </w:pPr>
            <w:r>
              <w:rPr>
                <w:rFonts w:ascii="Arial" w:hAnsi="Arial" w:eastAsia="Times New Roman" w:cs="Arial"/>
                <w:color w:val="000000"/>
                <w:kern w:val="0"/>
                <w:sz w:val="20"/>
                <w:szCs w:val="20"/>
                <w:lang w:eastAsia="en-IN"/>
                <w14:ligatures w14:val="none"/>
              </w:rPr>
              <w:t>t-Test</w:t>
            </w:r>
          </w:p>
        </w:tc>
      </w:tr>
      <w:tr w14:paraId="67ABE718">
        <w:tblPrEx>
          <w:tblCellMar>
            <w:top w:w="0" w:type="dxa"/>
            <w:left w:w="108" w:type="dxa"/>
            <w:bottom w:w="0" w:type="dxa"/>
            <w:right w:w="108" w:type="dxa"/>
          </w:tblCellMar>
        </w:tblPrEx>
        <w:trPr>
          <w:trHeight w:val="288" w:hRule="atLeast"/>
        </w:trPr>
        <w:tc>
          <w:tcPr>
            <w:tcW w:w="993" w:type="dxa"/>
            <w:vMerge w:val="continue"/>
            <w:tcBorders>
              <w:left w:val="single" w:color="auto" w:sz="4" w:space="0"/>
              <w:bottom w:val="single" w:color="auto" w:sz="4" w:space="0"/>
              <w:right w:val="single" w:color="auto" w:sz="4" w:space="0"/>
            </w:tcBorders>
            <w:shd w:val="clear" w:color="auto" w:fill="auto"/>
            <w:noWrap/>
            <w:vAlign w:val="center"/>
          </w:tcPr>
          <w:p w14:paraId="02CD8F52">
            <w:pPr>
              <w:spacing w:after="0" w:line="240" w:lineRule="auto"/>
              <w:jc w:val="center"/>
              <w:rPr>
                <w:rFonts w:ascii="Arial" w:hAnsi="Arial" w:eastAsia="Times New Roman" w:cs="Arial"/>
                <w:color w:val="000000"/>
                <w:kern w:val="0"/>
                <w:sz w:val="20"/>
                <w:szCs w:val="20"/>
                <w:lang w:eastAsia="en-IN"/>
                <w14:ligatures w14:val="none"/>
              </w:rPr>
            </w:pPr>
          </w:p>
        </w:tc>
        <w:tc>
          <w:tcPr>
            <w:tcW w:w="1017" w:type="dxa"/>
            <w:tcBorders>
              <w:top w:val="single" w:color="auto" w:sz="4" w:space="0"/>
              <w:left w:val="nil"/>
              <w:bottom w:val="single" w:color="auto" w:sz="4" w:space="0"/>
              <w:right w:val="single" w:color="auto" w:sz="4" w:space="0"/>
            </w:tcBorders>
            <w:shd w:val="clear" w:color="auto" w:fill="auto"/>
            <w:noWrap/>
            <w:vAlign w:val="center"/>
          </w:tcPr>
          <w:p w14:paraId="22FFED45">
            <w:pPr>
              <w:spacing w:after="0" w:line="240" w:lineRule="auto"/>
              <w:jc w:val="center"/>
              <w:rPr>
                <w:rFonts w:ascii="Arial" w:hAnsi="Arial" w:eastAsia="Times New Roman" w:cs="Arial"/>
                <w:color w:val="000000"/>
                <w:kern w:val="0"/>
                <w:sz w:val="20"/>
                <w:szCs w:val="20"/>
                <w:lang w:eastAsia="en-IN"/>
                <w14:ligatures w14:val="none"/>
              </w:rPr>
            </w:pPr>
            <w:r>
              <w:rPr>
                <w:rFonts w:ascii="Arial" w:hAnsi="Arial" w:eastAsia="Times New Roman" w:cs="Arial"/>
                <w:color w:val="000000"/>
                <w:kern w:val="0"/>
                <w:sz w:val="20"/>
                <w:szCs w:val="20"/>
                <w:lang w:eastAsia="en-IN"/>
                <w14:ligatures w14:val="none"/>
              </w:rPr>
              <w:t>Nursery</w:t>
            </w:r>
          </w:p>
        </w:tc>
        <w:tc>
          <w:tcPr>
            <w:tcW w:w="967" w:type="dxa"/>
            <w:tcBorders>
              <w:top w:val="single" w:color="auto" w:sz="4" w:space="0"/>
              <w:left w:val="nil"/>
              <w:bottom w:val="single" w:color="auto" w:sz="4" w:space="0"/>
              <w:right w:val="single" w:color="auto" w:sz="4" w:space="0"/>
            </w:tcBorders>
            <w:shd w:val="clear" w:color="auto" w:fill="auto"/>
            <w:noWrap/>
            <w:vAlign w:val="center"/>
          </w:tcPr>
          <w:p w14:paraId="4F3E378D">
            <w:pPr>
              <w:spacing w:after="0" w:line="240" w:lineRule="auto"/>
              <w:jc w:val="center"/>
              <w:rPr>
                <w:rFonts w:ascii="Arial" w:hAnsi="Arial" w:eastAsia="Times New Roman" w:cs="Arial"/>
                <w:color w:val="000000"/>
                <w:kern w:val="0"/>
                <w:sz w:val="20"/>
                <w:szCs w:val="20"/>
                <w:lang w:eastAsia="en-IN"/>
                <w14:ligatures w14:val="none"/>
              </w:rPr>
            </w:pPr>
            <w:r>
              <w:rPr>
                <w:rFonts w:ascii="Arial" w:hAnsi="Arial" w:eastAsia="Times New Roman" w:cs="Arial"/>
                <w:color w:val="000000"/>
                <w:kern w:val="0"/>
                <w:sz w:val="20"/>
                <w:szCs w:val="20"/>
                <w:lang w:eastAsia="en-IN"/>
                <w14:ligatures w14:val="none"/>
              </w:rPr>
              <w:t>Field</w:t>
            </w:r>
          </w:p>
        </w:tc>
        <w:tc>
          <w:tcPr>
            <w:tcW w:w="709" w:type="dxa"/>
            <w:vMerge w:val="continue"/>
            <w:tcBorders>
              <w:top w:val="single" w:color="auto" w:sz="4" w:space="0"/>
              <w:left w:val="nil"/>
              <w:bottom w:val="single" w:color="auto" w:sz="4" w:space="0"/>
              <w:right w:val="single" w:color="auto" w:sz="4" w:space="0"/>
            </w:tcBorders>
          </w:tcPr>
          <w:p w14:paraId="20E5F1A5">
            <w:pPr>
              <w:spacing w:after="0" w:line="240" w:lineRule="auto"/>
              <w:jc w:val="center"/>
              <w:rPr>
                <w:rFonts w:ascii="Arial" w:hAnsi="Arial" w:eastAsia="Times New Roman" w:cs="Arial"/>
                <w:color w:val="000000"/>
                <w:kern w:val="0"/>
                <w:sz w:val="20"/>
                <w:szCs w:val="20"/>
                <w:lang w:eastAsia="en-IN"/>
                <w14:ligatures w14:val="none"/>
              </w:rPr>
            </w:pPr>
          </w:p>
        </w:tc>
        <w:tc>
          <w:tcPr>
            <w:tcW w:w="858" w:type="dxa"/>
            <w:tcBorders>
              <w:top w:val="single" w:color="auto" w:sz="4" w:space="0"/>
              <w:left w:val="single" w:color="auto" w:sz="4" w:space="0"/>
              <w:bottom w:val="single" w:color="auto" w:sz="4" w:space="0"/>
              <w:right w:val="single" w:color="auto" w:sz="4" w:space="0"/>
            </w:tcBorders>
            <w:vAlign w:val="center"/>
          </w:tcPr>
          <w:p w14:paraId="3073FD1E">
            <w:pPr>
              <w:spacing w:after="0" w:line="240" w:lineRule="auto"/>
              <w:jc w:val="center"/>
              <w:rPr>
                <w:rFonts w:ascii="Arial" w:hAnsi="Arial" w:eastAsia="Times New Roman" w:cs="Arial"/>
                <w:color w:val="000000"/>
                <w:kern w:val="0"/>
                <w:sz w:val="20"/>
                <w:szCs w:val="20"/>
                <w:lang w:eastAsia="en-IN"/>
                <w14:ligatures w14:val="none"/>
              </w:rPr>
            </w:pPr>
            <w:r>
              <w:rPr>
                <w:rFonts w:ascii="Arial" w:hAnsi="Arial" w:eastAsia="Times New Roman" w:cs="Arial"/>
                <w:color w:val="000000"/>
                <w:kern w:val="0"/>
                <w:sz w:val="20"/>
                <w:szCs w:val="20"/>
                <w:lang w:eastAsia="en-IN"/>
                <w14:ligatures w14:val="none"/>
              </w:rPr>
              <w:t>Nursery</w:t>
            </w:r>
          </w:p>
        </w:tc>
        <w:tc>
          <w:tcPr>
            <w:tcW w:w="842" w:type="dxa"/>
            <w:tcBorders>
              <w:top w:val="single" w:color="auto" w:sz="4" w:space="0"/>
              <w:left w:val="single" w:color="auto" w:sz="4" w:space="0"/>
              <w:bottom w:val="single" w:color="auto" w:sz="4" w:space="0"/>
              <w:right w:val="single" w:color="auto" w:sz="4" w:space="0"/>
            </w:tcBorders>
            <w:vAlign w:val="center"/>
          </w:tcPr>
          <w:p w14:paraId="6CC227E3">
            <w:pPr>
              <w:spacing w:after="0" w:line="240" w:lineRule="auto"/>
              <w:jc w:val="center"/>
              <w:rPr>
                <w:rFonts w:ascii="Arial" w:hAnsi="Arial" w:eastAsia="Times New Roman" w:cs="Arial"/>
                <w:color w:val="000000"/>
                <w:kern w:val="0"/>
                <w:sz w:val="20"/>
                <w:szCs w:val="20"/>
                <w:lang w:eastAsia="en-IN"/>
                <w14:ligatures w14:val="none"/>
              </w:rPr>
            </w:pPr>
            <w:r>
              <w:rPr>
                <w:rFonts w:ascii="Arial" w:hAnsi="Arial" w:eastAsia="Times New Roman" w:cs="Arial"/>
                <w:color w:val="000000"/>
                <w:kern w:val="0"/>
                <w:sz w:val="20"/>
                <w:szCs w:val="20"/>
                <w:lang w:eastAsia="en-IN"/>
                <w14:ligatures w14:val="none"/>
              </w:rPr>
              <w:t>Field</w:t>
            </w:r>
          </w:p>
        </w:tc>
        <w:tc>
          <w:tcPr>
            <w:tcW w:w="708" w:type="dxa"/>
            <w:vMerge w:val="continue"/>
            <w:tcBorders>
              <w:left w:val="single" w:color="auto" w:sz="4" w:space="0"/>
              <w:bottom w:val="single" w:color="auto" w:sz="4" w:space="0"/>
              <w:right w:val="single" w:color="auto" w:sz="4" w:space="0"/>
            </w:tcBorders>
          </w:tcPr>
          <w:p w14:paraId="6F810DF2">
            <w:pPr>
              <w:spacing w:after="0" w:line="240" w:lineRule="auto"/>
              <w:jc w:val="center"/>
              <w:rPr>
                <w:rFonts w:ascii="Arial" w:hAnsi="Arial" w:eastAsia="Times New Roman" w:cs="Arial"/>
                <w:color w:val="000000"/>
                <w:kern w:val="0"/>
                <w:sz w:val="20"/>
                <w:szCs w:val="20"/>
                <w:lang w:eastAsia="en-IN"/>
                <w14:ligatures w14:val="none"/>
              </w:rPr>
            </w:pPr>
          </w:p>
        </w:tc>
        <w:tc>
          <w:tcPr>
            <w:tcW w:w="861" w:type="dxa"/>
            <w:tcBorders>
              <w:top w:val="single" w:color="auto" w:sz="4" w:space="0"/>
              <w:left w:val="single" w:color="auto" w:sz="4" w:space="0"/>
              <w:bottom w:val="single" w:color="auto" w:sz="4" w:space="0"/>
              <w:right w:val="single" w:color="auto" w:sz="4" w:space="0"/>
            </w:tcBorders>
            <w:vAlign w:val="center"/>
          </w:tcPr>
          <w:p w14:paraId="4500FF11">
            <w:pPr>
              <w:spacing w:after="0" w:line="240" w:lineRule="auto"/>
              <w:jc w:val="center"/>
              <w:rPr>
                <w:rFonts w:ascii="Arial" w:hAnsi="Arial" w:eastAsia="Times New Roman" w:cs="Arial"/>
                <w:color w:val="000000"/>
                <w:kern w:val="0"/>
                <w:sz w:val="20"/>
                <w:szCs w:val="20"/>
                <w:lang w:eastAsia="en-IN"/>
                <w14:ligatures w14:val="none"/>
              </w:rPr>
            </w:pPr>
            <w:r>
              <w:rPr>
                <w:rFonts w:ascii="Arial" w:hAnsi="Arial" w:eastAsia="Times New Roman" w:cs="Arial"/>
                <w:color w:val="000000"/>
                <w:kern w:val="0"/>
                <w:sz w:val="20"/>
                <w:szCs w:val="20"/>
                <w:lang w:eastAsia="en-IN"/>
                <w14:ligatures w14:val="none"/>
              </w:rPr>
              <w:t>Nursery</w:t>
            </w:r>
          </w:p>
        </w:tc>
        <w:tc>
          <w:tcPr>
            <w:tcW w:w="700" w:type="dxa"/>
            <w:tcBorders>
              <w:top w:val="single" w:color="auto" w:sz="4" w:space="0"/>
              <w:left w:val="single" w:color="auto" w:sz="4" w:space="0"/>
              <w:bottom w:val="single" w:color="auto" w:sz="4" w:space="0"/>
              <w:right w:val="single" w:color="auto" w:sz="4" w:space="0"/>
            </w:tcBorders>
            <w:vAlign w:val="center"/>
          </w:tcPr>
          <w:p w14:paraId="5245F648">
            <w:pPr>
              <w:spacing w:after="0" w:line="240" w:lineRule="auto"/>
              <w:jc w:val="center"/>
              <w:rPr>
                <w:rFonts w:ascii="Arial" w:hAnsi="Arial" w:eastAsia="Times New Roman" w:cs="Arial"/>
                <w:color w:val="000000"/>
                <w:kern w:val="0"/>
                <w:sz w:val="20"/>
                <w:szCs w:val="20"/>
                <w:lang w:eastAsia="en-IN"/>
                <w14:ligatures w14:val="none"/>
              </w:rPr>
            </w:pPr>
            <w:r>
              <w:rPr>
                <w:rFonts w:ascii="Arial" w:hAnsi="Arial" w:eastAsia="Times New Roman" w:cs="Arial"/>
                <w:color w:val="000000"/>
                <w:kern w:val="0"/>
                <w:sz w:val="20"/>
                <w:szCs w:val="20"/>
                <w:lang w:eastAsia="en-IN"/>
                <w14:ligatures w14:val="none"/>
              </w:rPr>
              <w:t>Field</w:t>
            </w:r>
          </w:p>
        </w:tc>
        <w:tc>
          <w:tcPr>
            <w:tcW w:w="709" w:type="dxa"/>
            <w:vMerge w:val="continue"/>
            <w:tcBorders>
              <w:left w:val="single" w:color="auto" w:sz="4" w:space="0"/>
              <w:bottom w:val="single" w:color="auto" w:sz="4" w:space="0"/>
              <w:right w:val="single" w:color="auto" w:sz="4" w:space="0"/>
            </w:tcBorders>
          </w:tcPr>
          <w:p w14:paraId="61061074">
            <w:pPr>
              <w:spacing w:after="0" w:line="240" w:lineRule="auto"/>
              <w:jc w:val="center"/>
              <w:rPr>
                <w:rFonts w:ascii="Arial" w:hAnsi="Arial" w:eastAsia="Times New Roman" w:cs="Arial"/>
                <w:color w:val="000000"/>
                <w:kern w:val="0"/>
                <w:sz w:val="20"/>
                <w:szCs w:val="20"/>
                <w:lang w:eastAsia="en-IN"/>
                <w14:ligatures w14: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40B22C59">
            <w:pPr>
              <w:spacing w:after="0" w:line="240" w:lineRule="auto"/>
              <w:jc w:val="center"/>
              <w:rPr>
                <w:rFonts w:ascii="Arial" w:hAnsi="Arial" w:eastAsia="Times New Roman" w:cs="Arial"/>
                <w:color w:val="000000"/>
                <w:kern w:val="0"/>
                <w:sz w:val="20"/>
                <w:szCs w:val="20"/>
                <w:lang w:eastAsia="en-IN"/>
                <w14:ligatures w14:val="none"/>
              </w:rPr>
            </w:pPr>
            <w:r>
              <w:rPr>
                <w:rFonts w:ascii="Arial" w:hAnsi="Arial" w:eastAsia="Times New Roman" w:cs="Arial"/>
                <w:color w:val="000000"/>
                <w:kern w:val="0"/>
                <w:sz w:val="20"/>
                <w:szCs w:val="20"/>
                <w:lang w:eastAsia="en-IN"/>
                <w14:ligatures w14:val="none"/>
              </w:rPr>
              <w:t>Nursery</w:t>
            </w:r>
          </w:p>
        </w:tc>
        <w:tc>
          <w:tcPr>
            <w:tcW w:w="851" w:type="dxa"/>
            <w:tcBorders>
              <w:top w:val="single" w:color="auto" w:sz="4" w:space="0"/>
              <w:left w:val="single" w:color="auto" w:sz="4" w:space="0"/>
              <w:bottom w:val="single" w:color="auto" w:sz="4" w:space="0"/>
              <w:right w:val="single" w:color="auto" w:sz="4" w:space="0"/>
            </w:tcBorders>
            <w:vAlign w:val="center"/>
          </w:tcPr>
          <w:p w14:paraId="0E5C35FD">
            <w:pPr>
              <w:spacing w:after="0" w:line="240" w:lineRule="auto"/>
              <w:jc w:val="center"/>
              <w:rPr>
                <w:rFonts w:ascii="Arial" w:hAnsi="Arial" w:eastAsia="Times New Roman" w:cs="Arial"/>
                <w:color w:val="000000"/>
                <w:kern w:val="0"/>
                <w:sz w:val="20"/>
                <w:szCs w:val="20"/>
                <w:lang w:eastAsia="en-IN"/>
                <w14:ligatures w14:val="none"/>
              </w:rPr>
            </w:pPr>
            <w:r>
              <w:rPr>
                <w:rFonts w:ascii="Arial" w:hAnsi="Arial" w:eastAsia="Times New Roman" w:cs="Arial"/>
                <w:color w:val="000000"/>
                <w:kern w:val="0"/>
                <w:sz w:val="20"/>
                <w:szCs w:val="20"/>
                <w:lang w:eastAsia="en-IN"/>
                <w14:ligatures w14:val="none"/>
              </w:rPr>
              <w:t>Field</w:t>
            </w:r>
          </w:p>
        </w:tc>
        <w:tc>
          <w:tcPr>
            <w:tcW w:w="708" w:type="dxa"/>
            <w:vMerge w:val="continue"/>
            <w:tcBorders>
              <w:left w:val="single" w:color="auto" w:sz="4" w:space="0"/>
              <w:bottom w:val="single" w:color="auto" w:sz="4" w:space="0"/>
              <w:right w:val="single" w:color="auto" w:sz="4" w:space="0"/>
            </w:tcBorders>
          </w:tcPr>
          <w:p w14:paraId="028FF4B8">
            <w:pPr>
              <w:spacing w:after="0" w:line="240" w:lineRule="auto"/>
              <w:jc w:val="center"/>
              <w:rPr>
                <w:rFonts w:ascii="Arial" w:hAnsi="Arial" w:eastAsia="Times New Roman" w:cs="Arial"/>
                <w:color w:val="000000"/>
                <w:kern w:val="0"/>
                <w:sz w:val="20"/>
                <w:szCs w:val="20"/>
                <w:lang w:eastAsia="en-IN"/>
                <w14:ligatures w14:val="none"/>
              </w:rPr>
            </w:pPr>
          </w:p>
        </w:tc>
      </w:tr>
      <w:tr w14:paraId="137A6D7E">
        <w:tblPrEx>
          <w:tblCellMar>
            <w:top w:w="0" w:type="dxa"/>
            <w:left w:w="108" w:type="dxa"/>
            <w:bottom w:w="0" w:type="dxa"/>
            <w:right w:w="108" w:type="dxa"/>
          </w:tblCellMar>
        </w:tblPrEx>
        <w:trPr>
          <w:trHeight w:val="325" w:hRule="atLeast"/>
        </w:trPr>
        <w:tc>
          <w:tcPr>
            <w:tcW w:w="993" w:type="dxa"/>
            <w:tcBorders>
              <w:top w:val="nil"/>
              <w:left w:val="single" w:color="auto" w:sz="4" w:space="0"/>
              <w:bottom w:val="single" w:color="auto" w:sz="4" w:space="0"/>
              <w:right w:val="single" w:color="auto" w:sz="4" w:space="0"/>
            </w:tcBorders>
            <w:shd w:val="clear" w:color="auto" w:fill="auto"/>
            <w:noWrap/>
            <w:vAlign w:val="bottom"/>
          </w:tcPr>
          <w:p w14:paraId="48CD8306">
            <w:pPr>
              <w:spacing w:after="0" w:line="240" w:lineRule="auto"/>
              <w:rPr>
                <w:rFonts w:ascii="Arial" w:hAnsi="Arial" w:eastAsia="Times New Roman" w:cs="Arial"/>
                <w:color w:val="000000"/>
                <w:kern w:val="0"/>
                <w:sz w:val="20"/>
                <w:szCs w:val="20"/>
                <w:lang w:eastAsia="en-IN"/>
                <w14:ligatures w14:val="none"/>
              </w:rPr>
            </w:pPr>
            <w:r>
              <w:rPr>
                <w:rFonts w:ascii="Arial" w:hAnsi="Arial" w:eastAsia="Times New Roman" w:cs="Arial"/>
                <w:color w:val="000000"/>
                <w:kern w:val="0"/>
                <w:sz w:val="20"/>
                <w:szCs w:val="20"/>
                <w:lang w:eastAsia="en-IN"/>
                <w14:ligatures w14:val="none"/>
              </w:rPr>
              <w:t>H101</w:t>
            </w:r>
          </w:p>
        </w:tc>
        <w:tc>
          <w:tcPr>
            <w:tcW w:w="1017" w:type="dxa"/>
            <w:tcBorders>
              <w:top w:val="nil"/>
              <w:left w:val="nil"/>
              <w:bottom w:val="single" w:color="auto" w:sz="4" w:space="0"/>
              <w:right w:val="single" w:color="auto" w:sz="4" w:space="0"/>
            </w:tcBorders>
            <w:shd w:val="clear" w:color="auto" w:fill="auto"/>
            <w:noWrap/>
            <w:vAlign w:val="bottom"/>
          </w:tcPr>
          <w:p w14:paraId="0F285EF7">
            <w:pPr>
              <w:spacing w:after="0" w:line="240" w:lineRule="auto"/>
              <w:jc w:val="right"/>
              <w:rPr>
                <w:rFonts w:ascii="Arial" w:hAnsi="Arial" w:eastAsia="Times New Roman" w:cs="Arial"/>
                <w:color w:val="000000"/>
                <w:kern w:val="0"/>
                <w:sz w:val="20"/>
                <w:szCs w:val="20"/>
                <w:lang w:eastAsia="en-IN"/>
                <w14:ligatures w14:val="none"/>
              </w:rPr>
            </w:pPr>
            <w:r>
              <w:rPr>
                <w:rFonts w:ascii="Arial" w:hAnsi="Arial" w:eastAsia="Times New Roman" w:cs="Arial"/>
                <w:color w:val="000000"/>
                <w:kern w:val="0"/>
                <w:sz w:val="20"/>
                <w:szCs w:val="20"/>
                <w:lang w:eastAsia="en-IN"/>
                <w14:ligatures w14:val="none"/>
              </w:rPr>
              <w:t>2726.81</w:t>
            </w:r>
          </w:p>
        </w:tc>
        <w:tc>
          <w:tcPr>
            <w:tcW w:w="967" w:type="dxa"/>
            <w:tcBorders>
              <w:top w:val="nil"/>
              <w:left w:val="nil"/>
              <w:bottom w:val="single" w:color="auto" w:sz="4" w:space="0"/>
              <w:right w:val="single" w:color="auto" w:sz="4" w:space="0"/>
            </w:tcBorders>
            <w:shd w:val="clear" w:color="auto" w:fill="auto"/>
            <w:noWrap/>
            <w:vAlign w:val="bottom"/>
          </w:tcPr>
          <w:p w14:paraId="1ACFDEC8">
            <w:pPr>
              <w:spacing w:after="0" w:line="240" w:lineRule="auto"/>
              <w:jc w:val="right"/>
              <w:rPr>
                <w:rFonts w:ascii="Arial" w:hAnsi="Arial" w:eastAsia="Times New Roman" w:cs="Arial"/>
                <w:color w:val="000000"/>
                <w:kern w:val="0"/>
                <w:sz w:val="20"/>
                <w:szCs w:val="20"/>
                <w:lang w:eastAsia="en-IN"/>
                <w14:ligatures w14:val="none"/>
              </w:rPr>
            </w:pPr>
            <w:r>
              <w:rPr>
                <w:rFonts w:ascii="Arial" w:hAnsi="Arial" w:eastAsia="Times New Roman" w:cs="Arial"/>
                <w:color w:val="000000"/>
                <w:kern w:val="0"/>
                <w:sz w:val="20"/>
                <w:szCs w:val="20"/>
                <w:lang w:eastAsia="en-IN"/>
                <w14:ligatures w14:val="none"/>
              </w:rPr>
              <w:t>1220.35</w:t>
            </w:r>
          </w:p>
        </w:tc>
        <w:tc>
          <w:tcPr>
            <w:tcW w:w="709" w:type="dxa"/>
            <w:vMerge w:val="restart"/>
            <w:tcBorders>
              <w:top w:val="single" w:color="auto" w:sz="4" w:space="0"/>
              <w:left w:val="nil"/>
              <w:bottom w:val="single" w:color="auto" w:sz="4" w:space="0"/>
              <w:right w:val="single" w:color="auto" w:sz="4" w:space="0"/>
            </w:tcBorders>
          </w:tcPr>
          <w:p w14:paraId="33A26936">
            <w:pPr>
              <w:spacing w:line="240" w:lineRule="auto"/>
              <w:rPr>
                <w:rFonts w:ascii="Arial" w:hAnsi="Arial" w:cs="Arial"/>
                <w:color w:val="000000"/>
                <w:sz w:val="20"/>
                <w:szCs w:val="20"/>
              </w:rPr>
            </w:pPr>
            <w:r>
              <w:rPr>
                <w:rFonts w:ascii="Arial" w:hAnsi="Arial" w:cs="Arial"/>
                <w:color w:val="000000"/>
                <w:sz w:val="20"/>
                <w:szCs w:val="20"/>
              </w:rPr>
              <w:t>0.28</w:t>
            </w:r>
          </w:p>
        </w:tc>
        <w:tc>
          <w:tcPr>
            <w:tcW w:w="858" w:type="dxa"/>
            <w:tcBorders>
              <w:top w:val="single" w:color="auto" w:sz="4" w:space="0"/>
              <w:left w:val="single" w:color="auto" w:sz="4" w:space="0"/>
              <w:bottom w:val="single" w:color="auto" w:sz="4" w:space="0"/>
              <w:right w:val="single" w:color="auto" w:sz="4" w:space="0"/>
            </w:tcBorders>
            <w:vAlign w:val="bottom"/>
          </w:tcPr>
          <w:p w14:paraId="78AB0C30">
            <w:pPr>
              <w:spacing w:after="0" w:line="240" w:lineRule="auto"/>
              <w:jc w:val="right"/>
              <w:rPr>
                <w:rFonts w:ascii="Arial" w:hAnsi="Arial" w:eastAsia="Times New Roman" w:cs="Arial"/>
                <w:color w:val="000000"/>
                <w:kern w:val="0"/>
                <w:sz w:val="20"/>
                <w:szCs w:val="20"/>
                <w:lang w:eastAsia="en-IN"/>
                <w14:ligatures w14:val="none"/>
              </w:rPr>
            </w:pPr>
            <w:r>
              <w:rPr>
                <w:rFonts w:ascii="Arial" w:hAnsi="Arial" w:eastAsia="Times New Roman" w:cs="Arial"/>
                <w:color w:val="000000"/>
                <w:kern w:val="0"/>
                <w:sz w:val="20"/>
                <w:szCs w:val="20"/>
                <w:lang w:eastAsia="en-IN"/>
                <w14:ligatures w14:val="none"/>
              </w:rPr>
              <w:t>9.8</w:t>
            </w:r>
          </w:p>
        </w:tc>
        <w:tc>
          <w:tcPr>
            <w:tcW w:w="842" w:type="dxa"/>
            <w:tcBorders>
              <w:top w:val="single" w:color="auto" w:sz="4" w:space="0"/>
              <w:left w:val="single" w:color="auto" w:sz="4" w:space="0"/>
              <w:bottom w:val="single" w:color="auto" w:sz="4" w:space="0"/>
              <w:right w:val="single" w:color="auto" w:sz="4" w:space="0"/>
            </w:tcBorders>
            <w:vAlign w:val="bottom"/>
          </w:tcPr>
          <w:p w14:paraId="54FF89E4">
            <w:pPr>
              <w:spacing w:after="0" w:line="240" w:lineRule="auto"/>
              <w:jc w:val="right"/>
              <w:rPr>
                <w:rFonts w:ascii="Arial" w:hAnsi="Arial" w:eastAsia="Times New Roman" w:cs="Arial"/>
                <w:color w:val="000000"/>
                <w:kern w:val="0"/>
                <w:sz w:val="20"/>
                <w:szCs w:val="20"/>
                <w:lang w:eastAsia="en-IN"/>
                <w14:ligatures w14:val="none"/>
              </w:rPr>
            </w:pPr>
            <w:r>
              <w:rPr>
                <w:rFonts w:ascii="Arial" w:hAnsi="Arial" w:eastAsia="Times New Roman" w:cs="Arial"/>
                <w:color w:val="000000"/>
                <w:kern w:val="0"/>
                <w:sz w:val="20"/>
                <w:szCs w:val="20"/>
                <w:lang w:eastAsia="en-IN"/>
                <w14:ligatures w14:val="none"/>
              </w:rPr>
              <w:t>13.297</w:t>
            </w:r>
          </w:p>
        </w:tc>
        <w:tc>
          <w:tcPr>
            <w:tcW w:w="708" w:type="dxa"/>
            <w:vMerge w:val="restart"/>
            <w:tcBorders>
              <w:top w:val="single" w:color="auto" w:sz="4" w:space="0"/>
              <w:left w:val="single" w:color="auto" w:sz="4" w:space="0"/>
              <w:right w:val="single" w:color="auto" w:sz="4" w:space="0"/>
            </w:tcBorders>
          </w:tcPr>
          <w:p w14:paraId="6A59E4CA">
            <w:pPr>
              <w:spacing w:after="0" w:line="240" w:lineRule="auto"/>
              <w:jc w:val="right"/>
              <w:rPr>
                <w:rFonts w:ascii="Arial" w:hAnsi="Arial" w:eastAsia="Times New Roman" w:cs="Arial"/>
                <w:color w:val="000000"/>
                <w:kern w:val="0"/>
                <w:sz w:val="20"/>
                <w:szCs w:val="20"/>
                <w:lang w:eastAsia="en-IN"/>
                <w14:ligatures w14:val="none"/>
              </w:rPr>
            </w:pPr>
            <w:r>
              <w:rPr>
                <w:rFonts w:ascii="Arial" w:hAnsi="Arial" w:eastAsia="Times New Roman" w:cs="Arial"/>
                <w:color w:val="000000"/>
                <w:kern w:val="0"/>
                <w:sz w:val="20"/>
                <w:szCs w:val="20"/>
                <w:lang w:eastAsia="en-IN"/>
                <w14:ligatures w14:val="none"/>
              </w:rPr>
              <w:t>0.46</w:t>
            </w:r>
          </w:p>
        </w:tc>
        <w:tc>
          <w:tcPr>
            <w:tcW w:w="861" w:type="dxa"/>
            <w:tcBorders>
              <w:top w:val="single" w:color="auto" w:sz="4" w:space="0"/>
              <w:left w:val="single" w:color="auto" w:sz="4" w:space="0"/>
              <w:bottom w:val="single" w:color="auto" w:sz="4" w:space="0"/>
              <w:right w:val="single" w:color="auto" w:sz="4" w:space="0"/>
            </w:tcBorders>
            <w:vAlign w:val="bottom"/>
          </w:tcPr>
          <w:p w14:paraId="15AB07FB">
            <w:pPr>
              <w:spacing w:after="0" w:line="240" w:lineRule="auto"/>
              <w:jc w:val="right"/>
              <w:rPr>
                <w:rFonts w:ascii="Arial" w:hAnsi="Arial" w:eastAsia="Times New Roman" w:cs="Arial"/>
                <w:color w:val="000000"/>
                <w:kern w:val="0"/>
                <w:sz w:val="20"/>
                <w:szCs w:val="20"/>
                <w:lang w:eastAsia="en-IN"/>
                <w14:ligatures w14:val="none"/>
              </w:rPr>
            </w:pPr>
            <w:r>
              <w:rPr>
                <w:rFonts w:ascii="Arial" w:hAnsi="Arial" w:eastAsia="Times New Roman" w:cs="Arial"/>
                <w:color w:val="000000"/>
                <w:kern w:val="0"/>
                <w:sz w:val="20"/>
                <w:szCs w:val="20"/>
                <w:lang w:eastAsia="en-IN"/>
                <w14:ligatures w14:val="none"/>
              </w:rPr>
              <w:t>0.27</w:t>
            </w:r>
          </w:p>
        </w:tc>
        <w:tc>
          <w:tcPr>
            <w:tcW w:w="700" w:type="dxa"/>
            <w:tcBorders>
              <w:top w:val="single" w:color="auto" w:sz="4" w:space="0"/>
              <w:left w:val="single" w:color="auto" w:sz="4" w:space="0"/>
              <w:bottom w:val="single" w:color="auto" w:sz="4" w:space="0"/>
              <w:right w:val="single" w:color="auto" w:sz="4" w:space="0"/>
            </w:tcBorders>
            <w:vAlign w:val="bottom"/>
          </w:tcPr>
          <w:p w14:paraId="5D5DDF8E">
            <w:pPr>
              <w:spacing w:after="0" w:line="240" w:lineRule="auto"/>
              <w:jc w:val="right"/>
              <w:rPr>
                <w:rFonts w:ascii="Arial" w:hAnsi="Arial" w:eastAsia="Times New Roman" w:cs="Arial"/>
                <w:color w:val="000000"/>
                <w:kern w:val="0"/>
                <w:sz w:val="20"/>
                <w:szCs w:val="20"/>
                <w:lang w:eastAsia="en-IN"/>
                <w14:ligatures w14:val="none"/>
              </w:rPr>
            </w:pPr>
            <w:r>
              <w:rPr>
                <w:rFonts w:ascii="Arial" w:hAnsi="Arial" w:eastAsia="Times New Roman" w:cs="Arial"/>
                <w:color w:val="000000"/>
                <w:kern w:val="0"/>
                <w:sz w:val="20"/>
                <w:szCs w:val="20"/>
                <w:lang w:eastAsia="en-IN"/>
                <w14:ligatures w14:val="none"/>
              </w:rPr>
              <w:t>0.508</w:t>
            </w:r>
          </w:p>
        </w:tc>
        <w:tc>
          <w:tcPr>
            <w:tcW w:w="709" w:type="dxa"/>
            <w:vMerge w:val="restart"/>
            <w:tcBorders>
              <w:top w:val="single" w:color="auto" w:sz="4" w:space="0"/>
              <w:left w:val="single" w:color="auto" w:sz="4" w:space="0"/>
              <w:right w:val="single" w:color="auto" w:sz="4" w:space="0"/>
            </w:tcBorders>
          </w:tcPr>
          <w:p w14:paraId="75562D57">
            <w:pPr>
              <w:spacing w:after="0" w:line="240" w:lineRule="auto"/>
              <w:rPr>
                <w:rFonts w:ascii="Arial" w:hAnsi="Arial" w:eastAsia="Times New Roman" w:cs="Arial"/>
                <w:color w:val="000000"/>
                <w:kern w:val="0"/>
                <w:sz w:val="20"/>
                <w:szCs w:val="20"/>
                <w:lang w:eastAsia="en-IN"/>
                <w14:ligatures w14:val="none"/>
              </w:rPr>
            </w:pPr>
            <w:r>
              <w:rPr>
                <w:rFonts w:ascii="Arial" w:hAnsi="Arial" w:eastAsia="Times New Roman" w:cs="Arial"/>
                <w:color w:val="000000"/>
                <w:kern w:val="0"/>
                <w:sz w:val="20"/>
                <w:szCs w:val="20"/>
                <w:lang w:eastAsia="en-IN"/>
                <w14:ligatures w14:val="none"/>
              </w:rPr>
              <w:t>4.56*</w:t>
            </w:r>
          </w:p>
        </w:tc>
        <w:tc>
          <w:tcPr>
            <w:tcW w:w="992" w:type="dxa"/>
            <w:tcBorders>
              <w:top w:val="single" w:color="auto" w:sz="4" w:space="0"/>
              <w:left w:val="single" w:color="auto" w:sz="4" w:space="0"/>
              <w:bottom w:val="single" w:color="auto" w:sz="4" w:space="0"/>
              <w:right w:val="single" w:color="auto" w:sz="4" w:space="0"/>
            </w:tcBorders>
            <w:vAlign w:val="bottom"/>
          </w:tcPr>
          <w:p w14:paraId="06164BE2">
            <w:pPr>
              <w:spacing w:after="0" w:line="240" w:lineRule="auto"/>
              <w:jc w:val="right"/>
              <w:rPr>
                <w:rFonts w:ascii="Arial" w:hAnsi="Arial" w:eastAsia="Times New Roman" w:cs="Arial"/>
                <w:color w:val="000000"/>
                <w:kern w:val="0"/>
                <w:sz w:val="20"/>
                <w:szCs w:val="20"/>
                <w:lang w:eastAsia="en-IN"/>
                <w14:ligatures w14:val="none"/>
              </w:rPr>
            </w:pPr>
            <w:r>
              <w:rPr>
                <w:rFonts w:ascii="Arial" w:hAnsi="Arial" w:eastAsia="Times New Roman" w:cs="Arial"/>
                <w:color w:val="000000"/>
                <w:kern w:val="0"/>
                <w:sz w:val="20"/>
                <w:szCs w:val="20"/>
                <w:lang w:eastAsia="en-IN"/>
                <w14:ligatures w14:val="none"/>
              </w:rPr>
              <w:t>9.7</w:t>
            </w:r>
          </w:p>
        </w:tc>
        <w:tc>
          <w:tcPr>
            <w:tcW w:w="851" w:type="dxa"/>
            <w:tcBorders>
              <w:top w:val="single" w:color="auto" w:sz="4" w:space="0"/>
              <w:left w:val="single" w:color="auto" w:sz="4" w:space="0"/>
              <w:bottom w:val="single" w:color="auto" w:sz="4" w:space="0"/>
              <w:right w:val="single" w:color="auto" w:sz="4" w:space="0"/>
            </w:tcBorders>
            <w:vAlign w:val="bottom"/>
          </w:tcPr>
          <w:p w14:paraId="2069D886">
            <w:pPr>
              <w:spacing w:after="0" w:line="240" w:lineRule="auto"/>
              <w:jc w:val="right"/>
              <w:rPr>
                <w:rFonts w:ascii="Arial" w:hAnsi="Arial" w:eastAsia="Times New Roman" w:cs="Arial"/>
                <w:color w:val="000000"/>
                <w:kern w:val="0"/>
                <w:sz w:val="20"/>
                <w:szCs w:val="20"/>
                <w:lang w:eastAsia="en-IN"/>
                <w14:ligatures w14:val="none"/>
              </w:rPr>
            </w:pPr>
            <w:r>
              <w:rPr>
                <w:rFonts w:ascii="Arial" w:hAnsi="Arial" w:eastAsia="Times New Roman" w:cs="Arial"/>
                <w:color w:val="000000"/>
                <w:kern w:val="0"/>
                <w:sz w:val="20"/>
                <w:szCs w:val="20"/>
                <w:lang w:eastAsia="en-IN"/>
                <w14:ligatures w14:val="none"/>
              </w:rPr>
              <w:t>76.36</w:t>
            </w:r>
          </w:p>
        </w:tc>
        <w:tc>
          <w:tcPr>
            <w:tcW w:w="708" w:type="dxa"/>
            <w:vMerge w:val="restart"/>
            <w:tcBorders>
              <w:top w:val="single" w:color="auto" w:sz="4" w:space="0"/>
              <w:left w:val="single" w:color="auto" w:sz="4" w:space="0"/>
              <w:right w:val="single" w:color="auto" w:sz="4" w:space="0"/>
            </w:tcBorders>
          </w:tcPr>
          <w:p w14:paraId="17A441BB">
            <w:pPr>
              <w:spacing w:after="0" w:line="240" w:lineRule="auto"/>
              <w:rPr>
                <w:rFonts w:ascii="Arial" w:hAnsi="Arial" w:eastAsia="Times New Roman" w:cs="Arial"/>
                <w:color w:val="000000"/>
                <w:kern w:val="0"/>
                <w:sz w:val="20"/>
                <w:szCs w:val="20"/>
                <w:lang w:eastAsia="en-IN"/>
                <w14:ligatures w14:val="none"/>
              </w:rPr>
            </w:pPr>
            <w:r>
              <w:rPr>
                <w:rFonts w:ascii="Arial" w:hAnsi="Arial" w:eastAsia="Times New Roman" w:cs="Arial"/>
                <w:color w:val="000000"/>
                <w:kern w:val="0"/>
                <w:sz w:val="20"/>
                <w:szCs w:val="20"/>
                <w:lang w:eastAsia="en-IN"/>
                <w14:ligatures w14:val="none"/>
              </w:rPr>
              <w:t>11.80*</w:t>
            </w:r>
          </w:p>
        </w:tc>
      </w:tr>
      <w:tr w14:paraId="5C99F8DC">
        <w:tblPrEx>
          <w:tblCellMar>
            <w:top w:w="0" w:type="dxa"/>
            <w:left w:w="108" w:type="dxa"/>
            <w:bottom w:w="0" w:type="dxa"/>
            <w:right w:w="108" w:type="dxa"/>
          </w:tblCellMar>
        </w:tblPrEx>
        <w:trPr>
          <w:trHeight w:val="288" w:hRule="atLeast"/>
        </w:trPr>
        <w:tc>
          <w:tcPr>
            <w:tcW w:w="993" w:type="dxa"/>
            <w:tcBorders>
              <w:top w:val="nil"/>
              <w:left w:val="single" w:color="auto" w:sz="4" w:space="0"/>
              <w:bottom w:val="single" w:color="auto" w:sz="4" w:space="0"/>
              <w:right w:val="single" w:color="auto" w:sz="4" w:space="0"/>
            </w:tcBorders>
            <w:shd w:val="clear" w:color="auto" w:fill="auto"/>
            <w:noWrap/>
            <w:vAlign w:val="bottom"/>
          </w:tcPr>
          <w:p w14:paraId="5AC723FC">
            <w:pPr>
              <w:spacing w:after="0" w:line="240" w:lineRule="auto"/>
              <w:rPr>
                <w:rFonts w:ascii="Arial" w:hAnsi="Arial" w:eastAsia="Times New Roman" w:cs="Arial"/>
                <w:color w:val="000000"/>
                <w:kern w:val="0"/>
                <w:sz w:val="20"/>
                <w:szCs w:val="20"/>
                <w:lang w:eastAsia="en-IN"/>
                <w14:ligatures w14:val="none"/>
              </w:rPr>
            </w:pPr>
            <w:r>
              <w:rPr>
                <w:rFonts w:ascii="Arial" w:hAnsi="Arial" w:eastAsia="Times New Roman" w:cs="Arial"/>
                <w:color w:val="000000"/>
                <w:kern w:val="0"/>
                <w:sz w:val="20"/>
                <w:szCs w:val="20"/>
                <w:lang w:eastAsia="en-IN"/>
                <w14:ligatures w14:val="none"/>
              </w:rPr>
              <w:t>H113</w:t>
            </w:r>
          </w:p>
        </w:tc>
        <w:tc>
          <w:tcPr>
            <w:tcW w:w="1017" w:type="dxa"/>
            <w:tcBorders>
              <w:top w:val="nil"/>
              <w:left w:val="nil"/>
              <w:bottom w:val="single" w:color="auto" w:sz="4" w:space="0"/>
              <w:right w:val="single" w:color="auto" w:sz="4" w:space="0"/>
            </w:tcBorders>
            <w:shd w:val="clear" w:color="auto" w:fill="auto"/>
            <w:noWrap/>
            <w:vAlign w:val="bottom"/>
          </w:tcPr>
          <w:p w14:paraId="24BC50A4">
            <w:pPr>
              <w:spacing w:after="0" w:line="240" w:lineRule="auto"/>
              <w:jc w:val="right"/>
              <w:rPr>
                <w:rFonts w:ascii="Arial" w:hAnsi="Arial" w:eastAsia="Times New Roman" w:cs="Arial"/>
                <w:color w:val="000000"/>
                <w:kern w:val="0"/>
                <w:sz w:val="20"/>
                <w:szCs w:val="20"/>
                <w:lang w:eastAsia="en-IN"/>
                <w14:ligatures w14:val="none"/>
              </w:rPr>
            </w:pPr>
            <w:r>
              <w:rPr>
                <w:rFonts w:ascii="Arial" w:hAnsi="Arial" w:eastAsia="Times New Roman" w:cs="Arial"/>
                <w:color w:val="000000"/>
                <w:kern w:val="0"/>
                <w:sz w:val="20"/>
                <w:szCs w:val="20"/>
                <w:lang w:eastAsia="en-IN"/>
                <w14:ligatures w14:val="none"/>
              </w:rPr>
              <w:t>520.85</w:t>
            </w:r>
          </w:p>
        </w:tc>
        <w:tc>
          <w:tcPr>
            <w:tcW w:w="967" w:type="dxa"/>
            <w:tcBorders>
              <w:top w:val="nil"/>
              <w:left w:val="nil"/>
              <w:bottom w:val="single" w:color="auto" w:sz="4" w:space="0"/>
              <w:right w:val="single" w:color="auto" w:sz="4" w:space="0"/>
            </w:tcBorders>
            <w:shd w:val="clear" w:color="auto" w:fill="auto"/>
            <w:noWrap/>
            <w:vAlign w:val="bottom"/>
          </w:tcPr>
          <w:p w14:paraId="676E721A">
            <w:pPr>
              <w:spacing w:after="0" w:line="240" w:lineRule="auto"/>
              <w:jc w:val="right"/>
              <w:rPr>
                <w:rFonts w:ascii="Arial" w:hAnsi="Arial" w:eastAsia="Times New Roman" w:cs="Arial"/>
                <w:color w:val="000000"/>
                <w:kern w:val="0"/>
                <w:sz w:val="20"/>
                <w:szCs w:val="20"/>
                <w:lang w:eastAsia="en-IN"/>
                <w14:ligatures w14:val="none"/>
              </w:rPr>
            </w:pPr>
            <w:r>
              <w:rPr>
                <w:rFonts w:ascii="Arial" w:hAnsi="Arial" w:eastAsia="Times New Roman" w:cs="Arial"/>
                <w:color w:val="000000"/>
                <w:kern w:val="0"/>
                <w:sz w:val="20"/>
                <w:szCs w:val="20"/>
                <w:lang w:eastAsia="en-IN"/>
                <w14:ligatures w14:val="none"/>
              </w:rPr>
              <w:t>1070.13</w:t>
            </w:r>
          </w:p>
        </w:tc>
        <w:tc>
          <w:tcPr>
            <w:tcW w:w="709" w:type="dxa"/>
            <w:vMerge w:val="continue"/>
            <w:tcBorders>
              <w:top w:val="single" w:color="auto" w:sz="4" w:space="0"/>
              <w:left w:val="nil"/>
              <w:bottom w:val="single" w:color="auto" w:sz="4" w:space="0"/>
              <w:right w:val="single" w:color="auto" w:sz="4" w:space="0"/>
            </w:tcBorders>
          </w:tcPr>
          <w:p w14:paraId="131C3713">
            <w:pPr>
              <w:spacing w:after="0" w:line="240" w:lineRule="auto"/>
              <w:jc w:val="right"/>
              <w:rPr>
                <w:rFonts w:ascii="Arial" w:hAnsi="Arial" w:eastAsia="Times New Roman" w:cs="Arial"/>
                <w:color w:val="000000"/>
                <w:kern w:val="0"/>
                <w:sz w:val="20"/>
                <w:szCs w:val="20"/>
                <w:lang w:eastAsia="en-IN"/>
                <w14:ligatures w14:val="none"/>
              </w:rPr>
            </w:pPr>
          </w:p>
        </w:tc>
        <w:tc>
          <w:tcPr>
            <w:tcW w:w="858" w:type="dxa"/>
            <w:tcBorders>
              <w:top w:val="single" w:color="auto" w:sz="4" w:space="0"/>
              <w:left w:val="single" w:color="auto" w:sz="4" w:space="0"/>
              <w:bottom w:val="single" w:color="auto" w:sz="4" w:space="0"/>
              <w:right w:val="single" w:color="auto" w:sz="4" w:space="0"/>
            </w:tcBorders>
            <w:vAlign w:val="bottom"/>
          </w:tcPr>
          <w:p w14:paraId="3C798F65">
            <w:pPr>
              <w:spacing w:after="0" w:line="240" w:lineRule="auto"/>
              <w:jc w:val="right"/>
              <w:rPr>
                <w:rFonts w:ascii="Arial" w:hAnsi="Arial" w:eastAsia="Times New Roman" w:cs="Arial"/>
                <w:color w:val="000000"/>
                <w:kern w:val="0"/>
                <w:sz w:val="20"/>
                <w:szCs w:val="20"/>
                <w:lang w:eastAsia="en-IN"/>
                <w14:ligatures w14:val="none"/>
              </w:rPr>
            </w:pPr>
            <w:r>
              <w:rPr>
                <w:rFonts w:ascii="Arial" w:hAnsi="Arial" w:eastAsia="Times New Roman" w:cs="Arial"/>
                <w:color w:val="000000"/>
                <w:kern w:val="0"/>
                <w:sz w:val="20"/>
                <w:szCs w:val="20"/>
                <w:lang w:eastAsia="en-IN"/>
                <w14:ligatures w14:val="none"/>
              </w:rPr>
              <w:t>7.24</w:t>
            </w:r>
          </w:p>
        </w:tc>
        <w:tc>
          <w:tcPr>
            <w:tcW w:w="842" w:type="dxa"/>
            <w:tcBorders>
              <w:top w:val="single" w:color="auto" w:sz="4" w:space="0"/>
              <w:left w:val="single" w:color="auto" w:sz="4" w:space="0"/>
              <w:bottom w:val="single" w:color="auto" w:sz="4" w:space="0"/>
              <w:right w:val="single" w:color="auto" w:sz="4" w:space="0"/>
            </w:tcBorders>
            <w:vAlign w:val="bottom"/>
          </w:tcPr>
          <w:p w14:paraId="1E7EF813">
            <w:pPr>
              <w:spacing w:after="0" w:line="240" w:lineRule="auto"/>
              <w:jc w:val="right"/>
              <w:rPr>
                <w:rFonts w:ascii="Arial" w:hAnsi="Arial" w:eastAsia="Times New Roman" w:cs="Arial"/>
                <w:color w:val="000000"/>
                <w:kern w:val="0"/>
                <w:sz w:val="20"/>
                <w:szCs w:val="20"/>
                <w:lang w:eastAsia="en-IN"/>
                <w14:ligatures w14:val="none"/>
              </w:rPr>
            </w:pPr>
            <w:r>
              <w:rPr>
                <w:rFonts w:ascii="Arial" w:hAnsi="Arial" w:eastAsia="Times New Roman" w:cs="Arial"/>
                <w:color w:val="000000"/>
                <w:kern w:val="0"/>
                <w:sz w:val="20"/>
                <w:szCs w:val="20"/>
                <w:lang w:eastAsia="en-IN"/>
                <w14:ligatures w14:val="none"/>
              </w:rPr>
              <w:t>6.305</w:t>
            </w:r>
          </w:p>
        </w:tc>
        <w:tc>
          <w:tcPr>
            <w:tcW w:w="708" w:type="dxa"/>
            <w:vMerge w:val="continue"/>
            <w:tcBorders>
              <w:left w:val="single" w:color="auto" w:sz="4" w:space="0"/>
              <w:right w:val="single" w:color="auto" w:sz="4" w:space="0"/>
            </w:tcBorders>
          </w:tcPr>
          <w:p w14:paraId="07FFB757">
            <w:pPr>
              <w:spacing w:after="0" w:line="240" w:lineRule="auto"/>
              <w:jc w:val="right"/>
              <w:rPr>
                <w:rFonts w:ascii="Arial" w:hAnsi="Arial" w:eastAsia="Times New Roman" w:cs="Arial"/>
                <w:color w:val="000000"/>
                <w:kern w:val="0"/>
                <w:sz w:val="20"/>
                <w:szCs w:val="20"/>
                <w:lang w:eastAsia="en-IN"/>
                <w14:ligatures w14:val="none"/>
              </w:rPr>
            </w:pPr>
          </w:p>
        </w:tc>
        <w:tc>
          <w:tcPr>
            <w:tcW w:w="861" w:type="dxa"/>
            <w:tcBorders>
              <w:top w:val="single" w:color="auto" w:sz="4" w:space="0"/>
              <w:left w:val="single" w:color="auto" w:sz="4" w:space="0"/>
              <w:bottom w:val="single" w:color="auto" w:sz="4" w:space="0"/>
              <w:right w:val="single" w:color="auto" w:sz="4" w:space="0"/>
            </w:tcBorders>
            <w:vAlign w:val="bottom"/>
          </w:tcPr>
          <w:p w14:paraId="78292E30">
            <w:pPr>
              <w:spacing w:after="0" w:line="240" w:lineRule="auto"/>
              <w:jc w:val="right"/>
              <w:rPr>
                <w:rFonts w:ascii="Arial" w:hAnsi="Arial" w:eastAsia="Times New Roman" w:cs="Arial"/>
                <w:color w:val="000000"/>
                <w:kern w:val="0"/>
                <w:sz w:val="20"/>
                <w:szCs w:val="20"/>
                <w:lang w:eastAsia="en-IN"/>
                <w14:ligatures w14:val="none"/>
              </w:rPr>
            </w:pPr>
            <w:r>
              <w:rPr>
                <w:rFonts w:ascii="Arial" w:hAnsi="Arial" w:eastAsia="Times New Roman" w:cs="Arial"/>
                <w:color w:val="000000"/>
                <w:kern w:val="0"/>
                <w:sz w:val="20"/>
                <w:szCs w:val="20"/>
                <w:lang w:eastAsia="en-IN"/>
                <w14:ligatures w14:val="none"/>
              </w:rPr>
              <w:t>0.207</w:t>
            </w:r>
          </w:p>
        </w:tc>
        <w:tc>
          <w:tcPr>
            <w:tcW w:w="700" w:type="dxa"/>
            <w:tcBorders>
              <w:top w:val="single" w:color="auto" w:sz="4" w:space="0"/>
              <w:left w:val="single" w:color="auto" w:sz="4" w:space="0"/>
              <w:bottom w:val="single" w:color="auto" w:sz="4" w:space="0"/>
              <w:right w:val="single" w:color="auto" w:sz="4" w:space="0"/>
            </w:tcBorders>
            <w:vAlign w:val="bottom"/>
          </w:tcPr>
          <w:p w14:paraId="5EDDE05F">
            <w:pPr>
              <w:spacing w:after="0" w:line="240" w:lineRule="auto"/>
              <w:jc w:val="right"/>
              <w:rPr>
                <w:rFonts w:ascii="Arial" w:hAnsi="Arial" w:eastAsia="Times New Roman" w:cs="Arial"/>
                <w:color w:val="000000"/>
                <w:kern w:val="0"/>
                <w:sz w:val="20"/>
                <w:szCs w:val="20"/>
                <w:lang w:eastAsia="en-IN"/>
                <w14:ligatures w14:val="none"/>
              </w:rPr>
            </w:pPr>
            <w:r>
              <w:rPr>
                <w:rFonts w:ascii="Arial" w:hAnsi="Arial" w:eastAsia="Times New Roman" w:cs="Arial"/>
                <w:color w:val="000000"/>
                <w:kern w:val="0"/>
                <w:sz w:val="20"/>
                <w:szCs w:val="20"/>
                <w:lang w:eastAsia="en-IN"/>
                <w14:ligatures w14:val="none"/>
              </w:rPr>
              <w:t>0.599</w:t>
            </w:r>
          </w:p>
        </w:tc>
        <w:tc>
          <w:tcPr>
            <w:tcW w:w="709" w:type="dxa"/>
            <w:vMerge w:val="continue"/>
            <w:tcBorders>
              <w:left w:val="single" w:color="auto" w:sz="4" w:space="0"/>
              <w:right w:val="single" w:color="auto" w:sz="4" w:space="0"/>
            </w:tcBorders>
          </w:tcPr>
          <w:p w14:paraId="00F57CF3">
            <w:pPr>
              <w:spacing w:after="0" w:line="240" w:lineRule="auto"/>
              <w:jc w:val="right"/>
              <w:rPr>
                <w:rFonts w:ascii="Arial" w:hAnsi="Arial" w:eastAsia="Times New Roman" w:cs="Arial"/>
                <w:color w:val="000000"/>
                <w:kern w:val="0"/>
                <w:sz w:val="20"/>
                <w:szCs w:val="20"/>
                <w:lang w:eastAsia="en-IN"/>
                <w14:ligatures w14:val="none"/>
              </w:rPr>
            </w:pPr>
          </w:p>
        </w:tc>
        <w:tc>
          <w:tcPr>
            <w:tcW w:w="992" w:type="dxa"/>
            <w:tcBorders>
              <w:top w:val="single" w:color="auto" w:sz="4" w:space="0"/>
              <w:left w:val="single" w:color="auto" w:sz="4" w:space="0"/>
              <w:bottom w:val="single" w:color="auto" w:sz="4" w:space="0"/>
              <w:right w:val="single" w:color="auto" w:sz="4" w:space="0"/>
            </w:tcBorders>
            <w:vAlign w:val="bottom"/>
          </w:tcPr>
          <w:p w14:paraId="64C720FC">
            <w:pPr>
              <w:spacing w:after="0" w:line="240" w:lineRule="auto"/>
              <w:jc w:val="right"/>
              <w:rPr>
                <w:rFonts w:ascii="Arial" w:hAnsi="Arial" w:eastAsia="Times New Roman" w:cs="Arial"/>
                <w:color w:val="000000"/>
                <w:kern w:val="0"/>
                <w:sz w:val="20"/>
                <w:szCs w:val="20"/>
                <w:lang w:eastAsia="en-IN"/>
                <w14:ligatures w14:val="none"/>
              </w:rPr>
            </w:pPr>
            <w:r>
              <w:rPr>
                <w:rFonts w:ascii="Arial" w:hAnsi="Arial" w:eastAsia="Times New Roman" w:cs="Arial"/>
                <w:color w:val="000000"/>
                <w:kern w:val="0"/>
                <w:sz w:val="20"/>
                <w:szCs w:val="20"/>
                <w:lang w:eastAsia="en-IN"/>
                <w14:ligatures w14:val="none"/>
              </w:rPr>
              <w:t>9.93</w:t>
            </w:r>
          </w:p>
        </w:tc>
        <w:tc>
          <w:tcPr>
            <w:tcW w:w="851" w:type="dxa"/>
            <w:tcBorders>
              <w:top w:val="single" w:color="auto" w:sz="4" w:space="0"/>
              <w:left w:val="single" w:color="auto" w:sz="4" w:space="0"/>
              <w:bottom w:val="single" w:color="auto" w:sz="4" w:space="0"/>
              <w:right w:val="single" w:color="auto" w:sz="4" w:space="0"/>
            </w:tcBorders>
            <w:vAlign w:val="bottom"/>
          </w:tcPr>
          <w:p w14:paraId="464951EB">
            <w:pPr>
              <w:spacing w:after="0" w:line="240" w:lineRule="auto"/>
              <w:jc w:val="right"/>
              <w:rPr>
                <w:rFonts w:ascii="Arial" w:hAnsi="Arial" w:eastAsia="Times New Roman" w:cs="Arial"/>
                <w:color w:val="000000"/>
                <w:kern w:val="0"/>
                <w:sz w:val="20"/>
                <w:szCs w:val="20"/>
                <w:lang w:eastAsia="en-IN"/>
                <w14:ligatures w14:val="none"/>
              </w:rPr>
            </w:pPr>
            <w:r>
              <w:rPr>
                <w:rFonts w:ascii="Arial" w:hAnsi="Arial" w:eastAsia="Times New Roman" w:cs="Arial"/>
                <w:color w:val="000000"/>
                <w:kern w:val="0"/>
                <w:sz w:val="20"/>
                <w:szCs w:val="20"/>
                <w:lang w:eastAsia="en-IN"/>
                <w14:ligatures w14:val="none"/>
              </w:rPr>
              <w:t>51.86</w:t>
            </w:r>
          </w:p>
        </w:tc>
        <w:tc>
          <w:tcPr>
            <w:tcW w:w="708" w:type="dxa"/>
            <w:vMerge w:val="continue"/>
            <w:tcBorders>
              <w:left w:val="single" w:color="auto" w:sz="4" w:space="0"/>
              <w:right w:val="single" w:color="auto" w:sz="4" w:space="0"/>
            </w:tcBorders>
          </w:tcPr>
          <w:p w14:paraId="05D878AB">
            <w:pPr>
              <w:spacing w:after="0" w:line="240" w:lineRule="auto"/>
              <w:jc w:val="right"/>
              <w:rPr>
                <w:rFonts w:ascii="Arial" w:hAnsi="Arial" w:eastAsia="Times New Roman" w:cs="Arial"/>
                <w:color w:val="000000"/>
                <w:kern w:val="0"/>
                <w:sz w:val="20"/>
                <w:szCs w:val="20"/>
                <w:lang w:eastAsia="en-IN"/>
                <w14:ligatures w14:val="none"/>
              </w:rPr>
            </w:pPr>
          </w:p>
        </w:tc>
      </w:tr>
      <w:tr w14:paraId="26E68C45">
        <w:tblPrEx>
          <w:tblCellMar>
            <w:top w:w="0" w:type="dxa"/>
            <w:left w:w="108" w:type="dxa"/>
            <w:bottom w:w="0" w:type="dxa"/>
            <w:right w:w="108" w:type="dxa"/>
          </w:tblCellMar>
        </w:tblPrEx>
        <w:trPr>
          <w:trHeight w:val="288" w:hRule="atLeast"/>
        </w:trPr>
        <w:tc>
          <w:tcPr>
            <w:tcW w:w="993" w:type="dxa"/>
            <w:tcBorders>
              <w:top w:val="nil"/>
              <w:left w:val="single" w:color="auto" w:sz="4" w:space="0"/>
              <w:bottom w:val="single" w:color="auto" w:sz="4" w:space="0"/>
              <w:right w:val="single" w:color="auto" w:sz="4" w:space="0"/>
            </w:tcBorders>
            <w:shd w:val="clear" w:color="auto" w:fill="auto"/>
            <w:noWrap/>
            <w:vAlign w:val="bottom"/>
          </w:tcPr>
          <w:p w14:paraId="19ECE75E">
            <w:pPr>
              <w:spacing w:after="0" w:line="240" w:lineRule="auto"/>
              <w:rPr>
                <w:rFonts w:ascii="Arial" w:hAnsi="Arial" w:eastAsia="Times New Roman" w:cs="Arial"/>
                <w:color w:val="000000"/>
                <w:kern w:val="0"/>
                <w:sz w:val="20"/>
                <w:szCs w:val="20"/>
                <w:lang w:eastAsia="en-IN"/>
                <w14:ligatures w14:val="none"/>
              </w:rPr>
            </w:pPr>
            <w:r>
              <w:rPr>
                <w:rFonts w:ascii="Arial" w:hAnsi="Arial" w:eastAsia="Times New Roman" w:cs="Arial"/>
                <w:color w:val="000000"/>
                <w:kern w:val="0"/>
                <w:sz w:val="20"/>
                <w:szCs w:val="20"/>
                <w:lang w:eastAsia="en-IN"/>
                <w14:ligatures w14:val="none"/>
              </w:rPr>
              <w:t>H102</w:t>
            </w:r>
          </w:p>
        </w:tc>
        <w:tc>
          <w:tcPr>
            <w:tcW w:w="1017" w:type="dxa"/>
            <w:tcBorders>
              <w:top w:val="nil"/>
              <w:left w:val="nil"/>
              <w:bottom w:val="single" w:color="auto" w:sz="4" w:space="0"/>
              <w:right w:val="single" w:color="auto" w:sz="4" w:space="0"/>
            </w:tcBorders>
            <w:shd w:val="clear" w:color="auto" w:fill="auto"/>
            <w:noWrap/>
            <w:vAlign w:val="bottom"/>
          </w:tcPr>
          <w:p w14:paraId="3074B3A7">
            <w:pPr>
              <w:spacing w:after="0" w:line="240" w:lineRule="auto"/>
              <w:jc w:val="right"/>
              <w:rPr>
                <w:rFonts w:ascii="Arial" w:hAnsi="Arial" w:eastAsia="Times New Roman" w:cs="Arial"/>
                <w:color w:val="000000"/>
                <w:kern w:val="0"/>
                <w:sz w:val="20"/>
                <w:szCs w:val="20"/>
                <w:lang w:eastAsia="en-IN"/>
                <w14:ligatures w14:val="none"/>
              </w:rPr>
            </w:pPr>
            <w:r>
              <w:rPr>
                <w:rFonts w:ascii="Arial" w:hAnsi="Arial" w:eastAsia="Times New Roman" w:cs="Arial"/>
                <w:color w:val="000000"/>
                <w:kern w:val="0"/>
                <w:sz w:val="20"/>
                <w:szCs w:val="20"/>
                <w:lang w:eastAsia="en-IN"/>
                <w14:ligatures w14:val="none"/>
              </w:rPr>
              <w:t>454.25</w:t>
            </w:r>
          </w:p>
        </w:tc>
        <w:tc>
          <w:tcPr>
            <w:tcW w:w="967" w:type="dxa"/>
            <w:tcBorders>
              <w:top w:val="nil"/>
              <w:left w:val="nil"/>
              <w:bottom w:val="single" w:color="auto" w:sz="4" w:space="0"/>
              <w:right w:val="single" w:color="auto" w:sz="4" w:space="0"/>
            </w:tcBorders>
            <w:shd w:val="clear" w:color="auto" w:fill="auto"/>
            <w:noWrap/>
            <w:vAlign w:val="bottom"/>
          </w:tcPr>
          <w:p w14:paraId="081CD17B">
            <w:pPr>
              <w:spacing w:after="0" w:line="240" w:lineRule="auto"/>
              <w:jc w:val="right"/>
              <w:rPr>
                <w:rFonts w:ascii="Arial" w:hAnsi="Arial" w:eastAsia="Times New Roman" w:cs="Arial"/>
                <w:color w:val="000000"/>
                <w:kern w:val="0"/>
                <w:sz w:val="20"/>
                <w:szCs w:val="20"/>
                <w:lang w:eastAsia="en-IN"/>
                <w14:ligatures w14:val="none"/>
              </w:rPr>
            </w:pPr>
            <w:r>
              <w:rPr>
                <w:rFonts w:ascii="Arial" w:hAnsi="Arial" w:eastAsia="Times New Roman" w:cs="Arial"/>
                <w:color w:val="000000"/>
                <w:kern w:val="0"/>
                <w:sz w:val="20"/>
                <w:szCs w:val="20"/>
                <w:lang w:eastAsia="en-IN"/>
                <w14:ligatures w14:val="none"/>
              </w:rPr>
              <w:t>1281.63</w:t>
            </w:r>
          </w:p>
        </w:tc>
        <w:tc>
          <w:tcPr>
            <w:tcW w:w="709" w:type="dxa"/>
            <w:vMerge w:val="continue"/>
            <w:tcBorders>
              <w:top w:val="single" w:color="auto" w:sz="4" w:space="0"/>
              <w:left w:val="nil"/>
              <w:bottom w:val="single" w:color="auto" w:sz="4" w:space="0"/>
              <w:right w:val="single" w:color="auto" w:sz="4" w:space="0"/>
            </w:tcBorders>
          </w:tcPr>
          <w:p w14:paraId="549D1DEB">
            <w:pPr>
              <w:spacing w:after="0" w:line="240" w:lineRule="auto"/>
              <w:jc w:val="right"/>
              <w:rPr>
                <w:rFonts w:ascii="Arial" w:hAnsi="Arial" w:eastAsia="Times New Roman" w:cs="Arial"/>
                <w:color w:val="000000"/>
                <w:kern w:val="0"/>
                <w:sz w:val="20"/>
                <w:szCs w:val="20"/>
                <w:lang w:eastAsia="en-IN"/>
                <w14:ligatures w14:val="none"/>
              </w:rPr>
            </w:pPr>
          </w:p>
        </w:tc>
        <w:tc>
          <w:tcPr>
            <w:tcW w:w="858" w:type="dxa"/>
            <w:tcBorders>
              <w:top w:val="single" w:color="auto" w:sz="4" w:space="0"/>
              <w:left w:val="single" w:color="auto" w:sz="4" w:space="0"/>
              <w:bottom w:val="single" w:color="auto" w:sz="4" w:space="0"/>
              <w:right w:val="single" w:color="auto" w:sz="4" w:space="0"/>
            </w:tcBorders>
            <w:vAlign w:val="bottom"/>
          </w:tcPr>
          <w:p w14:paraId="2A91B017">
            <w:pPr>
              <w:spacing w:after="0" w:line="240" w:lineRule="auto"/>
              <w:jc w:val="right"/>
              <w:rPr>
                <w:rFonts w:ascii="Arial" w:hAnsi="Arial" w:eastAsia="Times New Roman" w:cs="Arial"/>
                <w:color w:val="000000"/>
                <w:kern w:val="0"/>
                <w:sz w:val="20"/>
                <w:szCs w:val="20"/>
                <w:lang w:eastAsia="en-IN"/>
                <w14:ligatures w14:val="none"/>
              </w:rPr>
            </w:pPr>
            <w:r>
              <w:rPr>
                <w:rFonts w:ascii="Arial" w:hAnsi="Arial" w:eastAsia="Times New Roman" w:cs="Arial"/>
                <w:color w:val="000000"/>
                <w:kern w:val="0"/>
                <w:sz w:val="20"/>
                <w:szCs w:val="20"/>
                <w:lang w:eastAsia="en-IN"/>
                <w14:ligatures w14:val="none"/>
              </w:rPr>
              <w:t>9.9</w:t>
            </w:r>
          </w:p>
        </w:tc>
        <w:tc>
          <w:tcPr>
            <w:tcW w:w="842" w:type="dxa"/>
            <w:tcBorders>
              <w:top w:val="single" w:color="auto" w:sz="4" w:space="0"/>
              <w:left w:val="single" w:color="auto" w:sz="4" w:space="0"/>
              <w:bottom w:val="single" w:color="auto" w:sz="4" w:space="0"/>
              <w:right w:val="single" w:color="auto" w:sz="4" w:space="0"/>
            </w:tcBorders>
            <w:vAlign w:val="bottom"/>
          </w:tcPr>
          <w:p w14:paraId="321D3587">
            <w:pPr>
              <w:spacing w:after="0" w:line="240" w:lineRule="auto"/>
              <w:jc w:val="right"/>
              <w:rPr>
                <w:rFonts w:ascii="Arial" w:hAnsi="Arial" w:eastAsia="Times New Roman" w:cs="Arial"/>
                <w:color w:val="000000"/>
                <w:kern w:val="0"/>
                <w:sz w:val="20"/>
                <w:szCs w:val="20"/>
                <w:lang w:eastAsia="en-IN"/>
                <w14:ligatures w14:val="none"/>
              </w:rPr>
            </w:pPr>
            <w:r>
              <w:rPr>
                <w:rFonts w:ascii="Arial" w:hAnsi="Arial" w:eastAsia="Times New Roman" w:cs="Arial"/>
                <w:color w:val="000000"/>
                <w:kern w:val="0"/>
                <w:sz w:val="20"/>
                <w:szCs w:val="20"/>
                <w:lang w:eastAsia="en-IN"/>
                <w14:ligatures w14:val="none"/>
              </w:rPr>
              <w:t>11.722</w:t>
            </w:r>
          </w:p>
        </w:tc>
        <w:tc>
          <w:tcPr>
            <w:tcW w:w="708" w:type="dxa"/>
            <w:vMerge w:val="continue"/>
            <w:tcBorders>
              <w:left w:val="single" w:color="auto" w:sz="4" w:space="0"/>
              <w:right w:val="single" w:color="auto" w:sz="4" w:space="0"/>
            </w:tcBorders>
          </w:tcPr>
          <w:p w14:paraId="259B4759">
            <w:pPr>
              <w:spacing w:after="0" w:line="240" w:lineRule="auto"/>
              <w:jc w:val="right"/>
              <w:rPr>
                <w:rFonts w:ascii="Arial" w:hAnsi="Arial" w:eastAsia="Times New Roman" w:cs="Arial"/>
                <w:color w:val="000000"/>
                <w:kern w:val="0"/>
                <w:sz w:val="20"/>
                <w:szCs w:val="20"/>
                <w:lang w:eastAsia="en-IN"/>
                <w14:ligatures w14:val="none"/>
              </w:rPr>
            </w:pPr>
          </w:p>
        </w:tc>
        <w:tc>
          <w:tcPr>
            <w:tcW w:w="861" w:type="dxa"/>
            <w:tcBorders>
              <w:top w:val="single" w:color="auto" w:sz="4" w:space="0"/>
              <w:left w:val="single" w:color="auto" w:sz="4" w:space="0"/>
              <w:bottom w:val="single" w:color="auto" w:sz="4" w:space="0"/>
              <w:right w:val="single" w:color="auto" w:sz="4" w:space="0"/>
            </w:tcBorders>
            <w:vAlign w:val="bottom"/>
          </w:tcPr>
          <w:p w14:paraId="510CE9DD">
            <w:pPr>
              <w:spacing w:after="0" w:line="240" w:lineRule="auto"/>
              <w:jc w:val="right"/>
              <w:rPr>
                <w:rFonts w:ascii="Arial" w:hAnsi="Arial" w:eastAsia="Times New Roman" w:cs="Arial"/>
                <w:color w:val="000000"/>
                <w:kern w:val="0"/>
                <w:sz w:val="20"/>
                <w:szCs w:val="20"/>
                <w:lang w:eastAsia="en-IN"/>
                <w14:ligatures w14:val="none"/>
              </w:rPr>
            </w:pPr>
            <w:r>
              <w:rPr>
                <w:rFonts w:ascii="Arial" w:hAnsi="Arial" w:eastAsia="Times New Roman" w:cs="Arial"/>
                <w:color w:val="000000"/>
                <w:kern w:val="0"/>
                <w:sz w:val="20"/>
                <w:szCs w:val="20"/>
                <w:lang w:eastAsia="en-IN"/>
                <w14:ligatures w14:val="none"/>
              </w:rPr>
              <w:t>0.248</w:t>
            </w:r>
          </w:p>
        </w:tc>
        <w:tc>
          <w:tcPr>
            <w:tcW w:w="700" w:type="dxa"/>
            <w:tcBorders>
              <w:top w:val="single" w:color="auto" w:sz="4" w:space="0"/>
              <w:left w:val="single" w:color="auto" w:sz="4" w:space="0"/>
              <w:bottom w:val="single" w:color="auto" w:sz="4" w:space="0"/>
              <w:right w:val="single" w:color="auto" w:sz="4" w:space="0"/>
            </w:tcBorders>
            <w:vAlign w:val="bottom"/>
          </w:tcPr>
          <w:p w14:paraId="77749687">
            <w:pPr>
              <w:spacing w:after="0" w:line="240" w:lineRule="auto"/>
              <w:jc w:val="right"/>
              <w:rPr>
                <w:rFonts w:ascii="Arial" w:hAnsi="Arial" w:eastAsia="Times New Roman" w:cs="Arial"/>
                <w:color w:val="000000"/>
                <w:kern w:val="0"/>
                <w:sz w:val="20"/>
                <w:szCs w:val="20"/>
                <w:lang w:eastAsia="en-IN"/>
                <w14:ligatures w14:val="none"/>
              </w:rPr>
            </w:pPr>
            <w:r>
              <w:rPr>
                <w:rFonts w:ascii="Arial" w:hAnsi="Arial" w:eastAsia="Times New Roman" w:cs="Arial"/>
                <w:color w:val="000000"/>
                <w:kern w:val="0"/>
                <w:sz w:val="20"/>
                <w:szCs w:val="20"/>
                <w:lang w:eastAsia="en-IN"/>
                <w14:ligatures w14:val="none"/>
              </w:rPr>
              <w:t>0.485</w:t>
            </w:r>
          </w:p>
        </w:tc>
        <w:tc>
          <w:tcPr>
            <w:tcW w:w="709" w:type="dxa"/>
            <w:vMerge w:val="continue"/>
            <w:tcBorders>
              <w:left w:val="single" w:color="auto" w:sz="4" w:space="0"/>
              <w:right w:val="single" w:color="auto" w:sz="4" w:space="0"/>
            </w:tcBorders>
          </w:tcPr>
          <w:p w14:paraId="4EBFB1AD">
            <w:pPr>
              <w:spacing w:after="0" w:line="240" w:lineRule="auto"/>
              <w:jc w:val="right"/>
              <w:rPr>
                <w:rFonts w:ascii="Arial" w:hAnsi="Arial" w:eastAsia="Times New Roman" w:cs="Arial"/>
                <w:color w:val="000000"/>
                <w:kern w:val="0"/>
                <w:sz w:val="20"/>
                <w:szCs w:val="20"/>
                <w:lang w:eastAsia="en-IN"/>
                <w14:ligatures w14:val="none"/>
              </w:rPr>
            </w:pPr>
          </w:p>
        </w:tc>
        <w:tc>
          <w:tcPr>
            <w:tcW w:w="992" w:type="dxa"/>
            <w:tcBorders>
              <w:top w:val="single" w:color="auto" w:sz="4" w:space="0"/>
              <w:left w:val="single" w:color="auto" w:sz="4" w:space="0"/>
              <w:bottom w:val="single" w:color="auto" w:sz="4" w:space="0"/>
              <w:right w:val="single" w:color="auto" w:sz="4" w:space="0"/>
            </w:tcBorders>
            <w:vAlign w:val="bottom"/>
          </w:tcPr>
          <w:p w14:paraId="2B1024C6">
            <w:pPr>
              <w:spacing w:after="0" w:line="240" w:lineRule="auto"/>
              <w:jc w:val="right"/>
              <w:rPr>
                <w:rFonts w:ascii="Arial" w:hAnsi="Arial" w:eastAsia="Times New Roman" w:cs="Arial"/>
                <w:color w:val="000000"/>
                <w:kern w:val="0"/>
                <w:sz w:val="20"/>
                <w:szCs w:val="20"/>
                <w:lang w:eastAsia="en-IN"/>
                <w14:ligatures w14:val="none"/>
              </w:rPr>
            </w:pPr>
            <w:r>
              <w:rPr>
                <w:rFonts w:ascii="Arial" w:hAnsi="Arial" w:eastAsia="Times New Roman" w:cs="Arial"/>
                <w:color w:val="000000"/>
                <w:kern w:val="0"/>
                <w:sz w:val="20"/>
                <w:szCs w:val="20"/>
                <w:lang w:eastAsia="en-IN"/>
                <w14:ligatures w14:val="none"/>
              </w:rPr>
              <w:t>11.31</w:t>
            </w:r>
          </w:p>
        </w:tc>
        <w:tc>
          <w:tcPr>
            <w:tcW w:w="851" w:type="dxa"/>
            <w:tcBorders>
              <w:top w:val="single" w:color="auto" w:sz="4" w:space="0"/>
              <w:left w:val="single" w:color="auto" w:sz="4" w:space="0"/>
              <w:bottom w:val="single" w:color="auto" w:sz="4" w:space="0"/>
              <w:right w:val="single" w:color="auto" w:sz="4" w:space="0"/>
            </w:tcBorders>
            <w:vAlign w:val="bottom"/>
          </w:tcPr>
          <w:p w14:paraId="255F7B20">
            <w:pPr>
              <w:spacing w:after="0" w:line="240" w:lineRule="auto"/>
              <w:jc w:val="right"/>
              <w:rPr>
                <w:rFonts w:ascii="Arial" w:hAnsi="Arial" w:eastAsia="Times New Roman" w:cs="Arial"/>
                <w:color w:val="000000"/>
                <w:kern w:val="0"/>
                <w:sz w:val="20"/>
                <w:szCs w:val="20"/>
                <w:lang w:eastAsia="en-IN"/>
                <w14:ligatures w14:val="none"/>
              </w:rPr>
            </w:pPr>
            <w:r>
              <w:rPr>
                <w:rFonts w:ascii="Arial" w:hAnsi="Arial" w:eastAsia="Times New Roman" w:cs="Arial"/>
                <w:color w:val="000000"/>
                <w:kern w:val="0"/>
                <w:sz w:val="20"/>
                <w:szCs w:val="20"/>
                <w:lang w:eastAsia="en-IN"/>
                <w14:ligatures w14:val="none"/>
              </w:rPr>
              <w:t>74.38</w:t>
            </w:r>
          </w:p>
        </w:tc>
        <w:tc>
          <w:tcPr>
            <w:tcW w:w="708" w:type="dxa"/>
            <w:vMerge w:val="continue"/>
            <w:tcBorders>
              <w:left w:val="single" w:color="auto" w:sz="4" w:space="0"/>
              <w:right w:val="single" w:color="auto" w:sz="4" w:space="0"/>
            </w:tcBorders>
          </w:tcPr>
          <w:p w14:paraId="5B034122">
            <w:pPr>
              <w:spacing w:after="0" w:line="240" w:lineRule="auto"/>
              <w:jc w:val="right"/>
              <w:rPr>
                <w:rFonts w:ascii="Arial" w:hAnsi="Arial" w:eastAsia="Times New Roman" w:cs="Arial"/>
                <w:color w:val="000000"/>
                <w:kern w:val="0"/>
                <w:sz w:val="20"/>
                <w:szCs w:val="20"/>
                <w:lang w:eastAsia="en-IN"/>
                <w14:ligatures w14:val="none"/>
              </w:rPr>
            </w:pPr>
          </w:p>
        </w:tc>
      </w:tr>
      <w:tr w14:paraId="7CB4D58D">
        <w:tblPrEx>
          <w:tblCellMar>
            <w:top w:w="0" w:type="dxa"/>
            <w:left w:w="108" w:type="dxa"/>
            <w:bottom w:w="0" w:type="dxa"/>
            <w:right w:w="108" w:type="dxa"/>
          </w:tblCellMar>
        </w:tblPrEx>
        <w:trPr>
          <w:trHeight w:val="288" w:hRule="atLeast"/>
        </w:trPr>
        <w:tc>
          <w:tcPr>
            <w:tcW w:w="993" w:type="dxa"/>
            <w:tcBorders>
              <w:top w:val="nil"/>
              <w:left w:val="single" w:color="auto" w:sz="4" w:space="0"/>
              <w:bottom w:val="single" w:color="auto" w:sz="4" w:space="0"/>
              <w:right w:val="single" w:color="auto" w:sz="4" w:space="0"/>
            </w:tcBorders>
            <w:shd w:val="clear" w:color="auto" w:fill="auto"/>
            <w:noWrap/>
            <w:vAlign w:val="bottom"/>
          </w:tcPr>
          <w:p w14:paraId="75A00183">
            <w:pPr>
              <w:spacing w:after="0" w:line="240" w:lineRule="auto"/>
              <w:rPr>
                <w:rFonts w:ascii="Arial" w:hAnsi="Arial" w:eastAsia="Times New Roman" w:cs="Arial"/>
                <w:color w:val="000000"/>
                <w:kern w:val="0"/>
                <w:sz w:val="20"/>
                <w:szCs w:val="20"/>
                <w:lang w:eastAsia="en-IN"/>
                <w14:ligatures w14:val="none"/>
              </w:rPr>
            </w:pPr>
            <w:r>
              <w:rPr>
                <w:rFonts w:ascii="Arial" w:hAnsi="Arial" w:eastAsia="Times New Roman" w:cs="Arial"/>
                <w:color w:val="000000"/>
                <w:kern w:val="0"/>
                <w:sz w:val="20"/>
                <w:szCs w:val="20"/>
                <w:lang w:eastAsia="en-IN"/>
                <w14:ligatures w14:val="none"/>
              </w:rPr>
              <w:t>H103</w:t>
            </w:r>
          </w:p>
        </w:tc>
        <w:tc>
          <w:tcPr>
            <w:tcW w:w="1017" w:type="dxa"/>
            <w:tcBorders>
              <w:top w:val="nil"/>
              <w:left w:val="nil"/>
              <w:bottom w:val="single" w:color="auto" w:sz="4" w:space="0"/>
              <w:right w:val="single" w:color="auto" w:sz="4" w:space="0"/>
            </w:tcBorders>
            <w:shd w:val="clear" w:color="auto" w:fill="auto"/>
            <w:noWrap/>
            <w:vAlign w:val="bottom"/>
          </w:tcPr>
          <w:p w14:paraId="1667059D">
            <w:pPr>
              <w:spacing w:after="0" w:line="240" w:lineRule="auto"/>
              <w:jc w:val="right"/>
              <w:rPr>
                <w:rFonts w:ascii="Arial" w:hAnsi="Arial" w:eastAsia="Times New Roman" w:cs="Arial"/>
                <w:color w:val="000000"/>
                <w:kern w:val="0"/>
                <w:sz w:val="20"/>
                <w:szCs w:val="20"/>
                <w:lang w:eastAsia="en-IN"/>
                <w14:ligatures w14:val="none"/>
              </w:rPr>
            </w:pPr>
            <w:r>
              <w:rPr>
                <w:rFonts w:ascii="Arial" w:hAnsi="Arial" w:eastAsia="Times New Roman" w:cs="Arial"/>
                <w:color w:val="000000"/>
                <w:kern w:val="0"/>
                <w:sz w:val="20"/>
                <w:szCs w:val="20"/>
                <w:lang w:eastAsia="en-IN"/>
                <w14:ligatures w14:val="none"/>
              </w:rPr>
              <w:t>500.87</w:t>
            </w:r>
          </w:p>
        </w:tc>
        <w:tc>
          <w:tcPr>
            <w:tcW w:w="967" w:type="dxa"/>
            <w:tcBorders>
              <w:top w:val="nil"/>
              <w:left w:val="nil"/>
              <w:bottom w:val="single" w:color="auto" w:sz="4" w:space="0"/>
              <w:right w:val="single" w:color="auto" w:sz="4" w:space="0"/>
            </w:tcBorders>
            <w:shd w:val="clear" w:color="auto" w:fill="auto"/>
            <w:noWrap/>
            <w:vAlign w:val="bottom"/>
          </w:tcPr>
          <w:p w14:paraId="094F17CE">
            <w:pPr>
              <w:spacing w:after="0" w:line="240" w:lineRule="auto"/>
              <w:jc w:val="right"/>
              <w:rPr>
                <w:rFonts w:ascii="Arial" w:hAnsi="Arial" w:eastAsia="Times New Roman" w:cs="Arial"/>
                <w:color w:val="000000"/>
                <w:kern w:val="0"/>
                <w:sz w:val="20"/>
                <w:szCs w:val="20"/>
                <w:lang w:eastAsia="en-IN"/>
                <w14:ligatures w14:val="none"/>
              </w:rPr>
            </w:pPr>
            <w:r>
              <w:rPr>
                <w:rFonts w:ascii="Arial" w:hAnsi="Arial" w:eastAsia="Times New Roman" w:cs="Arial"/>
                <w:color w:val="000000"/>
                <w:kern w:val="0"/>
                <w:sz w:val="20"/>
                <w:szCs w:val="20"/>
                <w:lang w:eastAsia="en-IN"/>
                <w14:ligatures w14:val="none"/>
              </w:rPr>
              <w:t>892.24</w:t>
            </w:r>
          </w:p>
        </w:tc>
        <w:tc>
          <w:tcPr>
            <w:tcW w:w="709" w:type="dxa"/>
            <w:vMerge w:val="continue"/>
            <w:tcBorders>
              <w:top w:val="single" w:color="auto" w:sz="4" w:space="0"/>
              <w:left w:val="nil"/>
              <w:bottom w:val="single" w:color="auto" w:sz="4" w:space="0"/>
              <w:right w:val="single" w:color="auto" w:sz="4" w:space="0"/>
            </w:tcBorders>
          </w:tcPr>
          <w:p w14:paraId="3A50DD0E">
            <w:pPr>
              <w:spacing w:after="0" w:line="240" w:lineRule="auto"/>
              <w:jc w:val="right"/>
              <w:rPr>
                <w:rFonts w:ascii="Arial" w:hAnsi="Arial" w:eastAsia="Times New Roman" w:cs="Arial"/>
                <w:color w:val="000000"/>
                <w:kern w:val="0"/>
                <w:sz w:val="20"/>
                <w:szCs w:val="20"/>
                <w:lang w:eastAsia="en-IN"/>
                <w14:ligatures w14:val="none"/>
              </w:rPr>
            </w:pPr>
          </w:p>
        </w:tc>
        <w:tc>
          <w:tcPr>
            <w:tcW w:w="858" w:type="dxa"/>
            <w:tcBorders>
              <w:top w:val="single" w:color="auto" w:sz="4" w:space="0"/>
              <w:left w:val="single" w:color="auto" w:sz="4" w:space="0"/>
              <w:bottom w:val="single" w:color="auto" w:sz="4" w:space="0"/>
              <w:right w:val="single" w:color="auto" w:sz="4" w:space="0"/>
            </w:tcBorders>
            <w:vAlign w:val="bottom"/>
          </w:tcPr>
          <w:p w14:paraId="4B3D23CC">
            <w:pPr>
              <w:spacing w:after="0" w:line="240" w:lineRule="auto"/>
              <w:jc w:val="right"/>
              <w:rPr>
                <w:rFonts w:ascii="Arial" w:hAnsi="Arial" w:eastAsia="Times New Roman" w:cs="Arial"/>
                <w:color w:val="000000"/>
                <w:kern w:val="0"/>
                <w:sz w:val="20"/>
                <w:szCs w:val="20"/>
                <w:lang w:eastAsia="en-IN"/>
                <w14:ligatures w14:val="none"/>
              </w:rPr>
            </w:pPr>
            <w:r>
              <w:rPr>
                <w:rFonts w:ascii="Arial" w:hAnsi="Arial" w:eastAsia="Times New Roman" w:cs="Arial"/>
                <w:color w:val="000000"/>
                <w:kern w:val="0"/>
                <w:sz w:val="20"/>
                <w:szCs w:val="20"/>
                <w:lang w:eastAsia="en-IN"/>
                <w14:ligatures w14:val="none"/>
              </w:rPr>
              <w:t>8.09</w:t>
            </w:r>
          </w:p>
        </w:tc>
        <w:tc>
          <w:tcPr>
            <w:tcW w:w="842" w:type="dxa"/>
            <w:tcBorders>
              <w:top w:val="single" w:color="auto" w:sz="4" w:space="0"/>
              <w:left w:val="single" w:color="auto" w:sz="4" w:space="0"/>
              <w:bottom w:val="single" w:color="auto" w:sz="4" w:space="0"/>
              <w:right w:val="single" w:color="auto" w:sz="4" w:space="0"/>
            </w:tcBorders>
            <w:vAlign w:val="bottom"/>
          </w:tcPr>
          <w:p w14:paraId="03932E6B">
            <w:pPr>
              <w:spacing w:after="0" w:line="240" w:lineRule="auto"/>
              <w:jc w:val="right"/>
              <w:rPr>
                <w:rFonts w:ascii="Arial" w:hAnsi="Arial" w:eastAsia="Times New Roman" w:cs="Arial"/>
                <w:color w:val="000000"/>
                <w:kern w:val="0"/>
                <w:sz w:val="20"/>
                <w:szCs w:val="20"/>
                <w:lang w:eastAsia="en-IN"/>
                <w14:ligatures w14:val="none"/>
              </w:rPr>
            </w:pPr>
            <w:r>
              <w:rPr>
                <w:rFonts w:ascii="Arial" w:hAnsi="Arial" w:eastAsia="Times New Roman" w:cs="Arial"/>
                <w:color w:val="000000"/>
                <w:kern w:val="0"/>
                <w:sz w:val="20"/>
                <w:szCs w:val="20"/>
                <w:lang w:eastAsia="en-IN"/>
                <w14:ligatures w14:val="none"/>
              </w:rPr>
              <w:t>8.588</w:t>
            </w:r>
          </w:p>
        </w:tc>
        <w:tc>
          <w:tcPr>
            <w:tcW w:w="708" w:type="dxa"/>
            <w:vMerge w:val="continue"/>
            <w:tcBorders>
              <w:left w:val="single" w:color="auto" w:sz="4" w:space="0"/>
              <w:right w:val="single" w:color="auto" w:sz="4" w:space="0"/>
            </w:tcBorders>
          </w:tcPr>
          <w:p w14:paraId="4068622A">
            <w:pPr>
              <w:spacing w:after="0" w:line="240" w:lineRule="auto"/>
              <w:jc w:val="right"/>
              <w:rPr>
                <w:rFonts w:ascii="Arial" w:hAnsi="Arial" w:eastAsia="Times New Roman" w:cs="Arial"/>
                <w:color w:val="000000"/>
                <w:kern w:val="0"/>
                <w:sz w:val="20"/>
                <w:szCs w:val="20"/>
                <w:lang w:eastAsia="en-IN"/>
                <w14:ligatures w14:val="none"/>
              </w:rPr>
            </w:pPr>
          </w:p>
        </w:tc>
        <w:tc>
          <w:tcPr>
            <w:tcW w:w="861" w:type="dxa"/>
            <w:tcBorders>
              <w:top w:val="single" w:color="auto" w:sz="4" w:space="0"/>
              <w:left w:val="single" w:color="auto" w:sz="4" w:space="0"/>
              <w:bottom w:val="single" w:color="auto" w:sz="4" w:space="0"/>
              <w:right w:val="single" w:color="auto" w:sz="4" w:space="0"/>
            </w:tcBorders>
            <w:vAlign w:val="bottom"/>
          </w:tcPr>
          <w:p w14:paraId="7F8AADEF">
            <w:pPr>
              <w:spacing w:after="0" w:line="240" w:lineRule="auto"/>
              <w:jc w:val="right"/>
              <w:rPr>
                <w:rFonts w:ascii="Arial" w:hAnsi="Arial" w:eastAsia="Times New Roman" w:cs="Arial"/>
                <w:color w:val="000000"/>
                <w:kern w:val="0"/>
                <w:sz w:val="20"/>
                <w:szCs w:val="20"/>
                <w:lang w:eastAsia="en-IN"/>
                <w14:ligatures w14:val="none"/>
              </w:rPr>
            </w:pPr>
            <w:r>
              <w:rPr>
                <w:rFonts w:ascii="Arial" w:hAnsi="Arial" w:eastAsia="Times New Roman" w:cs="Arial"/>
                <w:color w:val="000000"/>
                <w:kern w:val="0"/>
                <w:sz w:val="20"/>
                <w:szCs w:val="20"/>
                <w:lang w:eastAsia="en-IN"/>
                <w14:ligatures w14:val="none"/>
              </w:rPr>
              <w:t>0.247</w:t>
            </w:r>
          </w:p>
        </w:tc>
        <w:tc>
          <w:tcPr>
            <w:tcW w:w="700" w:type="dxa"/>
            <w:tcBorders>
              <w:top w:val="single" w:color="auto" w:sz="4" w:space="0"/>
              <w:left w:val="single" w:color="auto" w:sz="4" w:space="0"/>
              <w:bottom w:val="single" w:color="auto" w:sz="4" w:space="0"/>
              <w:right w:val="single" w:color="auto" w:sz="4" w:space="0"/>
            </w:tcBorders>
            <w:vAlign w:val="bottom"/>
          </w:tcPr>
          <w:p w14:paraId="063FB160">
            <w:pPr>
              <w:spacing w:after="0" w:line="240" w:lineRule="auto"/>
              <w:jc w:val="right"/>
              <w:rPr>
                <w:rFonts w:ascii="Arial" w:hAnsi="Arial" w:eastAsia="Times New Roman" w:cs="Arial"/>
                <w:color w:val="000000"/>
                <w:kern w:val="0"/>
                <w:sz w:val="20"/>
                <w:szCs w:val="20"/>
                <w:lang w:eastAsia="en-IN"/>
                <w14:ligatures w14:val="none"/>
              </w:rPr>
            </w:pPr>
            <w:r>
              <w:rPr>
                <w:rFonts w:ascii="Arial" w:hAnsi="Arial" w:eastAsia="Times New Roman" w:cs="Arial"/>
                <w:color w:val="000000"/>
                <w:kern w:val="0"/>
                <w:sz w:val="20"/>
                <w:szCs w:val="20"/>
                <w:lang w:eastAsia="en-IN"/>
                <w14:ligatures w14:val="none"/>
              </w:rPr>
              <w:t>0.476</w:t>
            </w:r>
          </w:p>
        </w:tc>
        <w:tc>
          <w:tcPr>
            <w:tcW w:w="709" w:type="dxa"/>
            <w:vMerge w:val="continue"/>
            <w:tcBorders>
              <w:left w:val="single" w:color="auto" w:sz="4" w:space="0"/>
              <w:right w:val="single" w:color="auto" w:sz="4" w:space="0"/>
            </w:tcBorders>
          </w:tcPr>
          <w:p w14:paraId="5484539D">
            <w:pPr>
              <w:spacing w:after="0" w:line="240" w:lineRule="auto"/>
              <w:jc w:val="right"/>
              <w:rPr>
                <w:rFonts w:ascii="Arial" w:hAnsi="Arial" w:eastAsia="Times New Roman" w:cs="Arial"/>
                <w:color w:val="000000"/>
                <w:kern w:val="0"/>
                <w:sz w:val="20"/>
                <w:szCs w:val="20"/>
                <w:lang w:eastAsia="en-IN"/>
                <w14:ligatures w14:val="none"/>
              </w:rPr>
            </w:pPr>
          </w:p>
        </w:tc>
        <w:tc>
          <w:tcPr>
            <w:tcW w:w="992" w:type="dxa"/>
            <w:tcBorders>
              <w:top w:val="single" w:color="auto" w:sz="4" w:space="0"/>
              <w:left w:val="single" w:color="auto" w:sz="4" w:space="0"/>
              <w:bottom w:val="single" w:color="auto" w:sz="4" w:space="0"/>
              <w:right w:val="single" w:color="auto" w:sz="4" w:space="0"/>
            </w:tcBorders>
            <w:vAlign w:val="bottom"/>
          </w:tcPr>
          <w:p w14:paraId="7388A086">
            <w:pPr>
              <w:spacing w:after="0" w:line="240" w:lineRule="auto"/>
              <w:jc w:val="right"/>
              <w:rPr>
                <w:rFonts w:ascii="Arial" w:hAnsi="Arial" w:eastAsia="Times New Roman" w:cs="Arial"/>
                <w:color w:val="000000"/>
                <w:kern w:val="0"/>
                <w:sz w:val="20"/>
                <w:szCs w:val="20"/>
                <w:lang w:eastAsia="en-IN"/>
                <w14:ligatures w14:val="none"/>
              </w:rPr>
            </w:pPr>
            <w:r>
              <w:rPr>
                <w:rFonts w:ascii="Arial" w:hAnsi="Arial" w:eastAsia="Times New Roman" w:cs="Arial"/>
                <w:color w:val="000000"/>
                <w:kern w:val="0"/>
                <w:sz w:val="20"/>
                <w:szCs w:val="20"/>
                <w:lang w:eastAsia="en-IN"/>
                <w14:ligatures w14:val="none"/>
              </w:rPr>
              <w:t>13.79</w:t>
            </w:r>
          </w:p>
        </w:tc>
        <w:tc>
          <w:tcPr>
            <w:tcW w:w="851" w:type="dxa"/>
            <w:tcBorders>
              <w:top w:val="single" w:color="auto" w:sz="4" w:space="0"/>
              <w:left w:val="single" w:color="auto" w:sz="4" w:space="0"/>
              <w:bottom w:val="single" w:color="auto" w:sz="4" w:space="0"/>
              <w:right w:val="single" w:color="auto" w:sz="4" w:space="0"/>
            </w:tcBorders>
            <w:vAlign w:val="bottom"/>
          </w:tcPr>
          <w:p w14:paraId="5B83237F">
            <w:pPr>
              <w:spacing w:after="0" w:line="240" w:lineRule="auto"/>
              <w:jc w:val="right"/>
              <w:rPr>
                <w:rFonts w:ascii="Arial" w:hAnsi="Arial" w:eastAsia="Times New Roman" w:cs="Arial"/>
                <w:color w:val="000000"/>
                <w:kern w:val="0"/>
                <w:sz w:val="20"/>
                <w:szCs w:val="20"/>
                <w:lang w:eastAsia="en-IN"/>
                <w14:ligatures w14:val="none"/>
              </w:rPr>
            </w:pPr>
            <w:r>
              <w:rPr>
                <w:rFonts w:ascii="Arial" w:hAnsi="Arial" w:eastAsia="Times New Roman" w:cs="Arial"/>
                <w:color w:val="000000"/>
                <w:kern w:val="0"/>
                <w:sz w:val="20"/>
                <w:szCs w:val="20"/>
                <w:lang w:eastAsia="en-IN"/>
                <w14:ligatures w14:val="none"/>
              </w:rPr>
              <w:t>79.57</w:t>
            </w:r>
          </w:p>
        </w:tc>
        <w:tc>
          <w:tcPr>
            <w:tcW w:w="708" w:type="dxa"/>
            <w:vMerge w:val="continue"/>
            <w:tcBorders>
              <w:left w:val="single" w:color="auto" w:sz="4" w:space="0"/>
              <w:right w:val="single" w:color="auto" w:sz="4" w:space="0"/>
            </w:tcBorders>
          </w:tcPr>
          <w:p w14:paraId="50F5B1DA">
            <w:pPr>
              <w:spacing w:after="0" w:line="240" w:lineRule="auto"/>
              <w:jc w:val="right"/>
              <w:rPr>
                <w:rFonts w:ascii="Arial" w:hAnsi="Arial" w:eastAsia="Times New Roman" w:cs="Arial"/>
                <w:color w:val="000000"/>
                <w:kern w:val="0"/>
                <w:sz w:val="20"/>
                <w:szCs w:val="20"/>
                <w:lang w:eastAsia="en-IN"/>
                <w14:ligatures w14:val="none"/>
              </w:rPr>
            </w:pPr>
          </w:p>
        </w:tc>
      </w:tr>
      <w:tr w14:paraId="66C9FEB4">
        <w:tblPrEx>
          <w:tblCellMar>
            <w:top w:w="0" w:type="dxa"/>
            <w:left w:w="108" w:type="dxa"/>
            <w:bottom w:w="0" w:type="dxa"/>
            <w:right w:w="108" w:type="dxa"/>
          </w:tblCellMar>
        </w:tblPrEx>
        <w:trPr>
          <w:trHeight w:val="288" w:hRule="atLeast"/>
        </w:trPr>
        <w:tc>
          <w:tcPr>
            <w:tcW w:w="993" w:type="dxa"/>
            <w:tcBorders>
              <w:top w:val="nil"/>
              <w:left w:val="single" w:color="auto" w:sz="4" w:space="0"/>
              <w:bottom w:val="single" w:color="auto" w:sz="4" w:space="0"/>
              <w:right w:val="single" w:color="auto" w:sz="4" w:space="0"/>
            </w:tcBorders>
            <w:shd w:val="clear" w:color="auto" w:fill="auto"/>
            <w:noWrap/>
            <w:vAlign w:val="bottom"/>
          </w:tcPr>
          <w:p w14:paraId="40718EDD">
            <w:pPr>
              <w:spacing w:after="0" w:line="240" w:lineRule="auto"/>
              <w:rPr>
                <w:rFonts w:ascii="Arial" w:hAnsi="Arial" w:eastAsia="Times New Roman" w:cs="Arial"/>
                <w:color w:val="000000"/>
                <w:kern w:val="0"/>
                <w:sz w:val="20"/>
                <w:szCs w:val="20"/>
                <w:lang w:eastAsia="en-IN"/>
                <w14:ligatures w14:val="none"/>
              </w:rPr>
            </w:pPr>
            <w:r>
              <w:rPr>
                <w:rFonts w:ascii="Arial" w:hAnsi="Arial" w:eastAsia="Times New Roman" w:cs="Arial"/>
                <w:color w:val="000000"/>
                <w:kern w:val="0"/>
                <w:sz w:val="20"/>
                <w:szCs w:val="20"/>
                <w:lang w:eastAsia="en-IN"/>
                <w14:ligatures w14:val="none"/>
              </w:rPr>
              <w:t>H119</w:t>
            </w:r>
          </w:p>
        </w:tc>
        <w:tc>
          <w:tcPr>
            <w:tcW w:w="1017" w:type="dxa"/>
            <w:tcBorders>
              <w:top w:val="nil"/>
              <w:left w:val="nil"/>
              <w:bottom w:val="single" w:color="auto" w:sz="4" w:space="0"/>
              <w:right w:val="single" w:color="auto" w:sz="4" w:space="0"/>
            </w:tcBorders>
            <w:shd w:val="clear" w:color="auto" w:fill="auto"/>
            <w:noWrap/>
            <w:vAlign w:val="bottom"/>
          </w:tcPr>
          <w:p w14:paraId="5F828BE0">
            <w:pPr>
              <w:spacing w:after="0" w:line="240" w:lineRule="auto"/>
              <w:jc w:val="right"/>
              <w:rPr>
                <w:rFonts w:ascii="Arial" w:hAnsi="Arial" w:eastAsia="Times New Roman" w:cs="Arial"/>
                <w:color w:val="000000"/>
                <w:kern w:val="0"/>
                <w:sz w:val="20"/>
                <w:szCs w:val="20"/>
                <w:lang w:eastAsia="en-IN"/>
                <w14:ligatures w14:val="none"/>
              </w:rPr>
            </w:pPr>
            <w:r>
              <w:rPr>
                <w:rFonts w:ascii="Arial" w:hAnsi="Arial" w:eastAsia="Times New Roman" w:cs="Arial"/>
                <w:color w:val="000000"/>
                <w:kern w:val="0"/>
                <w:sz w:val="20"/>
                <w:szCs w:val="20"/>
                <w:lang w:eastAsia="en-IN"/>
                <w14:ligatures w14:val="none"/>
              </w:rPr>
              <w:t>412.95</w:t>
            </w:r>
          </w:p>
        </w:tc>
        <w:tc>
          <w:tcPr>
            <w:tcW w:w="967" w:type="dxa"/>
            <w:tcBorders>
              <w:top w:val="nil"/>
              <w:left w:val="nil"/>
              <w:bottom w:val="single" w:color="auto" w:sz="4" w:space="0"/>
              <w:right w:val="single" w:color="auto" w:sz="4" w:space="0"/>
            </w:tcBorders>
            <w:shd w:val="clear" w:color="auto" w:fill="auto"/>
            <w:noWrap/>
            <w:vAlign w:val="bottom"/>
          </w:tcPr>
          <w:p w14:paraId="2E3CF72E">
            <w:pPr>
              <w:spacing w:after="0" w:line="240" w:lineRule="auto"/>
              <w:jc w:val="right"/>
              <w:rPr>
                <w:rFonts w:ascii="Arial" w:hAnsi="Arial" w:eastAsia="Times New Roman" w:cs="Arial"/>
                <w:color w:val="000000"/>
                <w:kern w:val="0"/>
                <w:sz w:val="20"/>
                <w:szCs w:val="20"/>
                <w:lang w:eastAsia="en-IN"/>
                <w14:ligatures w14:val="none"/>
              </w:rPr>
            </w:pPr>
            <w:r>
              <w:rPr>
                <w:rFonts w:ascii="Arial" w:hAnsi="Arial" w:eastAsia="Times New Roman" w:cs="Arial"/>
                <w:color w:val="000000"/>
                <w:kern w:val="0"/>
                <w:sz w:val="20"/>
                <w:szCs w:val="20"/>
                <w:lang w:eastAsia="en-IN"/>
                <w14:ligatures w14:val="none"/>
              </w:rPr>
              <w:t>789.45</w:t>
            </w:r>
          </w:p>
        </w:tc>
        <w:tc>
          <w:tcPr>
            <w:tcW w:w="709" w:type="dxa"/>
            <w:vMerge w:val="continue"/>
            <w:tcBorders>
              <w:top w:val="single" w:color="auto" w:sz="4" w:space="0"/>
              <w:left w:val="nil"/>
              <w:bottom w:val="single" w:color="auto" w:sz="4" w:space="0"/>
              <w:right w:val="single" w:color="auto" w:sz="4" w:space="0"/>
            </w:tcBorders>
          </w:tcPr>
          <w:p w14:paraId="73E35B47">
            <w:pPr>
              <w:spacing w:after="0" w:line="240" w:lineRule="auto"/>
              <w:jc w:val="right"/>
              <w:rPr>
                <w:rFonts w:ascii="Arial" w:hAnsi="Arial" w:eastAsia="Times New Roman" w:cs="Arial"/>
                <w:color w:val="000000"/>
                <w:kern w:val="0"/>
                <w:sz w:val="20"/>
                <w:szCs w:val="20"/>
                <w:lang w:eastAsia="en-IN"/>
                <w14:ligatures w14:val="none"/>
              </w:rPr>
            </w:pPr>
          </w:p>
        </w:tc>
        <w:tc>
          <w:tcPr>
            <w:tcW w:w="858" w:type="dxa"/>
            <w:tcBorders>
              <w:top w:val="single" w:color="auto" w:sz="4" w:space="0"/>
              <w:left w:val="single" w:color="auto" w:sz="4" w:space="0"/>
              <w:bottom w:val="single" w:color="auto" w:sz="4" w:space="0"/>
              <w:right w:val="single" w:color="auto" w:sz="4" w:space="0"/>
            </w:tcBorders>
            <w:vAlign w:val="bottom"/>
          </w:tcPr>
          <w:p w14:paraId="74319C24">
            <w:pPr>
              <w:spacing w:after="0" w:line="240" w:lineRule="auto"/>
              <w:jc w:val="right"/>
              <w:rPr>
                <w:rFonts w:ascii="Arial" w:hAnsi="Arial" w:eastAsia="Times New Roman" w:cs="Arial"/>
                <w:color w:val="000000"/>
                <w:kern w:val="0"/>
                <w:sz w:val="20"/>
                <w:szCs w:val="20"/>
                <w:lang w:eastAsia="en-IN"/>
                <w14:ligatures w14:val="none"/>
              </w:rPr>
            </w:pPr>
            <w:r>
              <w:rPr>
                <w:rFonts w:ascii="Arial" w:hAnsi="Arial" w:eastAsia="Times New Roman" w:cs="Arial"/>
                <w:color w:val="000000"/>
                <w:kern w:val="0"/>
                <w:sz w:val="20"/>
                <w:szCs w:val="20"/>
                <w:lang w:eastAsia="en-IN"/>
                <w14:ligatures w14:val="none"/>
              </w:rPr>
              <w:t>7.56</w:t>
            </w:r>
          </w:p>
        </w:tc>
        <w:tc>
          <w:tcPr>
            <w:tcW w:w="842" w:type="dxa"/>
            <w:tcBorders>
              <w:top w:val="single" w:color="auto" w:sz="4" w:space="0"/>
              <w:left w:val="single" w:color="auto" w:sz="4" w:space="0"/>
              <w:bottom w:val="single" w:color="auto" w:sz="4" w:space="0"/>
              <w:right w:val="single" w:color="auto" w:sz="4" w:space="0"/>
            </w:tcBorders>
            <w:vAlign w:val="bottom"/>
          </w:tcPr>
          <w:p w14:paraId="2E3FF9E7">
            <w:pPr>
              <w:spacing w:after="0" w:line="240" w:lineRule="auto"/>
              <w:jc w:val="right"/>
              <w:rPr>
                <w:rFonts w:ascii="Arial" w:hAnsi="Arial" w:eastAsia="Times New Roman" w:cs="Arial"/>
                <w:color w:val="000000"/>
                <w:kern w:val="0"/>
                <w:sz w:val="20"/>
                <w:szCs w:val="20"/>
                <w:lang w:eastAsia="en-IN"/>
                <w14:ligatures w14:val="none"/>
              </w:rPr>
            </w:pPr>
            <w:r>
              <w:rPr>
                <w:rFonts w:ascii="Arial" w:hAnsi="Arial" w:eastAsia="Times New Roman" w:cs="Arial"/>
                <w:color w:val="000000"/>
                <w:kern w:val="0"/>
                <w:sz w:val="20"/>
                <w:szCs w:val="20"/>
                <w:lang w:eastAsia="en-IN"/>
                <w14:ligatures w14:val="none"/>
              </w:rPr>
              <w:t>10.073</w:t>
            </w:r>
          </w:p>
        </w:tc>
        <w:tc>
          <w:tcPr>
            <w:tcW w:w="708" w:type="dxa"/>
            <w:vMerge w:val="continue"/>
            <w:tcBorders>
              <w:left w:val="single" w:color="auto" w:sz="4" w:space="0"/>
              <w:right w:val="single" w:color="auto" w:sz="4" w:space="0"/>
            </w:tcBorders>
          </w:tcPr>
          <w:p w14:paraId="6762F140">
            <w:pPr>
              <w:spacing w:after="0" w:line="240" w:lineRule="auto"/>
              <w:jc w:val="right"/>
              <w:rPr>
                <w:rFonts w:ascii="Arial" w:hAnsi="Arial" w:eastAsia="Times New Roman" w:cs="Arial"/>
                <w:color w:val="000000"/>
                <w:kern w:val="0"/>
                <w:sz w:val="20"/>
                <w:szCs w:val="20"/>
                <w:lang w:eastAsia="en-IN"/>
                <w14:ligatures w14:val="none"/>
              </w:rPr>
            </w:pPr>
          </w:p>
        </w:tc>
        <w:tc>
          <w:tcPr>
            <w:tcW w:w="861" w:type="dxa"/>
            <w:tcBorders>
              <w:top w:val="single" w:color="auto" w:sz="4" w:space="0"/>
              <w:left w:val="single" w:color="auto" w:sz="4" w:space="0"/>
              <w:bottom w:val="single" w:color="auto" w:sz="4" w:space="0"/>
              <w:right w:val="single" w:color="auto" w:sz="4" w:space="0"/>
            </w:tcBorders>
            <w:vAlign w:val="bottom"/>
          </w:tcPr>
          <w:p w14:paraId="59CE1863">
            <w:pPr>
              <w:spacing w:after="0" w:line="240" w:lineRule="auto"/>
              <w:jc w:val="right"/>
              <w:rPr>
                <w:rFonts w:ascii="Arial" w:hAnsi="Arial" w:eastAsia="Times New Roman" w:cs="Arial"/>
                <w:color w:val="000000"/>
                <w:kern w:val="0"/>
                <w:sz w:val="20"/>
                <w:szCs w:val="20"/>
                <w:lang w:eastAsia="en-IN"/>
                <w14:ligatures w14:val="none"/>
              </w:rPr>
            </w:pPr>
            <w:r>
              <w:rPr>
                <w:rFonts w:ascii="Arial" w:hAnsi="Arial" w:eastAsia="Times New Roman" w:cs="Arial"/>
                <w:color w:val="000000"/>
                <w:kern w:val="0"/>
                <w:sz w:val="20"/>
                <w:szCs w:val="20"/>
                <w:lang w:eastAsia="en-IN"/>
                <w14:ligatures w14:val="none"/>
              </w:rPr>
              <w:t>0.163</w:t>
            </w:r>
          </w:p>
        </w:tc>
        <w:tc>
          <w:tcPr>
            <w:tcW w:w="700" w:type="dxa"/>
            <w:tcBorders>
              <w:top w:val="single" w:color="auto" w:sz="4" w:space="0"/>
              <w:left w:val="single" w:color="auto" w:sz="4" w:space="0"/>
              <w:bottom w:val="single" w:color="auto" w:sz="4" w:space="0"/>
              <w:right w:val="single" w:color="auto" w:sz="4" w:space="0"/>
            </w:tcBorders>
            <w:vAlign w:val="bottom"/>
          </w:tcPr>
          <w:p w14:paraId="528A7CA2">
            <w:pPr>
              <w:spacing w:after="0" w:line="240" w:lineRule="auto"/>
              <w:jc w:val="right"/>
              <w:rPr>
                <w:rFonts w:ascii="Arial" w:hAnsi="Arial" w:eastAsia="Times New Roman" w:cs="Arial"/>
                <w:color w:val="000000"/>
                <w:kern w:val="0"/>
                <w:sz w:val="20"/>
                <w:szCs w:val="20"/>
                <w:lang w:eastAsia="en-IN"/>
                <w14:ligatures w14:val="none"/>
              </w:rPr>
            </w:pPr>
            <w:r>
              <w:rPr>
                <w:rFonts w:ascii="Arial" w:hAnsi="Arial" w:eastAsia="Times New Roman" w:cs="Arial"/>
                <w:color w:val="000000"/>
                <w:kern w:val="0"/>
                <w:sz w:val="20"/>
                <w:szCs w:val="20"/>
                <w:lang w:eastAsia="en-IN"/>
                <w14:ligatures w14:val="none"/>
              </w:rPr>
              <w:t>0.513</w:t>
            </w:r>
          </w:p>
        </w:tc>
        <w:tc>
          <w:tcPr>
            <w:tcW w:w="709" w:type="dxa"/>
            <w:vMerge w:val="continue"/>
            <w:tcBorders>
              <w:left w:val="single" w:color="auto" w:sz="4" w:space="0"/>
              <w:right w:val="single" w:color="auto" w:sz="4" w:space="0"/>
            </w:tcBorders>
          </w:tcPr>
          <w:p w14:paraId="25DC378F">
            <w:pPr>
              <w:spacing w:after="0" w:line="240" w:lineRule="auto"/>
              <w:jc w:val="right"/>
              <w:rPr>
                <w:rFonts w:ascii="Arial" w:hAnsi="Arial" w:eastAsia="Times New Roman" w:cs="Arial"/>
                <w:color w:val="000000"/>
                <w:kern w:val="0"/>
                <w:sz w:val="20"/>
                <w:szCs w:val="20"/>
                <w:lang w:eastAsia="en-IN"/>
                <w14:ligatures w14:val="none"/>
              </w:rPr>
            </w:pPr>
          </w:p>
        </w:tc>
        <w:tc>
          <w:tcPr>
            <w:tcW w:w="992" w:type="dxa"/>
            <w:tcBorders>
              <w:top w:val="single" w:color="auto" w:sz="4" w:space="0"/>
              <w:left w:val="single" w:color="auto" w:sz="4" w:space="0"/>
              <w:bottom w:val="single" w:color="auto" w:sz="4" w:space="0"/>
              <w:right w:val="single" w:color="auto" w:sz="4" w:space="0"/>
            </w:tcBorders>
            <w:vAlign w:val="bottom"/>
          </w:tcPr>
          <w:p w14:paraId="0C4C2139">
            <w:pPr>
              <w:spacing w:after="0" w:line="240" w:lineRule="auto"/>
              <w:jc w:val="right"/>
              <w:rPr>
                <w:rFonts w:ascii="Arial" w:hAnsi="Arial" w:eastAsia="Times New Roman" w:cs="Arial"/>
                <w:color w:val="000000"/>
                <w:kern w:val="0"/>
                <w:sz w:val="20"/>
                <w:szCs w:val="20"/>
                <w:lang w:eastAsia="en-IN"/>
                <w14:ligatures w14:val="none"/>
              </w:rPr>
            </w:pPr>
            <w:r>
              <w:rPr>
                <w:rFonts w:ascii="Arial" w:hAnsi="Arial" w:eastAsia="Times New Roman" w:cs="Arial"/>
                <w:color w:val="000000"/>
                <w:kern w:val="0"/>
                <w:sz w:val="20"/>
                <w:szCs w:val="20"/>
                <w:lang w:eastAsia="en-IN"/>
                <w14:ligatures w14:val="none"/>
              </w:rPr>
              <w:t>9.23</w:t>
            </w:r>
          </w:p>
        </w:tc>
        <w:tc>
          <w:tcPr>
            <w:tcW w:w="851" w:type="dxa"/>
            <w:tcBorders>
              <w:top w:val="single" w:color="auto" w:sz="4" w:space="0"/>
              <w:left w:val="single" w:color="auto" w:sz="4" w:space="0"/>
              <w:bottom w:val="single" w:color="auto" w:sz="4" w:space="0"/>
              <w:right w:val="single" w:color="auto" w:sz="4" w:space="0"/>
            </w:tcBorders>
            <w:vAlign w:val="bottom"/>
          </w:tcPr>
          <w:p w14:paraId="5FA34AFE">
            <w:pPr>
              <w:spacing w:after="0" w:line="240" w:lineRule="auto"/>
              <w:jc w:val="right"/>
              <w:rPr>
                <w:rFonts w:ascii="Arial" w:hAnsi="Arial" w:eastAsia="Times New Roman" w:cs="Arial"/>
                <w:color w:val="000000"/>
                <w:kern w:val="0"/>
                <w:sz w:val="20"/>
                <w:szCs w:val="20"/>
                <w:lang w:eastAsia="en-IN"/>
                <w14:ligatures w14:val="none"/>
              </w:rPr>
            </w:pPr>
            <w:r>
              <w:rPr>
                <w:rFonts w:ascii="Arial" w:hAnsi="Arial" w:eastAsia="Times New Roman" w:cs="Arial"/>
                <w:color w:val="000000"/>
                <w:kern w:val="0"/>
                <w:sz w:val="20"/>
                <w:szCs w:val="20"/>
                <w:lang w:eastAsia="en-IN"/>
                <w14:ligatures w14:val="none"/>
              </w:rPr>
              <w:t>80.56</w:t>
            </w:r>
          </w:p>
        </w:tc>
        <w:tc>
          <w:tcPr>
            <w:tcW w:w="708" w:type="dxa"/>
            <w:vMerge w:val="continue"/>
            <w:tcBorders>
              <w:left w:val="single" w:color="auto" w:sz="4" w:space="0"/>
              <w:right w:val="single" w:color="auto" w:sz="4" w:space="0"/>
            </w:tcBorders>
          </w:tcPr>
          <w:p w14:paraId="1680D076">
            <w:pPr>
              <w:spacing w:after="0" w:line="240" w:lineRule="auto"/>
              <w:jc w:val="right"/>
              <w:rPr>
                <w:rFonts w:ascii="Arial" w:hAnsi="Arial" w:eastAsia="Times New Roman" w:cs="Arial"/>
                <w:color w:val="000000"/>
                <w:kern w:val="0"/>
                <w:sz w:val="20"/>
                <w:szCs w:val="20"/>
                <w:lang w:eastAsia="en-IN"/>
                <w14:ligatures w14:val="none"/>
              </w:rPr>
            </w:pPr>
          </w:p>
        </w:tc>
      </w:tr>
      <w:tr w14:paraId="5D30E4CD">
        <w:tblPrEx>
          <w:tblCellMar>
            <w:top w:w="0" w:type="dxa"/>
            <w:left w:w="108" w:type="dxa"/>
            <w:bottom w:w="0" w:type="dxa"/>
            <w:right w:w="108" w:type="dxa"/>
          </w:tblCellMar>
        </w:tblPrEx>
        <w:trPr>
          <w:trHeight w:val="288" w:hRule="atLeast"/>
        </w:trPr>
        <w:tc>
          <w:tcPr>
            <w:tcW w:w="993" w:type="dxa"/>
            <w:tcBorders>
              <w:top w:val="nil"/>
              <w:left w:val="single" w:color="auto" w:sz="4" w:space="0"/>
              <w:bottom w:val="single" w:color="auto" w:sz="4" w:space="0"/>
              <w:right w:val="single" w:color="auto" w:sz="4" w:space="0"/>
            </w:tcBorders>
            <w:shd w:val="clear" w:color="auto" w:fill="auto"/>
            <w:noWrap/>
            <w:vAlign w:val="bottom"/>
          </w:tcPr>
          <w:p w14:paraId="6E3D364D">
            <w:pPr>
              <w:spacing w:after="0" w:line="240" w:lineRule="auto"/>
              <w:rPr>
                <w:rFonts w:ascii="Arial" w:hAnsi="Arial" w:eastAsia="Times New Roman" w:cs="Arial"/>
                <w:color w:val="000000"/>
                <w:kern w:val="0"/>
                <w:sz w:val="20"/>
                <w:szCs w:val="20"/>
                <w:lang w:eastAsia="en-IN"/>
                <w14:ligatures w14:val="none"/>
              </w:rPr>
            </w:pPr>
            <w:r>
              <w:rPr>
                <w:rFonts w:ascii="Arial" w:hAnsi="Arial" w:eastAsia="Times New Roman" w:cs="Arial"/>
                <w:color w:val="000000"/>
                <w:kern w:val="0"/>
                <w:sz w:val="20"/>
                <w:szCs w:val="20"/>
                <w:lang w:eastAsia="en-IN"/>
                <w14:ligatures w14:val="none"/>
              </w:rPr>
              <w:t>H85</w:t>
            </w:r>
          </w:p>
        </w:tc>
        <w:tc>
          <w:tcPr>
            <w:tcW w:w="1017" w:type="dxa"/>
            <w:tcBorders>
              <w:top w:val="nil"/>
              <w:left w:val="nil"/>
              <w:bottom w:val="single" w:color="auto" w:sz="4" w:space="0"/>
              <w:right w:val="single" w:color="auto" w:sz="4" w:space="0"/>
            </w:tcBorders>
            <w:shd w:val="clear" w:color="auto" w:fill="auto"/>
            <w:noWrap/>
            <w:vAlign w:val="bottom"/>
          </w:tcPr>
          <w:p w14:paraId="3D590BED">
            <w:pPr>
              <w:spacing w:after="0" w:line="240" w:lineRule="auto"/>
              <w:jc w:val="right"/>
              <w:rPr>
                <w:rFonts w:ascii="Arial" w:hAnsi="Arial" w:eastAsia="Times New Roman" w:cs="Arial"/>
                <w:color w:val="000000"/>
                <w:kern w:val="0"/>
                <w:sz w:val="20"/>
                <w:szCs w:val="20"/>
                <w:lang w:eastAsia="en-IN"/>
                <w14:ligatures w14:val="none"/>
              </w:rPr>
            </w:pPr>
            <w:r>
              <w:rPr>
                <w:rFonts w:ascii="Arial" w:hAnsi="Arial" w:eastAsia="Times New Roman" w:cs="Arial"/>
                <w:color w:val="000000"/>
                <w:kern w:val="0"/>
                <w:sz w:val="20"/>
                <w:szCs w:val="20"/>
                <w:lang w:eastAsia="en-IN"/>
                <w14:ligatures w14:val="none"/>
              </w:rPr>
              <w:t>2293.88</w:t>
            </w:r>
          </w:p>
        </w:tc>
        <w:tc>
          <w:tcPr>
            <w:tcW w:w="967" w:type="dxa"/>
            <w:tcBorders>
              <w:top w:val="nil"/>
              <w:left w:val="nil"/>
              <w:bottom w:val="single" w:color="auto" w:sz="4" w:space="0"/>
              <w:right w:val="single" w:color="auto" w:sz="4" w:space="0"/>
            </w:tcBorders>
            <w:shd w:val="clear" w:color="auto" w:fill="auto"/>
            <w:noWrap/>
            <w:vAlign w:val="bottom"/>
          </w:tcPr>
          <w:p w14:paraId="1C2B68ED">
            <w:pPr>
              <w:spacing w:after="0" w:line="240" w:lineRule="auto"/>
              <w:jc w:val="right"/>
              <w:rPr>
                <w:rFonts w:ascii="Arial" w:hAnsi="Arial" w:eastAsia="Times New Roman" w:cs="Arial"/>
                <w:color w:val="000000"/>
                <w:kern w:val="0"/>
                <w:sz w:val="20"/>
                <w:szCs w:val="20"/>
                <w:lang w:eastAsia="en-IN"/>
                <w14:ligatures w14:val="none"/>
              </w:rPr>
            </w:pPr>
            <w:r>
              <w:rPr>
                <w:rFonts w:ascii="Arial" w:hAnsi="Arial" w:eastAsia="Times New Roman" w:cs="Arial"/>
                <w:color w:val="000000"/>
                <w:kern w:val="0"/>
                <w:sz w:val="20"/>
                <w:szCs w:val="20"/>
                <w:lang w:eastAsia="en-IN"/>
                <w14:ligatures w14:val="none"/>
              </w:rPr>
              <w:t>888.28</w:t>
            </w:r>
          </w:p>
        </w:tc>
        <w:tc>
          <w:tcPr>
            <w:tcW w:w="709" w:type="dxa"/>
            <w:vMerge w:val="continue"/>
            <w:tcBorders>
              <w:top w:val="single" w:color="auto" w:sz="4" w:space="0"/>
              <w:left w:val="nil"/>
              <w:bottom w:val="single" w:color="auto" w:sz="4" w:space="0"/>
              <w:right w:val="single" w:color="auto" w:sz="4" w:space="0"/>
            </w:tcBorders>
          </w:tcPr>
          <w:p w14:paraId="4865202B">
            <w:pPr>
              <w:spacing w:after="0" w:line="240" w:lineRule="auto"/>
              <w:jc w:val="right"/>
              <w:rPr>
                <w:rFonts w:ascii="Arial" w:hAnsi="Arial" w:eastAsia="Times New Roman" w:cs="Arial"/>
                <w:color w:val="000000"/>
                <w:kern w:val="0"/>
                <w:sz w:val="20"/>
                <w:szCs w:val="20"/>
                <w:lang w:eastAsia="en-IN"/>
                <w14:ligatures w14:val="none"/>
              </w:rPr>
            </w:pPr>
          </w:p>
        </w:tc>
        <w:tc>
          <w:tcPr>
            <w:tcW w:w="858" w:type="dxa"/>
            <w:tcBorders>
              <w:top w:val="single" w:color="auto" w:sz="4" w:space="0"/>
              <w:left w:val="single" w:color="auto" w:sz="4" w:space="0"/>
              <w:bottom w:val="single" w:color="auto" w:sz="4" w:space="0"/>
              <w:right w:val="single" w:color="auto" w:sz="4" w:space="0"/>
            </w:tcBorders>
            <w:vAlign w:val="bottom"/>
          </w:tcPr>
          <w:p w14:paraId="6A8FE3D1">
            <w:pPr>
              <w:spacing w:after="0" w:line="240" w:lineRule="auto"/>
              <w:jc w:val="right"/>
              <w:rPr>
                <w:rFonts w:ascii="Arial" w:hAnsi="Arial" w:eastAsia="Times New Roman" w:cs="Arial"/>
                <w:color w:val="000000"/>
                <w:kern w:val="0"/>
                <w:sz w:val="20"/>
                <w:szCs w:val="20"/>
                <w:lang w:eastAsia="en-IN"/>
                <w14:ligatures w14:val="none"/>
              </w:rPr>
            </w:pPr>
            <w:r>
              <w:rPr>
                <w:rFonts w:ascii="Arial" w:hAnsi="Arial" w:eastAsia="Times New Roman" w:cs="Arial"/>
                <w:color w:val="000000"/>
                <w:kern w:val="0"/>
                <w:sz w:val="20"/>
                <w:szCs w:val="20"/>
                <w:lang w:eastAsia="en-IN"/>
                <w14:ligatures w14:val="none"/>
              </w:rPr>
              <w:t>7.72</w:t>
            </w:r>
          </w:p>
        </w:tc>
        <w:tc>
          <w:tcPr>
            <w:tcW w:w="842" w:type="dxa"/>
            <w:tcBorders>
              <w:top w:val="single" w:color="auto" w:sz="4" w:space="0"/>
              <w:left w:val="single" w:color="auto" w:sz="4" w:space="0"/>
              <w:bottom w:val="single" w:color="auto" w:sz="4" w:space="0"/>
              <w:right w:val="single" w:color="auto" w:sz="4" w:space="0"/>
            </w:tcBorders>
            <w:vAlign w:val="bottom"/>
          </w:tcPr>
          <w:p w14:paraId="2D23ACBB">
            <w:pPr>
              <w:spacing w:after="0" w:line="240" w:lineRule="auto"/>
              <w:jc w:val="right"/>
              <w:rPr>
                <w:rFonts w:ascii="Arial" w:hAnsi="Arial" w:eastAsia="Times New Roman" w:cs="Arial"/>
                <w:color w:val="000000"/>
                <w:kern w:val="0"/>
                <w:sz w:val="20"/>
                <w:szCs w:val="20"/>
                <w:lang w:eastAsia="en-IN"/>
                <w14:ligatures w14:val="none"/>
              </w:rPr>
            </w:pPr>
            <w:r>
              <w:rPr>
                <w:rFonts w:ascii="Arial" w:hAnsi="Arial" w:eastAsia="Times New Roman" w:cs="Arial"/>
                <w:color w:val="000000"/>
                <w:kern w:val="0"/>
                <w:sz w:val="20"/>
                <w:szCs w:val="20"/>
                <w:lang w:eastAsia="en-IN"/>
                <w14:ligatures w14:val="none"/>
              </w:rPr>
              <w:t>8.008</w:t>
            </w:r>
          </w:p>
        </w:tc>
        <w:tc>
          <w:tcPr>
            <w:tcW w:w="708" w:type="dxa"/>
            <w:vMerge w:val="continue"/>
            <w:tcBorders>
              <w:left w:val="single" w:color="auto" w:sz="4" w:space="0"/>
              <w:right w:val="single" w:color="auto" w:sz="4" w:space="0"/>
            </w:tcBorders>
          </w:tcPr>
          <w:p w14:paraId="4CA659AD">
            <w:pPr>
              <w:spacing w:after="0" w:line="240" w:lineRule="auto"/>
              <w:jc w:val="right"/>
              <w:rPr>
                <w:rFonts w:ascii="Arial" w:hAnsi="Arial" w:eastAsia="Times New Roman" w:cs="Arial"/>
                <w:color w:val="000000"/>
                <w:kern w:val="0"/>
                <w:sz w:val="20"/>
                <w:szCs w:val="20"/>
                <w:lang w:eastAsia="en-IN"/>
                <w14:ligatures w14:val="none"/>
              </w:rPr>
            </w:pPr>
          </w:p>
        </w:tc>
        <w:tc>
          <w:tcPr>
            <w:tcW w:w="861" w:type="dxa"/>
            <w:tcBorders>
              <w:top w:val="single" w:color="auto" w:sz="4" w:space="0"/>
              <w:left w:val="single" w:color="auto" w:sz="4" w:space="0"/>
              <w:bottom w:val="single" w:color="auto" w:sz="4" w:space="0"/>
              <w:right w:val="single" w:color="auto" w:sz="4" w:space="0"/>
            </w:tcBorders>
            <w:vAlign w:val="bottom"/>
          </w:tcPr>
          <w:p w14:paraId="24CB103A">
            <w:pPr>
              <w:spacing w:after="0" w:line="240" w:lineRule="auto"/>
              <w:jc w:val="right"/>
              <w:rPr>
                <w:rFonts w:ascii="Arial" w:hAnsi="Arial" w:eastAsia="Times New Roman" w:cs="Arial"/>
                <w:color w:val="000000"/>
                <w:kern w:val="0"/>
                <w:sz w:val="20"/>
                <w:szCs w:val="20"/>
                <w:lang w:eastAsia="en-IN"/>
                <w14:ligatures w14:val="none"/>
              </w:rPr>
            </w:pPr>
            <w:r>
              <w:rPr>
                <w:rFonts w:ascii="Arial" w:hAnsi="Arial" w:eastAsia="Times New Roman" w:cs="Arial"/>
                <w:color w:val="000000"/>
                <w:kern w:val="0"/>
                <w:sz w:val="20"/>
                <w:szCs w:val="20"/>
                <w:lang w:eastAsia="en-IN"/>
                <w14:ligatures w14:val="none"/>
              </w:rPr>
              <w:t>0.227</w:t>
            </w:r>
          </w:p>
        </w:tc>
        <w:tc>
          <w:tcPr>
            <w:tcW w:w="700" w:type="dxa"/>
            <w:tcBorders>
              <w:top w:val="single" w:color="auto" w:sz="4" w:space="0"/>
              <w:left w:val="single" w:color="auto" w:sz="4" w:space="0"/>
              <w:bottom w:val="single" w:color="auto" w:sz="4" w:space="0"/>
              <w:right w:val="single" w:color="auto" w:sz="4" w:space="0"/>
            </w:tcBorders>
            <w:vAlign w:val="bottom"/>
          </w:tcPr>
          <w:p w14:paraId="1D3A3466">
            <w:pPr>
              <w:spacing w:after="0" w:line="240" w:lineRule="auto"/>
              <w:jc w:val="right"/>
              <w:rPr>
                <w:rFonts w:ascii="Arial" w:hAnsi="Arial" w:eastAsia="Times New Roman" w:cs="Arial"/>
                <w:color w:val="000000"/>
                <w:kern w:val="0"/>
                <w:sz w:val="20"/>
                <w:szCs w:val="20"/>
                <w:lang w:eastAsia="en-IN"/>
                <w14:ligatures w14:val="none"/>
              </w:rPr>
            </w:pPr>
            <w:r>
              <w:rPr>
                <w:rFonts w:ascii="Arial" w:hAnsi="Arial" w:eastAsia="Times New Roman" w:cs="Arial"/>
                <w:color w:val="000000"/>
                <w:kern w:val="0"/>
                <w:sz w:val="20"/>
                <w:szCs w:val="20"/>
                <w:lang w:eastAsia="en-IN"/>
                <w14:ligatures w14:val="none"/>
              </w:rPr>
              <w:t>0.384</w:t>
            </w:r>
          </w:p>
        </w:tc>
        <w:tc>
          <w:tcPr>
            <w:tcW w:w="709" w:type="dxa"/>
            <w:vMerge w:val="continue"/>
            <w:tcBorders>
              <w:left w:val="single" w:color="auto" w:sz="4" w:space="0"/>
              <w:right w:val="single" w:color="auto" w:sz="4" w:space="0"/>
            </w:tcBorders>
          </w:tcPr>
          <w:p w14:paraId="5CF8F0CA">
            <w:pPr>
              <w:spacing w:after="0" w:line="240" w:lineRule="auto"/>
              <w:jc w:val="right"/>
              <w:rPr>
                <w:rFonts w:ascii="Arial" w:hAnsi="Arial" w:eastAsia="Times New Roman" w:cs="Arial"/>
                <w:color w:val="000000"/>
                <w:kern w:val="0"/>
                <w:sz w:val="20"/>
                <w:szCs w:val="20"/>
                <w:lang w:eastAsia="en-IN"/>
                <w14:ligatures w14:val="none"/>
              </w:rPr>
            </w:pPr>
          </w:p>
        </w:tc>
        <w:tc>
          <w:tcPr>
            <w:tcW w:w="992" w:type="dxa"/>
            <w:tcBorders>
              <w:top w:val="single" w:color="auto" w:sz="4" w:space="0"/>
              <w:left w:val="single" w:color="auto" w:sz="4" w:space="0"/>
              <w:bottom w:val="single" w:color="auto" w:sz="4" w:space="0"/>
              <w:right w:val="single" w:color="auto" w:sz="4" w:space="0"/>
            </w:tcBorders>
            <w:vAlign w:val="bottom"/>
          </w:tcPr>
          <w:p w14:paraId="553A5703">
            <w:pPr>
              <w:spacing w:after="0" w:line="240" w:lineRule="auto"/>
              <w:jc w:val="right"/>
              <w:rPr>
                <w:rFonts w:ascii="Arial" w:hAnsi="Arial" w:eastAsia="Times New Roman" w:cs="Arial"/>
                <w:color w:val="000000"/>
                <w:kern w:val="0"/>
                <w:sz w:val="20"/>
                <w:szCs w:val="20"/>
                <w:lang w:eastAsia="en-IN"/>
                <w14:ligatures w14:val="none"/>
              </w:rPr>
            </w:pPr>
            <w:r>
              <w:rPr>
                <w:rFonts w:ascii="Arial" w:hAnsi="Arial" w:eastAsia="Times New Roman" w:cs="Arial"/>
                <w:color w:val="000000"/>
                <w:kern w:val="0"/>
                <w:sz w:val="20"/>
                <w:szCs w:val="20"/>
                <w:lang w:eastAsia="en-IN"/>
                <w14:ligatures w14:val="none"/>
              </w:rPr>
              <w:t>8.43</w:t>
            </w:r>
          </w:p>
        </w:tc>
        <w:tc>
          <w:tcPr>
            <w:tcW w:w="851" w:type="dxa"/>
            <w:tcBorders>
              <w:top w:val="single" w:color="auto" w:sz="4" w:space="0"/>
              <w:left w:val="single" w:color="auto" w:sz="4" w:space="0"/>
              <w:bottom w:val="single" w:color="auto" w:sz="4" w:space="0"/>
              <w:right w:val="single" w:color="auto" w:sz="4" w:space="0"/>
            </w:tcBorders>
            <w:vAlign w:val="bottom"/>
          </w:tcPr>
          <w:p w14:paraId="3A2901EE">
            <w:pPr>
              <w:spacing w:after="0" w:line="240" w:lineRule="auto"/>
              <w:jc w:val="right"/>
              <w:rPr>
                <w:rFonts w:ascii="Arial" w:hAnsi="Arial" w:eastAsia="Times New Roman" w:cs="Arial"/>
                <w:color w:val="000000"/>
                <w:kern w:val="0"/>
                <w:sz w:val="20"/>
                <w:szCs w:val="20"/>
                <w:lang w:eastAsia="en-IN"/>
                <w14:ligatures w14:val="none"/>
              </w:rPr>
            </w:pPr>
            <w:r>
              <w:rPr>
                <w:rFonts w:ascii="Arial" w:hAnsi="Arial" w:eastAsia="Times New Roman" w:cs="Arial"/>
                <w:color w:val="000000"/>
                <w:kern w:val="0"/>
                <w:sz w:val="20"/>
                <w:szCs w:val="20"/>
                <w:lang w:eastAsia="en-IN"/>
                <w14:ligatures w14:val="none"/>
              </w:rPr>
              <w:t>51.86</w:t>
            </w:r>
          </w:p>
        </w:tc>
        <w:tc>
          <w:tcPr>
            <w:tcW w:w="708" w:type="dxa"/>
            <w:vMerge w:val="continue"/>
            <w:tcBorders>
              <w:left w:val="single" w:color="auto" w:sz="4" w:space="0"/>
              <w:right w:val="single" w:color="auto" w:sz="4" w:space="0"/>
            </w:tcBorders>
          </w:tcPr>
          <w:p w14:paraId="523BDA42">
            <w:pPr>
              <w:spacing w:after="0" w:line="240" w:lineRule="auto"/>
              <w:jc w:val="right"/>
              <w:rPr>
                <w:rFonts w:ascii="Arial" w:hAnsi="Arial" w:eastAsia="Times New Roman" w:cs="Arial"/>
                <w:color w:val="000000"/>
                <w:kern w:val="0"/>
                <w:sz w:val="20"/>
                <w:szCs w:val="20"/>
                <w:lang w:eastAsia="en-IN"/>
                <w14:ligatures w14:val="none"/>
              </w:rPr>
            </w:pPr>
          </w:p>
        </w:tc>
      </w:tr>
      <w:tr w14:paraId="0F1006F4">
        <w:tblPrEx>
          <w:tblCellMar>
            <w:top w:w="0" w:type="dxa"/>
            <w:left w:w="108" w:type="dxa"/>
            <w:bottom w:w="0" w:type="dxa"/>
            <w:right w:w="108" w:type="dxa"/>
          </w:tblCellMar>
        </w:tblPrEx>
        <w:trPr>
          <w:trHeight w:val="288" w:hRule="atLeast"/>
        </w:trPr>
        <w:tc>
          <w:tcPr>
            <w:tcW w:w="993" w:type="dxa"/>
            <w:tcBorders>
              <w:top w:val="nil"/>
              <w:left w:val="single" w:color="auto" w:sz="4" w:space="0"/>
              <w:bottom w:val="single" w:color="auto" w:sz="4" w:space="0"/>
              <w:right w:val="single" w:color="auto" w:sz="4" w:space="0"/>
            </w:tcBorders>
            <w:shd w:val="clear" w:color="auto" w:fill="auto"/>
            <w:noWrap/>
            <w:vAlign w:val="bottom"/>
          </w:tcPr>
          <w:p w14:paraId="37C6699C">
            <w:pPr>
              <w:spacing w:after="0" w:line="240" w:lineRule="auto"/>
              <w:rPr>
                <w:rFonts w:ascii="Arial" w:hAnsi="Arial" w:eastAsia="Times New Roman" w:cs="Arial"/>
                <w:color w:val="000000"/>
                <w:kern w:val="0"/>
                <w:sz w:val="20"/>
                <w:szCs w:val="20"/>
                <w:lang w:eastAsia="en-IN"/>
                <w14:ligatures w14:val="none"/>
              </w:rPr>
            </w:pPr>
            <w:r>
              <w:rPr>
                <w:rFonts w:ascii="Arial" w:hAnsi="Arial" w:eastAsia="Times New Roman" w:cs="Arial"/>
                <w:color w:val="000000"/>
                <w:kern w:val="0"/>
                <w:sz w:val="20"/>
                <w:szCs w:val="20"/>
                <w:lang w:eastAsia="en-IN"/>
                <w14:ligatures w14:val="none"/>
              </w:rPr>
              <w:t>H74</w:t>
            </w:r>
          </w:p>
        </w:tc>
        <w:tc>
          <w:tcPr>
            <w:tcW w:w="1017" w:type="dxa"/>
            <w:tcBorders>
              <w:top w:val="nil"/>
              <w:left w:val="nil"/>
              <w:bottom w:val="single" w:color="auto" w:sz="4" w:space="0"/>
              <w:right w:val="single" w:color="auto" w:sz="4" w:space="0"/>
            </w:tcBorders>
            <w:shd w:val="clear" w:color="auto" w:fill="auto"/>
            <w:noWrap/>
            <w:vAlign w:val="bottom"/>
          </w:tcPr>
          <w:p w14:paraId="51CE570B">
            <w:pPr>
              <w:spacing w:after="0" w:line="240" w:lineRule="auto"/>
              <w:jc w:val="right"/>
              <w:rPr>
                <w:rFonts w:ascii="Arial" w:hAnsi="Arial" w:eastAsia="Times New Roman" w:cs="Arial"/>
                <w:color w:val="000000"/>
                <w:kern w:val="0"/>
                <w:sz w:val="20"/>
                <w:szCs w:val="20"/>
                <w:lang w:eastAsia="en-IN"/>
                <w14:ligatures w14:val="none"/>
              </w:rPr>
            </w:pPr>
            <w:r>
              <w:rPr>
                <w:rFonts w:ascii="Arial" w:hAnsi="Arial" w:eastAsia="Times New Roman" w:cs="Arial"/>
                <w:color w:val="000000"/>
                <w:kern w:val="0"/>
                <w:sz w:val="20"/>
                <w:szCs w:val="20"/>
                <w:lang w:eastAsia="en-IN"/>
                <w14:ligatures w14:val="none"/>
              </w:rPr>
              <w:t>1555.89</w:t>
            </w:r>
          </w:p>
        </w:tc>
        <w:tc>
          <w:tcPr>
            <w:tcW w:w="967" w:type="dxa"/>
            <w:tcBorders>
              <w:top w:val="nil"/>
              <w:left w:val="nil"/>
              <w:bottom w:val="single" w:color="auto" w:sz="4" w:space="0"/>
              <w:right w:val="single" w:color="auto" w:sz="4" w:space="0"/>
            </w:tcBorders>
            <w:shd w:val="clear" w:color="auto" w:fill="auto"/>
            <w:noWrap/>
            <w:vAlign w:val="bottom"/>
          </w:tcPr>
          <w:p w14:paraId="73EE24DF">
            <w:pPr>
              <w:spacing w:after="0" w:line="240" w:lineRule="auto"/>
              <w:jc w:val="right"/>
              <w:rPr>
                <w:rFonts w:ascii="Arial" w:hAnsi="Arial" w:eastAsia="Times New Roman" w:cs="Arial"/>
                <w:color w:val="000000"/>
                <w:kern w:val="0"/>
                <w:sz w:val="20"/>
                <w:szCs w:val="20"/>
                <w:lang w:eastAsia="en-IN"/>
                <w14:ligatures w14:val="none"/>
              </w:rPr>
            </w:pPr>
            <w:r>
              <w:rPr>
                <w:rFonts w:ascii="Arial" w:hAnsi="Arial" w:eastAsia="Times New Roman" w:cs="Arial"/>
                <w:color w:val="000000"/>
                <w:kern w:val="0"/>
                <w:sz w:val="20"/>
                <w:szCs w:val="20"/>
                <w:lang w:eastAsia="en-IN"/>
                <w14:ligatures w14:val="none"/>
              </w:rPr>
              <w:t>860.61</w:t>
            </w:r>
          </w:p>
        </w:tc>
        <w:tc>
          <w:tcPr>
            <w:tcW w:w="709" w:type="dxa"/>
            <w:vMerge w:val="continue"/>
            <w:tcBorders>
              <w:top w:val="single" w:color="auto" w:sz="4" w:space="0"/>
              <w:left w:val="nil"/>
              <w:bottom w:val="single" w:color="auto" w:sz="4" w:space="0"/>
              <w:right w:val="single" w:color="auto" w:sz="4" w:space="0"/>
            </w:tcBorders>
          </w:tcPr>
          <w:p w14:paraId="12098416">
            <w:pPr>
              <w:spacing w:after="0" w:line="240" w:lineRule="auto"/>
              <w:jc w:val="right"/>
              <w:rPr>
                <w:rFonts w:ascii="Arial" w:hAnsi="Arial" w:eastAsia="Times New Roman" w:cs="Arial"/>
                <w:color w:val="000000"/>
                <w:kern w:val="0"/>
                <w:sz w:val="20"/>
                <w:szCs w:val="20"/>
                <w:lang w:eastAsia="en-IN"/>
                <w14:ligatures w14:val="none"/>
              </w:rPr>
            </w:pPr>
          </w:p>
        </w:tc>
        <w:tc>
          <w:tcPr>
            <w:tcW w:w="858" w:type="dxa"/>
            <w:tcBorders>
              <w:top w:val="single" w:color="auto" w:sz="4" w:space="0"/>
              <w:left w:val="single" w:color="auto" w:sz="4" w:space="0"/>
              <w:bottom w:val="single" w:color="auto" w:sz="4" w:space="0"/>
              <w:right w:val="single" w:color="auto" w:sz="4" w:space="0"/>
            </w:tcBorders>
            <w:vAlign w:val="bottom"/>
          </w:tcPr>
          <w:p w14:paraId="121D0A40">
            <w:pPr>
              <w:spacing w:after="0" w:line="240" w:lineRule="auto"/>
              <w:jc w:val="right"/>
              <w:rPr>
                <w:rFonts w:ascii="Arial" w:hAnsi="Arial" w:eastAsia="Times New Roman" w:cs="Arial"/>
                <w:color w:val="000000"/>
                <w:kern w:val="0"/>
                <w:sz w:val="20"/>
                <w:szCs w:val="20"/>
                <w:lang w:eastAsia="en-IN"/>
                <w14:ligatures w14:val="none"/>
              </w:rPr>
            </w:pPr>
            <w:r>
              <w:rPr>
                <w:rFonts w:ascii="Arial" w:hAnsi="Arial" w:eastAsia="Times New Roman" w:cs="Arial"/>
                <w:color w:val="000000"/>
                <w:kern w:val="0"/>
                <w:sz w:val="20"/>
                <w:szCs w:val="20"/>
                <w:lang w:eastAsia="en-IN"/>
                <w14:ligatures w14:val="none"/>
              </w:rPr>
              <w:t>9.83</w:t>
            </w:r>
          </w:p>
        </w:tc>
        <w:tc>
          <w:tcPr>
            <w:tcW w:w="842" w:type="dxa"/>
            <w:tcBorders>
              <w:top w:val="single" w:color="auto" w:sz="4" w:space="0"/>
              <w:left w:val="single" w:color="auto" w:sz="4" w:space="0"/>
              <w:bottom w:val="single" w:color="auto" w:sz="4" w:space="0"/>
              <w:right w:val="single" w:color="auto" w:sz="4" w:space="0"/>
            </w:tcBorders>
            <w:vAlign w:val="bottom"/>
          </w:tcPr>
          <w:p w14:paraId="7F1EECF2">
            <w:pPr>
              <w:spacing w:after="0" w:line="240" w:lineRule="auto"/>
              <w:jc w:val="right"/>
              <w:rPr>
                <w:rFonts w:ascii="Arial" w:hAnsi="Arial" w:eastAsia="Times New Roman" w:cs="Arial"/>
                <w:color w:val="000000"/>
                <w:kern w:val="0"/>
                <w:sz w:val="20"/>
                <w:szCs w:val="20"/>
                <w:lang w:eastAsia="en-IN"/>
                <w14:ligatures w14:val="none"/>
              </w:rPr>
            </w:pPr>
            <w:r>
              <w:rPr>
                <w:rFonts w:ascii="Arial" w:hAnsi="Arial" w:eastAsia="Times New Roman" w:cs="Arial"/>
                <w:color w:val="000000"/>
                <w:kern w:val="0"/>
                <w:sz w:val="20"/>
                <w:szCs w:val="20"/>
                <w:lang w:eastAsia="en-IN"/>
                <w14:ligatures w14:val="none"/>
              </w:rPr>
              <w:t>5.436</w:t>
            </w:r>
          </w:p>
        </w:tc>
        <w:tc>
          <w:tcPr>
            <w:tcW w:w="708" w:type="dxa"/>
            <w:vMerge w:val="continue"/>
            <w:tcBorders>
              <w:left w:val="single" w:color="auto" w:sz="4" w:space="0"/>
              <w:right w:val="single" w:color="auto" w:sz="4" w:space="0"/>
            </w:tcBorders>
          </w:tcPr>
          <w:p w14:paraId="60750CDA">
            <w:pPr>
              <w:spacing w:after="0" w:line="240" w:lineRule="auto"/>
              <w:jc w:val="right"/>
              <w:rPr>
                <w:rFonts w:ascii="Arial" w:hAnsi="Arial" w:eastAsia="Times New Roman" w:cs="Arial"/>
                <w:color w:val="000000"/>
                <w:kern w:val="0"/>
                <w:sz w:val="20"/>
                <w:szCs w:val="20"/>
                <w:lang w:eastAsia="en-IN"/>
                <w14:ligatures w14:val="none"/>
              </w:rPr>
            </w:pPr>
          </w:p>
        </w:tc>
        <w:tc>
          <w:tcPr>
            <w:tcW w:w="861" w:type="dxa"/>
            <w:tcBorders>
              <w:top w:val="single" w:color="auto" w:sz="4" w:space="0"/>
              <w:left w:val="single" w:color="auto" w:sz="4" w:space="0"/>
              <w:bottom w:val="single" w:color="auto" w:sz="4" w:space="0"/>
              <w:right w:val="single" w:color="auto" w:sz="4" w:space="0"/>
            </w:tcBorders>
            <w:vAlign w:val="bottom"/>
          </w:tcPr>
          <w:p w14:paraId="057AFAAA">
            <w:pPr>
              <w:spacing w:after="0" w:line="240" w:lineRule="auto"/>
              <w:jc w:val="right"/>
              <w:rPr>
                <w:rFonts w:ascii="Arial" w:hAnsi="Arial" w:eastAsia="Times New Roman" w:cs="Arial"/>
                <w:color w:val="000000"/>
                <w:kern w:val="0"/>
                <w:sz w:val="20"/>
                <w:szCs w:val="20"/>
                <w:lang w:eastAsia="en-IN"/>
                <w14:ligatures w14:val="none"/>
              </w:rPr>
            </w:pPr>
            <w:r>
              <w:rPr>
                <w:rFonts w:ascii="Arial" w:hAnsi="Arial" w:eastAsia="Times New Roman" w:cs="Arial"/>
                <w:color w:val="000000"/>
                <w:kern w:val="0"/>
                <w:sz w:val="20"/>
                <w:szCs w:val="20"/>
                <w:lang w:eastAsia="en-IN"/>
                <w14:ligatures w14:val="none"/>
              </w:rPr>
              <w:t>0.254</w:t>
            </w:r>
          </w:p>
        </w:tc>
        <w:tc>
          <w:tcPr>
            <w:tcW w:w="700" w:type="dxa"/>
            <w:tcBorders>
              <w:top w:val="single" w:color="auto" w:sz="4" w:space="0"/>
              <w:left w:val="single" w:color="auto" w:sz="4" w:space="0"/>
              <w:bottom w:val="single" w:color="auto" w:sz="4" w:space="0"/>
              <w:right w:val="single" w:color="auto" w:sz="4" w:space="0"/>
            </w:tcBorders>
            <w:vAlign w:val="bottom"/>
          </w:tcPr>
          <w:p w14:paraId="59EEFBB6">
            <w:pPr>
              <w:spacing w:after="0" w:line="240" w:lineRule="auto"/>
              <w:jc w:val="right"/>
              <w:rPr>
                <w:rFonts w:ascii="Arial" w:hAnsi="Arial" w:eastAsia="Times New Roman" w:cs="Arial"/>
                <w:color w:val="000000"/>
                <w:kern w:val="0"/>
                <w:sz w:val="20"/>
                <w:szCs w:val="20"/>
                <w:lang w:eastAsia="en-IN"/>
                <w14:ligatures w14:val="none"/>
              </w:rPr>
            </w:pPr>
            <w:r>
              <w:rPr>
                <w:rFonts w:ascii="Arial" w:hAnsi="Arial" w:eastAsia="Times New Roman" w:cs="Arial"/>
                <w:color w:val="000000"/>
                <w:kern w:val="0"/>
                <w:sz w:val="20"/>
                <w:szCs w:val="20"/>
                <w:lang w:eastAsia="en-IN"/>
                <w14:ligatures w14:val="none"/>
              </w:rPr>
              <w:t>0.557</w:t>
            </w:r>
          </w:p>
        </w:tc>
        <w:tc>
          <w:tcPr>
            <w:tcW w:w="709" w:type="dxa"/>
            <w:vMerge w:val="continue"/>
            <w:tcBorders>
              <w:left w:val="single" w:color="auto" w:sz="4" w:space="0"/>
              <w:right w:val="single" w:color="auto" w:sz="4" w:space="0"/>
            </w:tcBorders>
          </w:tcPr>
          <w:p w14:paraId="403B588C">
            <w:pPr>
              <w:spacing w:after="0" w:line="240" w:lineRule="auto"/>
              <w:jc w:val="right"/>
              <w:rPr>
                <w:rFonts w:ascii="Arial" w:hAnsi="Arial" w:eastAsia="Times New Roman" w:cs="Arial"/>
                <w:color w:val="000000"/>
                <w:kern w:val="0"/>
                <w:sz w:val="20"/>
                <w:szCs w:val="20"/>
                <w:lang w:eastAsia="en-IN"/>
                <w14:ligatures w14:val="none"/>
              </w:rPr>
            </w:pPr>
          </w:p>
        </w:tc>
        <w:tc>
          <w:tcPr>
            <w:tcW w:w="992" w:type="dxa"/>
            <w:tcBorders>
              <w:top w:val="single" w:color="auto" w:sz="4" w:space="0"/>
              <w:left w:val="single" w:color="auto" w:sz="4" w:space="0"/>
              <w:bottom w:val="single" w:color="auto" w:sz="4" w:space="0"/>
              <w:right w:val="single" w:color="auto" w:sz="4" w:space="0"/>
            </w:tcBorders>
            <w:vAlign w:val="bottom"/>
          </w:tcPr>
          <w:p w14:paraId="3FC0CE1F">
            <w:pPr>
              <w:spacing w:after="0" w:line="240" w:lineRule="auto"/>
              <w:jc w:val="right"/>
              <w:rPr>
                <w:rFonts w:ascii="Arial" w:hAnsi="Arial" w:eastAsia="Times New Roman" w:cs="Arial"/>
                <w:color w:val="000000"/>
                <w:kern w:val="0"/>
                <w:sz w:val="20"/>
                <w:szCs w:val="20"/>
                <w:lang w:eastAsia="en-IN"/>
                <w14:ligatures w14:val="none"/>
              </w:rPr>
            </w:pPr>
            <w:r>
              <w:rPr>
                <w:rFonts w:ascii="Arial" w:hAnsi="Arial" w:eastAsia="Times New Roman" w:cs="Arial"/>
                <w:color w:val="000000"/>
                <w:kern w:val="0"/>
                <w:sz w:val="20"/>
                <w:szCs w:val="20"/>
                <w:lang w:eastAsia="en-IN"/>
                <w14:ligatures w14:val="none"/>
              </w:rPr>
              <w:t>8.85</w:t>
            </w:r>
          </w:p>
        </w:tc>
        <w:tc>
          <w:tcPr>
            <w:tcW w:w="851" w:type="dxa"/>
            <w:tcBorders>
              <w:top w:val="single" w:color="auto" w:sz="4" w:space="0"/>
              <w:left w:val="single" w:color="auto" w:sz="4" w:space="0"/>
              <w:bottom w:val="single" w:color="auto" w:sz="4" w:space="0"/>
              <w:right w:val="single" w:color="auto" w:sz="4" w:space="0"/>
            </w:tcBorders>
            <w:vAlign w:val="bottom"/>
          </w:tcPr>
          <w:p w14:paraId="62B05E3D">
            <w:pPr>
              <w:spacing w:after="0" w:line="240" w:lineRule="auto"/>
              <w:jc w:val="right"/>
              <w:rPr>
                <w:rFonts w:ascii="Arial" w:hAnsi="Arial" w:eastAsia="Times New Roman" w:cs="Arial"/>
                <w:color w:val="000000"/>
                <w:kern w:val="0"/>
                <w:sz w:val="20"/>
                <w:szCs w:val="20"/>
                <w:lang w:eastAsia="en-IN"/>
                <w14:ligatures w14:val="none"/>
              </w:rPr>
            </w:pPr>
            <w:r>
              <w:rPr>
                <w:rFonts w:ascii="Arial" w:hAnsi="Arial" w:eastAsia="Times New Roman" w:cs="Arial"/>
                <w:color w:val="000000"/>
                <w:kern w:val="0"/>
                <w:sz w:val="20"/>
                <w:szCs w:val="20"/>
                <w:lang w:eastAsia="en-IN"/>
                <w14:ligatures w14:val="none"/>
              </w:rPr>
              <w:t>49.63</w:t>
            </w:r>
          </w:p>
        </w:tc>
        <w:tc>
          <w:tcPr>
            <w:tcW w:w="708" w:type="dxa"/>
            <w:vMerge w:val="continue"/>
            <w:tcBorders>
              <w:left w:val="single" w:color="auto" w:sz="4" w:space="0"/>
              <w:right w:val="single" w:color="auto" w:sz="4" w:space="0"/>
            </w:tcBorders>
          </w:tcPr>
          <w:p w14:paraId="231C4857">
            <w:pPr>
              <w:spacing w:after="0" w:line="240" w:lineRule="auto"/>
              <w:jc w:val="right"/>
              <w:rPr>
                <w:rFonts w:ascii="Arial" w:hAnsi="Arial" w:eastAsia="Times New Roman" w:cs="Arial"/>
                <w:color w:val="000000"/>
                <w:kern w:val="0"/>
                <w:sz w:val="20"/>
                <w:szCs w:val="20"/>
                <w:lang w:eastAsia="en-IN"/>
                <w14:ligatures w14:val="none"/>
              </w:rPr>
            </w:pPr>
          </w:p>
        </w:tc>
      </w:tr>
      <w:tr w14:paraId="0DAB9A32">
        <w:tblPrEx>
          <w:tblCellMar>
            <w:top w:w="0" w:type="dxa"/>
            <w:left w:w="108" w:type="dxa"/>
            <w:bottom w:w="0" w:type="dxa"/>
            <w:right w:w="108" w:type="dxa"/>
          </w:tblCellMar>
        </w:tblPrEx>
        <w:trPr>
          <w:trHeight w:val="288" w:hRule="atLeast"/>
        </w:trPr>
        <w:tc>
          <w:tcPr>
            <w:tcW w:w="993" w:type="dxa"/>
            <w:tcBorders>
              <w:top w:val="nil"/>
              <w:left w:val="single" w:color="auto" w:sz="4" w:space="0"/>
              <w:bottom w:val="single" w:color="auto" w:sz="4" w:space="0"/>
              <w:right w:val="single" w:color="auto" w:sz="4" w:space="0"/>
            </w:tcBorders>
            <w:shd w:val="clear" w:color="auto" w:fill="auto"/>
            <w:noWrap/>
            <w:vAlign w:val="bottom"/>
          </w:tcPr>
          <w:p w14:paraId="74E76DD8">
            <w:pPr>
              <w:spacing w:after="0" w:line="240" w:lineRule="auto"/>
              <w:rPr>
                <w:rFonts w:ascii="Arial" w:hAnsi="Arial" w:eastAsia="Times New Roman" w:cs="Arial"/>
                <w:color w:val="000000"/>
                <w:kern w:val="0"/>
                <w:sz w:val="20"/>
                <w:szCs w:val="20"/>
                <w:lang w:eastAsia="en-IN"/>
                <w14:ligatures w14:val="none"/>
              </w:rPr>
            </w:pPr>
            <w:r>
              <w:rPr>
                <w:rFonts w:ascii="Arial" w:hAnsi="Arial" w:eastAsia="Times New Roman" w:cs="Arial"/>
                <w:color w:val="000000"/>
                <w:kern w:val="0"/>
                <w:sz w:val="20"/>
                <w:szCs w:val="20"/>
                <w:lang w:eastAsia="en-IN"/>
                <w14:ligatures w14:val="none"/>
              </w:rPr>
              <w:t>H8</w:t>
            </w:r>
          </w:p>
        </w:tc>
        <w:tc>
          <w:tcPr>
            <w:tcW w:w="1017" w:type="dxa"/>
            <w:tcBorders>
              <w:top w:val="nil"/>
              <w:left w:val="nil"/>
              <w:bottom w:val="single" w:color="auto" w:sz="4" w:space="0"/>
              <w:right w:val="single" w:color="auto" w:sz="4" w:space="0"/>
            </w:tcBorders>
            <w:shd w:val="clear" w:color="auto" w:fill="auto"/>
            <w:noWrap/>
            <w:vAlign w:val="bottom"/>
          </w:tcPr>
          <w:p w14:paraId="6D6DE1F0">
            <w:pPr>
              <w:spacing w:after="0" w:line="240" w:lineRule="auto"/>
              <w:jc w:val="right"/>
              <w:rPr>
                <w:rFonts w:ascii="Arial" w:hAnsi="Arial" w:eastAsia="Times New Roman" w:cs="Arial"/>
                <w:color w:val="000000"/>
                <w:kern w:val="0"/>
                <w:sz w:val="20"/>
                <w:szCs w:val="20"/>
                <w:lang w:eastAsia="en-IN"/>
                <w14:ligatures w14:val="none"/>
              </w:rPr>
            </w:pPr>
            <w:r>
              <w:rPr>
                <w:rFonts w:ascii="Arial" w:hAnsi="Arial" w:eastAsia="Times New Roman" w:cs="Arial"/>
                <w:color w:val="000000"/>
                <w:kern w:val="0"/>
                <w:sz w:val="20"/>
                <w:szCs w:val="20"/>
                <w:lang w:eastAsia="en-IN"/>
                <w14:ligatures w14:val="none"/>
              </w:rPr>
              <w:t>354.34</w:t>
            </w:r>
          </w:p>
        </w:tc>
        <w:tc>
          <w:tcPr>
            <w:tcW w:w="967" w:type="dxa"/>
            <w:tcBorders>
              <w:top w:val="nil"/>
              <w:left w:val="nil"/>
              <w:bottom w:val="single" w:color="auto" w:sz="4" w:space="0"/>
              <w:right w:val="single" w:color="auto" w:sz="4" w:space="0"/>
            </w:tcBorders>
            <w:shd w:val="clear" w:color="auto" w:fill="auto"/>
            <w:noWrap/>
            <w:vAlign w:val="bottom"/>
          </w:tcPr>
          <w:p w14:paraId="2B81B8BD">
            <w:pPr>
              <w:spacing w:after="0" w:line="240" w:lineRule="auto"/>
              <w:jc w:val="right"/>
              <w:rPr>
                <w:rFonts w:ascii="Arial" w:hAnsi="Arial" w:eastAsia="Times New Roman" w:cs="Arial"/>
                <w:color w:val="000000"/>
                <w:kern w:val="0"/>
                <w:sz w:val="20"/>
                <w:szCs w:val="20"/>
                <w:lang w:eastAsia="en-IN"/>
                <w14:ligatures w14:val="none"/>
              </w:rPr>
            </w:pPr>
            <w:r>
              <w:rPr>
                <w:rFonts w:ascii="Arial" w:hAnsi="Arial" w:eastAsia="Times New Roman" w:cs="Arial"/>
                <w:color w:val="000000"/>
                <w:kern w:val="0"/>
                <w:sz w:val="20"/>
                <w:szCs w:val="20"/>
                <w:lang w:eastAsia="en-IN"/>
                <w14:ligatures w14:val="none"/>
              </w:rPr>
              <w:t>536.45</w:t>
            </w:r>
          </w:p>
        </w:tc>
        <w:tc>
          <w:tcPr>
            <w:tcW w:w="709" w:type="dxa"/>
            <w:vMerge w:val="continue"/>
            <w:tcBorders>
              <w:top w:val="single" w:color="auto" w:sz="4" w:space="0"/>
              <w:left w:val="nil"/>
              <w:bottom w:val="single" w:color="auto" w:sz="4" w:space="0"/>
              <w:right w:val="single" w:color="auto" w:sz="4" w:space="0"/>
            </w:tcBorders>
          </w:tcPr>
          <w:p w14:paraId="2A98EA93">
            <w:pPr>
              <w:spacing w:after="0" w:line="240" w:lineRule="auto"/>
              <w:jc w:val="right"/>
              <w:rPr>
                <w:rFonts w:ascii="Arial" w:hAnsi="Arial" w:eastAsia="Times New Roman" w:cs="Arial"/>
                <w:color w:val="000000"/>
                <w:kern w:val="0"/>
                <w:sz w:val="20"/>
                <w:szCs w:val="20"/>
                <w:lang w:eastAsia="en-IN"/>
                <w14:ligatures w14:val="none"/>
              </w:rPr>
            </w:pPr>
          </w:p>
        </w:tc>
        <w:tc>
          <w:tcPr>
            <w:tcW w:w="858" w:type="dxa"/>
            <w:tcBorders>
              <w:top w:val="single" w:color="auto" w:sz="4" w:space="0"/>
              <w:left w:val="single" w:color="auto" w:sz="4" w:space="0"/>
              <w:bottom w:val="single" w:color="auto" w:sz="4" w:space="0"/>
              <w:right w:val="single" w:color="auto" w:sz="4" w:space="0"/>
            </w:tcBorders>
            <w:vAlign w:val="bottom"/>
          </w:tcPr>
          <w:p w14:paraId="476BE0EB">
            <w:pPr>
              <w:spacing w:after="0" w:line="240" w:lineRule="auto"/>
              <w:jc w:val="right"/>
              <w:rPr>
                <w:rFonts w:ascii="Arial" w:hAnsi="Arial" w:eastAsia="Times New Roman" w:cs="Arial"/>
                <w:color w:val="000000"/>
                <w:kern w:val="0"/>
                <w:sz w:val="20"/>
                <w:szCs w:val="20"/>
                <w:lang w:eastAsia="en-IN"/>
                <w14:ligatures w14:val="none"/>
              </w:rPr>
            </w:pPr>
            <w:r>
              <w:rPr>
                <w:rFonts w:ascii="Arial" w:hAnsi="Arial" w:eastAsia="Times New Roman" w:cs="Arial"/>
                <w:color w:val="000000"/>
                <w:kern w:val="0"/>
                <w:sz w:val="20"/>
                <w:szCs w:val="20"/>
                <w:lang w:eastAsia="en-IN"/>
                <w14:ligatures w14:val="none"/>
              </w:rPr>
              <w:t>4.04</w:t>
            </w:r>
          </w:p>
        </w:tc>
        <w:tc>
          <w:tcPr>
            <w:tcW w:w="842" w:type="dxa"/>
            <w:tcBorders>
              <w:top w:val="single" w:color="auto" w:sz="4" w:space="0"/>
              <w:left w:val="single" w:color="auto" w:sz="4" w:space="0"/>
              <w:bottom w:val="single" w:color="auto" w:sz="4" w:space="0"/>
              <w:right w:val="single" w:color="auto" w:sz="4" w:space="0"/>
            </w:tcBorders>
            <w:vAlign w:val="bottom"/>
          </w:tcPr>
          <w:p w14:paraId="10A07735">
            <w:pPr>
              <w:spacing w:after="0" w:line="240" w:lineRule="auto"/>
              <w:jc w:val="right"/>
              <w:rPr>
                <w:rFonts w:ascii="Arial" w:hAnsi="Arial" w:eastAsia="Times New Roman" w:cs="Arial"/>
                <w:color w:val="000000"/>
                <w:kern w:val="0"/>
                <w:sz w:val="20"/>
                <w:szCs w:val="20"/>
                <w:lang w:eastAsia="en-IN"/>
                <w14:ligatures w14:val="none"/>
              </w:rPr>
            </w:pPr>
            <w:r>
              <w:rPr>
                <w:rFonts w:ascii="Arial" w:hAnsi="Arial" w:eastAsia="Times New Roman" w:cs="Arial"/>
                <w:color w:val="000000"/>
                <w:kern w:val="0"/>
                <w:sz w:val="20"/>
                <w:szCs w:val="20"/>
                <w:lang w:eastAsia="en-IN"/>
                <w14:ligatures w14:val="none"/>
              </w:rPr>
              <w:t>3.969</w:t>
            </w:r>
          </w:p>
        </w:tc>
        <w:tc>
          <w:tcPr>
            <w:tcW w:w="708" w:type="dxa"/>
            <w:vMerge w:val="continue"/>
            <w:tcBorders>
              <w:left w:val="single" w:color="auto" w:sz="4" w:space="0"/>
              <w:right w:val="single" w:color="auto" w:sz="4" w:space="0"/>
            </w:tcBorders>
          </w:tcPr>
          <w:p w14:paraId="7709EBF1">
            <w:pPr>
              <w:spacing w:after="0" w:line="240" w:lineRule="auto"/>
              <w:jc w:val="right"/>
              <w:rPr>
                <w:rFonts w:ascii="Arial" w:hAnsi="Arial" w:eastAsia="Times New Roman" w:cs="Arial"/>
                <w:color w:val="000000"/>
                <w:kern w:val="0"/>
                <w:sz w:val="20"/>
                <w:szCs w:val="20"/>
                <w:lang w:eastAsia="en-IN"/>
                <w14:ligatures w14:val="none"/>
              </w:rPr>
            </w:pPr>
          </w:p>
        </w:tc>
        <w:tc>
          <w:tcPr>
            <w:tcW w:w="861" w:type="dxa"/>
            <w:tcBorders>
              <w:top w:val="single" w:color="auto" w:sz="4" w:space="0"/>
              <w:left w:val="single" w:color="auto" w:sz="4" w:space="0"/>
              <w:bottom w:val="single" w:color="auto" w:sz="4" w:space="0"/>
              <w:right w:val="single" w:color="auto" w:sz="4" w:space="0"/>
            </w:tcBorders>
            <w:vAlign w:val="bottom"/>
          </w:tcPr>
          <w:p w14:paraId="52AD6586">
            <w:pPr>
              <w:spacing w:after="0" w:line="240" w:lineRule="auto"/>
              <w:jc w:val="right"/>
              <w:rPr>
                <w:rFonts w:ascii="Arial" w:hAnsi="Arial" w:eastAsia="Times New Roman" w:cs="Arial"/>
                <w:color w:val="000000"/>
                <w:kern w:val="0"/>
                <w:sz w:val="20"/>
                <w:szCs w:val="20"/>
                <w:lang w:eastAsia="en-IN"/>
                <w14:ligatures w14:val="none"/>
              </w:rPr>
            </w:pPr>
            <w:r>
              <w:rPr>
                <w:rFonts w:ascii="Arial" w:hAnsi="Arial" w:eastAsia="Times New Roman" w:cs="Arial"/>
                <w:color w:val="000000"/>
                <w:kern w:val="0"/>
                <w:sz w:val="20"/>
                <w:szCs w:val="20"/>
                <w:lang w:eastAsia="en-IN"/>
                <w14:ligatures w14:val="none"/>
              </w:rPr>
              <w:t>0.188</w:t>
            </w:r>
          </w:p>
        </w:tc>
        <w:tc>
          <w:tcPr>
            <w:tcW w:w="700" w:type="dxa"/>
            <w:tcBorders>
              <w:top w:val="single" w:color="auto" w:sz="4" w:space="0"/>
              <w:left w:val="single" w:color="auto" w:sz="4" w:space="0"/>
              <w:bottom w:val="single" w:color="auto" w:sz="4" w:space="0"/>
              <w:right w:val="single" w:color="auto" w:sz="4" w:space="0"/>
            </w:tcBorders>
            <w:vAlign w:val="bottom"/>
          </w:tcPr>
          <w:p w14:paraId="611CB1F3">
            <w:pPr>
              <w:spacing w:after="0" w:line="240" w:lineRule="auto"/>
              <w:jc w:val="right"/>
              <w:rPr>
                <w:rFonts w:ascii="Arial" w:hAnsi="Arial" w:eastAsia="Times New Roman" w:cs="Arial"/>
                <w:color w:val="000000"/>
                <w:kern w:val="0"/>
                <w:sz w:val="20"/>
                <w:szCs w:val="20"/>
                <w:lang w:eastAsia="en-IN"/>
                <w14:ligatures w14:val="none"/>
              </w:rPr>
            </w:pPr>
            <w:r>
              <w:rPr>
                <w:rFonts w:ascii="Arial" w:hAnsi="Arial" w:eastAsia="Times New Roman" w:cs="Arial"/>
                <w:color w:val="000000"/>
                <w:kern w:val="0"/>
                <w:sz w:val="20"/>
                <w:szCs w:val="20"/>
                <w:lang w:eastAsia="en-IN"/>
                <w14:ligatures w14:val="none"/>
              </w:rPr>
              <w:t>0.178</w:t>
            </w:r>
          </w:p>
        </w:tc>
        <w:tc>
          <w:tcPr>
            <w:tcW w:w="709" w:type="dxa"/>
            <w:vMerge w:val="continue"/>
            <w:tcBorders>
              <w:left w:val="single" w:color="auto" w:sz="4" w:space="0"/>
              <w:right w:val="single" w:color="auto" w:sz="4" w:space="0"/>
            </w:tcBorders>
          </w:tcPr>
          <w:p w14:paraId="24E3A32D">
            <w:pPr>
              <w:spacing w:after="0" w:line="240" w:lineRule="auto"/>
              <w:jc w:val="right"/>
              <w:rPr>
                <w:rFonts w:ascii="Arial" w:hAnsi="Arial" w:eastAsia="Times New Roman" w:cs="Arial"/>
                <w:color w:val="000000"/>
                <w:kern w:val="0"/>
                <w:sz w:val="20"/>
                <w:szCs w:val="20"/>
                <w:lang w:eastAsia="en-IN"/>
                <w14:ligatures w14:val="none"/>
              </w:rPr>
            </w:pPr>
          </w:p>
        </w:tc>
        <w:tc>
          <w:tcPr>
            <w:tcW w:w="992" w:type="dxa"/>
            <w:tcBorders>
              <w:top w:val="single" w:color="auto" w:sz="4" w:space="0"/>
              <w:left w:val="single" w:color="auto" w:sz="4" w:space="0"/>
              <w:bottom w:val="single" w:color="auto" w:sz="4" w:space="0"/>
              <w:right w:val="single" w:color="auto" w:sz="4" w:space="0"/>
            </w:tcBorders>
            <w:vAlign w:val="bottom"/>
          </w:tcPr>
          <w:p w14:paraId="4BF7BE67">
            <w:pPr>
              <w:spacing w:after="0" w:line="240" w:lineRule="auto"/>
              <w:jc w:val="right"/>
              <w:rPr>
                <w:rFonts w:ascii="Arial" w:hAnsi="Arial" w:eastAsia="Times New Roman" w:cs="Arial"/>
                <w:color w:val="000000"/>
                <w:kern w:val="0"/>
                <w:sz w:val="20"/>
                <w:szCs w:val="20"/>
                <w:lang w:eastAsia="en-IN"/>
                <w14:ligatures w14:val="none"/>
              </w:rPr>
            </w:pPr>
            <w:r>
              <w:rPr>
                <w:rFonts w:ascii="Arial" w:hAnsi="Arial" w:eastAsia="Times New Roman" w:cs="Arial"/>
                <w:color w:val="000000"/>
                <w:kern w:val="0"/>
                <w:sz w:val="20"/>
                <w:szCs w:val="20"/>
                <w:lang w:eastAsia="en-IN"/>
                <w14:ligatures w14:val="none"/>
              </w:rPr>
              <w:t>6.15</w:t>
            </w:r>
          </w:p>
        </w:tc>
        <w:tc>
          <w:tcPr>
            <w:tcW w:w="851" w:type="dxa"/>
            <w:tcBorders>
              <w:top w:val="single" w:color="auto" w:sz="4" w:space="0"/>
              <w:left w:val="single" w:color="auto" w:sz="4" w:space="0"/>
              <w:bottom w:val="single" w:color="auto" w:sz="4" w:space="0"/>
              <w:right w:val="single" w:color="auto" w:sz="4" w:space="0"/>
            </w:tcBorders>
            <w:vAlign w:val="bottom"/>
          </w:tcPr>
          <w:p w14:paraId="7A505313">
            <w:pPr>
              <w:spacing w:after="0" w:line="240" w:lineRule="auto"/>
              <w:jc w:val="right"/>
              <w:rPr>
                <w:rFonts w:ascii="Arial" w:hAnsi="Arial" w:eastAsia="Times New Roman" w:cs="Arial"/>
                <w:color w:val="000000"/>
                <w:kern w:val="0"/>
                <w:sz w:val="20"/>
                <w:szCs w:val="20"/>
                <w:lang w:eastAsia="en-IN"/>
                <w14:ligatures w14:val="none"/>
              </w:rPr>
            </w:pPr>
            <w:r>
              <w:rPr>
                <w:rFonts w:ascii="Arial" w:hAnsi="Arial" w:eastAsia="Times New Roman" w:cs="Arial"/>
                <w:color w:val="000000"/>
                <w:kern w:val="0"/>
                <w:sz w:val="20"/>
                <w:szCs w:val="20"/>
                <w:lang w:eastAsia="en-IN"/>
                <w14:ligatures w14:val="none"/>
              </w:rPr>
              <w:t>42.71</w:t>
            </w:r>
          </w:p>
        </w:tc>
        <w:tc>
          <w:tcPr>
            <w:tcW w:w="708" w:type="dxa"/>
            <w:vMerge w:val="continue"/>
            <w:tcBorders>
              <w:left w:val="single" w:color="auto" w:sz="4" w:space="0"/>
              <w:right w:val="single" w:color="auto" w:sz="4" w:space="0"/>
            </w:tcBorders>
          </w:tcPr>
          <w:p w14:paraId="7690020D">
            <w:pPr>
              <w:spacing w:after="0" w:line="240" w:lineRule="auto"/>
              <w:jc w:val="right"/>
              <w:rPr>
                <w:rFonts w:ascii="Arial" w:hAnsi="Arial" w:eastAsia="Times New Roman" w:cs="Arial"/>
                <w:color w:val="000000"/>
                <w:kern w:val="0"/>
                <w:sz w:val="20"/>
                <w:szCs w:val="20"/>
                <w:lang w:eastAsia="en-IN"/>
                <w14:ligatures w14:val="none"/>
              </w:rPr>
            </w:pPr>
          </w:p>
        </w:tc>
      </w:tr>
      <w:tr w14:paraId="720D0FB5">
        <w:tblPrEx>
          <w:tblCellMar>
            <w:top w:w="0" w:type="dxa"/>
            <w:left w:w="108" w:type="dxa"/>
            <w:bottom w:w="0" w:type="dxa"/>
            <w:right w:w="108" w:type="dxa"/>
          </w:tblCellMar>
        </w:tblPrEx>
        <w:trPr>
          <w:trHeight w:val="288" w:hRule="atLeast"/>
        </w:trPr>
        <w:tc>
          <w:tcPr>
            <w:tcW w:w="993" w:type="dxa"/>
            <w:tcBorders>
              <w:top w:val="nil"/>
              <w:left w:val="single" w:color="auto" w:sz="4" w:space="0"/>
              <w:bottom w:val="single" w:color="auto" w:sz="4" w:space="0"/>
              <w:right w:val="single" w:color="auto" w:sz="4" w:space="0"/>
            </w:tcBorders>
            <w:shd w:val="clear" w:color="auto" w:fill="auto"/>
            <w:noWrap/>
            <w:vAlign w:val="bottom"/>
          </w:tcPr>
          <w:p w14:paraId="0B47322E">
            <w:pPr>
              <w:spacing w:after="0" w:line="240" w:lineRule="auto"/>
              <w:rPr>
                <w:rFonts w:ascii="Arial" w:hAnsi="Arial" w:eastAsia="Times New Roman" w:cs="Arial"/>
                <w:color w:val="000000"/>
                <w:kern w:val="0"/>
                <w:sz w:val="20"/>
                <w:szCs w:val="20"/>
                <w:lang w:eastAsia="en-IN"/>
                <w14:ligatures w14:val="none"/>
              </w:rPr>
            </w:pPr>
            <w:r>
              <w:rPr>
                <w:rFonts w:ascii="Arial" w:hAnsi="Arial" w:eastAsia="Times New Roman" w:cs="Arial"/>
                <w:color w:val="000000"/>
                <w:kern w:val="0"/>
                <w:sz w:val="20"/>
                <w:szCs w:val="20"/>
                <w:lang w:eastAsia="en-IN"/>
                <w14:ligatures w14:val="none"/>
              </w:rPr>
              <w:t>H49</w:t>
            </w:r>
          </w:p>
        </w:tc>
        <w:tc>
          <w:tcPr>
            <w:tcW w:w="1017" w:type="dxa"/>
            <w:tcBorders>
              <w:top w:val="nil"/>
              <w:left w:val="nil"/>
              <w:bottom w:val="single" w:color="auto" w:sz="4" w:space="0"/>
              <w:right w:val="single" w:color="auto" w:sz="4" w:space="0"/>
            </w:tcBorders>
            <w:shd w:val="clear" w:color="auto" w:fill="auto"/>
            <w:noWrap/>
            <w:vAlign w:val="bottom"/>
          </w:tcPr>
          <w:p w14:paraId="455CC329">
            <w:pPr>
              <w:spacing w:after="0" w:line="240" w:lineRule="auto"/>
              <w:jc w:val="right"/>
              <w:rPr>
                <w:rFonts w:ascii="Arial" w:hAnsi="Arial" w:eastAsia="Times New Roman" w:cs="Arial"/>
                <w:color w:val="000000"/>
                <w:kern w:val="0"/>
                <w:sz w:val="20"/>
                <w:szCs w:val="20"/>
                <w:lang w:eastAsia="en-IN"/>
                <w14:ligatures w14:val="none"/>
              </w:rPr>
            </w:pPr>
            <w:r>
              <w:rPr>
                <w:rFonts w:ascii="Arial" w:hAnsi="Arial" w:eastAsia="Times New Roman" w:cs="Arial"/>
                <w:color w:val="000000"/>
                <w:kern w:val="0"/>
                <w:sz w:val="20"/>
                <w:szCs w:val="20"/>
                <w:lang w:eastAsia="en-IN"/>
                <w14:ligatures w14:val="none"/>
              </w:rPr>
              <w:t>400.96</w:t>
            </w:r>
          </w:p>
        </w:tc>
        <w:tc>
          <w:tcPr>
            <w:tcW w:w="967" w:type="dxa"/>
            <w:tcBorders>
              <w:top w:val="nil"/>
              <w:left w:val="nil"/>
              <w:bottom w:val="single" w:color="auto" w:sz="4" w:space="0"/>
              <w:right w:val="single" w:color="auto" w:sz="4" w:space="0"/>
            </w:tcBorders>
            <w:shd w:val="clear" w:color="auto" w:fill="auto"/>
            <w:noWrap/>
            <w:vAlign w:val="bottom"/>
          </w:tcPr>
          <w:p w14:paraId="12B7DB6E">
            <w:pPr>
              <w:spacing w:after="0" w:line="240" w:lineRule="auto"/>
              <w:jc w:val="right"/>
              <w:rPr>
                <w:rFonts w:ascii="Arial" w:hAnsi="Arial" w:eastAsia="Times New Roman" w:cs="Arial"/>
                <w:color w:val="000000"/>
                <w:kern w:val="0"/>
                <w:sz w:val="20"/>
                <w:szCs w:val="20"/>
                <w:lang w:eastAsia="en-IN"/>
                <w14:ligatures w14:val="none"/>
              </w:rPr>
            </w:pPr>
            <w:r>
              <w:rPr>
                <w:rFonts w:ascii="Arial" w:hAnsi="Arial" w:eastAsia="Times New Roman" w:cs="Arial"/>
                <w:color w:val="000000"/>
                <w:kern w:val="0"/>
                <w:sz w:val="20"/>
                <w:szCs w:val="20"/>
                <w:lang w:eastAsia="en-IN"/>
                <w14:ligatures w14:val="none"/>
              </w:rPr>
              <w:t>633.3</w:t>
            </w:r>
          </w:p>
        </w:tc>
        <w:tc>
          <w:tcPr>
            <w:tcW w:w="709" w:type="dxa"/>
            <w:vMerge w:val="continue"/>
            <w:tcBorders>
              <w:top w:val="single" w:color="auto" w:sz="4" w:space="0"/>
              <w:left w:val="nil"/>
              <w:bottom w:val="single" w:color="auto" w:sz="4" w:space="0"/>
              <w:right w:val="single" w:color="auto" w:sz="4" w:space="0"/>
            </w:tcBorders>
          </w:tcPr>
          <w:p w14:paraId="3269D524">
            <w:pPr>
              <w:spacing w:after="0" w:line="240" w:lineRule="auto"/>
              <w:jc w:val="right"/>
              <w:rPr>
                <w:rFonts w:ascii="Arial" w:hAnsi="Arial" w:eastAsia="Times New Roman" w:cs="Arial"/>
                <w:color w:val="000000"/>
                <w:kern w:val="0"/>
                <w:sz w:val="20"/>
                <w:szCs w:val="20"/>
                <w:lang w:eastAsia="en-IN"/>
                <w14:ligatures w14:val="none"/>
              </w:rPr>
            </w:pPr>
          </w:p>
        </w:tc>
        <w:tc>
          <w:tcPr>
            <w:tcW w:w="858" w:type="dxa"/>
            <w:tcBorders>
              <w:top w:val="single" w:color="auto" w:sz="4" w:space="0"/>
              <w:left w:val="single" w:color="auto" w:sz="4" w:space="0"/>
              <w:bottom w:val="single" w:color="auto" w:sz="4" w:space="0"/>
              <w:right w:val="single" w:color="auto" w:sz="4" w:space="0"/>
            </w:tcBorders>
            <w:vAlign w:val="bottom"/>
          </w:tcPr>
          <w:p w14:paraId="2122992D">
            <w:pPr>
              <w:spacing w:after="0" w:line="240" w:lineRule="auto"/>
              <w:jc w:val="right"/>
              <w:rPr>
                <w:rFonts w:ascii="Arial" w:hAnsi="Arial" w:eastAsia="Times New Roman" w:cs="Arial"/>
                <w:color w:val="000000"/>
                <w:kern w:val="0"/>
                <w:sz w:val="20"/>
                <w:szCs w:val="20"/>
                <w:lang w:eastAsia="en-IN"/>
                <w14:ligatures w14:val="none"/>
              </w:rPr>
            </w:pPr>
            <w:r>
              <w:rPr>
                <w:rFonts w:ascii="Arial" w:hAnsi="Arial" w:eastAsia="Times New Roman" w:cs="Arial"/>
                <w:color w:val="000000"/>
                <w:kern w:val="0"/>
                <w:sz w:val="20"/>
                <w:szCs w:val="20"/>
                <w:lang w:eastAsia="en-IN"/>
                <w14:ligatures w14:val="none"/>
              </w:rPr>
              <w:t>4.12</w:t>
            </w:r>
          </w:p>
        </w:tc>
        <w:tc>
          <w:tcPr>
            <w:tcW w:w="842" w:type="dxa"/>
            <w:tcBorders>
              <w:top w:val="single" w:color="auto" w:sz="4" w:space="0"/>
              <w:left w:val="single" w:color="auto" w:sz="4" w:space="0"/>
              <w:bottom w:val="single" w:color="auto" w:sz="4" w:space="0"/>
              <w:right w:val="single" w:color="auto" w:sz="4" w:space="0"/>
            </w:tcBorders>
            <w:vAlign w:val="bottom"/>
          </w:tcPr>
          <w:p w14:paraId="475B17AF">
            <w:pPr>
              <w:spacing w:after="0" w:line="240" w:lineRule="auto"/>
              <w:jc w:val="right"/>
              <w:rPr>
                <w:rFonts w:ascii="Arial" w:hAnsi="Arial" w:eastAsia="Times New Roman" w:cs="Arial"/>
                <w:color w:val="000000"/>
                <w:kern w:val="0"/>
                <w:sz w:val="20"/>
                <w:szCs w:val="20"/>
                <w:lang w:eastAsia="en-IN"/>
                <w14:ligatures w14:val="none"/>
              </w:rPr>
            </w:pPr>
            <w:r>
              <w:rPr>
                <w:rFonts w:ascii="Arial" w:hAnsi="Arial" w:eastAsia="Times New Roman" w:cs="Arial"/>
                <w:color w:val="000000"/>
                <w:kern w:val="0"/>
                <w:sz w:val="20"/>
                <w:szCs w:val="20"/>
                <w:lang w:eastAsia="en-IN"/>
                <w14:ligatures w14:val="none"/>
              </w:rPr>
              <w:t>4.911</w:t>
            </w:r>
          </w:p>
        </w:tc>
        <w:tc>
          <w:tcPr>
            <w:tcW w:w="708" w:type="dxa"/>
            <w:vMerge w:val="continue"/>
            <w:tcBorders>
              <w:left w:val="single" w:color="auto" w:sz="4" w:space="0"/>
              <w:right w:val="single" w:color="auto" w:sz="4" w:space="0"/>
            </w:tcBorders>
          </w:tcPr>
          <w:p w14:paraId="0CA8613B">
            <w:pPr>
              <w:spacing w:after="0" w:line="240" w:lineRule="auto"/>
              <w:jc w:val="right"/>
              <w:rPr>
                <w:rFonts w:ascii="Arial" w:hAnsi="Arial" w:eastAsia="Times New Roman" w:cs="Arial"/>
                <w:color w:val="000000"/>
                <w:kern w:val="0"/>
                <w:sz w:val="20"/>
                <w:szCs w:val="20"/>
                <w:lang w:eastAsia="en-IN"/>
                <w14:ligatures w14:val="none"/>
              </w:rPr>
            </w:pPr>
          </w:p>
        </w:tc>
        <w:tc>
          <w:tcPr>
            <w:tcW w:w="861" w:type="dxa"/>
            <w:tcBorders>
              <w:top w:val="single" w:color="auto" w:sz="4" w:space="0"/>
              <w:left w:val="single" w:color="auto" w:sz="4" w:space="0"/>
              <w:bottom w:val="single" w:color="auto" w:sz="4" w:space="0"/>
              <w:right w:val="single" w:color="auto" w:sz="4" w:space="0"/>
            </w:tcBorders>
            <w:vAlign w:val="bottom"/>
          </w:tcPr>
          <w:p w14:paraId="32A6C0F1">
            <w:pPr>
              <w:spacing w:after="0" w:line="240" w:lineRule="auto"/>
              <w:jc w:val="right"/>
              <w:rPr>
                <w:rFonts w:ascii="Arial" w:hAnsi="Arial" w:eastAsia="Times New Roman" w:cs="Arial"/>
                <w:color w:val="000000"/>
                <w:kern w:val="0"/>
                <w:sz w:val="20"/>
                <w:szCs w:val="20"/>
                <w:lang w:eastAsia="en-IN"/>
                <w14:ligatures w14:val="none"/>
              </w:rPr>
            </w:pPr>
            <w:r>
              <w:rPr>
                <w:rFonts w:ascii="Arial" w:hAnsi="Arial" w:eastAsia="Times New Roman" w:cs="Arial"/>
                <w:color w:val="000000"/>
                <w:kern w:val="0"/>
                <w:sz w:val="20"/>
                <w:szCs w:val="20"/>
                <w:lang w:eastAsia="en-IN"/>
                <w14:ligatures w14:val="none"/>
              </w:rPr>
              <w:t>0.193</w:t>
            </w:r>
          </w:p>
        </w:tc>
        <w:tc>
          <w:tcPr>
            <w:tcW w:w="700" w:type="dxa"/>
            <w:tcBorders>
              <w:top w:val="single" w:color="auto" w:sz="4" w:space="0"/>
              <w:left w:val="single" w:color="auto" w:sz="4" w:space="0"/>
              <w:bottom w:val="single" w:color="auto" w:sz="4" w:space="0"/>
              <w:right w:val="single" w:color="auto" w:sz="4" w:space="0"/>
            </w:tcBorders>
            <w:vAlign w:val="bottom"/>
          </w:tcPr>
          <w:p w14:paraId="4244B358">
            <w:pPr>
              <w:spacing w:after="0" w:line="240" w:lineRule="auto"/>
              <w:jc w:val="right"/>
              <w:rPr>
                <w:rFonts w:ascii="Arial" w:hAnsi="Arial" w:eastAsia="Times New Roman" w:cs="Arial"/>
                <w:color w:val="000000"/>
                <w:kern w:val="0"/>
                <w:sz w:val="20"/>
                <w:szCs w:val="20"/>
                <w:lang w:eastAsia="en-IN"/>
                <w14:ligatures w14:val="none"/>
              </w:rPr>
            </w:pPr>
            <w:r>
              <w:rPr>
                <w:rFonts w:ascii="Arial" w:hAnsi="Arial" w:eastAsia="Times New Roman" w:cs="Arial"/>
                <w:color w:val="000000"/>
                <w:kern w:val="0"/>
                <w:sz w:val="20"/>
                <w:szCs w:val="20"/>
                <w:lang w:eastAsia="en-IN"/>
                <w14:ligatures w14:val="none"/>
              </w:rPr>
              <w:t>0.275</w:t>
            </w:r>
          </w:p>
        </w:tc>
        <w:tc>
          <w:tcPr>
            <w:tcW w:w="709" w:type="dxa"/>
            <w:vMerge w:val="continue"/>
            <w:tcBorders>
              <w:left w:val="single" w:color="auto" w:sz="4" w:space="0"/>
              <w:right w:val="single" w:color="auto" w:sz="4" w:space="0"/>
            </w:tcBorders>
          </w:tcPr>
          <w:p w14:paraId="60A10FFB">
            <w:pPr>
              <w:spacing w:after="0" w:line="240" w:lineRule="auto"/>
              <w:jc w:val="right"/>
              <w:rPr>
                <w:rFonts w:ascii="Arial" w:hAnsi="Arial" w:eastAsia="Times New Roman" w:cs="Arial"/>
                <w:color w:val="000000"/>
                <w:kern w:val="0"/>
                <w:sz w:val="20"/>
                <w:szCs w:val="20"/>
                <w:lang w:eastAsia="en-IN"/>
                <w14:ligatures w14:val="none"/>
              </w:rPr>
            </w:pPr>
          </w:p>
        </w:tc>
        <w:tc>
          <w:tcPr>
            <w:tcW w:w="992" w:type="dxa"/>
            <w:tcBorders>
              <w:top w:val="single" w:color="auto" w:sz="4" w:space="0"/>
              <w:left w:val="single" w:color="auto" w:sz="4" w:space="0"/>
              <w:bottom w:val="single" w:color="auto" w:sz="4" w:space="0"/>
              <w:right w:val="single" w:color="auto" w:sz="4" w:space="0"/>
            </w:tcBorders>
            <w:vAlign w:val="bottom"/>
          </w:tcPr>
          <w:p w14:paraId="1DEF084C">
            <w:pPr>
              <w:spacing w:after="0" w:line="240" w:lineRule="auto"/>
              <w:jc w:val="right"/>
              <w:rPr>
                <w:rFonts w:ascii="Arial" w:hAnsi="Arial" w:eastAsia="Times New Roman" w:cs="Arial"/>
                <w:color w:val="000000"/>
                <w:kern w:val="0"/>
                <w:sz w:val="20"/>
                <w:szCs w:val="20"/>
                <w:lang w:eastAsia="en-IN"/>
                <w14:ligatures w14:val="none"/>
              </w:rPr>
            </w:pPr>
            <w:r>
              <w:rPr>
                <w:rFonts w:ascii="Arial" w:hAnsi="Arial" w:eastAsia="Times New Roman" w:cs="Arial"/>
                <w:color w:val="000000"/>
                <w:kern w:val="0"/>
                <w:sz w:val="20"/>
                <w:szCs w:val="20"/>
                <w:lang w:eastAsia="en-IN"/>
                <w14:ligatures w14:val="none"/>
              </w:rPr>
              <w:t>6.87</w:t>
            </w:r>
          </w:p>
        </w:tc>
        <w:tc>
          <w:tcPr>
            <w:tcW w:w="851" w:type="dxa"/>
            <w:tcBorders>
              <w:top w:val="single" w:color="auto" w:sz="4" w:space="0"/>
              <w:left w:val="single" w:color="auto" w:sz="4" w:space="0"/>
              <w:bottom w:val="single" w:color="auto" w:sz="4" w:space="0"/>
              <w:right w:val="single" w:color="auto" w:sz="4" w:space="0"/>
            </w:tcBorders>
            <w:vAlign w:val="bottom"/>
          </w:tcPr>
          <w:p w14:paraId="761E059A">
            <w:pPr>
              <w:spacing w:after="0" w:line="240" w:lineRule="auto"/>
              <w:jc w:val="right"/>
              <w:rPr>
                <w:rFonts w:ascii="Arial" w:hAnsi="Arial" w:eastAsia="Times New Roman" w:cs="Arial"/>
                <w:color w:val="000000"/>
                <w:kern w:val="0"/>
                <w:sz w:val="20"/>
                <w:szCs w:val="20"/>
                <w:lang w:eastAsia="en-IN"/>
                <w14:ligatures w14:val="none"/>
              </w:rPr>
            </w:pPr>
            <w:r>
              <w:rPr>
                <w:rFonts w:ascii="Arial" w:hAnsi="Arial" w:eastAsia="Times New Roman" w:cs="Arial"/>
                <w:color w:val="000000"/>
                <w:kern w:val="0"/>
                <w:sz w:val="20"/>
                <w:szCs w:val="20"/>
                <w:lang w:eastAsia="en-IN"/>
                <w14:ligatures w14:val="none"/>
              </w:rPr>
              <w:t>48.15</w:t>
            </w:r>
          </w:p>
        </w:tc>
        <w:tc>
          <w:tcPr>
            <w:tcW w:w="708" w:type="dxa"/>
            <w:vMerge w:val="continue"/>
            <w:tcBorders>
              <w:left w:val="single" w:color="auto" w:sz="4" w:space="0"/>
              <w:right w:val="single" w:color="auto" w:sz="4" w:space="0"/>
            </w:tcBorders>
          </w:tcPr>
          <w:p w14:paraId="78C9D569">
            <w:pPr>
              <w:spacing w:after="0" w:line="240" w:lineRule="auto"/>
              <w:jc w:val="right"/>
              <w:rPr>
                <w:rFonts w:ascii="Arial" w:hAnsi="Arial" w:eastAsia="Times New Roman" w:cs="Arial"/>
                <w:color w:val="000000"/>
                <w:kern w:val="0"/>
                <w:sz w:val="20"/>
                <w:szCs w:val="20"/>
                <w:lang w:eastAsia="en-IN"/>
                <w14:ligatures w14:val="none"/>
              </w:rPr>
            </w:pPr>
          </w:p>
        </w:tc>
      </w:tr>
      <w:tr w14:paraId="2CE1D16F">
        <w:tblPrEx>
          <w:tblCellMar>
            <w:top w:w="0" w:type="dxa"/>
            <w:left w:w="108" w:type="dxa"/>
            <w:bottom w:w="0" w:type="dxa"/>
            <w:right w:w="108" w:type="dxa"/>
          </w:tblCellMar>
        </w:tblPrEx>
        <w:trPr>
          <w:trHeight w:val="288" w:hRule="atLeast"/>
        </w:trPr>
        <w:tc>
          <w:tcPr>
            <w:tcW w:w="993" w:type="dxa"/>
            <w:tcBorders>
              <w:top w:val="nil"/>
              <w:left w:val="single" w:color="auto" w:sz="4" w:space="0"/>
              <w:bottom w:val="single" w:color="auto" w:sz="4" w:space="0"/>
              <w:right w:val="single" w:color="auto" w:sz="4" w:space="0"/>
            </w:tcBorders>
            <w:shd w:val="clear" w:color="auto" w:fill="auto"/>
            <w:noWrap/>
            <w:vAlign w:val="bottom"/>
          </w:tcPr>
          <w:p w14:paraId="7A20889D">
            <w:pPr>
              <w:spacing w:after="0" w:line="240" w:lineRule="auto"/>
              <w:rPr>
                <w:rFonts w:ascii="Arial" w:hAnsi="Arial" w:eastAsia="Times New Roman" w:cs="Arial"/>
                <w:color w:val="000000"/>
                <w:kern w:val="0"/>
                <w:sz w:val="20"/>
                <w:szCs w:val="20"/>
                <w:lang w:eastAsia="en-IN"/>
                <w14:ligatures w14:val="none"/>
              </w:rPr>
            </w:pPr>
            <w:r>
              <w:rPr>
                <w:rFonts w:ascii="Arial" w:hAnsi="Arial" w:eastAsia="Times New Roman" w:cs="Arial"/>
                <w:color w:val="000000"/>
                <w:kern w:val="0"/>
                <w:sz w:val="20"/>
                <w:szCs w:val="20"/>
                <w:lang w:eastAsia="en-IN"/>
                <w14:ligatures w14:val="none"/>
              </w:rPr>
              <w:t>H55</w:t>
            </w:r>
          </w:p>
        </w:tc>
        <w:tc>
          <w:tcPr>
            <w:tcW w:w="1017" w:type="dxa"/>
            <w:tcBorders>
              <w:top w:val="nil"/>
              <w:left w:val="nil"/>
              <w:bottom w:val="single" w:color="auto" w:sz="4" w:space="0"/>
              <w:right w:val="single" w:color="auto" w:sz="4" w:space="0"/>
            </w:tcBorders>
            <w:shd w:val="clear" w:color="auto" w:fill="auto"/>
            <w:noWrap/>
            <w:vAlign w:val="bottom"/>
          </w:tcPr>
          <w:p w14:paraId="4D25E499">
            <w:pPr>
              <w:spacing w:after="0" w:line="240" w:lineRule="auto"/>
              <w:jc w:val="right"/>
              <w:rPr>
                <w:rFonts w:ascii="Arial" w:hAnsi="Arial" w:eastAsia="Times New Roman" w:cs="Arial"/>
                <w:color w:val="000000"/>
                <w:kern w:val="0"/>
                <w:sz w:val="20"/>
                <w:szCs w:val="20"/>
                <w:lang w:eastAsia="en-IN"/>
                <w14:ligatures w14:val="none"/>
              </w:rPr>
            </w:pPr>
            <w:r>
              <w:rPr>
                <w:rFonts w:ascii="Arial" w:hAnsi="Arial" w:eastAsia="Times New Roman" w:cs="Arial"/>
                <w:color w:val="000000"/>
                <w:kern w:val="0"/>
                <w:sz w:val="20"/>
                <w:szCs w:val="20"/>
                <w:lang w:eastAsia="en-IN"/>
                <w14:ligatures w14:val="none"/>
              </w:rPr>
              <w:t>386.31</w:t>
            </w:r>
          </w:p>
        </w:tc>
        <w:tc>
          <w:tcPr>
            <w:tcW w:w="967" w:type="dxa"/>
            <w:tcBorders>
              <w:top w:val="nil"/>
              <w:left w:val="nil"/>
              <w:bottom w:val="single" w:color="auto" w:sz="4" w:space="0"/>
              <w:right w:val="single" w:color="auto" w:sz="4" w:space="0"/>
            </w:tcBorders>
            <w:shd w:val="clear" w:color="auto" w:fill="auto"/>
            <w:noWrap/>
            <w:vAlign w:val="bottom"/>
          </w:tcPr>
          <w:p w14:paraId="41BF9B45">
            <w:pPr>
              <w:spacing w:after="0" w:line="240" w:lineRule="auto"/>
              <w:jc w:val="right"/>
              <w:rPr>
                <w:rFonts w:ascii="Arial" w:hAnsi="Arial" w:eastAsia="Times New Roman" w:cs="Arial"/>
                <w:color w:val="000000"/>
                <w:kern w:val="0"/>
                <w:sz w:val="20"/>
                <w:szCs w:val="20"/>
                <w:lang w:eastAsia="en-IN"/>
                <w14:ligatures w14:val="none"/>
              </w:rPr>
            </w:pPr>
            <w:r>
              <w:rPr>
                <w:rFonts w:ascii="Arial" w:hAnsi="Arial" w:eastAsia="Times New Roman" w:cs="Arial"/>
                <w:color w:val="000000"/>
                <w:kern w:val="0"/>
                <w:sz w:val="20"/>
                <w:szCs w:val="20"/>
                <w:lang w:eastAsia="en-IN"/>
                <w14:ligatures w14:val="none"/>
              </w:rPr>
              <w:t>487.03</w:t>
            </w:r>
          </w:p>
        </w:tc>
        <w:tc>
          <w:tcPr>
            <w:tcW w:w="709" w:type="dxa"/>
            <w:vMerge w:val="continue"/>
            <w:tcBorders>
              <w:top w:val="single" w:color="auto" w:sz="4" w:space="0"/>
              <w:left w:val="nil"/>
              <w:bottom w:val="single" w:color="auto" w:sz="4" w:space="0"/>
              <w:right w:val="single" w:color="auto" w:sz="4" w:space="0"/>
            </w:tcBorders>
          </w:tcPr>
          <w:p w14:paraId="6EB4902A">
            <w:pPr>
              <w:spacing w:after="0" w:line="240" w:lineRule="auto"/>
              <w:jc w:val="right"/>
              <w:rPr>
                <w:rFonts w:ascii="Arial" w:hAnsi="Arial" w:eastAsia="Times New Roman" w:cs="Arial"/>
                <w:color w:val="000000"/>
                <w:kern w:val="0"/>
                <w:sz w:val="20"/>
                <w:szCs w:val="20"/>
                <w:lang w:eastAsia="en-IN"/>
                <w14:ligatures w14:val="none"/>
              </w:rPr>
            </w:pPr>
          </w:p>
        </w:tc>
        <w:tc>
          <w:tcPr>
            <w:tcW w:w="858" w:type="dxa"/>
            <w:tcBorders>
              <w:top w:val="single" w:color="auto" w:sz="4" w:space="0"/>
              <w:left w:val="single" w:color="auto" w:sz="4" w:space="0"/>
              <w:bottom w:val="single" w:color="auto" w:sz="4" w:space="0"/>
              <w:right w:val="single" w:color="auto" w:sz="4" w:space="0"/>
            </w:tcBorders>
            <w:vAlign w:val="bottom"/>
          </w:tcPr>
          <w:p w14:paraId="200B7CE4">
            <w:pPr>
              <w:spacing w:after="0" w:line="240" w:lineRule="auto"/>
              <w:jc w:val="right"/>
              <w:rPr>
                <w:rFonts w:ascii="Arial" w:hAnsi="Arial" w:eastAsia="Times New Roman" w:cs="Arial"/>
                <w:color w:val="000000"/>
                <w:kern w:val="0"/>
                <w:sz w:val="20"/>
                <w:szCs w:val="20"/>
                <w:lang w:eastAsia="en-IN"/>
                <w14:ligatures w14:val="none"/>
              </w:rPr>
            </w:pPr>
            <w:r>
              <w:rPr>
                <w:rFonts w:ascii="Arial" w:hAnsi="Arial" w:eastAsia="Times New Roman" w:cs="Arial"/>
                <w:color w:val="000000"/>
                <w:kern w:val="0"/>
                <w:sz w:val="20"/>
                <w:szCs w:val="20"/>
                <w:lang w:eastAsia="en-IN"/>
                <w14:ligatures w14:val="none"/>
              </w:rPr>
              <w:t>3.92</w:t>
            </w:r>
          </w:p>
        </w:tc>
        <w:tc>
          <w:tcPr>
            <w:tcW w:w="842" w:type="dxa"/>
            <w:tcBorders>
              <w:top w:val="single" w:color="auto" w:sz="4" w:space="0"/>
              <w:left w:val="single" w:color="auto" w:sz="4" w:space="0"/>
              <w:bottom w:val="single" w:color="auto" w:sz="4" w:space="0"/>
              <w:right w:val="single" w:color="auto" w:sz="4" w:space="0"/>
            </w:tcBorders>
            <w:vAlign w:val="bottom"/>
          </w:tcPr>
          <w:p w14:paraId="73C30460">
            <w:pPr>
              <w:spacing w:after="0" w:line="240" w:lineRule="auto"/>
              <w:jc w:val="right"/>
              <w:rPr>
                <w:rFonts w:ascii="Arial" w:hAnsi="Arial" w:eastAsia="Times New Roman" w:cs="Arial"/>
                <w:color w:val="000000"/>
                <w:kern w:val="0"/>
                <w:sz w:val="20"/>
                <w:szCs w:val="20"/>
                <w:lang w:eastAsia="en-IN"/>
                <w14:ligatures w14:val="none"/>
              </w:rPr>
            </w:pPr>
            <w:r>
              <w:rPr>
                <w:rFonts w:ascii="Arial" w:hAnsi="Arial" w:eastAsia="Times New Roman" w:cs="Arial"/>
                <w:color w:val="000000"/>
                <w:kern w:val="0"/>
                <w:sz w:val="20"/>
                <w:szCs w:val="20"/>
                <w:lang w:eastAsia="en-IN"/>
                <w14:ligatures w14:val="none"/>
              </w:rPr>
              <w:t>4.204</w:t>
            </w:r>
          </w:p>
        </w:tc>
        <w:tc>
          <w:tcPr>
            <w:tcW w:w="708" w:type="dxa"/>
            <w:vMerge w:val="continue"/>
            <w:tcBorders>
              <w:left w:val="single" w:color="auto" w:sz="4" w:space="0"/>
              <w:right w:val="single" w:color="auto" w:sz="4" w:space="0"/>
            </w:tcBorders>
          </w:tcPr>
          <w:p w14:paraId="1B8BD701">
            <w:pPr>
              <w:spacing w:after="0" w:line="240" w:lineRule="auto"/>
              <w:jc w:val="right"/>
              <w:rPr>
                <w:rFonts w:ascii="Arial" w:hAnsi="Arial" w:eastAsia="Times New Roman" w:cs="Arial"/>
                <w:color w:val="000000"/>
                <w:kern w:val="0"/>
                <w:sz w:val="20"/>
                <w:szCs w:val="20"/>
                <w:lang w:eastAsia="en-IN"/>
                <w14:ligatures w14:val="none"/>
              </w:rPr>
            </w:pPr>
          </w:p>
        </w:tc>
        <w:tc>
          <w:tcPr>
            <w:tcW w:w="861" w:type="dxa"/>
            <w:tcBorders>
              <w:top w:val="single" w:color="auto" w:sz="4" w:space="0"/>
              <w:left w:val="single" w:color="auto" w:sz="4" w:space="0"/>
              <w:bottom w:val="single" w:color="auto" w:sz="4" w:space="0"/>
              <w:right w:val="single" w:color="auto" w:sz="4" w:space="0"/>
            </w:tcBorders>
            <w:vAlign w:val="bottom"/>
          </w:tcPr>
          <w:p w14:paraId="5EC40C37">
            <w:pPr>
              <w:spacing w:after="0" w:line="240" w:lineRule="auto"/>
              <w:jc w:val="right"/>
              <w:rPr>
                <w:rFonts w:ascii="Arial" w:hAnsi="Arial" w:eastAsia="Times New Roman" w:cs="Arial"/>
                <w:color w:val="000000"/>
                <w:kern w:val="0"/>
                <w:sz w:val="20"/>
                <w:szCs w:val="20"/>
                <w:lang w:eastAsia="en-IN"/>
                <w14:ligatures w14:val="none"/>
              </w:rPr>
            </w:pPr>
            <w:r>
              <w:rPr>
                <w:rFonts w:ascii="Arial" w:hAnsi="Arial" w:eastAsia="Times New Roman" w:cs="Arial"/>
                <w:color w:val="000000"/>
                <w:kern w:val="0"/>
                <w:sz w:val="20"/>
                <w:szCs w:val="20"/>
                <w:lang w:eastAsia="en-IN"/>
                <w14:ligatures w14:val="none"/>
              </w:rPr>
              <w:t>0.156</w:t>
            </w:r>
          </w:p>
        </w:tc>
        <w:tc>
          <w:tcPr>
            <w:tcW w:w="700" w:type="dxa"/>
            <w:tcBorders>
              <w:top w:val="single" w:color="auto" w:sz="4" w:space="0"/>
              <w:left w:val="single" w:color="auto" w:sz="4" w:space="0"/>
              <w:bottom w:val="single" w:color="auto" w:sz="4" w:space="0"/>
              <w:right w:val="single" w:color="auto" w:sz="4" w:space="0"/>
            </w:tcBorders>
            <w:vAlign w:val="bottom"/>
          </w:tcPr>
          <w:p w14:paraId="2215856E">
            <w:pPr>
              <w:spacing w:after="0" w:line="240" w:lineRule="auto"/>
              <w:jc w:val="right"/>
              <w:rPr>
                <w:rFonts w:ascii="Arial" w:hAnsi="Arial" w:eastAsia="Times New Roman" w:cs="Arial"/>
                <w:color w:val="000000"/>
                <w:kern w:val="0"/>
                <w:sz w:val="20"/>
                <w:szCs w:val="20"/>
                <w:lang w:eastAsia="en-IN"/>
                <w14:ligatures w14:val="none"/>
              </w:rPr>
            </w:pPr>
            <w:r>
              <w:rPr>
                <w:rFonts w:ascii="Arial" w:hAnsi="Arial" w:eastAsia="Times New Roman" w:cs="Arial"/>
                <w:color w:val="000000"/>
                <w:kern w:val="0"/>
                <w:sz w:val="20"/>
                <w:szCs w:val="20"/>
                <w:lang w:eastAsia="en-IN"/>
                <w14:ligatures w14:val="none"/>
              </w:rPr>
              <w:t>0.255</w:t>
            </w:r>
          </w:p>
        </w:tc>
        <w:tc>
          <w:tcPr>
            <w:tcW w:w="709" w:type="dxa"/>
            <w:vMerge w:val="continue"/>
            <w:tcBorders>
              <w:left w:val="single" w:color="auto" w:sz="4" w:space="0"/>
              <w:right w:val="single" w:color="auto" w:sz="4" w:space="0"/>
            </w:tcBorders>
          </w:tcPr>
          <w:p w14:paraId="2EAC9292">
            <w:pPr>
              <w:spacing w:after="0" w:line="240" w:lineRule="auto"/>
              <w:jc w:val="right"/>
              <w:rPr>
                <w:rFonts w:ascii="Arial" w:hAnsi="Arial" w:eastAsia="Times New Roman" w:cs="Arial"/>
                <w:color w:val="000000"/>
                <w:kern w:val="0"/>
                <w:sz w:val="20"/>
                <w:szCs w:val="20"/>
                <w:lang w:eastAsia="en-IN"/>
                <w14:ligatures w14:val="none"/>
              </w:rPr>
            </w:pPr>
          </w:p>
        </w:tc>
        <w:tc>
          <w:tcPr>
            <w:tcW w:w="992" w:type="dxa"/>
            <w:tcBorders>
              <w:top w:val="single" w:color="auto" w:sz="4" w:space="0"/>
              <w:left w:val="single" w:color="auto" w:sz="4" w:space="0"/>
              <w:bottom w:val="single" w:color="auto" w:sz="4" w:space="0"/>
              <w:right w:val="single" w:color="auto" w:sz="4" w:space="0"/>
            </w:tcBorders>
            <w:vAlign w:val="bottom"/>
          </w:tcPr>
          <w:p w14:paraId="2D7FBB10">
            <w:pPr>
              <w:spacing w:after="0" w:line="240" w:lineRule="auto"/>
              <w:jc w:val="right"/>
              <w:rPr>
                <w:rFonts w:ascii="Arial" w:hAnsi="Arial" w:eastAsia="Times New Roman" w:cs="Arial"/>
                <w:color w:val="000000"/>
                <w:kern w:val="0"/>
                <w:sz w:val="20"/>
                <w:szCs w:val="20"/>
                <w:lang w:eastAsia="en-IN"/>
                <w14:ligatures w14:val="none"/>
              </w:rPr>
            </w:pPr>
            <w:r>
              <w:rPr>
                <w:rFonts w:ascii="Arial" w:hAnsi="Arial" w:eastAsia="Times New Roman" w:cs="Arial"/>
                <w:color w:val="000000"/>
                <w:kern w:val="0"/>
                <w:sz w:val="20"/>
                <w:szCs w:val="20"/>
                <w:lang w:eastAsia="en-IN"/>
                <w14:ligatures w14:val="none"/>
              </w:rPr>
              <w:t>5.36</w:t>
            </w:r>
          </w:p>
        </w:tc>
        <w:tc>
          <w:tcPr>
            <w:tcW w:w="851" w:type="dxa"/>
            <w:tcBorders>
              <w:top w:val="single" w:color="auto" w:sz="4" w:space="0"/>
              <w:left w:val="single" w:color="auto" w:sz="4" w:space="0"/>
              <w:bottom w:val="single" w:color="auto" w:sz="4" w:space="0"/>
              <w:right w:val="single" w:color="auto" w:sz="4" w:space="0"/>
            </w:tcBorders>
            <w:vAlign w:val="bottom"/>
          </w:tcPr>
          <w:p w14:paraId="18382E5B">
            <w:pPr>
              <w:spacing w:after="0" w:line="240" w:lineRule="auto"/>
              <w:jc w:val="right"/>
              <w:rPr>
                <w:rFonts w:ascii="Arial" w:hAnsi="Arial" w:eastAsia="Times New Roman" w:cs="Arial"/>
                <w:color w:val="000000"/>
                <w:kern w:val="0"/>
                <w:sz w:val="20"/>
                <w:szCs w:val="20"/>
                <w:lang w:eastAsia="en-IN"/>
                <w14:ligatures w14:val="none"/>
              </w:rPr>
            </w:pPr>
            <w:r>
              <w:rPr>
                <w:rFonts w:ascii="Arial" w:hAnsi="Arial" w:eastAsia="Times New Roman" w:cs="Arial"/>
                <w:color w:val="000000"/>
                <w:kern w:val="0"/>
                <w:sz w:val="20"/>
                <w:szCs w:val="20"/>
                <w:lang w:eastAsia="en-IN"/>
                <w14:ligatures w14:val="none"/>
              </w:rPr>
              <w:t>47.16</w:t>
            </w:r>
          </w:p>
        </w:tc>
        <w:tc>
          <w:tcPr>
            <w:tcW w:w="708" w:type="dxa"/>
            <w:vMerge w:val="continue"/>
            <w:tcBorders>
              <w:left w:val="single" w:color="auto" w:sz="4" w:space="0"/>
              <w:right w:val="single" w:color="auto" w:sz="4" w:space="0"/>
            </w:tcBorders>
          </w:tcPr>
          <w:p w14:paraId="3E570EDC">
            <w:pPr>
              <w:spacing w:after="0" w:line="240" w:lineRule="auto"/>
              <w:jc w:val="right"/>
              <w:rPr>
                <w:rFonts w:ascii="Arial" w:hAnsi="Arial" w:eastAsia="Times New Roman" w:cs="Arial"/>
                <w:color w:val="000000"/>
                <w:kern w:val="0"/>
                <w:sz w:val="20"/>
                <w:szCs w:val="20"/>
                <w:lang w:eastAsia="en-IN"/>
                <w14:ligatures w14:val="none"/>
              </w:rPr>
            </w:pPr>
          </w:p>
        </w:tc>
      </w:tr>
      <w:tr w14:paraId="604A1A11">
        <w:tblPrEx>
          <w:tblCellMar>
            <w:top w:w="0" w:type="dxa"/>
            <w:left w:w="108" w:type="dxa"/>
            <w:bottom w:w="0" w:type="dxa"/>
            <w:right w:w="108" w:type="dxa"/>
          </w:tblCellMar>
        </w:tblPrEx>
        <w:trPr>
          <w:trHeight w:val="288" w:hRule="atLeast"/>
        </w:trPr>
        <w:tc>
          <w:tcPr>
            <w:tcW w:w="993" w:type="dxa"/>
            <w:tcBorders>
              <w:top w:val="nil"/>
              <w:left w:val="single" w:color="auto" w:sz="4" w:space="0"/>
              <w:bottom w:val="single" w:color="auto" w:sz="4" w:space="0"/>
              <w:right w:val="single" w:color="auto" w:sz="4" w:space="0"/>
            </w:tcBorders>
            <w:shd w:val="clear" w:color="auto" w:fill="auto"/>
            <w:noWrap/>
            <w:vAlign w:val="bottom"/>
          </w:tcPr>
          <w:p w14:paraId="6E2C5C0C">
            <w:pPr>
              <w:spacing w:after="0" w:line="240" w:lineRule="auto"/>
              <w:rPr>
                <w:rFonts w:ascii="Arial" w:hAnsi="Arial" w:eastAsia="Times New Roman" w:cs="Arial"/>
                <w:color w:val="000000"/>
                <w:kern w:val="0"/>
                <w:sz w:val="20"/>
                <w:szCs w:val="20"/>
                <w:lang w:eastAsia="en-IN"/>
                <w14:ligatures w14:val="none"/>
              </w:rPr>
            </w:pPr>
            <w:r>
              <w:rPr>
                <w:rFonts w:ascii="Arial" w:hAnsi="Arial" w:eastAsia="Times New Roman" w:cs="Arial"/>
                <w:color w:val="000000"/>
                <w:kern w:val="0"/>
                <w:sz w:val="20"/>
                <w:szCs w:val="20"/>
                <w:lang w:eastAsia="en-IN"/>
                <w14:ligatures w14:val="none"/>
              </w:rPr>
              <w:t>H65</w:t>
            </w:r>
          </w:p>
        </w:tc>
        <w:tc>
          <w:tcPr>
            <w:tcW w:w="1017" w:type="dxa"/>
            <w:tcBorders>
              <w:top w:val="nil"/>
              <w:left w:val="nil"/>
              <w:bottom w:val="single" w:color="auto" w:sz="4" w:space="0"/>
              <w:right w:val="single" w:color="auto" w:sz="4" w:space="0"/>
            </w:tcBorders>
            <w:shd w:val="clear" w:color="auto" w:fill="auto"/>
            <w:noWrap/>
            <w:vAlign w:val="bottom"/>
          </w:tcPr>
          <w:p w14:paraId="36D43890">
            <w:pPr>
              <w:spacing w:after="0" w:line="240" w:lineRule="auto"/>
              <w:jc w:val="right"/>
              <w:rPr>
                <w:rFonts w:ascii="Arial" w:hAnsi="Arial" w:eastAsia="Times New Roman" w:cs="Arial"/>
                <w:color w:val="000000"/>
                <w:kern w:val="0"/>
                <w:sz w:val="20"/>
                <w:szCs w:val="20"/>
                <w:lang w:eastAsia="en-IN"/>
                <w14:ligatures w14:val="none"/>
              </w:rPr>
            </w:pPr>
            <w:r>
              <w:rPr>
                <w:rFonts w:ascii="Arial" w:hAnsi="Arial" w:eastAsia="Times New Roman" w:cs="Arial"/>
                <w:color w:val="000000"/>
                <w:kern w:val="0"/>
                <w:sz w:val="20"/>
                <w:szCs w:val="20"/>
                <w:lang w:eastAsia="en-IN"/>
                <w14:ligatures w14:val="none"/>
              </w:rPr>
              <w:t>325.7</w:t>
            </w:r>
          </w:p>
        </w:tc>
        <w:tc>
          <w:tcPr>
            <w:tcW w:w="967" w:type="dxa"/>
            <w:tcBorders>
              <w:top w:val="nil"/>
              <w:left w:val="nil"/>
              <w:bottom w:val="single" w:color="auto" w:sz="4" w:space="0"/>
              <w:right w:val="single" w:color="auto" w:sz="4" w:space="0"/>
            </w:tcBorders>
            <w:shd w:val="clear" w:color="auto" w:fill="auto"/>
            <w:noWrap/>
            <w:vAlign w:val="bottom"/>
          </w:tcPr>
          <w:p w14:paraId="068ABE10">
            <w:pPr>
              <w:spacing w:after="0" w:line="240" w:lineRule="auto"/>
              <w:jc w:val="right"/>
              <w:rPr>
                <w:rFonts w:ascii="Arial" w:hAnsi="Arial" w:eastAsia="Times New Roman" w:cs="Arial"/>
                <w:color w:val="000000"/>
                <w:kern w:val="0"/>
                <w:sz w:val="20"/>
                <w:szCs w:val="20"/>
                <w:lang w:eastAsia="en-IN"/>
                <w14:ligatures w14:val="none"/>
              </w:rPr>
            </w:pPr>
            <w:r>
              <w:rPr>
                <w:rFonts w:ascii="Arial" w:hAnsi="Arial" w:eastAsia="Times New Roman" w:cs="Arial"/>
                <w:color w:val="000000"/>
                <w:kern w:val="0"/>
                <w:sz w:val="20"/>
                <w:szCs w:val="20"/>
                <w:lang w:eastAsia="en-IN"/>
                <w14:ligatures w14:val="none"/>
              </w:rPr>
              <w:t>546.33</w:t>
            </w:r>
          </w:p>
        </w:tc>
        <w:tc>
          <w:tcPr>
            <w:tcW w:w="709" w:type="dxa"/>
            <w:vMerge w:val="continue"/>
            <w:tcBorders>
              <w:top w:val="single" w:color="auto" w:sz="4" w:space="0"/>
              <w:left w:val="nil"/>
              <w:bottom w:val="single" w:color="auto" w:sz="4" w:space="0"/>
              <w:right w:val="single" w:color="auto" w:sz="4" w:space="0"/>
            </w:tcBorders>
          </w:tcPr>
          <w:p w14:paraId="13AA25CF">
            <w:pPr>
              <w:spacing w:after="0" w:line="240" w:lineRule="auto"/>
              <w:jc w:val="right"/>
              <w:rPr>
                <w:rFonts w:ascii="Arial" w:hAnsi="Arial" w:eastAsia="Times New Roman" w:cs="Arial"/>
                <w:color w:val="000000"/>
                <w:kern w:val="0"/>
                <w:sz w:val="20"/>
                <w:szCs w:val="20"/>
                <w:lang w:eastAsia="en-IN"/>
                <w14:ligatures w14:val="none"/>
              </w:rPr>
            </w:pPr>
          </w:p>
        </w:tc>
        <w:tc>
          <w:tcPr>
            <w:tcW w:w="858" w:type="dxa"/>
            <w:tcBorders>
              <w:top w:val="single" w:color="auto" w:sz="4" w:space="0"/>
              <w:left w:val="single" w:color="auto" w:sz="4" w:space="0"/>
              <w:bottom w:val="single" w:color="auto" w:sz="4" w:space="0"/>
              <w:right w:val="single" w:color="auto" w:sz="4" w:space="0"/>
            </w:tcBorders>
            <w:vAlign w:val="bottom"/>
          </w:tcPr>
          <w:p w14:paraId="0179404F">
            <w:pPr>
              <w:spacing w:after="0" w:line="240" w:lineRule="auto"/>
              <w:jc w:val="right"/>
              <w:rPr>
                <w:rFonts w:ascii="Arial" w:hAnsi="Arial" w:eastAsia="Times New Roman" w:cs="Arial"/>
                <w:color w:val="000000"/>
                <w:kern w:val="0"/>
                <w:sz w:val="20"/>
                <w:szCs w:val="20"/>
                <w:lang w:eastAsia="en-IN"/>
                <w14:ligatures w14:val="none"/>
              </w:rPr>
            </w:pPr>
            <w:r>
              <w:rPr>
                <w:rFonts w:ascii="Arial" w:hAnsi="Arial" w:eastAsia="Times New Roman" w:cs="Arial"/>
                <w:color w:val="000000"/>
                <w:kern w:val="0"/>
                <w:sz w:val="20"/>
                <w:szCs w:val="20"/>
                <w:lang w:eastAsia="en-IN"/>
                <w14:ligatures w14:val="none"/>
              </w:rPr>
              <w:t>4</w:t>
            </w:r>
          </w:p>
        </w:tc>
        <w:tc>
          <w:tcPr>
            <w:tcW w:w="842" w:type="dxa"/>
            <w:tcBorders>
              <w:top w:val="single" w:color="auto" w:sz="4" w:space="0"/>
              <w:left w:val="single" w:color="auto" w:sz="4" w:space="0"/>
              <w:bottom w:val="single" w:color="auto" w:sz="4" w:space="0"/>
              <w:right w:val="single" w:color="auto" w:sz="4" w:space="0"/>
            </w:tcBorders>
            <w:vAlign w:val="bottom"/>
          </w:tcPr>
          <w:p w14:paraId="23A4BC77">
            <w:pPr>
              <w:spacing w:after="0" w:line="240" w:lineRule="auto"/>
              <w:jc w:val="right"/>
              <w:rPr>
                <w:rFonts w:ascii="Arial" w:hAnsi="Arial" w:eastAsia="Times New Roman" w:cs="Arial"/>
                <w:color w:val="000000"/>
                <w:kern w:val="0"/>
                <w:sz w:val="20"/>
                <w:szCs w:val="20"/>
                <w:lang w:eastAsia="en-IN"/>
                <w14:ligatures w14:val="none"/>
              </w:rPr>
            </w:pPr>
            <w:r>
              <w:rPr>
                <w:rFonts w:ascii="Arial" w:hAnsi="Arial" w:eastAsia="Times New Roman" w:cs="Arial"/>
                <w:color w:val="000000"/>
                <w:kern w:val="0"/>
                <w:sz w:val="20"/>
                <w:szCs w:val="20"/>
                <w:lang w:eastAsia="en-IN"/>
                <w14:ligatures w14:val="none"/>
              </w:rPr>
              <w:t>2.918</w:t>
            </w:r>
          </w:p>
        </w:tc>
        <w:tc>
          <w:tcPr>
            <w:tcW w:w="708" w:type="dxa"/>
            <w:vMerge w:val="continue"/>
            <w:tcBorders>
              <w:left w:val="single" w:color="auto" w:sz="4" w:space="0"/>
              <w:bottom w:val="single" w:color="auto" w:sz="4" w:space="0"/>
              <w:right w:val="single" w:color="auto" w:sz="4" w:space="0"/>
            </w:tcBorders>
          </w:tcPr>
          <w:p w14:paraId="01DEE9B1">
            <w:pPr>
              <w:spacing w:after="0" w:line="240" w:lineRule="auto"/>
              <w:jc w:val="right"/>
              <w:rPr>
                <w:rFonts w:ascii="Arial" w:hAnsi="Arial" w:eastAsia="Times New Roman" w:cs="Arial"/>
                <w:color w:val="000000"/>
                <w:kern w:val="0"/>
                <w:sz w:val="20"/>
                <w:szCs w:val="20"/>
                <w:lang w:eastAsia="en-IN"/>
                <w14:ligatures w14:val="none"/>
              </w:rPr>
            </w:pPr>
          </w:p>
        </w:tc>
        <w:tc>
          <w:tcPr>
            <w:tcW w:w="861" w:type="dxa"/>
            <w:tcBorders>
              <w:top w:val="single" w:color="auto" w:sz="4" w:space="0"/>
              <w:left w:val="single" w:color="auto" w:sz="4" w:space="0"/>
              <w:bottom w:val="single" w:color="auto" w:sz="4" w:space="0"/>
              <w:right w:val="single" w:color="auto" w:sz="4" w:space="0"/>
            </w:tcBorders>
            <w:vAlign w:val="bottom"/>
          </w:tcPr>
          <w:p w14:paraId="5FB7DCB7">
            <w:pPr>
              <w:spacing w:after="0" w:line="240" w:lineRule="auto"/>
              <w:jc w:val="right"/>
              <w:rPr>
                <w:rFonts w:ascii="Arial" w:hAnsi="Arial" w:eastAsia="Times New Roman" w:cs="Arial"/>
                <w:color w:val="000000"/>
                <w:kern w:val="0"/>
                <w:sz w:val="20"/>
                <w:szCs w:val="20"/>
                <w:lang w:eastAsia="en-IN"/>
                <w14:ligatures w14:val="none"/>
              </w:rPr>
            </w:pPr>
            <w:r>
              <w:rPr>
                <w:rFonts w:ascii="Arial" w:hAnsi="Arial" w:eastAsia="Times New Roman" w:cs="Arial"/>
                <w:color w:val="000000"/>
                <w:kern w:val="0"/>
                <w:sz w:val="20"/>
                <w:szCs w:val="20"/>
                <w:lang w:eastAsia="en-IN"/>
                <w14:ligatures w14:val="none"/>
              </w:rPr>
              <w:t>0.213</w:t>
            </w:r>
          </w:p>
        </w:tc>
        <w:tc>
          <w:tcPr>
            <w:tcW w:w="700" w:type="dxa"/>
            <w:tcBorders>
              <w:top w:val="single" w:color="auto" w:sz="4" w:space="0"/>
              <w:left w:val="single" w:color="auto" w:sz="4" w:space="0"/>
              <w:bottom w:val="single" w:color="auto" w:sz="4" w:space="0"/>
              <w:right w:val="single" w:color="auto" w:sz="4" w:space="0"/>
            </w:tcBorders>
            <w:vAlign w:val="bottom"/>
          </w:tcPr>
          <w:p w14:paraId="2B9B3D86">
            <w:pPr>
              <w:spacing w:after="0" w:line="240" w:lineRule="auto"/>
              <w:jc w:val="right"/>
              <w:rPr>
                <w:rFonts w:ascii="Arial" w:hAnsi="Arial" w:eastAsia="Times New Roman" w:cs="Arial"/>
                <w:color w:val="000000"/>
                <w:kern w:val="0"/>
                <w:sz w:val="20"/>
                <w:szCs w:val="20"/>
                <w:lang w:eastAsia="en-IN"/>
                <w14:ligatures w14:val="none"/>
              </w:rPr>
            </w:pPr>
            <w:r>
              <w:rPr>
                <w:rFonts w:ascii="Arial" w:hAnsi="Arial" w:eastAsia="Times New Roman" w:cs="Arial"/>
                <w:color w:val="000000"/>
                <w:kern w:val="0"/>
                <w:sz w:val="20"/>
                <w:szCs w:val="20"/>
                <w:lang w:eastAsia="en-IN"/>
                <w14:ligatures w14:val="none"/>
              </w:rPr>
              <w:t>0.202</w:t>
            </w:r>
          </w:p>
        </w:tc>
        <w:tc>
          <w:tcPr>
            <w:tcW w:w="709" w:type="dxa"/>
            <w:vMerge w:val="continue"/>
            <w:tcBorders>
              <w:left w:val="single" w:color="auto" w:sz="4" w:space="0"/>
              <w:bottom w:val="single" w:color="auto" w:sz="4" w:space="0"/>
              <w:right w:val="single" w:color="auto" w:sz="4" w:space="0"/>
            </w:tcBorders>
          </w:tcPr>
          <w:p w14:paraId="7D941917">
            <w:pPr>
              <w:spacing w:after="0" w:line="240" w:lineRule="auto"/>
              <w:jc w:val="right"/>
              <w:rPr>
                <w:rFonts w:ascii="Arial" w:hAnsi="Arial" w:eastAsia="Times New Roman" w:cs="Arial"/>
                <w:color w:val="000000"/>
                <w:kern w:val="0"/>
                <w:sz w:val="20"/>
                <w:szCs w:val="20"/>
                <w:lang w:eastAsia="en-IN"/>
                <w14:ligatures w14:val="none"/>
              </w:rPr>
            </w:pPr>
          </w:p>
        </w:tc>
        <w:tc>
          <w:tcPr>
            <w:tcW w:w="992" w:type="dxa"/>
            <w:tcBorders>
              <w:top w:val="single" w:color="auto" w:sz="4" w:space="0"/>
              <w:left w:val="single" w:color="auto" w:sz="4" w:space="0"/>
              <w:bottom w:val="single" w:color="auto" w:sz="4" w:space="0"/>
              <w:right w:val="single" w:color="auto" w:sz="4" w:space="0"/>
            </w:tcBorders>
            <w:vAlign w:val="bottom"/>
          </w:tcPr>
          <w:p w14:paraId="35937846">
            <w:pPr>
              <w:spacing w:after="0" w:line="240" w:lineRule="auto"/>
              <w:jc w:val="right"/>
              <w:rPr>
                <w:rFonts w:ascii="Arial" w:hAnsi="Arial" w:eastAsia="Times New Roman" w:cs="Arial"/>
                <w:color w:val="000000"/>
                <w:kern w:val="0"/>
                <w:sz w:val="20"/>
                <w:szCs w:val="20"/>
                <w:lang w:eastAsia="en-IN"/>
                <w14:ligatures w14:val="none"/>
              </w:rPr>
            </w:pPr>
            <w:r>
              <w:rPr>
                <w:rFonts w:ascii="Arial" w:hAnsi="Arial" w:eastAsia="Times New Roman" w:cs="Arial"/>
                <w:color w:val="000000"/>
                <w:kern w:val="0"/>
                <w:sz w:val="20"/>
                <w:szCs w:val="20"/>
                <w:lang w:eastAsia="en-IN"/>
                <w14:ligatures w14:val="none"/>
              </w:rPr>
              <w:t>7.11</w:t>
            </w:r>
          </w:p>
        </w:tc>
        <w:tc>
          <w:tcPr>
            <w:tcW w:w="851" w:type="dxa"/>
            <w:tcBorders>
              <w:top w:val="single" w:color="auto" w:sz="4" w:space="0"/>
              <w:left w:val="single" w:color="auto" w:sz="4" w:space="0"/>
              <w:bottom w:val="single" w:color="auto" w:sz="4" w:space="0"/>
              <w:right w:val="single" w:color="auto" w:sz="4" w:space="0"/>
            </w:tcBorders>
            <w:vAlign w:val="bottom"/>
          </w:tcPr>
          <w:p w14:paraId="7579E513">
            <w:pPr>
              <w:spacing w:after="0" w:line="240" w:lineRule="auto"/>
              <w:jc w:val="right"/>
              <w:rPr>
                <w:rFonts w:ascii="Arial" w:hAnsi="Arial" w:eastAsia="Times New Roman" w:cs="Arial"/>
                <w:color w:val="000000"/>
                <w:kern w:val="0"/>
                <w:sz w:val="20"/>
                <w:szCs w:val="20"/>
                <w:lang w:eastAsia="en-IN"/>
                <w14:ligatures w14:val="none"/>
              </w:rPr>
            </w:pPr>
            <w:r>
              <w:rPr>
                <w:rFonts w:ascii="Arial" w:hAnsi="Arial" w:eastAsia="Times New Roman" w:cs="Arial"/>
                <w:color w:val="000000"/>
                <w:kern w:val="0"/>
                <w:sz w:val="20"/>
                <w:szCs w:val="20"/>
                <w:lang w:eastAsia="en-IN"/>
                <w14:ligatures w14:val="none"/>
              </w:rPr>
              <w:t>40.48</w:t>
            </w:r>
          </w:p>
        </w:tc>
        <w:tc>
          <w:tcPr>
            <w:tcW w:w="708" w:type="dxa"/>
            <w:vMerge w:val="continue"/>
            <w:tcBorders>
              <w:left w:val="single" w:color="auto" w:sz="4" w:space="0"/>
              <w:bottom w:val="single" w:color="auto" w:sz="4" w:space="0"/>
              <w:right w:val="single" w:color="auto" w:sz="4" w:space="0"/>
            </w:tcBorders>
          </w:tcPr>
          <w:p w14:paraId="60560D53">
            <w:pPr>
              <w:spacing w:after="0" w:line="240" w:lineRule="auto"/>
              <w:jc w:val="right"/>
              <w:rPr>
                <w:rFonts w:ascii="Arial" w:hAnsi="Arial" w:eastAsia="Times New Roman" w:cs="Arial"/>
                <w:color w:val="000000"/>
                <w:kern w:val="0"/>
                <w:sz w:val="20"/>
                <w:szCs w:val="20"/>
                <w:lang w:eastAsia="en-IN"/>
                <w14:ligatures w14:val="none"/>
              </w:rPr>
            </w:pPr>
          </w:p>
        </w:tc>
      </w:tr>
    </w:tbl>
    <w:p w14:paraId="15D6F41E">
      <w:pPr>
        <w:spacing w:line="240" w:lineRule="auto"/>
        <w:rPr>
          <w:rFonts w:ascii="Arial" w:hAnsi="Arial" w:cs="Arial"/>
          <w:sz w:val="20"/>
          <w:szCs w:val="20"/>
        </w:rPr>
      </w:pPr>
    </w:p>
    <w:p w14:paraId="725FD2A0">
      <w:pPr>
        <w:spacing w:line="240" w:lineRule="auto"/>
        <w:rPr>
          <w:rFonts w:ascii="Arial" w:hAnsi="Arial" w:cs="Arial"/>
          <w:b/>
          <w:bCs/>
          <w:sz w:val="20"/>
          <w:szCs w:val="20"/>
        </w:rPr>
      </w:pPr>
      <w:r>
        <w:rPr>
          <w:rFonts w:ascii="Arial" w:hAnsi="Arial" w:cs="Arial"/>
          <w:sz w:val="20"/>
          <w:szCs w:val="20"/>
        </w:rPr>
        <w:t>Table 1. t-test comparison between nursery and field level quantification of proline, NRA,  SOD, and Glycine betaine during drought stress.</w:t>
      </w:r>
    </w:p>
    <w:p w14:paraId="61203903">
      <w:pPr>
        <w:spacing w:line="240" w:lineRule="auto"/>
        <w:jc w:val="both"/>
        <w:rPr>
          <w:rFonts w:ascii="Arial" w:hAnsi="Arial" w:cs="Arial"/>
          <w:b/>
          <w:bCs/>
        </w:rPr>
      </w:pPr>
      <w:r>
        <w:rPr>
          <w:rFonts w:ascii="Arial" w:hAnsi="Arial" w:cs="Arial"/>
          <w:b/>
          <w:bCs/>
        </w:rPr>
        <w:t>Conclusion</w:t>
      </w:r>
    </w:p>
    <w:p w14:paraId="2C380FB8">
      <w:pPr>
        <w:spacing w:line="240" w:lineRule="auto"/>
        <w:jc w:val="both"/>
        <w:rPr>
          <w:rFonts w:ascii="Arial" w:hAnsi="Arial" w:cs="Arial"/>
          <w:sz w:val="20"/>
          <w:szCs w:val="20"/>
        </w:rPr>
      </w:pPr>
      <w:r>
        <w:rPr>
          <w:rFonts w:ascii="Arial" w:hAnsi="Arial" w:cs="Arial"/>
          <w:sz w:val="20"/>
          <w:szCs w:val="20"/>
        </w:rPr>
        <w:t xml:space="preserve">This study successfully identified and validated key biochemical biomarkers, namely proline content and nitrate reductase activity, as reliable indicators of drought tolerance in cocoa hybrids under both controlled and field conditions. While SOD activity and glycine betaine content showed environment-specific variation, their overall elevated levels in tolerant hybrids further support their auxiliary role in stress mitigation. The consistent performance of certain hybrids across conditions underscores the potential for early-stage nursery screening to accurately predict field-level drought resilience. Ultimately, </w:t>
      </w:r>
      <w:commentRangeStart w:id="20"/>
      <w:r>
        <w:rPr>
          <w:rFonts w:ascii="Arial" w:hAnsi="Arial" w:cs="Arial"/>
          <w:sz w:val="20"/>
          <w:szCs w:val="20"/>
        </w:rPr>
        <w:t xml:space="preserve">our </w:t>
      </w:r>
      <w:commentRangeEnd w:id="20"/>
      <w:r>
        <w:commentReference w:id="20"/>
      </w:r>
      <w:r>
        <w:rPr>
          <w:rFonts w:ascii="Arial" w:hAnsi="Arial" w:cs="Arial"/>
          <w:sz w:val="20"/>
          <w:szCs w:val="20"/>
        </w:rPr>
        <w:t>research bridges the gap between laboratory insights and field applicability, laying the groundwork for a more sustainable and scientifically guided strategy for managing abiotic stress in cocoa and potentially other perennial crops.</w:t>
      </w:r>
    </w:p>
    <w:p w14:paraId="7DBFC155">
      <w:pPr>
        <w:spacing w:line="240" w:lineRule="auto"/>
        <w:jc w:val="both"/>
        <w:rPr>
          <w:rFonts w:ascii="Arial" w:hAnsi="Arial" w:cs="Arial"/>
          <w:sz w:val="20"/>
          <w:szCs w:val="20"/>
        </w:rPr>
      </w:pPr>
      <w:r>
        <w:rPr>
          <w:rFonts w:ascii="Arial" w:hAnsi="Arial" w:cs="Arial"/>
          <w:sz w:val="20"/>
          <w:szCs w:val="20"/>
        </w:rPr>
        <w:t>Acknowledgments: The authors thank Kerala Agricultural University and Mondelez Foods India Pvt. Ltd. for their support</w:t>
      </w:r>
    </w:p>
    <w:p w14:paraId="4068E2A0">
      <w:pPr>
        <w:spacing w:line="240" w:lineRule="auto"/>
        <w:jc w:val="both"/>
        <w:rPr>
          <w:rFonts w:ascii="Arial" w:hAnsi="Arial" w:cs="Arial"/>
          <w:b/>
          <w:bCs/>
          <w:sz w:val="20"/>
          <w:szCs w:val="20"/>
        </w:rPr>
      </w:pPr>
      <w:r>
        <w:rPr>
          <w:rFonts w:ascii="Arial" w:hAnsi="Arial" w:cs="Arial"/>
          <w:b/>
          <w:bCs/>
          <w:sz w:val="20"/>
          <w:szCs w:val="20"/>
        </w:rPr>
        <w:t>References</w:t>
      </w:r>
    </w:p>
    <w:p w14:paraId="12CADAA3">
      <w:pPr>
        <w:ind w:left="360" w:hanging="360"/>
        <w:jc w:val="both"/>
        <w:rPr>
          <w:rFonts w:ascii="Arial" w:hAnsi="Arial" w:cs="Arial"/>
          <w:sz w:val="20"/>
          <w:szCs w:val="20"/>
          <w:lang w:bidi="ml-IN"/>
        </w:rPr>
      </w:pPr>
      <w:r>
        <w:rPr>
          <w:rFonts w:ascii="Arial" w:hAnsi="Arial" w:cs="Arial"/>
          <w:sz w:val="20"/>
          <w:szCs w:val="20"/>
          <w:lang w:bidi="ml-IN"/>
        </w:rPr>
        <w:t>Prasannakumari, A. S., Nair, V.R., Lalithabai, E.K., Mallika, V.K., Minimol, J.S., &amp; Koshy Abraham.    2009.Cocoa In India. Kerala Agricultural University, Thrissur, 72p.</w:t>
      </w:r>
    </w:p>
    <w:p w14:paraId="0B324FC6">
      <w:pPr>
        <w:spacing w:line="240" w:lineRule="auto"/>
        <w:ind w:left="720" w:hanging="720"/>
        <w:jc w:val="both"/>
        <w:rPr>
          <w:rFonts w:ascii="Arial" w:hAnsi="Arial" w:cs="Arial"/>
          <w:sz w:val="20"/>
          <w:szCs w:val="20"/>
        </w:rPr>
      </w:pPr>
      <w:r>
        <w:rPr>
          <w:rFonts w:ascii="Arial" w:hAnsi="Arial" w:cs="Arial"/>
          <w:sz w:val="20"/>
          <w:szCs w:val="20"/>
        </w:rPr>
        <w:t>Tyree, M.T. &amp; Sperry, J.S., 1989a. Characterization and propagation of acoustic emission signals in woody plants: towards an improved acoustic emission counter. </w:t>
      </w:r>
      <w:r>
        <w:rPr>
          <w:rFonts w:ascii="Arial" w:hAnsi="Arial" w:cs="Arial"/>
          <w:i/>
          <w:iCs/>
          <w:sz w:val="20"/>
          <w:szCs w:val="20"/>
        </w:rPr>
        <w:t>Plant, Cell &amp; Environment</w:t>
      </w:r>
      <w:r>
        <w:rPr>
          <w:rFonts w:ascii="Arial" w:hAnsi="Arial" w:cs="Arial"/>
          <w:sz w:val="20"/>
          <w:szCs w:val="20"/>
        </w:rPr>
        <w:t>, </w:t>
      </w:r>
      <w:r>
        <w:rPr>
          <w:rFonts w:ascii="Arial" w:hAnsi="Arial" w:cs="Arial"/>
          <w:i/>
          <w:iCs/>
          <w:sz w:val="20"/>
          <w:szCs w:val="20"/>
        </w:rPr>
        <w:t>12</w:t>
      </w:r>
      <w:r>
        <w:rPr>
          <w:rFonts w:ascii="Arial" w:hAnsi="Arial" w:cs="Arial"/>
          <w:sz w:val="20"/>
          <w:szCs w:val="20"/>
        </w:rPr>
        <w:t>(4), pp.371-382.</w:t>
      </w:r>
    </w:p>
    <w:p w14:paraId="242B0705">
      <w:pPr>
        <w:spacing w:line="240" w:lineRule="auto"/>
        <w:ind w:left="720" w:hanging="720"/>
        <w:jc w:val="both"/>
        <w:rPr>
          <w:rFonts w:ascii="Arial" w:hAnsi="Arial" w:cs="Arial"/>
          <w:sz w:val="20"/>
          <w:szCs w:val="20"/>
        </w:rPr>
      </w:pPr>
      <w:r>
        <w:rPr>
          <w:rFonts w:ascii="Arial" w:hAnsi="Arial" w:cs="Arial"/>
          <w:sz w:val="20"/>
          <w:szCs w:val="20"/>
        </w:rPr>
        <w:t>Kaack, L., Weber, M., Isasa, E., Karimi, Z., Li, S., Pereira, L., Trabi, C.L., Zhang, Y.A., Schenk, H.J., Schuldt, B. &amp; Schmidt, V., 2021. Pore constrictions in intervessel pit membranes provide a mechanistic explanation for xylem embolism resistance in angiosperms. </w:t>
      </w:r>
      <w:r>
        <w:rPr>
          <w:rFonts w:ascii="Arial" w:hAnsi="Arial" w:cs="Arial"/>
          <w:i/>
          <w:iCs/>
          <w:sz w:val="20"/>
          <w:szCs w:val="20"/>
        </w:rPr>
        <w:t>New Phytologist</w:t>
      </w:r>
      <w:r>
        <w:rPr>
          <w:rFonts w:ascii="Arial" w:hAnsi="Arial" w:cs="Arial"/>
          <w:sz w:val="20"/>
          <w:szCs w:val="20"/>
        </w:rPr>
        <w:t>, </w:t>
      </w:r>
      <w:r>
        <w:rPr>
          <w:rFonts w:ascii="Arial" w:hAnsi="Arial" w:cs="Arial"/>
          <w:i/>
          <w:iCs/>
          <w:sz w:val="20"/>
          <w:szCs w:val="20"/>
        </w:rPr>
        <w:t>230</w:t>
      </w:r>
      <w:r>
        <w:rPr>
          <w:rFonts w:ascii="Arial" w:hAnsi="Arial" w:cs="Arial"/>
          <w:sz w:val="20"/>
          <w:szCs w:val="20"/>
        </w:rPr>
        <w:t>(5), pp.1829-1843.</w:t>
      </w:r>
    </w:p>
    <w:p w14:paraId="21B9051D">
      <w:pPr>
        <w:spacing w:line="240" w:lineRule="auto"/>
        <w:ind w:left="720" w:hanging="720"/>
        <w:jc w:val="both"/>
        <w:rPr>
          <w:rFonts w:ascii="Arial" w:hAnsi="Arial" w:cs="Arial"/>
          <w:sz w:val="20"/>
          <w:szCs w:val="20"/>
        </w:rPr>
      </w:pPr>
      <w:r>
        <w:rPr>
          <w:rFonts w:ascii="Arial" w:hAnsi="Arial" w:cs="Arial"/>
          <w:sz w:val="20"/>
          <w:szCs w:val="20"/>
        </w:rPr>
        <w:t>Johnson, K.M., Brodersen, C., Carins-Murphy, M.R., Choat, B. &amp; Brodribb, T.J., 2020. Xylem embolism spreads by single-conduit events in three dry forest angiosperm stems. </w:t>
      </w:r>
      <w:r>
        <w:rPr>
          <w:rFonts w:ascii="Arial" w:hAnsi="Arial" w:cs="Arial"/>
          <w:i/>
          <w:iCs/>
          <w:sz w:val="20"/>
          <w:szCs w:val="20"/>
        </w:rPr>
        <w:t>Plant Physiology</w:t>
      </w:r>
      <w:r>
        <w:rPr>
          <w:rFonts w:ascii="Arial" w:hAnsi="Arial" w:cs="Arial"/>
          <w:sz w:val="20"/>
          <w:szCs w:val="20"/>
        </w:rPr>
        <w:t>, </w:t>
      </w:r>
      <w:r>
        <w:rPr>
          <w:rFonts w:ascii="Arial" w:hAnsi="Arial" w:cs="Arial"/>
          <w:i/>
          <w:iCs/>
          <w:sz w:val="20"/>
          <w:szCs w:val="20"/>
        </w:rPr>
        <w:t>184</w:t>
      </w:r>
      <w:r>
        <w:rPr>
          <w:rFonts w:ascii="Arial" w:hAnsi="Arial" w:cs="Arial"/>
          <w:sz w:val="20"/>
          <w:szCs w:val="20"/>
        </w:rPr>
        <w:t>(1), pp.212-222.</w:t>
      </w:r>
    </w:p>
    <w:p w14:paraId="5205E926">
      <w:pPr>
        <w:spacing w:line="240" w:lineRule="auto"/>
        <w:ind w:left="720" w:hanging="720"/>
        <w:jc w:val="both"/>
        <w:rPr>
          <w:rFonts w:ascii="Arial" w:hAnsi="Arial" w:cs="Arial"/>
          <w:sz w:val="20"/>
          <w:szCs w:val="20"/>
        </w:rPr>
      </w:pPr>
      <w:r>
        <w:rPr>
          <w:rFonts w:ascii="Arial" w:hAnsi="Arial" w:cs="Arial"/>
          <w:sz w:val="20"/>
          <w:szCs w:val="20"/>
        </w:rPr>
        <w:t>Guan, X., Pereira, L., McAdam, S.A., Cao, K.F. &amp; Jansen, S., 2021. No gas source, no problem: proximity to pre</w:t>
      </w:r>
      <w:r>
        <w:rPr>
          <w:rFonts w:ascii="Cambria Math" w:hAnsi="Cambria Math" w:cs="Cambria Math"/>
          <w:sz w:val="20"/>
          <w:szCs w:val="20"/>
        </w:rPr>
        <w:t>‐</w:t>
      </w:r>
      <w:r>
        <w:rPr>
          <w:rFonts w:ascii="Arial" w:hAnsi="Arial" w:cs="Arial"/>
          <w:sz w:val="20"/>
          <w:szCs w:val="20"/>
        </w:rPr>
        <w:t>existing embolism and segmentation affect embolism spreading in angiosperm xylem by gas diffusion. </w:t>
      </w:r>
      <w:r>
        <w:rPr>
          <w:rFonts w:ascii="Arial" w:hAnsi="Arial" w:cs="Arial"/>
          <w:i/>
          <w:iCs/>
          <w:sz w:val="20"/>
          <w:szCs w:val="20"/>
        </w:rPr>
        <w:t>Plant, Cell &amp; Environment</w:t>
      </w:r>
      <w:r>
        <w:rPr>
          <w:rFonts w:ascii="Arial" w:hAnsi="Arial" w:cs="Arial"/>
          <w:sz w:val="20"/>
          <w:szCs w:val="20"/>
        </w:rPr>
        <w:t>, </w:t>
      </w:r>
      <w:r>
        <w:rPr>
          <w:rFonts w:ascii="Arial" w:hAnsi="Arial" w:cs="Arial"/>
          <w:i/>
          <w:iCs/>
          <w:sz w:val="20"/>
          <w:szCs w:val="20"/>
        </w:rPr>
        <w:t>44</w:t>
      </w:r>
      <w:r>
        <w:rPr>
          <w:rFonts w:ascii="Arial" w:hAnsi="Arial" w:cs="Arial"/>
          <w:sz w:val="20"/>
          <w:szCs w:val="20"/>
        </w:rPr>
        <w:t>(5), pp.1329-1345.</w:t>
      </w:r>
    </w:p>
    <w:p w14:paraId="47CE38D0">
      <w:pPr>
        <w:spacing w:line="240" w:lineRule="auto"/>
        <w:ind w:left="720" w:hanging="720"/>
        <w:jc w:val="both"/>
        <w:rPr>
          <w:rFonts w:ascii="Arial" w:hAnsi="Arial" w:cs="Arial"/>
          <w:sz w:val="20"/>
          <w:szCs w:val="20"/>
        </w:rPr>
      </w:pPr>
      <w:r>
        <w:rPr>
          <w:rFonts w:ascii="Arial" w:hAnsi="Arial" w:cs="Arial"/>
          <w:sz w:val="20"/>
          <w:szCs w:val="20"/>
        </w:rPr>
        <w:t>Hölttä, T., Mencuccini, M. &amp; Nikinmaa, E., 2009. Linking phloem function to structure: analysis with a coupled xylem–phloem transport model. </w:t>
      </w:r>
      <w:r>
        <w:rPr>
          <w:rFonts w:ascii="Arial" w:hAnsi="Arial" w:cs="Arial"/>
          <w:i/>
          <w:iCs/>
          <w:sz w:val="20"/>
          <w:szCs w:val="20"/>
        </w:rPr>
        <w:t>Journal of theoretical biology</w:t>
      </w:r>
      <w:r>
        <w:rPr>
          <w:rFonts w:ascii="Arial" w:hAnsi="Arial" w:cs="Arial"/>
          <w:sz w:val="20"/>
          <w:szCs w:val="20"/>
        </w:rPr>
        <w:t>, </w:t>
      </w:r>
      <w:r>
        <w:rPr>
          <w:rFonts w:ascii="Arial" w:hAnsi="Arial" w:cs="Arial"/>
          <w:i/>
          <w:iCs/>
          <w:sz w:val="20"/>
          <w:szCs w:val="20"/>
        </w:rPr>
        <w:t>259</w:t>
      </w:r>
      <w:r>
        <w:rPr>
          <w:rFonts w:ascii="Arial" w:hAnsi="Arial" w:cs="Arial"/>
          <w:sz w:val="20"/>
          <w:szCs w:val="20"/>
        </w:rPr>
        <w:t>(2), pp.325-337.</w:t>
      </w:r>
    </w:p>
    <w:p w14:paraId="4D664D84">
      <w:pPr>
        <w:ind w:left="720" w:hanging="720"/>
        <w:jc w:val="both"/>
        <w:rPr>
          <w:rFonts w:ascii="Arial" w:hAnsi="Arial" w:cs="Arial"/>
          <w:sz w:val="20"/>
          <w:szCs w:val="20"/>
        </w:rPr>
      </w:pPr>
      <w:r>
        <w:rPr>
          <w:rFonts w:ascii="Arial" w:hAnsi="Arial" w:cs="Arial"/>
          <w:sz w:val="20"/>
          <w:szCs w:val="20"/>
        </w:rPr>
        <w:t>Nikinmaa, E., Hölttä, T., Hari, P., Kolari, P., Mäkelä, A., Sevanto, S. &amp; Vesala, T., 2013. Assimilate transport in phloem sets conditions for leaf gas exchange. </w:t>
      </w:r>
      <w:r>
        <w:rPr>
          <w:rFonts w:ascii="Arial" w:hAnsi="Arial" w:cs="Arial"/>
          <w:i/>
          <w:iCs/>
          <w:sz w:val="20"/>
          <w:szCs w:val="20"/>
        </w:rPr>
        <w:t>Plant, Cell &amp; Environment</w:t>
      </w:r>
      <w:r>
        <w:rPr>
          <w:rFonts w:ascii="Arial" w:hAnsi="Arial" w:cs="Arial"/>
          <w:sz w:val="20"/>
          <w:szCs w:val="20"/>
        </w:rPr>
        <w:t>, </w:t>
      </w:r>
      <w:r>
        <w:rPr>
          <w:rFonts w:ascii="Arial" w:hAnsi="Arial" w:cs="Arial"/>
          <w:i/>
          <w:iCs/>
          <w:sz w:val="20"/>
          <w:szCs w:val="20"/>
        </w:rPr>
        <w:t>36</w:t>
      </w:r>
      <w:r>
        <w:rPr>
          <w:rFonts w:ascii="Arial" w:hAnsi="Arial" w:cs="Arial"/>
          <w:sz w:val="20"/>
          <w:szCs w:val="20"/>
        </w:rPr>
        <w:t>(3), pp.655-669.</w:t>
      </w:r>
    </w:p>
    <w:p w14:paraId="68B8A581">
      <w:pPr>
        <w:ind w:left="720" w:hanging="720"/>
        <w:jc w:val="both"/>
        <w:rPr>
          <w:rFonts w:ascii="Arial" w:hAnsi="Arial" w:cs="Arial"/>
          <w:sz w:val="20"/>
          <w:szCs w:val="20"/>
        </w:rPr>
      </w:pPr>
      <w:r>
        <w:rPr>
          <w:rFonts w:ascii="Arial" w:hAnsi="Arial" w:cs="Arial"/>
          <w:sz w:val="20"/>
          <w:szCs w:val="20"/>
        </w:rPr>
        <w:t>Bohnert, H.J. &amp; Jensen, R.G., 1996. Strategies for engineering water-stress tolerance in plants. </w:t>
      </w:r>
      <w:r>
        <w:rPr>
          <w:rFonts w:ascii="Arial" w:hAnsi="Arial" w:cs="Arial"/>
          <w:i/>
          <w:iCs/>
          <w:sz w:val="20"/>
          <w:szCs w:val="20"/>
        </w:rPr>
        <w:t>Trends in biotechnology</w:t>
      </w:r>
      <w:r>
        <w:rPr>
          <w:rFonts w:ascii="Arial" w:hAnsi="Arial" w:cs="Arial"/>
          <w:sz w:val="20"/>
          <w:szCs w:val="20"/>
        </w:rPr>
        <w:t>, </w:t>
      </w:r>
      <w:r>
        <w:rPr>
          <w:rFonts w:ascii="Arial" w:hAnsi="Arial" w:cs="Arial"/>
          <w:i/>
          <w:iCs/>
          <w:sz w:val="20"/>
          <w:szCs w:val="20"/>
        </w:rPr>
        <w:t>14</w:t>
      </w:r>
      <w:r>
        <w:rPr>
          <w:rFonts w:ascii="Arial" w:hAnsi="Arial" w:cs="Arial"/>
          <w:sz w:val="20"/>
          <w:szCs w:val="20"/>
        </w:rPr>
        <w:t>(3), pp.89-97.</w:t>
      </w:r>
    </w:p>
    <w:p w14:paraId="0EB23CED">
      <w:pPr>
        <w:spacing w:line="240" w:lineRule="auto"/>
        <w:ind w:left="720" w:hanging="720"/>
        <w:jc w:val="both"/>
        <w:rPr>
          <w:rFonts w:ascii="Arial" w:hAnsi="Arial" w:cs="Arial"/>
          <w:sz w:val="20"/>
          <w:szCs w:val="20"/>
        </w:rPr>
      </w:pPr>
      <w:r>
        <w:rPr>
          <w:rFonts w:ascii="Arial" w:hAnsi="Arial" w:cs="Arial"/>
          <w:sz w:val="20"/>
          <w:szCs w:val="20"/>
        </w:rPr>
        <w:t>Dzandu, E., Enu-Kwesi, L., Markwei, C.M. &amp; Ayeh, K.O., 2021. Screening for drought tolerance potential of nine cocoa (</w:t>
      </w:r>
      <w:commentRangeStart w:id="21"/>
      <w:r>
        <w:rPr>
          <w:rFonts w:ascii="Arial" w:hAnsi="Arial" w:cs="Arial"/>
          <w:sz w:val="20"/>
          <w:szCs w:val="20"/>
        </w:rPr>
        <w:t>Theobroma cacao</w:t>
      </w:r>
      <w:commentRangeEnd w:id="21"/>
      <w:r>
        <w:commentReference w:id="21"/>
      </w:r>
      <w:r>
        <w:rPr>
          <w:rFonts w:ascii="Arial" w:hAnsi="Arial" w:cs="Arial"/>
          <w:sz w:val="20"/>
          <w:szCs w:val="20"/>
        </w:rPr>
        <w:t xml:space="preserve"> L.) genotypes from Ghana. </w:t>
      </w:r>
      <w:r>
        <w:rPr>
          <w:rFonts w:ascii="Arial" w:hAnsi="Arial" w:cs="Arial"/>
          <w:i/>
          <w:iCs/>
          <w:sz w:val="20"/>
          <w:szCs w:val="20"/>
        </w:rPr>
        <w:t>Heliyon</w:t>
      </w:r>
      <w:r>
        <w:rPr>
          <w:rFonts w:ascii="Arial" w:hAnsi="Arial" w:cs="Arial"/>
          <w:sz w:val="20"/>
          <w:szCs w:val="20"/>
        </w:rPr>
        <w:t>, </w:t>
      </w:r>
      <w:r>
        <w:rPr>
          <w:rFonts w:ascii="Arial" w:hAnsi="Arial" w:cs="Arial"/>
          <w:i/>
          <w:iCs/>
          <w:sz w:val="20"/>
          <w:szCs w:val="20"/>
        </w:rPr>
        <w:t>7</w:t>
      </w:r>
      <w:r>
        <w:rPr>
          <w:rFonts w:ascii="Arial" w:hAnsi="Arial" w:cs="Arial"/>
          <w:sz w:val="20"/>
          <w:szCs w:val="20"/>
        </w:rPr>
        <w:t>(11).</w:t>
      </w:r>
    </w:p>
    <w:p w14:paraId="66D81BA0">
      <w:pPr>
        <w:ind w:left="720" w:hanging="720"/>
        <w:jc w:val="both"/>
        <w:rPr>
          <w:rFonts w:ascii="Arial" w:hAnsi="Arial" w:cs="Arial"/>
          <w:sz w:val="20"/>
          <w:szCs w:val="20"/>
        </w:rPr>
      </w:pPr>
      <w:r>
        <w:rPr>
          <w:rFonts w:ascii="Arial" w:hAnsi="Arial" w:cs="Arial"/>
          <w:sz w:val="20"/>
          <w:szCs w:val="20"/>
        </w:rPr>
        <w:t>Juby, B., Minimol, J.S., Suma, B., Santhoshkumar, A.V., Jiji, J. &amp; Panchami, P.S., 2021. Drought mitigation in cocoa (</w:t>
      </w:r>
      <w:commentRangeStart w:id="22"/>
      <w:r>
        <w:rPr>
          <w:rFonts w:ascii="Arial" w:hAnsi="Arial" w:cs="Arial"/>
          <w:sz w:val="20"/>
          <w:szCs w:val="20"/>
        </w:rPr>
        <w:t>Theobroma cacao</w:t>
      </w:r>
      <w:commentRangeEnd w:id="22"/>
      <w:r>
        <w:commentReference w:id="22"/>
      </w:r>
      <w:r>
        <w:rPr>
          <w:rFonts w:ascii="Arial" w:hAnsi="Arial" w:cs="Arial"/>
          <w:sz w:val="20"/>
          <w:szCs w:val="20"/>
        </w:rPr>
        <w:t xml:space="preserve"> L.) through developing tolerant hybrids. </w:t>
      </w:r>
      <w:r>
        <w:rPr>
          <w:rFonts w:ascii="Arial" w:hAnsi="Arial" w:cs="Arial"/>
          <w:i/>
          <w:iCs/>
          <w:sz w:val="20"/>
          <w:szCs w:val="20"/>
        </w:rPr>
        <w:t>BMC Plant Biology</w:t>
      </w:r>
      <w:r>
        <w:rPr>
          <w:rFonts w:ascii="Arial" w:hAnsi="Arial" w:cs="Arial"/>
          <w:sz w:val="20"/>
          <w:szCs w:val="20"/>
        </w:rPr>
        <w:t>, </w:t>
      </w:r>
      <w:r>
        <w:rPr>
          <w:rFonts w:ascii="Arial" w:hAnsi="Arial" w:cs="Arial"/>
          <w:i/>
          <w:iCs/>
          <w:sz w:val="20"/>
          <w:szCs w:val="20"/>
        </w:rPr>
        <w:t>21</w:t>
      </w:r>
      <w:r>
        <w:rPr>
          <w:rFonts w:ascii="Arial" w:hAnsi="Arial" w:cs="Arial"/>
          <w:sz w:val="20"/>
          <w:szCs w:val="20"/>
        </w:rPr>
        <w:t>(1), p.594.</w:t>
      </w:r>
    </w:p>
    <w:p w14:paraId="0BA8A690">
      <w:pPr>
        <w:ind w:left="720" w:hanging="720"/>
        <w:jc w:val="both"/>
        <w:rPr>
          <w:rFonts w:ascii="Arial" w:hAnsi="Arial" w:cs="Arial"/>
          <w:sz w:val="20"/>
          <w:szCs w:val="20"/>
        </w:rPr>
      </w:pPr>
      <w:r>
        <w:rPr>
          <w:rFonts w:ascii="Arial" w:hAnsi="Arial" w:cs="Arial"/>
          <w:sz w:val="20"/>
          <w:szCs w:val="20"/>
        </w:rPr>
        <w:t>Suchithra, M., Suma, B., Minimol, J.S., Mathew, D. &amp; Kumar, A.S., 2023. Biochemical Response of Cocoa (</w:t>
      </w:r>
      <w:commentRangeStart w:id="23"/>
      <w:r>
        <w:rPr>
          <w:rFonts w:ascii="Arial" w:hAnsi="Arial" w:cs="Arial"/>
          <w:sz w:val="20"/>
          <w:szCs w:val="20"/>
        </w:rPr>
        <w:t>Theobroma cacao</w:t>
      </w:r>
      <w:commentRangeEnd w:id="23"/>
      <w:r>
        <w:commentReference w:id="23"/>
      </w:r>
      <w:r>
        <w:rPr>
          <w:rFonts w:ascii="Arial" w:hAnsi="Arial" w:cs="Arial"/>
          <w:sz w:val="20"/>
          <w:szCs w:val="20"/>
        </w:rPr>
        <w:t xml:space="preserve"> L.) Genotypes to Water Deficit Stress Condition. </w:t>
      </w:r>
      <w:r>
        <w:rPr>
          <w:rFonts w:ascii="Arial" w:hAnsi="Arial" w:cs="Arial"/>
          <w:i/>
          <w:iCs/>
          <w:sz w:val="20"/>
          <w:szCs w:val="20"/>
        </w:rPr>
        <w:t>Environment and Ecology</w:t>
      </w:r>
      <w:r>
        <w:rPr>
          <w:rFonts w:ascii="Arial" w:hAnsi="Arial" w:cs="Arial"/>
          <w:sz w:val="20"/>
          <w:szCs w:val="20"/>
        </w:rPr>
        <w:t>, </w:t>
      </w:r>
      <w:r>
        <w:rPr>
          <w:rFonts w:ascii="Arial" w:hAnsi="Arial" w:cs="Arial"/>
          <w:i/>
          <w:iCs/>
          <w:sz w:val="20"/>
          <w:szCs w:val="20"/>
        </w:rPr>
        <w:t>41</w:t>
      </w:r>
      <w:r>
        <w:rPr>
          <w:rFonts w:ascii="Arial" w:hAnsi="Arial" w:cs="Arial"/>
          <w:sz w:val="20"/>
          <w:szCs w:val="20"/>
        </w:rPr>
        <w:t>(2), pp.824-830.</w:t>
      </w:r>
    </w:p>
    <w:p w14:paraId="600AA931">
      <w:pPr>
        <w:ind w:left="720" w:hanging="720"/>
        <w:jc w:val="both"/>
        <w:rPr>
          <w:rFonts w:ascii="Arial" w:hAnsi="Arial" w:cs="Arial"/>
          <w:sz w:val="20"/>
          <w:szCs w:val="20"/>
        </w:rPr>
      </w:pPr>
      <w:r>
        <w:rPr>
          <w:rFonts w:ascii="Arial" w:hAnsi="Arial" w:cs="Arial"/>
          <w:sz w:val="20"/>
          <w:szCs w:val="20"/>
        </w:rPr>
        <w:t>Binimol B. Identification of drought tolerant cocoa types. Thrissur: M.Sc. (Ag.) Thesis, Kerala Agricultural University; 2005. p. 95.</w:t>
      </w:r>
    </w:p>
    <w:p w14:paraId="1409B690">
      <w:pPr>
        <w:ind w:left="720" w:hanging="720"/>
        <w:jc w:val="both"/>
        <w:rPr>
          <w:rFonts w:ascii="Arial" w:hAnsi="Arial" w:cs="Arial"/>
          <w:sz w:val="20"/>
          <w:szCs w:val="20"/>
        </w:rPr>
      </w:pPr>
      <w:r>
        <w:rPr>
          <w:rFonts w:ascii="Arial" w:hAnsi="Arial" w:cs="Arial"/>
          <w:sz w:val="20"/>
          <w:szCs w:val="20"/>
        </w:rPr>
        <w:t>Bates, L.S., Waldren, R.P.A. &amp; Teare, I.D., 1973. Rapid determination of free proline for water-stress studies. </w:t>
      </w:r>
      <w:r>
        <w:rPr>
          <w:rFonts w:ascii="Arial" w:hAnsi="Arial" w:cs="Arial"/>
          <w:i/>
          <w:iCs/>
          <w:sz w:val="20"/>
          <w:szCs w:val="20"/>
        </w:rPr>
        <w:t>Plant and soil</w:t>
      </w:r>
      <w:r>
        <w:rPr>
          <w:rFonts w:ascii="Arial" w:hAnsi="Arial" w:cs="Arial"/>
          <w:sz w:val="20"/>
          <w:szCs w:val="20"/>
        </w:rPr>
        <w:t>, </w:t>
      </w:r>
      <w:r>
        <w:rPr>
          <w:rFonts w:ascii="Arial" w:hAnsi="Arial" w:cs="Arial"/>
          <w:i/>
          <w:iCs/>
          <w:sz w:val="20"/>
          <w:szCs w:val="20"/>
        </w:rPr>
        <w:t>39</w:t>
      </w:r>
      <w:r>
        <w:rPr>
          <w:rFonts w:ascii="Arial" w:hAnsi="Arial" w:cs="Arial"/>
          <w:sz w:val="20"/>
          <w:szCs w:val="20"/>
        </w:rPr>
        <w:t>, pp.205-207.</w:t>
      </w:r>
    </w:p>
    <w:p w14:paraId="53AD6C28">
      <w:pPr>
        <w:ind w:left="720" w:hanging="720"/>
        <w:jc w:val="both"/>
        <w:rPr>
          <w:rFonts w:ascii="Arial" w:hAnsi="Arial" w:cs="Arial"/>
          <w:sz w:val="20"/>
          <w:szCs w:val="20"/>
        </w:rPr>
      </w:pPr>
      <w:r>
        <w:rPr>
          <w:rFonts w:ascii="Arial" w:hAnsi="Arial" w:cs="Arial"/>
          <w:sz w:val="20"/>
          <w:szCs w:val="20"/>
        </w:rPr>
        <w:t>Grieve, C.M. &amp; Grattan, S.R., 1983. Rapid assay for determination of water soluble quaternary ammonium compounds. </w:t>
      </w:r>
      <w:r>
        <w:rPr>
          <w:rFonts w:ascii="Arial" w:hAnsi="Arial" w:cs="Arial"/>
          <w:i/>
          <w:iCs/>
          <w:sz w:val="20"/>
          <w:szCs w:val="20"/>
        </w:rPr>
        <w:t>Plant and soil</w:t>
      </w:r>
      <w:r>
        <w:rPr>
          <w:rFonts w:ascii="Arial" w:hAnsi="Arial" w:cs="Arial"/>
          <w:sz w:val="20"/>
          <w:szCs w:val="20"/>
        </w:rPr>
        <w:t>, </w:t>
      </w:r>
      <w:r>
        <w:rPr>
          <w:rFonts w:ascii="Arial" w:hAnsi="Arial" w:cs="Arial"/>
          <w:i/>
          <w:iCs/>
          <w:sz w:val="20"/>
          <w:szCs w:val="20"/>
        </w:rPr>
        <w:t>70</w:t>
      </w:r>
      <w:r>
        <w:rPr>
          <w:rFonts w:ascii="Arial" w:hAnsi="Arial" w:cs="Arial"/>
          <w:sz w:val="20"/>
          <w:szCs w:val="20"/>
        </w:rPr>
        <w:t>, pp.303-307.</w:t>
      </w:r>
    </w:p>
    <w:p w14:paraId="3F1B1D10">
      <w:pPr>
        <w:ind w:left="720" w:hanging="720"/>
        <w:jc w:val="both"/>
        <w:rPr>
          <w:rFonts w:ascii="Arial" w:hAnsi="Arial" w:cs="Arial"/>
          <w:sz w:val="20"/>
          <w:szCs w:val="20"/>
        </w:rPr>
      </w:pPr>
      <w:r>
        <w:rPr>
          <w:rFonts w:ascii="Arial" w:hAnsi="Arial" w:cs="Arial"/>
          <w:sz w:val="20"/>
          <w:szCs w:val="20"/>
        </w:rPr>
        <w:t>Evans, H.J. &amp; Nason, A., 1953. Pyridine nucleotide-nitrate reductase from extracts of higher plants. </w:t>
      </w:r>
      <w:r>
        <w:rPr>
          <w:rFonts w:ascii="Arial" w:hAnsi="Arial" w:cs="Arial"/>
          <w:i/>
          <w:iCs/>
          <w:sz w:val="20"/>
          <w:szCs w:val="20"/>
        </w:rPr>
        <w:t>Plant physiology</w:t>
      </w:r>
      <w:r>
        <w:rPr>
          <w:rFonts w:ascii="Arial" w:hAnsi="Arial" w:cs="Arial"/>
          <w:sz w:val="20"/>
          <w:szCs w:val="20"/>
        </w:rPr>
        <w:t>, </w:t>
      </w:r>
      <w:r>
        <w:rPr>
          <w:rFonts w:ascii="Arial" w:hAnsi="Arial" w:cs="Arial"/>
          <w:i/>
          <w:iCs/>
          <w:sz w:val="20"/>
          <w:szCs w:val="20"/>
        </w:rPr>
        <w:t>28</w:t>
      </w:r>
      <w:r>
        <w:rPr>
          <w:rFonts w:ascii="Arial" w:hAnsi="Arial" w:cs="Arial"/>
          <w:sz w:val="20"/>
          <w:szCs w:val="20"/>
        </w:rPr>
        <w:t>(2), p.233.</w:t>
      </w:r>
    </w:p>
    <w:p w14:paraId="0E36C32F">
      <w:pPr>
        <w:ind w:left="720" w:hanging="720"/>
        <w:jc w:val="both"/>
        <w:rPr>
          <w:rFonts w:ascii="Arial" w:hAnsi="Arial" w:cs="Arial"/>
          <w:sz w:val="20"/>
          <w:szCs w:val="20"/>
        </w:rPr>
      </w:pPr>
      <w:r>
        <w:rPr>
          <w:rFonts w:ascii="Arial" w:hAnsi="Arial" w:cs="Arial"/>
          <w:sz w:val="20"/>
          <w:szCs w:val="20"/>
        </w:rPr>
        <w:t>Dhindsa, R.S., Plumb-Dhindsa, P.A.M.E.L.A. &amp; Thorpe, T.A., 1981. Leaf senescence: correlated with increased levels of membrane permeability and lipid peroxidation, and decreased levels of superoxide dismutase and catalase. </w:t>
      </w:r>
      <w:r>
        <w:rPr>
          <w:rFonts w:ascii="Arial" w:hAnsi="Arial" w:cs="Arial"/>
          <w:i/>
          <w:iCs/>
          <w:sz w:val="20"/>
          <w:szCs w:val="20"/>
        </w:rPr>
        <w:t>Journal of Experimental botany</w:t>
      </w:r>
      <w:r>
        <w:rPr>
          <w:rFonts w:ascii="Arial" w:hAnsi="Arial" w:cs="Arial"/>
          <w:sz w:val="20"/>
          <w:szCs w:val="20"/>
        </w:rPr>
        <w:t>, </w:t>
      </w:r>
      <w:r>
        <w:rPr>
          <w:rFonts w:ascii="Arial" w:hAnsi="Arial" w:cs="Arial"/>
          <w:i/>
          <w:iCs/>
          <w:sz w:val="20"/>
          <w:szCs w:val="20"/>
        </w:rPr>
        <w:t>32</w:t>
      </w:r>
      <w:r>
        <w:rPr>
          <w:rFonts w:ascii="Arial" w:hAnsi="Arial" w:cs="Arial"/>
          <w:sz w:val="20"/>
          <w:szCs w:val="20"/>
        </w:rPr>
        <w:t>(1), pp.93-101.</w:t>
      </w:r>
    </w:p>
    <w:p w14:paraId="65EAA9C7">
      <w:pPr>
        <w:ind w:left="720" w:hanging="720"/>
        <w:jc w:val="both"/>
        <w:rPr>
          <w:rFonts w:ascii="Arial" w:hAnsi="Arial" w:cs="Arial"/>
          <w:sz w:val="20"/>
          <w:szCs w:val="20"/>
        </w:rPr>
      </w:pPr>
      <w:r>
        <w:rPr>
          <w:rFonts w:ascii="Arial" w:hAnsi="Arial" w:cs="Arial"/>
          <w:sz w:val="20"/>
          <w:szCs w:val="20"/>
        </w:rPr>
        <w:t>Paniagua-Michel, J. &amp; Olmos-Soto, J., 2016. Modern approaches into biochemical and molecular biomarkers: key roles in environmental biotechnology. </w:t>
      </w:r>
      <w:r>
        <w:rPr>
          <w:rFonts w:ascii="Arial" w:hAnsi="Arial" w:cs="Arial"/>
          <w:i/>
          <w:iCs/>
          <w:sz w:val="20"/>
          <w:szCs w:val="20"/>
        </w:rPr>
        <w:t>J Biotechnol Biomater</w:t>
      </w:r>
      <w:r>
        <w:rPr>
          <w:rFonts w:ascii="Arial" w:hAnsi="Arial" w:cs="Arial"/>
          <w:sz w:val="20"/>
          <w:szCs w:val="20"/>
        </w:rPr>
        <w:t>, </w:t>
      </w:r>
      <w:r>
        <w:rPr>
          <w:rFonts w:ascii="Arial" w:hAnsi="Arial" w:cs="Arial"/>
          <w:i/>
          <w:iCs/>
          <w:sz w:val="20"/>
          <w:szCs w:val="20"/>
        </w:rPr>
        <w:t>6</w:t>
      </w:r>
      <w:r>
        <w:rPr>
          <w:rFonts w:ascii="Arial" w:hAnsi="Arial" w:cs="Arial"/>
          <w:sz w:val="20"/>
          <w:szCs w:val="20"/>
        </w:rPr>
        <w:t>(216), p.2.</w:t>
      </w:r>
    </w:p>
    <w:p w14:paraId="768030F9">
      <w:pPr>
        <w:ind w:left="720" w:hanging="720"/>
        <w:jc w:val="both"/>
        <w:rPr>
          <w:rFonts w:ascii="Arial" w:hAnsi="Arial" w:cs="Arial"/>
          <w:sz w:val="20"/>
          <w:szCs w:val="20"/>
        </w:rPr>
      </w:pPr>
      <w:r>
        <w:rPr>
          <w:rFonts w:ascii="Arial" w:hAnsi="Arial" w:cs="Arial"/>
          <w:sz w:val="20"/>
          <w:szCs w:val="20"/>
        </w:rPr>
        <w:t>Bodaghi, A., Fattahi, N. &amp; Ramazani, A., 2023. Biomarkers: Promising and valuable tools towards diagnosis, prognosis and treatment of Covid-19 and other diseases. </w:t>
      </w:r>
      <w:r>
        <w:rPr>
          <w:rFonts w:ascii="Arial" w:hAnsi="Arial" w:cs="Arial"/>
          <w:i/>
          <w:iCs/>
          <w:sz w:val="20"/>
          <w:szCs w:val="20"/>
        </w:rPr>
        <w:t>Heliyon</w:t>
      </w:r>
      <w:r>
        <w:rPr>
          <w:rFonts w:ascii="Arial" w:hAnsi="Arial" w:cs="Arial"/>
          <w:sz w:val="20"/>
          <w:szCs w:val="20"/>
        </w:rPr>
        <w:t>, </w:t>
      </w:r>
      <w:r>
        <w:rPr>
          <w:rFonts w:ascii="Arial" w:hAnsi="Arial" w:cs="Arial"/>
          <w:i/>
          <w:iCs/>
          <w:sz w:val="20"/>
          <w:szCs w:val="20"/>
        </w:rPr>
        <w:t>9</w:t>
      </w:r>
      <w:r>
        <w:rPr>
          <w:rFonts w:ascii="Arial" w:hAnsi="Arial" w:cs="Arial"/>
          <w:sz w:val="20"/>
          <w:szCs w:val="20"/>
        </w:rPr>
        <w:t>(2).</w:t>
      </w:r>
    </w:p>
    <w:p w14:paraId="2EE3C010">
      <w:pPr>
        <w:ind w:left="720" w:hanging="720"/>
        <w:jc w:val="both"/>
        <w:rPr>
          <w:rFonts w:ascii="Arial" w:hAnsi="Arial" w:cs="Arial"/>
          <w:sz w:val="20"/>
          <w:szCs w:val="20"/>
        </w:rPr>
      </w:pPr>
      <w:r>
        <w:rPr>
          <w:rFonts w:ascii="Arial" w:hAnsi="Arial" w:cs="Arial"/>
          <w:sz w:val="20"/>
          <w:szCs w:val="20"/>
        </w:rPr>
        <w:t>Darwish, D.S., Shrief, S.A., Fahmy, G.M., Madany, M.M.Y., Saleh, A.M. &amp; Al-Juboori, R.M., 2016. Influence of three soil moisture levels on early growth and proline content of some faba bean genotypes. </w:t>
      </w:r>
      <w:r>
        <w:rPr>
          <w:rFonts w:ascii="Arial" w:hAnsi="Arial" w:cs="Arial"/>
          <w:i/>
          <w:iCs/>
          <w:sz w:val="20"/>
          <w:szCs w:val="20"/>
        </w:rPr>
        <w:t>International Journal of Chem. Tech Research</w:t>
      </w:r>
      <w:r>
        <w:rPr>
          <w:rFonts w:ascii="Arial" w:hAnsi="Arial" w:cs="Arial"/>
          <w:sz w:val="20"/>
          <w:szCs w:val="20"/>
        </w:rPr>
        <w:t>, </w:t>
      </w:r>
      <w:r>
        <w:rPr>
          <w:rFonts w:ascii="Arial" w:hAnsi="Arial" w:cs="Arial"/>
          <w:i/>
          <w:iCs/>
          <w:sz w:val="20"/>
          <w:szCs w:val="20"/>
        </w:rPr>
        <w:t>9</w:t>
      </w:r>
      <w:r>
        <w:rPr>
          <w:rFonts w:ascii="Arial" w:hAnsi="Arial" w:cs="Arial"/>
          <w:sz w:val="20"/>
          <w:szCs w:val="20"/>
        </w:rPr>
        <w:t>, p.0.</w:t>
      </w:r>
    </w:p>
    <w:p w14:paraId="724BE62C">
      <w:pPr>
        <w:ind w:left="720" w:hanging="720"/>
        <w:jc w:val="both"/>
        <w:rPr>
          <w:rFonts w:ascii="Arial" w:hAnsi="Arial" w:cs="Arial"/>
          <w:sz w:val="20"/>
          <w:szCs w:val="20"/>
        </w:rPr>
      </w:pPr>
      <w:r>
        <w:rPr>
          <w:rFonts w:ascii="Arial" w:hAnsi="Arial" w:cs="Arial"/>
          <w:sz w:val="20"/>
          <w:szCs w:val="20"/>
        </w:rPr>
        <w:t>Wang, Z., Yang, Y., Yadav, V., Zhao, W., He, Y., Zhang, X. &amp; Wei, C., 2022. Drought-induced proline is mainly synthesized in leaves and transported to roots in watermelon under water deficit. </w:t>
      </w:r>
      <w:r>
        <w:rPr>
          <w:rFonts w:ascii="Arial" w:hAnsi="Arial" w:cs="Arial"/>
          <w:i/>
          <w:iCs/>
          <w:sz w:val="20"/>
          <w:szCs w:val="20"/>
        </w:rPr>
        <w:t>Horticultural Plant Journal</w:t>
      </w:r>
      <w:r>
        <w:rPr>
          <w:rFonts w:ascii="Arial" w:hAnsi="Arial" w:cs="Arial"/>
          <w:sz w:val="20"/>
          <w:szCs w:val="20"/>
        </w:rPr>
        <w:t>, </w:t>
      </w:r>
      <w:r>
        <w:rPr>
          <w:rFonts w:ascii="Arial" w:hAnsi="Arial" w:cs="Arial"/>
          <w:i/>
          <w:iCs/>
          <w:sz w:val="20"/>
          <w:szCs w:val="20"/>
        </w:rPr>
        <w:t>8</w:t>
      </w:r>
      <w:r>
        <w:rPr>
          <w:rFonts w:ascii="Arial" w:hAnsi="Arial" w:cs="Arial"/>
          <w:sz w:val="20"/>
          <w:szCs w:val="20"/>
        </w:rPr>
        <w:t>(5), pp.615-626.</w:t>
      </w:r>
    </w:p>
    <w:p w14:paraId="64CA274F">
      <w:pPr>
        <w:ind w:left="720" w:hanging="720"/>
        <w:jc w:val="both"/>
        <w:rPr>
          <w:rFonts w:ascii="Arial" w:hAnsi="Arial" w:cs="Arial"/>
          <w:sz w:val="20"/>
          <w:szCs w:val="20"/>
        </w:rPr>
      </w:pPr>
      <w:r>
        <w:rPr>
          <w:rFonts w:ascii="Arial" w:hAnsi="Arial" w:cs="Arial"/>
          <w:sz w:val="20"/>
          <w:szCs w:val="20"/>
        </w:rPr>
        <w:t>Ashraf, M.F.M.R. &amp; Foolad, M.R., 2007. Roles of glycine betaine and proline in improving plant abiotic stress resistance. </w:t>
      </w:r>
      <w:r>
        <w:rPr>
          <w:rFonts w:ascii="Arial" w:hAnsi="Arial" w:cs="Arial"/>
          <w:i/>
          <w:iCs/>
          <w:sz w:val="20"/>
          <w:szCs w:val="20"/>
        </w:rPr>
        <w:t>Environmental and experimental botany</w:t>
      </w:r>
      <w:r>
        <w:rPr>
          <w:rFonts w:ascii="Arial" w:hAnsi="Arial" w:cs="Arial"/>
          <w:sz w:val="20"/>
          <w:szCs w:val="20"/>
        </w:rPr>
        <w:t>, </w:t>
      </w:r>
      <w:r>
        <w:rPr>
          <w:rFonts w:ascii="Arial" w:hAnsi="Arial" w:cs="Arial"/>
          <w:i/>
          <w:iCs/>
          <w:sz w:val="20"/>
          <w:szCs w:val="20"/>
        </w:rPr>
        <w:t>59</w:t>
      </w:r>
      <w:r>
        <w:rPr>
          <w:rFonts w:ascii="Arial" w:hAnsi="Arial" w:cs="Arial"/>
          <w:sz w:val="20"/>
          <w:szCs w:val="20"/>
        </w:rPr>
        <w:t>(2), pp.206-216.</w:t>
      </w:r>
    </w:p>
    <w:p w14:paraId="3A52EF52">
      <w:pPr>
        <w:ind w:left="720" w:hanging="720"/>
        <w:jc w:val="both"/>
        <w:rPr>
          <w:rFonts w:ascii="Arial" w:hAnsi="Arial" w:cs="Arial"/>
          <w:sz w:val="20"/>
          <w:szCs w:val="20"/>
        </w:rPr>
      </w:pPr>
      <w:r>
        <w:rPr>
          <w:rFonts w:ascii="Arial" w:hAnsi="Arial" w:cs="Arial"/>
          <w:sz w:val="20"/>
          <w:szCs w:val="20"/>
        </w:rPr>
        <w:t>Altuntaş, C., Demiralay, M., Sezgin Muslu, A. &amp; Terzi, R., 2020. Proline-stimulated signaling primarily targets the chlorophyll degradation pathway and photosynthesis associated processes to cope with short-term water deficit in maize. </w:t>
      </w:r>
      <w:r>
        <w:rPr>
          <w:rFonts w:ascii="Arial" w:hAnsi="Arial" w:cs="Arial"/>
          <w:i/>
          <w:iCs/>
          <w:sz w:val="20"/>
          <w:szCs w:val="20"/>
        </w:rPr>
        <w:t>Photosynthesis Research</w:t>
      </w:r>
      <w:r>
        <w:rPr>
          <w:rFonts w:ascii="Arial" w:hAnsi="Arial" w:cs="Arial"/>
          <w:sz w:val="20"/>
          <w:szCs w:val="20"/>
        </w:rPr>
        <w:t>, </w:t>
      </w:r>
      <w:r>
        <w:rPr>
          <w:rFonts w:ascii="Arial" w:hAnsi="Arial" w:cs="Arial"/>
          <w:i/>
          <w:iCs/>
          <w:sz w:val="20"/>
          <w:szCs w:val="20"/>
        </w:rPr>
        <w:t>144</w:t>
      </w:r>
      <w:r>
        <w:rPr>
          <w:rFonts w:ascii="Arial" w:hAnsi="Arial" w:cs="Arial"/>
          <w:sz w:val="20"/>
          <w:szCs w:val="20"/>
        </w:rPr>
        <w:t>, pp.35-48.</w:t>
      </w:r>
    </w:p>
    <w:p w14:paraId="1AB3ECAA">
      <w:pPr>
        <w:ind w:left="720" w:hanging="720"/>
        <w:jc w:val="both"/>
        <w:rPr>
          <w:rFonts w:ascii="Arial" w:hAnsi="Arial" w:cs="Arial"/>
          <w:sz w:val="20"/>
          <w:szCs w:val="20"/>
        </w:rPr>
      </w:pPr>
      <w:r>
        <w:rPr>
          <w:rFonts w:ascii="Arial" w:hAnsi="Arial" w:cs="Arial"/>
          <w:sz w:val="20"/>
          <w:szCs w:val="20"/>
        </w:rPr>
        <w:t>Mwadzingeni, L., Shimelis, H., Tesfay, S. &amp; Tsilo, T.J., 2016. Screening of bread wheat genotypes for drought tolerance using phenotypic and proline analyses. </w:t>
      </w:r>
      <w:r>
        <w:rPr>
          <w:rFonts w:ascii="Arial" w:hAnsi="Arial" w:cs="Arial"/>
          <w:i/>
          <w:iCs/>
          <w:sz w:val="20"/>
          <w:szCs w:val="20"/>
        </w:rPr>
        <w:t>Frontiers in plant science</w:t>
      </w:r>
      <w:r>
        <w:rPr>
          <w:rFonts w:ascii="Arial" w:hAnsi="Arial" w:cs="Arial"/>
          <w:sz w:val="20"/>
          <w:szCs w:val="20"/>
        </w:rPr>
        <w:t>, </w:t>
      </w:r>
      <w:r>
        <w:rPr>
          <w:rFonts w:ascii="Arial" w:hAnsi="Arial" w:cs="Arial"/>
          <w:i/>
          <w:iCs/>
          <w:sz w:val="20"/>
          <w:szCs w:val="20"/>
        </w:rPr>
        <w:t>7</w:t>
      </w:r>
      <w:r>
        <w:rPr>
          <w:rFonts w:ascii="Arial" w:hAnsi="Arial" w:cs="Arial"/>
          <w:sz w:val="20"/>
          <w:szCs w:val="20"/>
        </w:rPr>
        <w:t>, p.1276.</w:t>
      </w:r>
    </w:p>
    <w:p w14:paraId="038B015D">
      <w:pPr>
        <w:ind w:left="720" w:hanging="720"/>
        <w:jc w:val="both"/>
        <w:rPr>
          <w:rFonts w:ascii="Arial" w:hAnsi="Arial" w:cs="Arial"/>
          <w:sz w:val="20"/>
          <w:szCs w:val="20"/>
        </w:rPr>
      </w:pPr>
      <w:r>
        <w:rPr>
          <w:rFonts w:ascii="Arial" w:hAnsi="Arial" w:cs="Arial"/>
          <w:sz w:val="20"/>
          <w:szCs w:val="20"/>
        </w:rPr>
        <w:t>Patil, S., Umesh, D.K. &amp; Rudragouda, C., 2019. Rootstock scion interaction effects on biochemical and gas exchange drought tolerant traits in arabica (</w:t>
      </w:r>
      <w:commentRangeStart w:id="24"/>
      <w:r>
        <w:rPr>
          <w:rFonts w:ascii="Arial" w:hAnsi="Arial" w:cs="Arial"/>
          <w:sz w:val="20"/>
          <w:szCs w:val="20"/>
        </w:rPr>
        <w:t>Coffea arabica</w:t>
      </w:r>
      <w:commentRangeEnd w:id="24"/>
      <w:r>
        <w:commentReference w:id="24"/>
      </w:r>
      <w:r>
        <w:rPr>
          <w:rFonts w:ascii="Arial" w:hAnsi="Arial" w:cs="Arial"/>
          <w:sz w:val="20"/>
          <w:szCs w:val="20"/>
        </w:rPr>
        <w:t xml:space="preserve"> L.) coffee. </w:t>
      </w:r>
      <w:r>
        <w:rPr>
          <w:rFonts w:ascii="Arial" w:hAnsi="Arial" w:cs="Arial"/>
          <w:i/>
          <w:iCs/>
          <w:sz w:val="20"/>
          <w:szCs w:val="20"/>
        </w:rPr>
        <w:t>Plant Physiology Reports</w:t>
      </w:r>
      <w:r>
        <w:rPr>
          <w:rFonts w:ascii="Arial" w:hAnsi="Arial" w:cs="Arial"/>
          <w:sz w:val="20"/>
          <w:szCs w:val="20"/>
        </w:rPr>
        <w:t>, </w:t>
      </w:r>
      <w:r>
        <w:rPr>
          <w:rFonts w:ascii="Arial" w:hAnsi="Arial" w:cs="Arial"/>
          <w:i/>
          <w:iCs/>
          <w:sz w:val="20"/>
          <w:szCs w:val="20"/>
        </w:rPr>
        <w:t>24</w:t>
      </w:r>
      <w:r>
        <w:rPr>
          <w:rFonts w:ascii="Arial" w:hAnsi="Arial" w:cs="Arial"/>
          <w:sz w:val="20"/>
          <w:szCs w:val="20"/>
        </w:rPr>
        <w:t>(3), pp.316-327.</w:t>
      </w:r>
    </w:p>
    <w:p w14:paraId="06C00AD4">
      <w:pPr>
        <w:ind w:left="720" w:hanging="720"/>
        <w:jc w:val="both"/>
        <w:rPr>
          <w:rFonts w:ascii="Arial" w:hAnsi="Arial" w:cs="Arial"/>
          <w:sz w:val="20"/>
          <w:szCs w:val="20"/>
        </w:rPr>
      </w:pPr>
      <w:r>
        <w:rPr>
          <w:rFonts w:ascii="Arial" w:hAnsi="Arial" w:cs="Arial"/>
          <w:sz w:val="20"/>
          <w:szCs w:val="20"/>
        </w:rPr>
        <w:t>Rahimi, M., SafaeiChaeikar, S., Seraji, A. &amp; Azadi, R., 2019. Evaluation tea clones based on drought tolerance indices and multivariate analysis. </w:t>
      </w:r>
      <w:r>
        <w:rPr>
          <w:rFonts w:ascii="Arial" w:hAnsi="Arial" w:cs="Arial"/>
          <w:i/>
          <w:iCs/>
          <w:sz w:val="20"/>
          <w:szCs w:val="20"/>
        </w:rPr>
        <w:t>Int J Mod Agric</w:t>
      </w:r>
      <w:r>
        <w:rPr>
          <w:rFonts w:ascii="Arial" w:hAnsi="Arial" w:cs="Arial"/>
          <w:sz w:val="20"/>
          <w:szCs w:val="20"/>
        </w:rPr>
        <w:t>, </w:t>
      </w:r>
      <w:r>
        <w:rPr>
          <w:rFonts w:ascii="Arial" w:hAnsi="Arial" w:cs="Arial"/>
          <w:i/>
          <w:iCs/>
          <w:sz w:val="20"/>
          <w:szCs w:val="20"/>
        </w:rPr>
        <w:t>8</w:t>
      </w:r>
      <w:r>
        <w:rPr>
          <w:rFonts w:ascii="Arial" w:hAnsi="Arial" w:cs="Arial"/>
          <w:sz w:val="20"/>
          <w:szCs w:val="20"/>
        </w:rPr>
        <w:t>(2), pp.27-35.</w:t>
      </w:r>
    </w:p>
    <w:p w14:paraId="106C29C8">
      <w:pPr>
        <w:ind w:left="720" w:hanging="720"/>
        <w:jc w:val="both"/>
        <w:rPr>
          <w:rFonts w:ascii="Arial" w:hAnsi="Arial" w:cs="Arial"/>
          <w:sz w:val="20"/>
          <w:szCs w:val="20"/>
        </w:rPr>
      </w:pPr>
      <w:r>
        <w:rPr>
          <w:rFonts w:ascii="Arial" w:hAnsi="Arial" w:cs="Arial"/>
          <w:sz w:val="20"/>
          <w:szCs w:val="20"/>
        </w:rPr>
        <w:t>Tisarum, R., Theerawitaya, C., Praseartkul, P., Chungloo, D., Ullah, H., Himanshu, S.K., Datta, A. &amp; Cha-Um, S., 2024. Screening cotton genotypes for their drought tolerance ability based on the expression level of dehydration-responsive element-binding protein and proline biosynthesis-related genes and morpho-physio-biochemical responses. </w:t>
      </w:r>
      <w:r>
        <w:rPr>
          <w:rFonts w:ascii="Arial" w:hAnsi="Arial" w:cs="Arial"/>
          <w:i/>
          <w:iCs/>
          <w:sz w:val="20"/>
          <w:szCs w:val="20"/>
        </w:rPr>
        <w:t>Protoplasma</w:t>
      </w:r>
      <w:r>
        <w:rPr>
          <w:rFonts w:ascii="Arial" w:hAnsi="Arial" w:cs="Arial"/>
          <w:sz w:val="20"/>
          <w:szCs w:val="20"/>
        </w:rPr>
        <w:t>, </w:t>
      </w:r>
      <w:r>
        <w:rPr>
          <w:rFonts w:ascii="Arial" w:hAnsi="Arial" w:cs="Arial"/>
          <w:i/>
          <w:iCs/>
          <w:sz w:val="20"/>
          <w:szCs w:val="20"/>
        </w:rPr>
        <w:t>261</w:t>
      </w:r>
      <w:r>
        <w:rPr>
          <w:rFonts w:ascii="Arial" w:hAnsi="Arial" w:cs="Arial"/>
          <w:sz w:val="20"/>
          <w:szCs w:val="20"/>
        </w:rPr>
        <w:t>(4), pp.783-798.</w:t>
      </w:r>
    </w:p>
    <w:p w14:paraId="208B8B11">
      <w:pPr>
        <w:ind w:left="720" w:hanging="720"/>
        <w:jc w:val="both"/>
        <w:rPr>
          <w:rFonts w:ascii="Arial" w:hAnsi="Arial" w:cs="Arial"/>
          <w:sz w:val="20"/>
          <w:szCs w:val="20"/>
        </w:rPr>
      </w:pPr>
      <w:r>
        <w:rPr>
          <w:rFonts w:ascii="Arial" w:hAnsi="Arial" w:cs="Arial"/>
          <w:sz w:val="20"/>
          <w:szCs w:val="20"/>
        </w:rPr>
        <w:t>Campbell, W.H., 1988. Nitrate reductase and its role in nitrate assimilation in plants. </w:t>
      </w:r>
      <w:r>
        <w:rPr>
          <w:rFonts w:ascii="Arial" w:hAnsi="Arial" w:cs="Arial"/>
          <w:i/>
          <w:iCs/>
          <w:sz w:val="20"/>
          <w:szCs w:val="20"/>
        </w:rPr>
        <w:t>Physiologia Plantarum</w:t>
      </w:r>
      <w:r>
        <w:rPr>
          <w:rFonts w:ascii="Arial" w:hAnsi="Arial" w:cs="Arial"/>
          <w:sz w:val="20"/>
          <w:szCs w:val="20"/>
        </w:rPr>
        <w:t>, </w:t>
      </w:r>
      <w:r>
        <w:rPr>
          <w:rFonts w:ascii="Arial" w:hAnsi="Arial" w:cs="Arial"/>
          <w:i/>
          <w:iCs/>
          <w:sz w:val="20"/>
          <w:szCs w:val="20"/>
        </w:rPr>
        <w:t>74</w:t>
      </w:r>
      <w:r>
        <w:rPr>
          <w:rFonts w:ascii="Arial" w:hAnsi="Arial" w:cs="Arial"/>
          <w:sz w:val="20"/>
          <w:szCs w:val="20"/>
        </w:rPr>
        <w:t>(1), pp.214-219.</w:t>
      </w:r>
    </w:p>
    <w:p w14:paraId="2462C180">
      <w:pPr>
        <w:ind w:left="720" w:hanging="720"/>
        <w:jc w:val="both"/>
        <w:rPr>
          <w:rFonts w:ascii="Arial" w:hAnsi="Arial" w:cs="Arial"/>
          <w:sz w:val="20"/>
          <w:szCs w:val="20"/>
        </w:rPr>
      </w:pPr>
      <w:r>
        <w:rPr>
          <w:rFonts w:ascii="Arial" w:hAnsi="Arial" w:cs="Arial"/>
          <w:sz w:val="20"/>
          <w:szCs w:val="20"/>
        </w:rPr>
        <w:t>Caravaca, F., Figueroa, D., Barea, J.M., Azcon-Aguilar, C. &amp; Roldan, A., 2004. Effect of mycorrhizal inoculation on nutrient acquisition, gas exchange, and nitrate reductase activity of two Mediterranean-autochthonous shrub species under drought stress. Journal of plant nutrition, 27(1), pp.57-74.</w:t>
      </w:r>
    </w:p>
    <w:p w14:paraId="7BA6196C">
      <w:pPr>
        <w:ind w:left="720" w:hanging="720"/>
        <w:jc w:val="both"/>
        <w:rPr>
          <w:rFonts w:ascii="Arial" w:hAnsi="Arial" w:cs="Arial"/>
          <w:sz w:val="20"/>
          <w:szCs w:val="20"/>
        </w:rPr>
      </w:pPr>
      <w:r>
        <w:rPr>
          <w:rFonts w:ascii="Arial" w:hAnsi="Arial" w:cs="Arial"/>
          <w:sz w:val="20"/>
          <w:szCs w:val="20"/>
        </w:rPr>
        <w:t>Chamizo-Ampudia, A., Sanz-Luque, E., Llamas, A., Galvan, A. &amp; Fernandez, E., 2017. Nitrate reductase regulates plant nitric oxide homeostasis. </w:t>
      </w:r>
      <w:r>
        <w:rPr>
          <w:rFonts w:ascii="Arial" w:hAnsi="Arial" w:cs="Arial"/>
          <w:i/>
          <w:iCs/>
          <w:sz w:val="20"/>
          <w:szCs w:val="20"/>
        </w:rPr>
        <w:t>Trends in plant science</w:t>
      </w:r>
      <w:r>
        <w:rPr>
          <w:rFonts w:ascii="Arial" w:hAnsi="Arial" w:cs="Arial"/>
          <w:sz w:val="20"/>
          <w:szCs w:val="20"/>
        </w:rPr>
        <w:t>, </w:t>
      </w:r>
      <w:r>
        <w:rPr>
          <w:rFonts w:ascii="Arial" w:hAnsi="Arial" w:cs="Arial"/>
          <w:i/>
          <w:iCs/>
          <w:sz w:val="20"/>
          <w:szCs w:val="20"/>
        </w:rPr>
        <w:t>22</w:t>
      </w:r>
      <w:r>
        <w:rPr>
          <w:rFonts w:ascii="Arial" w:hAnsi="Arial" w:cs="Arial"/>
          <w:sz w:val="20"/>
          <w:szCs w:val="20"/>
        </w:rPr>
        <w:t>(2), pp.163-174.</w:t>
      </w:r>
    </w:p>
    <w:p w14:paraId="2E2A40D7">
      <w:pPr>
        <w:ind w:left="720" w:hanging="720"/>
        <w:jc w:val="both"/>
        <w:rPr>
          <w:rFonts w:ascii="Arial" w:hAnsi="Arial" w:cs="Arial"/>
          <w:sz w:val="20"/>
          <w:szCs w:val="20"/>
        </w:rPr>
      </w:pPr>
      <w:r>
        <w:rPr>
          <w:rFonts w:ascii="Arial" w:hAnsi="Arial" w:cs="Arial"/>
          <w:sz w:val="20"/>
          <w:szCs w:val="20"/>
        </w:rPr>
        <w:t>Han, R.C., Li, C.Y., Rasheed, A., Pan, X.H., Shi, Q.H. &amp; Wu, Z.M., 2022. Reducing phosphorylation of nitrate reductase improves nitrate assimilation in rice. </w:t>
      </w:r>
      <w:r>
        <w:rPr>
          <w:rFonts w:ascii="Arial" w:hAnsi="Arial" w:cs="Arial"/>
          <w:i/>
          <w:iCs/>
          <w:sz w:val="20"/>
          <w:szCs w:val="20"/>
        </w:rPr>
        <w:t>Journal of Integrative Agriculture</w:t>
      </w:r>
      <w:r>
        <w:rPr>
          <w:rFonts w:ascii="Arial" w:hAnsi="Arial" w:cs="Arial"/>
          <w:sz w:val="20"/>
          <w:szCs w:val="20"/>
        </w:rPr>
        <w:t>, </w:t>
      </w:r>
      <w:r>
        <w:rPr>
          <w:rFonts w:ascii="Arial" w:hAnsi="Arial" w:cs="Arial"/>
          <w:i/>
          <w:iCs/>
          <w:sz w:val="20"/>
          <w:szCs w:val="20"/>
        </w:rPr>
        <w:t>21</w:t>
      </w:r>
      <w:r>
        <w:rPr>
          <w:rFonts w:ascii="Arial" w:hAnsi="Arial" w:cs="Arial"/>
          <w:sz w:val="20"/>
          <w:szCs w:val="20"/>
        </w:rPr>
        <w:t>(1), pp.15-25.</w:t>
      </w:r>
    </w:p>
    <w:p w14:paraId="260654A5">
      <w:pPr>
        <w:ind w:left="720" w:hanging="720"/>
        <w:jc w:val="both"/>
        <w:rPr>
          <w:rFonts w:ascii="Arial" w:hAnsi="Arial" w:cs="Arial"/>
          <w:sz w:val="20"/>
          <w:szCs w:val="20"/>
        </w:rPr>
      </w:pPr>
      <w:r>
        <w:rPr>
          <w:rFonts w:ascii="Arial" w:hAnsi="Arial" w:cs="Arial"/>
          <w:sz w:val="20"/>
          <w:szCs w:val="20"/>
        </w:rPr>
        <w:t>Foyer, C.H., Valadier, M.H., Migge, A. &amp; Becker, T.W., 1998. Drought-induced effects on nitrate reductase activity and mRNA and on the coordination of nitrogen and carbon metabolism in maize leaves. </w:t>
      </w:r>
      <w:r>
        <w:rPr>
          <w:rFonts w:ascii="Arial" w:hAnsi="Arial" w:cs="Arial"/>
          <w:i/>
          <w:iCs/>
          <w:sz w:val="20"/>
          <w:szCs w:val="20"/>
        </w:rPr>
        <w:t>Plant Physiology</w:t>
      </w:r>
      <w:r>
        <w:rPr>
          <w:rFonts w:ascii="Arial" w:hAnsi="Arial" w:cs="Arial"/>
          <w:sz w:val="20"/>
          <w:szCs w:val="20"/>
        </w:rPr>
        <w:t>, </w:t>
      </w:r>
      <w:r>
        <w:rPr>
          <w:rFonts w:ascii="Arial" w:hAnsi="Arial" w:cs="Arial"/>
          <w:i/>
          <w:iCs/>
          <w:sz w:val="20"/>
          <w:szCs w:val="20"/>
        </w:rPr>
        <w:t>117</w:t>
      </w:r>
      <w:r>
        <w:rPr>
          <w:rFonts w:ascii="Arial" w:hAnsi="Arial" w:cs="Arial"/>
          <w:sz w:val="20"/>
          <w:szCs w:val="20"/>
        </w:rPr>
        <w:t>(1), pp.283-292.</w:t>
      </w:r>
    </w:p>
    <w:p w14:paraId="5BE9FDEE">
      <w:pPr>
        <w:ind w:left="720" w:hanging="720"/>
        <w:jc w:val="both"/>
        <w:rPr>
          <w:rFonts w:ascii="Arial" w:hAnsi="Arial" w:cs="Arial"/>
          <w:sz w:val="20"/>
          <w:szCs w:val="20"/>
        </w:rPr>
      </w:pPr>
      <w:r>
        <w:rPr>
          <w:rFonts w:ascii="Arial" w:hAnsi="Arial" w:cs="Arial"/>
          <w:sz w:val="20"/>
          <w:szCs w:val="20"/>
        </w:rPr>
        <w:t>Zhou, H., Hou, L., Lv, X., Yang, G., Wang, Y. &amp; Wang, X., 2022. Compensatory growth as a response to post-drought in grassland. </w:t>
      </w:r>
      <w:r>
        <w:rPr>
          <w:rFonts w:ascii="Arial" w:hAnsi="Arial" w:cs="Arial"/>
          <w:i/>
          <w:iCs/>
          <w:sz w:val="20"/>
          <w:szCs w:val="20"/>
        </w:rPr>
        <w:t>Frontiers in Plant Science</w:t>
      </w:r>
      <w:r>
        <w:rPr>
          <w:rFonts w:ascii="Arial" w:hAnsi="Arial" w:cs="Arial"/>
          <w:sz w:val="20"/>
          <w:szCs w:val="20"/>
        </w:rPr>
        <w:t>, </w:t>
      </w:r>
      <w:r>
        <w:rPr>
          <w:rFonts w:ascii="Arial" w:hAnsi="Arial" w:cs="Arial"/>
          <w:i/>
          <w:iCs/>
          <w:sz w:val="20"/>
          <w:szCs w:val="20"/>
        </w:rPr>
        <w:t>13</w:t>
      </w:r>
      <w:r>
        <w:rPr>
          <w:rFonts w:ascii="Arial" w:hAnsi="Arial" w:cs="Arial"/>
          <w:sz w:val="20"/>
          <w:szCs w:val="20"/>
        </w:rPr>
        <w:t>, p.1004553.</w:t>
      </w:r>
    </w:p>
    <w:p w14:paraId="3ABF71F2">
      <w:pPr>
        <w:ind w:left="720" w:hanging="720"/>
        <w:jc w:val="both"/>
        <w:rPr>
          <w:rFonts w:ascii="Arial" w:hAnsi="Arial" w:cs="Arial"/>
          <w:sz w:val="20"/>
          <w:szCs w:val="20"/>
        </w:rPr>
      </w:pPr>
      <w:r>
        <w:rPr>
          <w:rFonts w:ascii="Arial" w:hAnsi="Arial" w:cs="Arial"/>
          <w:sz w:val="20"/>
          <w:szCs w:val="20"/>
        </w:rPr>
        <w:t>Baroowa, B. &amp; Gogoi, N., 2014. Biochemical changes in black gram and green gram genotypes after imposition of drought stress. </w:t>
      </w:r>
      <w:r>
        <w:rPr>
          <w:rFonts w:ascii="Arial" w:hAnsi="Arial" w:cs="Arial"/>
          <w:i/>
          <w:iCs/>
          <w:sz w:val="20"/>
          <w:szCs w:val="20"/>
        </w:rPr>
        <w:t>Journal of Food Legumes</w:t>
      </w:r>
      <w:r>
        <w:rPr>
          <w:rFonts w:ascii="Arial" w:hAnsi="Arial" w:cs="Arial"/>
          <w:sz w:val="20"/>
          <w:szCs w:val="20"/>
        </w:rPr>
        <w:t>, </w:t>
      </w:r>
      <w:r>
        <w:rPr>
          <w:rFonts w:ascii="Arial" w:hAnsi="Arial" w:cs="Arial"/>
          <w:i/>
          <w:iCs/>
          <w:sz w:val="20"/>
          <w:szCs w:val="20"/>
        </w:rPr>
        <w:t>27</w:t>
      </w:r>
      <w:r>
        <w:rPr>
          <w:rFonts w:ascii="Arial" w:hAnsi="Arial" w:cs="Arial"/>
          <w:sz w:val="20"/>
          <w:szCs w:val="20"/>
        </w:rPr>
        <w:t>(4), pp.350-353.</w:t>
      </w:r>
    </w:p>
    <w:p w14:paraId="5D832CA0">
      <w:pPr>
        <w:ind w:left="720" w:hanging="720"/>
        <w:jc w:val="both"/>
        <w:rPr>
          <w:rFonts w:ascii="Arial" w:hAnsi="Arial" w:cs="Arial"/>
          <w:sz w:val="20"/>
          <w:szCs w:val="20"/>
        </w:rPr>
      </w:pPr>
      <w:r>
        <w:rPr>
          <w:rFonts w:ascii="Arial" w:hAnsi="Arial" w:cs="Arial"/>
          <w:sz w:val="20"/>
          <w:szCs w:val="20"/>
        </w:rPr>
        <w:t>Chandra, A., Pathak, P.S., Bhatt, R.K. &amp; Dubey, A., 2004. Variation in drought tolerance of different Stylosanthes accessions. </w:t>
      </w:r>
      <w:r>
        <w:rPr>
          <w:rFonts w:ascii="Arial" w:hAnsi="Arial" w:cs="Arial"/>
          <w:i/>
          <w:iCs/>
          <w:sz w:val="20"/>
          <w:szCs w:val="20"/>
        </w:rPr>
        <w:t>Biologia plantarum</w:t>
      </w:r>
      <w:r>
        <w:rPr>
          <w:rFonts w:ascii="Arial" w:hAnsi="Arial" w:cs="Arial"/>
          <w:sz w:val="20"/>
          <w:szCs w:val="20"/>
        </w:rPr>
        <w:t>, </w:t>
      </w:r>
      <w:r>
        <w:rPr>
          <w:rFonts w:ascii="Arial" w:hAnsi="Arial" w:cs="Arial"/>
          <w:i/>
          <w:iCs/>
          <w:sz w:val="20"/>
          <w:szCs w:val="20"/>
        </w:rPr>
        <w:t>48</w:t>
      </w:r>
      <w:r>
        <w:rPr>
          <w:rFonts w:ascii="Arial" w:hAnsi="Arial" w:cs="Arial"/>
          <w:sz w:val="20"/>
          <w:szCs w:val="20"/>
        </w:rPr>
        <w:t>, pp.457-460.</w:t>
      </w:r>
    </w:p>
    <w:p w14:paraId="0C53DC8E">
      <w:pPr>
        <w:ind w:left="720" w:hanging="720"/>
        <w:jc w:val="both"/>
        <w:rPr>
          <w:rFonts w:ascii="Arial" w:hAnsi="Arial" w:cs="Arial"/>
          <w:sz w:val="20"/>
          <w:szCs w:val="20"/>
        </w:rPr>
      </w:pPr>
      <w:r>
        <w:rPr>
          <w:rFonts w:ascii="Arial" w:hAnsi="Arial" w:cs="Arial"/>
          <w:sz w:val="20"/>
          <w:szCs w:val="20"/>
        </w:rPr>
        <w:t>Caravaca F., Alguacil M.M., Hernández J.A., Roldán A. (2005): Involvement of antioxidant enzyme and nitrate reductase activities during water stress and recovery of mycorrhizal Myrtus communis and Phillyrea angustifolia plants. Plant Science, 169: 191–197</w:t>
      </w:r>
    </w:p>
    <w:p w14:paraId="0840F2AE">
      <w:pPr>
        <w:ind w:left="720" w:hanging="720"/>
        <w:jc w:val="both"/>
        <w:rPr>
          <w:rFonts w:ascii="Arial" w:hAnsi="Arial" w:cs="Arial"/>
          <w:sz w:val="20"/>
          <w:szCs w:val="20"/>
        </w:rPr>
      </w:pPr>
      <w:r>
        <w:rPr>
          <w:rFonts w:ascii="Arial" w:hAnsi="Arial" w:cs="Arial"/>
          <w:sz w:val="20"/>
          <w:szCs w:val="20"/>
        </w:rPr>
        <w:t>May S.K., Gu L.J., Cheng H.M. (2011): The role of nitrate reductase and nitrite reductase in plants. Advances in Biotechnology, 1: 159–164.</w:t>
      </w:r>
    </w:p>
    <w:p w14:paraId="3EAAAE70">
      <w:pPr>
        <w:rPr>
          <w:rFonts w:ascii="Arial" w:hAnsi="Arial" w:cs="Arial"/>
          <w:sz w:val="20"/>
          <w:szCs w:val="20"/>
        </w:rPr>
      </w:pPr>
      <w:r>
        <w:rPr>
          <w:rFonts w:ascii="Arial" w:hAnsi="Arial" w:cs="Arial"/>
          <w:sz w:val="20"/>
          <w:szCs w:val="20"/>
        </w:rPr>
        <w:t>Srivastava, H.S., 1980. Regulation of nitrate reductase activity in higher plants. Phytochemistry, 19(5), pp.725-733.</w:t>
      </w:r>
    </w:p>
    <w:p w14:paraId="34F2E57D">
      <w:pPr>
        <w:spacing w:line="240" w:lineRule="auto"/>
        <w:jc w:val="both"/>
        <w:rPr>
          <w:rFonts w:ascii="Arial" w:hAnsi="Arial" w:cs="Arial"/>
          <w:sz w:val="20"/>
          <w:szCs w:val="20"/>
        </w:rPr>
      </w:pPr>
    </w:p>
    <w:p w14:paraId="655ACE57">
      <w:pPr>
        <w:spacing w:line="240" w:lineRule="auto"/>
        <w:jc w:val="both"/>
        <w:rPr>
          <w:rFonts w:ascii="Arial" w:hAnsi="Arial" w:cs="Arial"/>
          <w:sz w:val="20"/>
          <w:szCs w:val="20"/>
        </w:rPr>
      </w:pPr>
    </w:p>
    <w:p w14:paraId="67AAC8F4">
      <w:pPr>
        <w:ind w:left="720"/>
        <w:jc w:val="both"/>
        <w:rPr>
          <w:rFonts w:ascii="Arial" w:hAnsi="Arial" w:cs="Arial"/>
          <w:sz w:val="20"/>
          <w:szCs w:val="20"/>
        </w:rPr>
      </w:pPr>
    </w:p>
    <w:p w14:paraId="1DEC2151">
      <w:pPr>
        <w:jc w:val="both"/>
        <w:rPr>
          <w:rFonts w:ascii="Arial" w:hAnsi="Arial" w:cs="Arial"/>
          <w:sz w:val="20"/>
          <w:szCs w:val="20"/>
        </w:rPr>
      </w:pPr>
    </w:p>
    <w:p w14:paraId="06C6F0C1">
      <w:pPr>
        <w:spacing w:line="240" w:lineRule="auto"/>
        <w:jc w:val="both"/>
        <w:rPr>
          <w:rFonts w:ascii="Arial" w:hAnsi="Arial" w:cs="Arial"/>
          <w:sz w:val="20"/>
          <w:szCs w:val="20"/>
        </w:rPr>
      </w:pPr>
    </w:p>
    <w:p w14:paraId="190EC4CD">
      <w:pPr>
        <w:spacing w:line="240" w:lineRule="auto"/>
        <w:jc w:val="both"/>
        <w:rPr>
          <w:rFonts w:ascii="Arial" w:hAnsi="Arial" w:cs="Arial"/>
          <w:sz w:val="20"/>
          <w:szCs w:val="20"/>
        </w:rPr>
      </w:pPr>
    </w:p>
    <w:p w14:paraId="66A0B826">
      <w:pPr>
        <w:spacing w:line="240" w:lineRule="auto"/>
        <w:ind w:left="360" w:hanging="360"/>
        <w:jc w:val="both"/>
        <w:rPr>
          <w:rFonts w:ascii="Arial" w:hAnsi="Arial" w:cs="Arial"/>
          <w:sz w:val="20"/>
          <w:szCs w:val="20"/>
          <w:lang w:bidi="ml-IN"/>
        </w:rPr>
      </w:pPr>
    </w:p>
    <w:p w14:paraId="3EC5752D">
      <w:pPr>
        <w:spacing w:line="240" w:lineRule="auto"/>
        <w:ind w:left="360" w:hanging="360"/>
        <w:jc w:val="both"/>
        <w:rPr>
          <w:rFonts w:ascii="Arial" w:hAnsi="Arial" w:cs="Arial"/>
          <w:sz w:val="20"/>
          <w:szCs w:val="20"/>
          <w:lang w:bidi="ml-IN"/>
        </w:rPr>
      </w:pPr>
    </w:p>
    <w:p w14:paraId="382D245A">
      <w:pPr>
        <w:spacing w:line="240" w:lineRule="auto"/>
        <w:rPr>
          <w:rFonts w:ascii="Arial" w:hAnsi="Arial" w:cs="Arial"/>
          <w:sz w:val="20"/>
          <w:szCs w:val="20"/>
        </w:rPr>
      </w:pPr>
    </w:p>
    <w:sectPr>
      <w:headerReference r:id="rId9" w:type="first"/>
      <w:footerReference r:id="rId12" w:type="first"/>
      <w:headerReference r:id="rId7" w:type="default"/>
      <w:footerReference r:id="rId10" w:type="default"/>
      <w:headerReference r:id="rId8" w:type="even"/>
      <w:footerReference r:id="rId11" w:type="even"/>
      <w:pgSz w:w="11906" w:h="16838"/>
      <w:pgMar w:top="1440" w:right="1440" w:bottom="1440" w:left="1440" w:header="708" w:footer="708" w:gutter="0"/>
      <w:cols w:space="708"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soustav datta [2]" w:date="2025-04-26T13:45:09Z" w:initials="">
    <w:p w14:paraId="1CBF5A5B">
      <w:pPr>
        <w:pStyle w:val="13"/>
        <w:spacing w:line="240" w:lineRule="auto"/>
        <w:rPr>
          <w:rFonts w:hint="default"/>
          <w:lang w:val="en-US"/>
        </w:rPr>
      </w:pPr>
      <w:r>
        <w:rPr>
          <w:rFonts w:hint="default"/>
          <w:lang w:val="en-US"/>
        </w:rPr>
        <w:t>Objective of the study should be discussed by adding 1-2 more sentences.</w:t>
      </w:r>
    </w:p>
  </w:comment>
  <w:comment w:id="1" w:author="soustav datta [2]" w:date="2025-04-26T13:47:41Z" w:initials="">
    <w:p w14:paraId="29351D0D">
      <w:pPr>
        <w:pStyle w:val="13"/>
        <w:rPr>
          <w:rFonts w:hint="default"/>
          <w:lang w:val="en-US"/>
        </w:rPr>
      </w:pPr>
      <w:r>
        <w:rPr>
          <w:rFonts w:hint="default"/>
          <w:lang w:val="en-US"/>
        </w:rPr>
        <w:t>In which region the study was conducted?</w:t>
      </w:r>
    </w:p>
  </w:comment>
  <w:comment w:id="2" w:author="soustav datta [2]" w:date="2025-04-26T13:48:34Z" w:initials="">
    <w:p w14:paraId="0B5DB03F">
      <w:pPr>
        <w:pStyle w:val="13"/>
        <w:rPr>
          <w:rFonts w:hint="default"/>
          <w:lang w:val="en-US"/>
        </w:rPr>
      </w:pPr>
      <w:r>
        <w:rPr>
          <w:rFonts w:hint="default"/>
          <w:lang w:val="en-US"/>
        </w:rPr>
        <w:t>It should be ‘Drought tolerance’</w:t>
      </w:r>
    </w:p>
  </w:comment>
  <w:comment w:id="3" w:author="soustav datta [2]" w:date="2025-04-26T13:56:28Z" w:initials="">
    <w:p w14:paraId="34CA16DB">
      <w:pPr>
        <w:pStyle w:val="13"/>
        <w:rPr>
          <w:rFonts w:hint="default"/>
          <w:lang w:val="en-US"/>
        </w:rPr>
      </w:pPr>
      <w:r>
        <w:rPr>
          <w:rFonts w:hint="default"/>
          <w:lang w:val="en-US"/>
        </w:rPr>
        <w:t>Try to avoid old citation</w:t>
      </w:r>
    </w:p>
  </w:comment>
  <w:comment w:id="4" w:author="soustav datta [2]" w:date="2025-04-26T13:56:13Z" w:initials="">
    <w:p w14:paraId="636A4CD7">
      <w:pPr>
        <w:pStyle w:val="13"/>
        <w:rPr>
          <w:rFonts w:hint="default"/>
          <w:lang w:val="en-US"/>
        </w:rPr>
      </w:pPr>
      <w:r>
        <w:rPr>
          <w:rFonts w:hint="default"/>
          <w:lang w:val="en-US"/>
        </w:rPr>
        <w:t>Add ‘,’</w:t>
      </w:r>
    </w:p>
  </w:comment>
  <w:comment w:id="5" w:author="soustav datta [2]" w:date="2025-04-26T13:57:00Z" w:initials="">
    <w:p w14:paraId="26F37791">
      <w:pPr>
        <w:pStyle w:val="13"/>
      </w:pPr>
      <w:r>
        <w:rPr>
          <w:rFonts w:hint="default"/>
          <w:lang w:val="en-US"/>
        </w:rPr>
        <w:t>Add ‘,’</w:t>
      </w:r>
    </w:p>
  </w:comment>
  <w:comment w:id="6" w:author="soustav datta [2]" w:date="2025-04-26T13:57:14Z" w:initials="">
    <w:p w14:paraId="69082611">
      <w:pPr>
        <w:pStyle w:val="13"/>
      </w:pPr>
      <w:r>
        <w:rPr>
          <w:rFonts w:hint="default"/>
          <w:lang w:val="en-US"/>
        </w:rPr>
        <w:t>Add ‘,’</w:t>
      </w:r>
    </w:p>
  </w:comment>
  <w:comment w:id="7" w:author="soustav datta [2]" w:date="2025-04-26T13:57:23Z" w:initials="">
    <w:p w14:paraId="2DFF7911">
      <w:pPr>
        <w:pStyle w:val="13"/>
        <w:rPr>
          <w:rFonts w:hint="default"/>
          <w:lang w:val="en-US"/>
        </w:rPr>
      </w:pPr>
      <w:r>
        <w:rPr>
          <w:rFonts w:hint="default"/>
          <w:lang w:val="en-US"/>
        </w:rPr>
        <w:t>Write et al properly</w:t>
      </w:r>
    </w:p>
  </w:comment>
  <w:comment w:id="8" w:author="soustav datta [2]" w:date="2025-04-26T13:57:56Z" w:initials="">
    <w:p w14:paraId="69AED33C">
      <w:pPr>
        <w:pStyle w:val="13"/>
      </w:pPr>
      <w:r>
        <w:rPr>
          <w:rFonts w:hint="default"/>
          <w:lang w:val="en-US"/>
        </w:rPr>
        <w:t>Try to avoid old citation</w:t>
      </w:r>
    </w:p>
  </w:comment>
  <w:comment w:id="9" w:author="soustav datta [2]" w:date="2025-04-26T13:58:55Z" w:initials="">
    <w:p w14:paraId="0F55E55E">
      <w:pPr>
        <w:pStyle w:val="13"/>
        <w:rPr>
          <w:rFonts w:hint="default"/>
          <w:lang w:val="en-US"/>
        </w:rPr>
      </w:pPr>
      <w:r>
        <w:rPr>
          <w:rFonts w:hint="default"/>
          <w:lang w:val="en-US"/>
        </w:rPr>
        <w:t xml:space="preserve">This portion should be </w:t>
      </w:r>
      <w:r>
        <w:rPr>
          <w:rFonts w:hint="default"/>
          <w:i/>
          <w:iCs/>
          <w:lang w:val="en-US"/>
        </w:rPr>
        <w:t>Italic</w:t>
      </w:r>
    </w:p>
  </w:comment>
  <w:comment w:id="10" w:author="soustav datta [2]" w:date="2025-04-26T14:02:04Z" w:initials="">
    <w:p w14:paraId="0EBAE240">
      <w:pPr>
        <w:pStyle w:val="13"/>
        <w:rPr>
          <w:rFonts w:hint="default"/>
          <w:lang w:val="en-US"/>
        </w:rPr>
      </w:pPr>
      <w:r>
        <w:rPr>
          <w:rFonts w:hint="default"/>
          <w:lang w:val="en-US"/>
        </w:rPr>
        <w:t>Requirement for this research should be well elaborated</w:t>
      </w:r>
    </w:p>
  </w:comment>
  <w:comment w:id="11" w:author="soustav datta [2]" w:date="2025-04-26T14:04:51Z" w:initials="">
    <w:p w14:paraId="079A003C">
      <w:pPr>
        <w:pStyle w:val="13"/>
      </w:pPr>
      <w:r>
        <w:rPr>
          <w:rFonts w:hint="default"/>
          <w:lang w:val="en-US"/>
        </w:rPr>
        <w:t xml:space="preserve">This portion should be </w:t>
      </w:r>
      <w:r>
        <w:rPr>
          <w:rFonts w:hint="default"/>
          <w:i/>
          <w:iCs/>
          <w:lang w:val="en-US"/>
        </w:rPr>
        <w:t>Italic</w:t>
      </w:r>
    </w:p>
  </w:comment>
  <w:comment w:id="12" w:author="soustav datta [2]" w:date="2025-04-26T23:42:54Z" w:initials="">
    <w:p w14:paraId="5CDF9E5A">
      <w:pPr>
        <w:pStyle w:val="13"/>
        <w:rPr>
          <w:rFonts w:hint="default"/>
          <w:lang w:val="en-US"/>
        </w:rPr>
      </w:pPr>
      <w:r>
        <w:rPr>
          <w:rFonts w:hint="default"/>
          <w:lang w:val="en-US"/>
        </w:rPr>
        <w:t>Where the field is located?</w:t>
      </w:r>
    </w:p>
  </w:comment>
  <w:comment w:id="13" w:author="soustav datta [2]" w:date="2025-04-26T23:47:18Z" w:initials="">
    <w:p w14:paraId="47CF5253">
      <w:pPr>
        <w:pStyle w:val="13"/>
        <w:rPr>
          <w:rFonts w:hint="default"/>
          <w:lang w:val="en-US"/>
        </w:rPr>
      </w:pPr>
      <w:r>
        <w:rPr>
          <w:rFonts w:hint="default"/>
          <w:lang w:val="en-US"/>
        </w:rPr>
        <w:t>This portion does not belong to preliminary part of results and discussion</w:t>
      </w:r>
    </w:p>
  </w:comment>
  <w:comment w:id="14" w:author="soustav datta [2]" w:date="2025-04-26T23:50:26Z" w:initials="">
    <w:p w14:paraId="5800194F">
      <w:pPr>
        <w:pStyle w:val="13"/>
      </w:pPr>
      <w:r>
        <w:rPr>
          <w:rFonts w:hint="default"/>
          <w:lang w:val="en-US"/>
        </w:rPr>
        <w:t>Try to avoid old citation</w:t>
      </w:r>
    </w:p>
  </w:comment>
  <w:comment w:id="15" w:author="soustav datta [2]" w:date="2025-04-26T23:51:47Z" w:initials="">
    <w:p w14:paraId="2612BDA5">
      <w:pPr>
        <w:pStyle w:val="13"/>
        <w:rPr>
          <w:rFonts w:hint="default"/>
          <w:lang w:val="en-US"/>
        </w:rPr>
      </w:pPr>
      <w:r>
        <w:rPr>
          <w:rFonts w:hint="default"/>
          <w:lang w:val="en-US"/>
        </w:rPr>
        <w:t>Year is missing</w:t>
      </w:r>
    </w:p>
  </w:comment>
  <w:comment w:id="16" w:author="soustav datta [2]" w:date="2025-04-26T23:52:00Z" w:initials="">
    <w:p w14:paraId="1FCAE738">
      <w:pPr>
        <w:pStyle w:val="13"/>
        <w:rPr>
          <w:rFonts w:hint="default"/>
          <w:lang w:val="en-US"/>
        </w:rPr>
      </w:pPr>
      <w:r>
        <w:rPr>
          <w:rFonts w:hint="default"/>
          <w:lang w:val="en-US"/>
        </w:rPr>
        <w:t>Add ‘,’</w:t>
      </w:r>
    </w:p>
  </w:comment>
  <w:comment w:id="17" w:author="soustav datta [2]" w:date="2025-04-26T23:52:53Z" w:initials="">
    <w:p w14:paraId="1584864D">
      <w:pPr>
        <w:pStyle w:val="13"/>
        <w:rPr>
          <w:rFonts w:hint="default"/>
          <w:lang w:val="en-US"/>
        </w:rPr>
      </w:pPr>
      <w:r>
        <w:rPr>
          <w:rFonts w:hint="default"/>
          <w:lang w:val="en-US"/>
        </w:rPr>
        <w:t>Add ‘,’</w:t>
      </w:r>
    </w:p>
  </w:comment>
  <w:comment w:id="18" w:author="soustav datta [2]" w:date="2025-04-26T23:53:29Z" w:initials="">
    <w:p w14:paraId="43376FC9">
      <w:pPr>
        <w:pStyle w:val="13"/>
      </w:pPr>
      <w:r>
        <w:rPr>
          <w:rFonts w:hint="default"/>
          <w:lang w:val="en-US"/>
        </w:rPr>
        <w:t>Try to avoid old citation</w:t>
      </w:r>
    </w:p>
  </w:comment>
  <w:comment w:id="19" w:author="soustav datta [2]" w:date="2025-04-26T23:56:12Z" w:initials="">
    <w:p w14:paraId="284E0C1F">
      <w:pPr>
        <w:pStyle w:val="13"/>
        <w:rPr>
          <w:rFonts w:hint="default"/>
          <w:lang w:val="en-US"/>
        </w:rPr>
      </w:pPr>
      <w:r>
        <w:rPr>
          <w:rFonts w:hint="default"/>
          <w:lang w:val="en-US"/>
        </w:rPr>
        <w:t xml:space="preserve">Figure 1 is showing the same which is already replicated in Table 1. So, there is no need of this figure. Try to provide something which is not demonstrated in Table 1. </w:t>
      </w:r>
    </w:p>
  </w:comment>
  <w:comment w:id="20" w:author="soustav datta [2]" w:date="2025-04-26T23:59:47Z" w:initials="">
    <w:p w14:paraId="327B187D">
      <w:pPr>
        <w:pStyle w:val="13"/>
        <w:rPr>
          <w:rFonts w:hint="default"/>
          <w:lang w:val="en-US"/>
        </w:rPr>
      </w:pPr>
      <w:r>
        <w:rPr>
          <w:rFonts w:hint="default"/>
          <w:lang w:val="en-US"/>
        </w:rPr>
        <w:t>Delete ‘our’; Mention ‘this’</w:t>
      </w:r>
    </w:p>
  </w:comment>
  <w:comment w:id="21" w:author="soustav datta [2]" w:date="2025-04-27T00:01:28Z" w:initials="">
    <w:p w14:paraId="4EDEE0F5">
      <w:pPr>
        <w:pStyle w:val="13"/>
      </w:pPr>
      <w:r>
        <w:rPr>
          <w:rFonts w:hint="default"/>
          <w:lang w:val="en-US"/>
        </w:rPr>
        <w:t xml:space="preserve">This portion should be </w:t>
      </w:r>
      <w:r>
        <w:rPr>
          <w:rFonts w:hint="default"/>
          <w:i/>
          <w:iCs/>
          <w:lang w:val="en-US"/>
        </w:rPr>
        <w:t>Italic</w:t>
      </w:r>
    </w:p>
  </w:comment>
  <w:comment w:id="22" w:author="soustav datta [2]" w:date="2025-04-27T00:01:34Z" w:initials="">
    <w:p w14:paraId="0091A2DB">
      <w:pPr>
        <w:pStyle w:val="13"/>
      </w:pPr>
      <w:r>
        <w:rPr>
          <w:rFonts w:hint="default"/>
          <w:lang w:val="en-US"/>
        </w:rPr>
        <w:t xml:space="preserve">This portion should be </w:t>
      </w:r>
      <w:r>
        <w:rPr>
          <w:rFonts w:hint="default"/>
          <w:i/>
          <w:iCs/>
          <w:lang w:val="en-US"/>
        </w:rPr>
        <w:t>Italic</w:t>
      </w:r>
    </w:p>
  </w:comment>
  <w:comment w:id="23" w:author="soustav datta [2]" w:date="2025-04-27T00:01:41Z" w:initials="">
    <w:p w14:paraId="1E06E5F2">
      <w:pPr>
        <w:pStyle w:val="13"/>
      </w:pPr>
      <w:r>
        <w:rPr>
          <w:rFonts w:hint="default"/>
          <w:lang w:val="en-US"/>
        </w:rPr>
        <w:t xml:space="preserve">This portion should be </w:t>
      </w:r>
      <w:r>
        <w:rPr>
          <w:rFonts w:hint="default"/>
          <w:i/>
          <w:iCs/>
          <w:lang w:val="en-US"/>
        </w:rPr>
        <w:t>Italic</w:t>
      </w:r>
    </w:p>
  </w:comment>
  <w:comment w:id="24" w:author="soustav datta [2]" w:date="2025-04-27T00:02:04Z" w:initials="">
    <w:p w14:paraId="70BE4454">
      <w:pPr>
        <w:pStyle w:val="13"/>
      </w:pPr>
      <w:r>
        <w:rPr>
          <w:rFonts w:hint="default"/>
          <w:lang w:val="en-US"/>
        </w:rPr>
        <w:t xml:space="preserve">This portion should be </w:t>
      </w:r>
      <w:r>
        <w:rPr>
          <w:rFonts w:hint="default"/>
          <w:i/>
          <w:iCs/>
          <w:lang w:val="en-US"/>
        </w:rPr>
        <w:t>Italic</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CBF5A5B" w15:done="0"/>
  <w15:commentEx w15:paraId="29351D0D" w15:done="0"/>
  <w15:commentEx w15:paraId="0B5DB03F" w15:done="0"/>
  <w15:commentEx w15:paraId="34CA16DB" w15:done="0"/>
  <w15:commentEx w15:paraId="636A4CD7" w15:done="0"/>
  <w15:commentEx w15:paraId="26F37791" w15:done="0"/>
  <w15:commentEx w15:paraId="69082611" w15:done="0"/>
  <w15:commentEx w15:paraId="2DFF7911" w15:done="0"/>
  <w15:commentEx w15:paraId="69AED33C" w15:done="0"/>
  <w15:commentEx w15:paraId="0F55E55E" w15:done="0"/>
  <w15:commentEx w15:paraId="0EBAE240" w15:done="0"/>
  <w15:commentEx w15:paraId="079A003C" w15:done="0"/>
  <w15:commentEx w15:paraId="5CDF9E5A" w15:done="0"/>
  <w15:commentEx w15:paraId="47CF5253" w15:done="0"/>
  <w15:commentEx w15:paraId="5800194F" w15:done="0"/>
  <w15:commentEx w15:paraId="2612BDA5" w15:done="0"/>
  <w15:commentEx w15:paraId="1FCAE738" w15:done="0"/>
  <w15:commentEx w15:paraId="1584864D" w15:done="0"/>
  <w15:commentEx w15:paraId="43376FC9" w15:done="0"/>
  <w15:commentEx w15:paraId="284E0C1F" w15:done="0"/>
  <w15:commentEx w15:paraId="327B187D" w15:done="0"/>
  <w15:commentEx w15:paraId="4EDEE0F5" w15:done="0"/>
  <w15:commentEx w15:paraId="0091A2DB" w15:done="0"/>
  <w15:commentEx w15:paraId="1E06E5F2" w15:done="0"/>
  <w15:commentEx w15:paraId="70BE445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Siyam Rupali"/>
    <w:panose1 w:val="00000000000000000000"/>
    <w:charset w:val="00"/>
    <w:family w:val="auto"/>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Microsoft YaHei">
    <w:panose1 w:val="020B0503020204020204"/>
    <w:charset w:val="86"/>
    <w:family w:val="auto"/>
    <w:pitch w:val="default"/>
    <w:sig w:usb0="80000287" w:usb1="2ACF3C50" w:usb2="00000016" w:usb3="00000000" w:csb0="0004001F" w:csb1="00000000"/>
  </w:font>
  <w:font w:name="Siyam Rupali">
    <w:panose1 w:val="02000500000000020004"/>
    <w:charset w:val="00"/>
    <w:family w:val="auto"/>
    <w:pitch w:val="default"/>
    <w:sig w:usb0="0001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244E8">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3027A">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48A0D">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BBA71">
    <w:pPr>
      <w:pStyle w:val="15"/>
    </w:pPr>
    <w:r>
      <w:pict>
        <v:shape id="PowerPlusWaterMarkObject197970970" o:spid="_x0000_s4098" o:spt="136" type="#_x0000_t136" style="position:absolute;left:0pt;height:100.45pt;width:535.8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74F24">
    <w:pPr>
      <w:pStyle w:val="15"/>
    </w:pPr>
    <w:r>
      <w:pict>
        <v:shape id="PowerPlusWaterMarkObject197970969" o:spid="_x0000_s4099" o:spt="136" type="#_x0000_t136" style="position:absolute;left:0pt;height:100.45pt;width:535.8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CB854">
    <w:pPr>
      <w:pStyle w:val="15"/>
    </w:pPr>
    <w:r>
      <w:pict>
        <v:shape id="PowerPlusWaterMarkObject197970968" o:spid="_x0000_s4097" o:spt="136" type="#_x0000_t136" style="position:absolute;left:0pt;height:100.45pt;width:535.8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oustav datta [2]">
    <w15:presenceInfo w15:providerId="WPS Office" w15:userId="37583782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hdrShapeDefaults>
    <o:shapelayout v:ext="edit">
      <o:idmap v:ext="edit" data="3,4"/>
    </o:shapelayout>
  </w:hdrShapeDefault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D20"/>
    <w:rsid w:val="00016203"/>
    <w:rsid w:val="00016E46"/>
    <w:rsid w:val="000272E7"/>
    <w:rsid w:val="00027C89"/>
    <w:rsid w:val="000354F0"/>
    <w:rsid w:val="0005431D"/>
    <w:rsid w:val="00057582"/>
    <w:rsid w:val="00062BCF"/>
    <w:rsid w:val="000902D8"/>
    <w:rsid w:val="00091E73"/>
    <w:rsid w:val="00093453"/>
    <w:rsid w:val="000E23AE"/>
    <w:rsid w:val="000E4819"/>
    <w:rsid w:val="000F6D77"/>
    <w:rsid w:val="00107717"/>
    <w:rsid w:val="00121E3D"/>
    <w:rsid w:val="00124586"/>
    <w:rsid w:val="00172289"/>
    <w:rsid w:val="00175B5F"/>
    <w:rsid w:val="001832FC"/>
    <w:rsid w:val="001969B5"/>
    <w:rsid w:val="001A0C21"/>
    <w:rsid w:val="001B6D20"/>
    <w:rsid w:val="001E393D"/>
    <w:rsid w:val="001E6CCF"/>
    <w:rsid w:val="0020427D"/>
    <w:rsid w:val="0020761D"/>
    <w:rsid w:val="002172D2"/>
    <w:rsid w:val="002207BD"/>
    <w:rsid w:val="00226721"/>
    <w:rsid w:val="00250955"/>
    <w:rsid w:val="0026543F"/>
    <w:rsid w:val="00272085"/>
    <w:rsid w:val="00282DDC"/>
    <w:rsid w:val="002D5431"/>
    <w:rsid w:val="002D644C"/>
    <w:rsid w:val="00306BB2"/>
    <w:rsid w:val="00311ECD"/>
    <w:rsid w:val="003327D5"/>
    <w:rsid w:val="00347B7A"/>
    <w:rsid w:val="003771EC"/>
    <w:rsid w:val="003A5434"/>
    <w:rsid w:val="00403D06"/>
    <w:rsid w:val="00422B97"/>
    <w:rsid w:val="004231E6"/>
    <w:rsid w:val="0043305E"/>
    <w:rsid w:val="0045084D"/>
    <w:rsid w:val="004A0441"/>
    <w:rsid w:val="004A775A"/>
    <w:rsid w:val="004B2313"/>
    <w:rsid w:val="004E0132"/>
    <w:rsid w:val="004E3645"/>
    <w:rsid w:val="004E769F"/>
    <w:rsid w:val="004F0C90"/>
    <w:rsid w:val="00513A6A"/>
    <w:rsid w:val="00516E33"/>
    <w:rsid w:val="005206F5"/>
    <w:rsid w:val="00527959"/>
    <w:rsid w:val="00555A5A"/>
    <w:rsid w:val="00567C1D"/>
    <w:rsid w:val="00582E84"/>
    <w:rsid w:val="00595070"/>
    <w:rsid w:val="005A21D5"/>
    <w:rsid w:val="005A4F28"/>
    <w:rsid w:val="005B7FA2"/>
    <w:rsid w:val="005D7993"/>
    <w:rsid w:val="005F5800"/>
    <w:rsid w:val="005F5CE3"/>
    <w:rsid w:val="006167E3"/>
    <w:rsid w:val="006356D5"/>
    <w:rsid w:val="0064128C"/>
    <w:rsid w:val="00660837"/>
    <w:rsid w:val="00667F3E"/>
    <w:rsid w:val="006701A9"/>
    <w:rsid w:val="006843AF"/>
    <w:rsid w:val="00696438"/>
    <w:rsid w:val="0069740E"/>
    <w:rsid w:val="006A154F"/>
    <w:rsid w:val="006A41AD"/>
    <w:rsid w:val="006A4B05"/>
    <w:rsid w:val="006F1C1A"/>
    <w:rsid w:val="007419F0"/>
    <w:rsid w:val="00752EC0"/>
    <w:rsid w:val="00761B80"/>
    <w:rsid w:val="00775A09"/>
    <w:rsid w:val="00782157"/>
    <w:rsid w:val="0079507E"/>
    <w:rsid w:val="007A283A"/>
    <w:rsid w:val="007A4A0E"/>
    <w:rsid w:val="007A5383"/>
    <w:rsid w:val="007A54C1"/>
    <w:rsid w:val="007B1E99"/>
    <w:rsid w:val="007B6603"/>
    <w:rsid w:val="007E2B57"/>
    <w:rsid w:val="0080169C"/>
    <w:rsid w:val="0081208D"/>
    <w:rsid w:val="00834484"/>
    <w:rsid w:val="008438A3"/>
    <w:rsid w:val="00863452"/>
    <w:rsid w:val="00863D20"/>
    <w:rsid w:val="00892D88"/>
    <w:rsid w:val="008C47C2"/>
    <w:rsid w:val="008C6CCA"/>
    <w:rsid w:val="008C6D08"/>
    <w:rsid w:val="008D7891"/>
    <w:rsid w:val="00906D86"/>
    <w:rsid w:val="009207C6"/>
    <w:rsid w:val="00926CCD"/>
    <w:rsid w:val="009305C9"/>
    <w:rsid w:val="00946B45"/>
    <w:rsid w:val="00957919"/>
    <w:rsid w:val="00965B20"/>
    <w:rsid w:val="009A7F94"/>
    <w:rsid w:val="009F3ABD"/>
    <w:rsid w:val="00A01EFF"/>
    <w:rsid w:val="00A33FDE"/>
    <w:rsid w:val="00A40D98"/>
    <w:rsid w:val="00A65554"/>
    <w:rsid w:val="00A6771C"/>
    <w:rsid w:val="00A712A9"/>
    <w:rsid w:val="00A82E04"/>
    <w:rsid w:val="00A96907"/>
    <w:rsid w:val="00A9725E"/>
    <w:rsid w:val="00AA570A"/>
    <w:rsid w:val="00AA677C"/>
    <w:rsid w:val="00AE2114"/>
    <w:rsid w:val="00B07392"/>
    <w:rsid w:val="00B24C31"/>
    <w:rsid w:val="00B4039A"/>
    <w:rsid w:val="00B5192A"/>
    <w:rsid w:val="00B705C4"/>
    <w:rsid w:val="00B75683"/>
    <w:rsid w:val="00B83274"/>
    <w:rsid w:val="00B8778D"/>
    <w:rsid w:val="00BB77DA"/>
    <w:rsid w:val="00BC04A4"/>
    <w:rsid w:val="00BC2D40"/>
    <w:rsid w:val="00BE61E2"/>
    <w:rsid w:val="00BF2C1D"/>
    <w:rsid w:val="00BF2DED"/>
    <w:rsid w:val="00C13580"/>
    <w:rsid w:val="00C16314"/>
    <w:rsid w:val="00C52555"/>
    <w:rsid w:val="00C67135"/>
    <w:rsid w:val="00C7694A"/>
    <w:rsid w:val="00C8352C"/>
    <w:rsid w:val="00CA179E"/>
    <w:rsid w:val="00CA3014"/>
    <w:rsid w:val="00CD3ACD"/>
    <w:rsid w:val="00CD6DD1"/>
    <w:rsid w:val="00CE0CC2"/>
    <w:rsid w:val="00CF2018"/>
    <w:rsid w:val="00D03241"/>
    <w:rsid w:val="00D0567B"/>
    <w:rsid w:val="00D35E91"/>
    <w:rsid w:val="00D62B69"/>
    <w:rsid w:val="00D752DA"/>
    <w:rsid w:val="00D81201"/>
    <w:rsid w:val="00D81DF1"/>
    <w:rsid w:val="00D925CE"/>
    <w:rsid w:val="00DB6A13"/>
    <w:rsid w:val="00DD3513"/>
    <w:rsid w:val="00DD70EB"/>
    <w:rsid w:val="00DE1962"/>
    <w:rsid w:val="00DE6D0E"/>
    <w:rsid w:val="00E01112"/>
    <w:rsid w:val="00E035D2"/>
    <w:rsid w:val="00E36EC5"/>
    <w:rsid w:val="00E6529C"/>
    <w:rsid w:val="00EC16AF"/>
    <w:rsid w:val="00ED7547"/>
    <w:rsid w:val="00EE7264"/>
    <w:rsid w:val="00EF4FE2"/>
    <w:rsid w:val="00EF5BBC"/>
    <w:rsid w:val="00F01065"/>
    <w:rsid w:val="00F048FF"/>
    <w:rsid w:val="00F52784"/>
    <w:rsid w:val="00F52FA1"/>
    <w:rsid w:val="00F5379B"/>
    <w:rsid w:val="00F85A6D"/>
    <w:rsid w:val="00F9753B"/>
    <w:rsid w:val="00FA5A94"/>
    <w:rsid w:val="00FB3CB7"/>
    <w:rsid w:val="00FB5BAD"/>
    <w:rsid w:val="00FC30AB"/>
    <w:rsid w:val="00FD6C87"/>
    <w:rsid w:val="00FE43C8"/>
    <w:rsid w:val="00FE57A4"/>
    <w:rsid w:val="00FF25F6"/>
    <w:rsid w:val="00FF741F"/>
    <w:rsid w:val="03A80933"/>
    <w:rsid w:val="0CC82BB4"/>
    <w:rsid w:val="17AA1B99"/>
    <w:rsid w:val="301E6F15"/>
    <w:rsid w:val="331A487A"/>
    <w:rsid w:val="503B2B20"/>
    <w:rsid w:val="5D903409"/>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IN" w:eastAsia="en-US" w:bidi="ar-SA"/>
      <w14:ligatures w14:val="standardContextual"/>
    </w:rPr>
  </w:style>
  <w:style w:type="paragraph" w:styleId="2">
    <w:name w:val="heading 1"/>
    <w:basedOn w:val="1"/>
    <w:next w:val="1"/>
    <w:link w:val="19"/>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1"/>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22"/>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3"/>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4"/>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5"/>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7"/>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annotation text"/>
    <w:basedOn w:val="1"/>
    <w:semiHidden/>
    <w:unhideWhenUsed/>
    <w:qFormat/>
    <w:uiPriority w:val="99"/>
    <w:pPr>
      <w:jc w:val="left"/>
    </w:pPr>
  </w:style>
  <w:style w:type="paragraph" w:styleId="14">
    <w:name w:val="footer"/>
    <w:basedOn w:val="1"/>
    <w:link w:val="39"/>
    <w:unhideWhenUsed/>
    <w:qFormat/>
    <w:uiPriority w:val="99"/>
    <w:pPr>
      <w:tabs>
        <w:tab w:val="center" w:pos="4680"/>
        <w:tab w:val="right" w:pos="9360"/>
      </w:tabs>
      <w:spacing w:after="0" w:line="240" w:lineRule="auto"/>
    </w:pPr>
  </w:style>
  <w:style w:type="paragraph" w:styleId="15">
    <w:name w:val="header"/>
    <w:basedOn w:val="1"/>
    <w:link w:val="38"/>
    <w:unhideWhenUsed/>
    <w:qFormat/>
    <w:uiPriority w:val="99"/>
    <w:pPr>
      <w:tabs>
        <w:tab w:val="center" w:pos="4680"/>
        <w:tab w:val="right" w:pos="9360"/>
      </w:tabs>
      <w:spacing w:after="0" w:line="240" w:lineRule="auto"/>
    </w:pPr>
  </w:style>
  <w:style w:type="character" w:styleId="16">
    <w:name w:val="Hyperlink"/>
    <w:basedOn w:val="11"/>
    <w:unhideWhenUsed/>
    <w:qFormat/>
    <w:uiPriority w:val="99"/>
    <w:rPr>
      <w:color w:val="0563C1" w:themeColor="hyperlink"/>
      <w:u w:val="single"/>
      <w14:textFill>
        <w14:solidFill>
          <w14:schemeClr w14:val="hlink"/>
        </w14:solidFill>
      </w14:textFill>
    </w:rPr>
  </w:style>
  <w:style w:type="paragraph" w:styleId="17">
    <w:name w:val="Subtitle"/>
    <w:basedOn w:val="1"/>
    <w:next w:val="1"/>
    <w:link w:val="29"/>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8">
    <w:name w:val="Title"/>
    <w:basedOn w:val="1"/>
    <w:next w:val="1"/>
    <w:link w:val="28"/>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9">
    <w:name w:val="Heading 1 Char"/>
    <w:basedOn w:val="11"/>
    <w:link w:val="2"/>
    <w:qFormat/>
    <w:uiPriority w:val="9"/>
    <w:rPr>
      <w:rFonts w:asciiTheme="majorHAnsi" w:hAnsiTheme="majorHAnsi" w:eastAsiaTheme="majorEastAsia" w:cstheme="majorBidi"/>
      <w:color w:val="2F5597" w:themeColor="accent1" w:themeShade="BF"/>
      <w:sz w:val="40"/>
      <w:szCs w:val="40"/>
    </w:rPr>
  </w:style>
  <w:style w:type="character" w:customStyle="1" w:styleId="20">
    <w:name w:val="Heading 2 Char"/>
    <w:basedOn w:val="11"/>
    <w:link w:val="3"/>
    <w:semiHidden/>
    <w:qFormat/>
    <w:uiPriority w:val="9"/>
    <w:rPr>
      <w:rFonts w:asciiTheme="majorHAnsi" w:hAnsiTheme="majorHAnsi" w:eastAsiaTheme="majorEastAsia" w:cstheme="majorBidi"/>
      <w:color w:val="2F5597" w:themeColor="accent1" w:themeShade="BF"/>
      <w:sz w:val="32"/>
      <w:szCs w:val="32"/>
    </w:rPr>
  </w:style>
  <w:style w:type="character" w:customStyle="1" w:styleId="21">
    <w:name w:val="Heading 3 Char"/>
    <w:basedOn w:val="11"/>
    <w:link w:val="4"/>
    <w:semiHidden/>
    <w:qFormat/>
    <w:uiPriority w:val="9"/>
    <w:rPr>
      <w:rFonts w:eastAsiaTheme="majorEastAsia" w:cstheme="majorBidi"/>
      <w:color w:val="2F5597" w:themeColor="accent1" w:themeShade="BF"/>
      <w:sz w:val="28"/>
      <w:szCs w:val="28"/>
    </w:rPr>
  </w:style>
  <w:style w:type="character" w:customStyle="1" w:styleId="22">
    <w:name w:val="Heading 4 Char"/>
    <w:basedOn w:val="11"/>
    <w:link w:val="5"/>
    <w:semiHidden/>
    <w:qFormat/>
    <w:uiPriority w:val="9"/>
    <w:rPr>
      <w:rFonts w:eastAsiaTheme="majorEastAsia" w:cstheme="majorBidi"/>
      <w:i/>
      <w:iCs/>
      <w:color w:val="2F5597" w:themeColor="accent1" w:themeShade="BF"/>
    </w:rPr>
  </w:style>
  <w:style w:type="character" w:customStyle="1" w:styleId="23">
    <w:name w:val="Heading 5 Char"/>
    <w:basedOn w:val="11"/>
    <w:link w:val="6"/>
    <w:semiHidden/>
    <w:qFormat/>
    <w:uiPriority w:val="9"/>
    <w:rPr>
      <w:rFonts w:eastAsiaTheme="majorEastAsia" w:cstheme="majorBidi"/>
      <w:color w:val="2F5597" w:themeColor="accent1" w:themeShade="BF"/>
    </w:rPr>
  </w:style>
  <w:style w:type="character" w:customStyle="1" w:styleId="24">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5">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7">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8">
    <w:name w:val="Title Char"/>
    <w:basedOn w:val="11"/>
    <w:link w:val="18"/>
    <w:qFormat/>
    <w:uiPriority w:val="10"/>
    <w:rPr>
      <w:rFonts w:asciiTheme="majorHAnsi" w:hAnsiTheme="majorHAnsi" w:eastAsiaTheme="majorEastAsia" w:cstheme="majorBidi"/>
      <w:spacing w:val="-10"/>
      <w:kern w:val="28"/>
      <w:sz w:val="56"/>
      <w:szCs w:val="56"/>
    </w:rPr>
  </w:style>
  <w:style w:type="character" w:customStyle="1" w:styleId="29">
    <w:name w:val="Subtitle Char"/>
    <w:basedOn w:val="11"/>
    <w:link w:val="17"/>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Quote Char"/>
    <w:basedOn w:val="11"/>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1"/>
    <w:qFormat/>
    <w:uiPriority w:val="21"/>
    <w:rPr>
      <w:i/>
      <w:iCs/>
      <w:color w:val="2F5597" w:themeColor="accent1" w:themeShade="BF"/>
    </w:rPr>
  </w:style>
  <w:style w:type="paragraph" w:styleId="34">
    <w:name w:val="Intense Quote"/>
    <w:basedOn w:val="1"/>
    <w:next w:val="1"/>
    <w:link w:val="35"/>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5">
    <w:name w:val="Intense Quote Char"/>
    <w:basedOn w:val="11"/>
    <w:link w:val="34"/>
    <w:qFormat/>
    <w:uiPriority w:val="30"/>
    <w:rPr>
      <w:i/>
      <w:iCs/>
      <w:color w:val="2F5597" w:themeColor="accent1" w:themeShade="BF"/>
    </w:rPr>
  </w:style>
  <w:style w:type="character" w:customStyle="1" w:styleId="36">
    <w:name w:val="Intense Reference"/>
    <w:basedOn w:val="11"/>
    <w:qFormat/>
    <w:uiPriority w:val="32"/>
    <w:rPr>
      <w:b/>
      <w:bCs/>
      <w:smallCaps/>
      <w:color w:val="2F5597" w:themeColor="accent1" w:themeShade="BF"/>
      <w:spacing w:val="5"/>
    </w:rPr>
  </w:style>
  <w:style w:type="character" w:customStyle="1" w:styleId="37">
    <w:name w:val="Unresolved Mention"/>
    <w:basedOn w:val="11"/>
    <w:semiHidden/>
    <w:unhideWhenUsed/>
    <w:qFormat/>
    <w:uiPriority w:val="99"/>
    <w:rPr>
      <w:color w:val="605E5C"/>
      <w:shd w:val="clear" w:color="auto" w:fill="E1DFDD"/>
    </w:rPr>
  </w:style>
  <w:style w:type="character" w:customStyle="1" w:styleId="38">
    <w:name w:val="Header Char"/>
    <w:basedOn w:val="11"/>
    <w:link w:val="15"/>
    <w:qFormat/>
    <w:uiPriority w:val="99"/>
  </w:style>
  <w:style w:type="character" w:customStyle="1" w:styleId="39">
    <w:name w:val="Footer Char"/>
    <w:basedOn w:val="11"/>
    <w:link w:val="14"/>
    <w:qFormat/>
    <w:uiPriority w:val="99"/>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1" Type="http://schemas.microsoft.com/office/2011/relationships/people" Target="people.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customXml" Target="../customXml/item1.xml"/><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4098"/>
    <customShpInfo spid="_x0000_s4099"/>
    <customShpInfo spid="_x0000_s409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1A51E4-B6E6-4322-9BB1-0D74474E876E}">
  <ds:schemaRefs/>
</ds:datastoreItem>
</file>

<file path=docProps/app.xml><?xml version="1.0" encoding="utf-8"?>
<Properties xmlns="http://schemas.openxmlformats.org/officeDocument/2006/extended-properties" xmlns:vt="http://schemas.openxmlformats.org/officeDocument/2006/docPropsVTypes">
  <Template>Normal</Template>
  <Pages>6</Pages>
  <Words>2957</Words>
  <Characters>16858</Characters>
  <Lines>140</Lines>
  <Paragraphs>39</Paragraphs>
  <TotalTime>4</TotalTime>
  <ScaleCrop>false</ScaleCrop>
  <LinksUpToDate>false</LinksUpToDate>
  <CharactersWithSpaces>19776</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2025-04-23T06:46:00Z</dcterms:created>
  <dc:creator>Santhra Mohanan</dc:creator>
  <cp:lastModifiedBy>soustav datta</cp:lastModifiedBy>
  <dcterms:modified xsi:type="dcterms:W3CDTF">2025-04-26T18:32:34Z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fca961c0-e1a6-4090-97f5-18392c0373cc</vt:lpwstr>
  </property>
  <property fmtid="{D5CDD505-2E9C-101B-9397-08002B2CF9AE}" pid="3" name="KSOProductBuildVer">
    <vt:lpwstr>1033-12.2.0.20795</vt:lpwstr>
  </property>
  <property fmtid="{D5CDD505-2E9C-101B-9397-08002B2CF9AE}" pid="4" name="ICV">
    <vt:lpwstr>71151851294349DD91950C4054737FC2_12</vt:lpwstr>
  </property>
</Properties>
</file>