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5E5" w:rsidRDefault="007D05E5" w:rsidP="007D05E5">
      <w:pPr>
        <w:spacing w:after="0"/>
        <w:jc w:val="right"/>
        <w:rPr>
          <w:rFonts w:ascii="Arial" w:hAnsi="Arial" w:cs="Arial"/>
          <w:b/>
          <w:i/>
          <w:sz w:val="28"/>
          <w:szCs w:val="28"/>
        </w:rPr>
      </w:pPr>
      <w:r w:rsidRPr="007D05E5">
        <w:rPr>
          <w:rFonts w:ascii="Arial" w:hAnsi="Arial" w:cs="Arial"/>
          <w:b/>
          <w:sz w:val="28"/>
          <w:szCs w:val="28"/>
        </w:rPr>
        <w:t xml:space="preserve">Anti-inflammatory Activity of the Aqueous Extract of </w:t>
      </w:r>
      <w:r w:rsidRPr="007D05E5">
        <w:rPr>
          <w:rFonts w:ascii="Arial" w:hAnsi="Arial" w:cs="Arial"/>
          <w:b/>
          <w:i/>
          <w:sz w:val="28"/>
          <w:szCs w:val="28"/>
        </w:rPr>
        <w:t>Pseudocedrela</w:t>
      </w:r>
    </w:p>
    <w:p w:rsidR="007D05E5" w:rsidRPr="007D05E5" w:rsidRDefault="007D05E5" w:rsidP="007D05E5">
      <w:pPr>
        <w:spacing w:after="0"/>
        <w:rPr>
          <w:rFonts w:ascii="Arial" w:hAnsi="Arial" w:cs="Arial"/>
          <w:b/>
          <w:sz w:val="28"/>
          <w:szCs w:val="28"/>
        </w:rPr>
      </w:pPr>
      <w:r w:rsidRPr="007D05E5">
        <w:rPr>
          <w:rFonts w:ascii="Arial" w:hAnsi="Arial" w:cs="Arial"/>
          <w:b/>
          <w:i/>
          <w:sz w:val="28"/>
          <w:szCs w:val="28"/>
        </w:rPr>
        <w:t>kotschyi</w:t>
      </w:r>
      <w:r w:rsidRPr="007D05E5">
        <w:rPr>
          <w:rFonts w:ascii="Arial" w:hAnsi="Arial" w:cs="Arial"/>
          <w:b/>
          <w:sz w:val="28"/>
          <w:szCs w:val="28"/>
        </w:rPr>
        <w:t xml:space="preserve"> (Schweinf.) Harms (Meliaceae) trunk </w:t>
      </w:r>
      <w:commentRangeStart w:id="0"/>
      <w:r w:rsidRPr="007D05E5">
        <w:rPr>
          <w:rFonts w:ascii="Arial" w:hAnsi="Arial" w:cs="Arial"/>
          <w:b/>
          <w:sz w:val="28"/>
          <w:szCs w:val="28"/>
        </w:rPr>
        <w:t>bark</w:t>
      </w:r>
      <w:commentRangeEnd w:id="0"/>
      <w:r w:rsidR="00F13535">
        <w:rPr>
          <w:rStyle w:val="CommentReference"/>
        </w:rPr>
        <w:commentReference w:id="0"/>
      </w:r>
    </w:p>
    <w:p w:rsidR="007D05E5" w:rsidRDefault="007D05E5" w:rsidP="007D05E5">
      <w:pPr>
        <w:rPr>
          <w:rFonts w:ascii="Arial" w:hAnsi="Arial" w:cs="Arial"/>
          <w:b/>
        </w:rPr>
      </w:pPr>
    </w:p>
    <w:p w:rsidR="007D05E5" w:rsidRDefault="007D05E5" w:rsidP="000461B1">
      <w:pPr>
        <w:jc w:val="right"/>
        <w:rPr>
          <w:rFonts w:ascii="Arial" w:hAnsi="Arial" w:cs="Arial"/>
          <w:b/>
        </w:rPr>
      </w:pPr>
    </w:p>
    <w:p w:rsidR="00C53A0D" w:rsidRPr="00C10ABE" w:rsidRDefault="00583C17" w:rsidP="00C53A0D">
      <w:pPr>
        <w:pStyle w:val="AbstHead"/>
        <w:spacing w:after="0"/>
        <w:jc w:val="both"/>
        <w:rPr>
          <w:rFonts w:ascii="Arial" w:hAnsi="Arial" w:cs="Arial"/>
        </w:rPr>
      </w:pPr>
      <w:r w:rsidRPr="00583C17">
        <w:rPr>
          <w:rFonts w:ascii="Arial" w:hAnsi="Arial" w:cs="Arial"/>
          <w:noProof/>
          <w:lang w:val="fr-FR" w:eastAsia="fr-FR"/>
        </w:rPr>
      </w:r>
      <w:r w:rsidRPr="00583C17">
        <w:rPr>
          <w:rFonts w:ascii="Arial" w:hAnsi="Arial" w:cs="Arial"/>
          <w:noProof/>
          <w:lang w:val="fr-FR" w:eastAsia="fr-FR"/>
        </w:rPr>
        <w:pict>
          <v:shapetype id="_x0000_t32" coordsize="21600,21600" o:spt="32" o:oned="t" path="m,l21600,21600e" filled="f">
            <v:path arrowok="t" fillok="f" o:connecttype="none"/>
            <o:lock v:ext="edit" shapetype="t"/>
          </v:shapetype>
          <v:shape id="AutoShape 2" o:spid="_x0000_s1027" type="#_x0000_t32" style="width:446.25pt;height:3.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" strokeweight="1.5pt">
            <w10:wrap type="none"/>
            <w10:anchorlock/>
          </v:shape>
        </w:pict>
      </w:r>
      <w:commentRangeStart w:id="1"/>
      <w:commentRangeStart w:id="2"/>
      <w:commentRangeStart w:id="3"/>
      <w:r w:rsidR="00C53A0D" w:rsidRPr="00C10ABE">
        <w:rPr>
          <w:rFonts w:ascii="Arial Bold" w:hAnsi="Arial Bold" w:cs="Arial"/>
        </w:rPr>
        <w:t>ABSTRACT</w:t>
      </w:r>
      <w:commentRangeEnd w:id="1"/>
      <w:r w:rsidR="007C64CB">
        <w:rPr>
          <w:rStyle w:val="CommentReference"/>
          <w:rFonts w:asciiTheme="minorHAnsi" w:eastAsiaTheme="minorHAnsi" w:hAnsiTheme="minorHAnsi" w:cstheme="minorBidi"/>
          <w:b w:val="0"/>
          <w:caps w:val="0"/>
          <w:lang w:val="fr-FR"/>
        </w:rPr>
        <w:commentReference w:id="1"/>
      </w:r>
      <w:commentRangeEnd w:id="2"/>
      <w:r w:rsidR="00A373D3">
        <w:rPr>
          <w:rStyle w:val="CommentReference"/>
          <w:rFonts w:asciiTheme="minorHAnsi" w:eastAsiaTheme="minorHAnsi" w:hAnsiTheme="minorHAnsi" w:cstheme="minorBidi"/>
          <w:b w:val="0"/>
          <w:caps w:val="0"/>
          <w:lang w:val="fr-FR"/>
        </w:rPr>
        <w:commentReference w:id="2"/>
      </w:r>
      <w:commentRangeEnd w:id="3"/>
      <w:r w:rsidR="00A373D3">
        <w:rPr>
          <w:rStyle w:val="CommentReference"/>
          <w:rFonts w:asciiTheme="minorHAnsi" w:eastAsiaTheme="minorHAnsi" w:hAnsiTheme="minorHAnsi" w:cstheme="minorBidi"/>
          <w:b w:val="0"/>
          <w:caps w:val="0"/>
          <w:lang w:val="fr-FR"/>
        </w:rPr>
        <w:commentReference w:id="3"/>
      </w:r>
      <w:r w:rsidR="00C53A0D" w:rsidRPr="00C10ABE">
        <w:rPr>
          <w:rFonts w:ascii="Arial Bold" w:hAnsi="Arial Bold" w:cs="Arial"/>
        </w:rPr>
        <w:t xml:space="preserve"> </w:t>
      </w:r>
    </w:p>
    <w:p w:rsidR="00C53A0D" w:rsidRPr="00C10ABE" w:rsidRDefault="00583C17" w:rsidP="00C53A0D">
      <w:pPr>
        <w:pStyle w:val="Copyright"/>
        <w:spacing w:after="0" w:line="240" w:lineRule="auto"/>
        <w:jc w:val="both"/>
        <w:rPr>
          <w:rFonts w:ascii="Arial" w:hAnsi="Arial" w:cs="Arial"/>
        </w:rPr>
      </w:pPr>
      <w:r w:rsidRPr="00583C17">
        <w:rPr>
          <w:rFonts w:ascii="Times New Roman" w:hAnsi="Times New Roman"/>
          <w:b/>
          <w:noProof/>
          <w:lang w:val="fr-FR" w:eastAsia="fr-FR"/>
        </w:rPr>
        <w:pict>
          <v:shapetype id="_x0000_t202" coordsize="21600,21600" o:spt="202" path="m,l,21600r21600,l21600,xe">
            <v:stroke joinstyle="miter"/>
            <v:path gradientshapeok="t" o:connecttype="rect"/>
          </v:shapetype>
          <v:shape id="Zone de texte 4" o:spid="_x0000_s1026" type="#_x0000_t202" style="position:absolute;left:0;text-align:left;margin-left:2.5pt;margin-top:8.6pt;width:484.3pt;height:452.4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" fillcolor="white [3201]" strokeweight="1pt">
            <v:textbox>
              <w:txbxContent>
                <w:p w:rsidR="00664DCF" w:rsidRPr="00C10ABE" w:rsidRDefault="00664DCF" w:rsidP="00C53A0D">
                  <w:pPr>
                    <w:spacing w:after="0" w:line="360" w:lineRule="auto"/>
                    <w:jc w:val="both"/>
                    <w:rPr>
                      <w:rFonts w:ascii="Arial Bold" w:hAnsi="Arial Bold" w:cs="Arial"/>
                      <w:b/>
                    </w:rPr>
                  </w:pPr>
                  <w:r w:rsidRPr="00C10ABE">
                    <w:rPr>
                      <w:rFonts w:ascii="Arial Bold" w:hAnsi="Arial Bold" w:cs="Arial"/>
                      <w:b/>
                    </w:rPr>
                    <w:t xml:space="preserve">Aim : </w:t>
                  </w:r>
                  <w:r w:rsidRPr="00C10ABE">
                    <w:rPr>
                      <w:rFonts w:ascii="Arial Bold" w:hAnsi="Arial Bold" w:cs="Arial"/>
                      <w:i/>
                    </w:rPr>
                    <w:t>Pseudocedrela kotschyi</w:t>
                  </w:r>
                  <w:r w:rsidRPr="00C10ABE">
                    <w:rPr>
                      <w:rFonts w:ascii="Arial Bold" w:hAnsi="Arial Bold" w:cs="Arial"/>
                    </w:rPr>
                    <w:t xml:space="preserve"> is a traditional medicine plant used by people in sub-Saharan regions to cure several diseases. The main objective of this study is to evaluate the Anti-inflammatory activity of the aqueous extract of </w:t>
                  </w:r>
                  <w:r w:rsidRPr="00C10ABE">
                    <w:rPr>
                      <w:rFonts w:ascii="Arial Bold" w:hAnsi="Arial Bold" w:cs="Arial"/>
                      <w:i/>
                    </w:rPr>
                    <w:t>Pseudocedrela kotschyi</w:t>
                  </w:r>
                  <w:r w:rsidRPr="00C10ABE">
                    <w:rPr>
                      <w:rFonts w:ascii="Arial Bold" w:hAnsi="Arial Bold" w:cs="Arial"/>
                    </w:rPr>
                    <w:t xml:space="preserve"> trunk bark.</w:t>
                  </w:r>
                </w:p>
                <w:p w:rsidR="00664DCF" w:rsidRPr="00C10ABE" w:rsidRDefault="00664DCF" w:rsidP="00C53A0D">
                  <w:pPr>
                    <w:spacing w:after="0" w:line="360" w:lineRule="auto"/>
                    <w:jc w:val="both"/>
                    <w:rPr>
                      <w:rFonts w:ascii="Arial Bold" w:hAnsi="Arial Bold" w:cs="Arial"/>
                      <w:b/>
                    </w:rPr>
                  </w:pPr>
                  <w:r w:rsidRPr="00C10ABE">
                    <w:rPr>
                      <w:rFonts w:ascii="Arial Bold" w:hAnsi="Arial Bold" w:cs="Arial"/>
                      <w:b/>
                    </w:rPr>
                    <w:t xml:space="preserve">Methods: </w:t>
                  </w:r>
                  <w:r w:rsidRPr="00C10ABE">
                    <w:rPr>
                      <w:rFonts w:ascii="Arial Bold" w:hAnsi="Arial Bold" w:cs="Arial"/>
                      <w:bCs/>
                    </w:rPr>
                    <w:t xml:space="preserve">The aqueous extract was obtained by infusion of </w:t>
                  </w:r>
                  <w:r w:rsidRPr="00C10ABE">
                    <w:rPr>
                      <w:rFonts w:ascii="Arial Bold" w:hAnsi="Arial Bold" w:cs="Arial"/>
                      <w:i/>
                    </w:rPr>
                    <w:t>Pseudocedrela kotschyi</w:t>
                  </w:r>
                  <w:r w:rsidRPr="00C10ABE">
                    <w:rPr>
                      <w:rFonts w:ascii="Arial Bold" w:hAnsi="Arial Bold" w:cs="Arial"/>
                      <w:bCs/>
                    </w:rPr>
                    <w:t xml:space="preserve">trunk bark powder.  This aqueous extract was used for phytochemical tests. Acute oral toxicity of the extract was determined in rats. It was also administered orally at different doses to different batches of rats to assess its anti-inflammatory activity. </w:t>
                  </w:r>
                  <w:r w:rsidRPr="00C10ABE">
                    <w:rPr>
                      <w:rFonts w:ascii="Arial Bold" w:hAnsi="Arial Bold" w:cs="Arial"/>
                    </w:rPr>
                    <w:t xml:space="preserve">The effects of the extract on inflammation were determined using </w:t>
                  </w:r>
                  <w:r w:rsidRPr="00C10ABE">
                    <w:rPr>
                      <w:rFonts w:ascii="Arial Bold" w:eastAsia="TimesNewRomanPSMT" w:hAnsi="Arial Bold" w:cs="Arial"/>
                    </w:rPr>
                    <w:t>carrageenan</w:t>
                  </w:r>
                  <w:r w:rsidRPr="00C10ABE">
                    <w:rPr>
                      <w:rFonts w:ascii="Arial Bold" w:hAnsi="Arial Bold" w:cs="Arial"/>
                    </w:rPr>
                    <w:t xml:space="preserve"> induced paw edema.</w:t>
                  </w:r>
                </w:p>
                <w:p w:rsidR="00664DCF" w:rsidRPr="00C10ABE" w:rsidRDefault="00664DCF" w:rsidP="00C53A0D">
                  <w:pPr>
                    <w:spacing w:after="0" w:line="360" w:lineRule="auto"/>
                    <w:jc w:val="both"/>
                    <w:rPr>
                      <w:rFonts w:ascii="Arial Bold" w:hAnsi="Arial Bold" w:cs="Arial"/>
                      <w:b/>
                    </w:rPr>
                  </w:pPr>
                  <w:r w:rsidRPr="00C10ABE">
                    <w:rPr>
                      <w:rFonts w:ascii="Arial Bold" w:hAnsi="Arial Bold" w:cs="Arial"/>
                      <w:b/>
                    </w:rPr>
                    <w:t xml:space="preserve">Results: </w:t>
                  </w:r>
                  <w:r w:rsidRPr="00C10ABE">
                    <w:rPr>
                      <w:rFonts w:ascii="Arial Bold" w:hAnsi="Arial Bold" w:cs="Arial"/>
                    </w:rPr>
                    <w:t xml:space="preserve">Phytochemical screening revealed the presence of alkaloids, flavonoids, catechic tannins, saponosides, polyphenols, quinones, terpenoids, oses and holosides whereas coumarins and gallic tannins are absent.In the acute toxicity study, oral administration of the aqueous extract of </w:t>
                  </w:r>
                  <w:r w:rsidRPr="00C10ABE">
                    <w:rPr>
                      <w:rFonts w:ascii="Arial Bold" w:hAnsi="Arial Bold" w:cs="Arial"/>
                      <w:i/>
                    </w:rPr>
                    <w:t>Pseudocedrela kotschyi</w:t>
                  </w:r>
                  <w:r w:rsidRPr="00C10ABE">
                    <w:rPr>
                      <w:rFonts w:ascii="Arial Bold" w:hAnsi="Arial Bold" w:cs="Arial"/>
                    </w:rPr>
                    <w:t xml:space="preserve"> trunk bark did not cause any death among the rats. According to the organisation for economic cooperation and development (OECD) 423 classification system, the lethal dose 50 (LD50) of such an extract is therefore greater than 5000mg/kg body weight. Evaluation of the anti-inflammatory activity shows that this aqueous extract caused significant (P = .05) inhibition of the development of paw edema in rats. </w:t>
                  </w:r>
                </w:p>
                <w:p w:rsidR="00664DCF" w:rsidRPr="00C10ABE" w:rsidRDefault="00664DCF" w:rsidP="00C53A0D">
                  <w:pPr>
                    <w:spacing w:line="360" w:lineRule="auto"/>
                    <w:jc w:val="both"/>
                    <w:rPr>
                      <w:rFonts w:ascii="Arial Bold" w:hAnsi="Arial Bold" w:cs="Arial"/>
                      <w:b/>
                    </w:rPr>
                  </w:pPr>
                  <w:r w:rsidRPr="00C10ABE">
                    <w:rPr>
                      <w:rFonts w:ascii="Arial Bold" w:hAnsi="Arial Bold" w:cs="Arial"/>
                      <w:b/>
                    </w:rPr>
                    <w:t xml:space="preserve">Conclusion: </w:t>
                  </w:r>
                  <w:r w:rsidRPr="00C10ABE">
                    <w:rPr>
                      <w:rFonts w:ascii="Arial Bold" w:hAnsi="Arial Bold" w:cs="Arial"/>
                    </w:rPr>
                    <w:t xml:space="preserve">The results obtained suggest that the aqueous extract of the trunk bark of </w:t>
                  </w:r>
                  <w:r w:rsidRPr="00C10ABE">
                    <w:rPr>
                      <w:rFonts w:ascii="Arial Bold" w:hAnsi="Arial Bold" w:cs="Arial"/>
                      <w:i/>
                    </w:rPr>
                    <w:t>Pseudocedrela kotschyi</w:t>
                  </w:r>
                  <w:r w:rsidRPr="00C10ABE">
                    <w:rPr>
                      <w:rFonts w:ascii="Arial Bold" w:hAnsi="Arial Bold" w:cs="Arial"/>
                    </w:rPr>
                    <w:t xml:space="preserve"> may contain biologically active principles with potential anti-inflammatory effects; thus supporting its use as a phytomedicine and buttressing the need for the isolation and identification of the biologically active constituent(s) of this plant.</w:t>
                  </w:r>
                </w:p>
                <w:p w:rsidR="00664DCF" w:rsidRDefault="00664DCF" w:rsidP="00C53A0D"/>
              </w:txbxContent>
            </v:textbox>
          </v:shape>
        </w:pict>
      </w:r>
    </w:p>
    <w:p w:rsidR="00C53A0D" w:rsidRPr="00C10ABE" w:rsidRDefault="00C53A0D" w:rsidP="00C53A0D">
      <w:pPr>
        <w:pStyle w:val="Copyright"/>
        <w:spacing w:after="0" w:line="240" w:lineRule="auto"/>
        <w:jc w:val="both"/>
        <w:rPr>
          <w:rFonts w:ascii="Arial" w:hAnsi="Arial" w:cs="Arial"/>
        </w:rPr>
      </w:pPr>
    </w:p>
    <w:p w:rsidR="00C53A0D" w:rsidRPr="00C10ABE" w:rsidRDefault="00C53A0D" w:rsidP="00C53A0D">
      <w:pPr>
        <w:spacing w:before="120" w:after="0" w:line="360" w:lineRule="auto"/>
        <w:jc w:val="both"/>
        <w:rPr>
          <w:rFonts w:ascii="Times New Roman" w:hAnsi="Times New Roman" w:cs="Times New Roman"/>
          <w:sz w:val="24"/>
          <w:szCs w:val="24"/>
        </w:rPr>
      </w:pPr>
    </w:p>
    <w:p w:rsidR="00C53A0D" w:rsidRPr="00C10ABE" w:rsidRDefault="00C53A0D" w:rsidP="00C53A0D">
      <w:pPr>
        <w:spacing w:after="360"/>
        <w:jc w:val="both"/>
        <w:rPr>
          <w:rFonts w:ascii="Times New Roman" w:hAnsi="Times New Roman" w:cs="Times New Roman"/>
          <w:sz w:val="24"/>
          <w:szCs w:val="24"/>
        </w:rPr>
      </w:pPr>
    </w:p>
    <w:p w:rsidR="00C53A0D" w:rsidRPr="00C10ABE" w:rsidRDefault="00C53A0D" w:rsidP="00C53A0D">
      <w:pPr>
        <w:tabs>
          <w:tab w:val="left" w:pos="1390"/>
        </w:tabs>
        <w:spacing w:before="120" w:after="360"/>
        <w:jc w:val="both"/>
        <w:rPr>
          <w:rFonts w:ascii="Times New Roman" w:hAnsi="Times New Roman" w:cs="Times New Roman"/>
          <w:sz w:val="24"/>
          <w:szCs w:val="24"/>
        </w:rPr>
      </w:pPr>
    </w:p>
    <w:p w:rsidR="00C53A0D" w:rsidRPr="00C10ABE" w:rsidRDefault="00C53A0D" w:rsidP="00C53A0D">
      <w:pPr>
        <w:tabs>
          <w:tab w:val="left" w:pos="1390"/>
        </w:tabs>
        <w:spacing w:before="120" w:after="360"/>
        <w:jc w:val="both"/>
        <w:rPr>
          <w:rFonts w:ascii="Times New Roman" w:hAnsi="Times New Roman" w:cs="Times New Roman"/>
          <w:sz w:val="24"/>
          <w:szCs w:val="24"/>
        </w:rPr>
      </w:pPr>
    </w:p>
    <w:p w:rsidR="00C53A0D" w:rsidRPr="00C10ABE" w:rsidRDefault="00C53A0D" w:rsidP="00C53A0D">
      <w:pPr>
        <w:tabs>
          <w:tab w:val="left" w:pos="1390"/>
        </w:tabs>
        <w:spacing w:before="120" w:after="360"/>
        <w:jc w:val="both"/>
        <w:rPr>
          <w:rFonts w:ascii="Times New Roman" w:eastAsia="Times New Roman" w:hAnsi="Times New Roman" w:cs="Times New Roman"/>
          <w:sz w:val="24"/>
          <w:szCs w:val="24"/>
          <w:lang w:eastAsia="fr-FR"/>
        </w:rPr>
      </w:pPr>
    </w:p>
    <w:p w:rsidR="00C53A0D" w:rsidRPr="00C10ABE" w:rsidRDefault="00C53A0D" w:rsidP="00C53A0D">
      <w:pPr>
        <w:tabs>
          <w:tab w:val="left" w:pos="1390"/>
        </w:tabs>
        <w:spacing w:before="120" w:after="360"/>
        <w:jc w:val="both"/>
        <w:rPr>
          <w:rFonts w:ascii="Times New Roman" w:hAnsi="Times New Roman" w:cs="Times New Roman"/>
          <w:sz w:val="24"/>
          <w:szCs w:val="24"/>
        </w:rPr>
      </w:pPr>
    </w:p>
    <w:p w:rsidR="00C53A0D" w:rsidRPr="00C10ABE" w:rsidRDefault="00C53A0D" w:rsidP="00C53A0D">
      <w:pPr>
        <w:tabs>
          <w:tab w:val="left" w:pos="1390"/>
        </w:tabs>
        <w:spacing w:before="120" w:after="360"/>
        <w:jc w:val="both"/>
        <w:rPr>
          <w:rFonts w:ascii="Times New Roman" w:hAnsi="Times New Roman" w:cs="Times New Roman"/>
          <w:sz w:val="24"/>
          <w:szCs w:val="24"/>
        </w:rPr>
      </w:pPr>
    </w:p>
    <w:p w:rsidR="00C53A0D" w:rsidRPr="00C10ABE" w:rsidRDefault="00C53A0D" w:rsidP="00C53A0D">
      <w:pPr>
        <w:tabs>
          <w:tab w:val="left" w:pos="1390"/>
        </w:tabs>
        <w:spacing w:before="120" w:after="360"/>
        <w:jc w:val="both"/>
        <w:rPr>
          <w:rFonts w:ascii="Times New Roman" w:eastAsia="Times New Roman" w:hAnsi="Times New Roman" w:cs="Times New Roman"/>
          <w:sz w:val="24"/>
          <w:szCs w:val="24"/>
          <w:lang w:eastAsia="fr-FR"/>
        </w:rPr>
      </w:pPr>
    </w:p>
    <w:p w:rsidR="00C53A0D" w:rsidRPr="00C10ABE" w:rsidRDefault="00C53A0D" w:rsidP="00C53A0D">
      <w:pPr>
        <w:tabs>
          <w:tab w:val="left" w:pos="1390"/>
        </w:tabs>
        <w:spacing w:before="120" w:after="360"/>
        <w:jc w:val="both"/>
        <w:rPr>
          <w:rFonts w:ascii="Times New Roman" w:hAnsi="Times New Roman" w:cs="Times New Roman"/>
          <w:sz w:val="24"/>
          <w:szCs w:val="24"/>
        </w:rPr>
      </w:pPr>
    </w:p>
    <w:p w:rsidR="00C53A0D" w:rsidRPr="00C10ABE" w:rsidRDefault="00C53A0D" w:rsidP="00C53A0D">
      <w:pPr>
        <w:tabs>
          <w:tab w:val="left" w:pos="1390"/>
        </w:tabs>
        <w:spacing w:before="120" w:after="360"/>
        <w:jc w:val="both"/>
        <w:rPr>
          <w:rFonts w:ascii="Times New Roman" w:eastAsia="Times New Roman" w:hAnsi="Times New Roman" w:cs="Times New Roman"/>
          <w:sz w:val="24"/>
          <w:szCs w:val="24"/>
          <w:lang w:eastAsia="fr-FR"/>
        </w:rPr>
      </w:pPr>
    </w:p>
    <w:p w:rsidR="00C53A0D" w:rsidRPr="00C10ABE" w:rsidRDefault="00C53A0D" w:rsidP="00C53A0D">
      <w:pPr>
        <w:tabs>
          <w:tab w:val="left" w:pos="1390"/>
        </w:tabs>
        <w:spacing w:before="120" w:after="360"/>
        <w:rPr>
          <w:rFonts w:eastAsia="Times New Roman" w:cs="Times New Roman"/>
          <w:b/>
          <w:bCs/>
          <w:szCs w:val="24"/>
          <w:lang w:eastAsia="fr-FR"/>
        </w:rPr>
      </w:pPr>
    </w:p>
    <w:p w:rsidR="00C53A0D" w:rsidRPr="00C10ABE" w:rsidRDefault="00C53A0D" w:rsidP="00C53A0D">
      <w:pPr>
        <w:shd w:val="clear" w:color="auto" w:fill="FFFFFF"/>
        <w:spacing w:after="0"/>
        <w:rPr>
          <w:rFonts w:cs="Times New Roman"/>
          <w:szCs w:val="24"/>
        </w:rPr>
      </w:pPr>
    </w:p>
    <w:p w:rsidR="004A5E1E" w:rsidRDefault="004A5E1E" w:rsidP="00C53A0D">
      <w:pPr>
        <w:tabs>
          <w:tab w:val="left" w:pos="1390"/>
        </w:tabs>
        <w:spacing w:before="120" w:after="360"/>
        <w:rPr>
          <w:rFonts w:ascii="Arial" w:hAnsi="Arial" w:cs="Arial"/>
          <w:i/>
          <w:sz w:val="20"/>
          <w:szCs w:val="20"/>
        </w:rPr>
      </w:pPr>
    </w:p>
    <w:p w:rsidR="004A5E1E" w:rsidRDefault="004A5E1E" w:rsidP="00C53A0D">
      <w:pPr>
        <w:tabs>
          <w:tab w:val="left" w:pos="1390"/>
        </w:tabs>
        <w:spacing w:before="120" w:after="360"/>
        <w:rPr>
          <w:rFonts w:ascii="Arial" w:hAnsi="Arial" w:cs="Arial"/>
          <w:i/>
          <w:sz w:val="20"/>
          <w:szCs w:val="20"/>
        </w:rPr>
      </w:pPr>
    </w:p>
    <w:p w:rsidR="00ED0165" w:rsidRDefault="00ED0165" w:rsidP="00C53A0D">
      <w:pPr>
        <w:tabs>
          <w:tab w:val="left" w:pos="1390"/>
        </w:tabs>
        <w:spacing w:before="120" w:after="360"/>
        <w:rPr>
          <w:rFonts w:ascii="Arial" w:hAnsi="Arial" w:cs="Arial"/>
          <w:i/>
          <w:sz w:val="20"/>
          <w:szCs w:val="20"/>
        </w:rPr>
      </w:pPr>
      <w:bookmarkStart w:id="4" w:name="_GoBack"/>
      <w:bookmarkEnd w:id="4"/>
    </w:p>
    <w:p w:rsidR="00C53A0D" w:rsidRPr="00C10ABE" w:rsidRDefault="00C53A0D" w:rsidP="00C53A0D">
      <w:pPr>
        <w:tabs>
          <w:tab w:val="left" w:pos="1390"/>
        </w:tabs>
        <w:spacing w:before="120" w:after="360"/>
        <w:rPr>
          <w:rFonts w:ascii="Arial" w:eastAsia="Times New Roman" w:hAnsi="Arial" w:cs="Arial"/>
          <w:b/>
          <w:bCs/>
          <w:i/>
          <w:sz w:val="20"/>
          <w:szCs w:val="20"/>
          <w:lang w:eastAsia="fr-FR"/>
        </w:rPr>
      </w:pPr>
      <w:r w:rsidRPr="00C10ABE">
        <w:rPr>
          <w:rFonts w:ascii="Arial" w:hAnsi="Arial" w:cs="Arial"/>
          <w:i/>
          <w:sz w:val="20"/>
          <w:szCs w:val="20"/>
        </w:rPr>
        <w:t xml:space="preserve">Keywords: Pseudocedrela kotschyi, Anti-inflammatory, </w:t>
      </w:r>
      <w:r w:rsidRPr="00C10ABE">
        <w:rPr>
          <w:rFonts w:ascii="Arial" w:eastAsia="TimesNewRomanPSMT" w:hAnsi="Arial" w:cs="Arial"/>
          <w:i/>
          <w:sz w:val="20"/>
          <w:szCs w:val="20"/>
        </w:rPr>
        <w:t>carrageenan,</w:t>
      </w:r>
      <w:r w:rsidRPr="00C10ABE">
        <w:rPr>
          <w:rFonts w:ascii="Arial" w:hAnsi="Arial" w:cs="Arial"/>
          <w:i/>
          <w:sz w:val="20"/>
          <w:szCs w:val="20"/>
        </w:rPr>
        <w:t xml:space="preserve"> traditional medicine plant, </w:t>
      </w:r>
      <w:r w:rsidRPr="00EF7969">
        <w:rPr>
          <w:rFonts w:ascii="Arial" w:hAnsi="Arial" w:cs="Arial"/>
          <w:i/>
          <w:strike/>
          <w:sz w:val="20"/>
          <w:szCs w:val="20"/>
        </w:rPr>
        <w:t xml:space="preserve">paw </w:t>
      </w:r>
      <w:commentRangeStart w:id="5"/>
      <w:r w:rsidRPr="00EF7969">
        <w:rPr>
          <w:rFonts w:ascii="Arial" w:hAnsi="Arial" w:cs="Arial"/>
          <w:i/>
          <w:strike/>
          <w:sz w:val="20"/>
          <w:szCs w:val="20"/>
        </w:rPr>
        <w:t>edema</w:t>
      </w:r>
      <w:commentRangeEnd w:id="5"/>
      <w:r w:rsidR="00EF7969" w:rsidRPr="00EF7969">
        <w:rPr>
          <w:rStyle w:val="CommentReference"/>
          <w:strike/>
        </w:rPr>
        <w:commentReference w:id="5"/>
      </w:r>
      <w:r w:rsidRPr="00C10ABE">
        <w:rPr>
          <w:rFonts w:ascii="Arial" w:hAnsi="Arial" w:cs="Arial"/>
          <w:i/>
          <w:sz w:val="20"/>
          <w:szCs w:val="20"/>
        </w:rPr>
        <w:t>.</w:t>
      </w:r>
    </w:p>
    <w:p w:rsidR="00C53A0D" w:rsidRPr="00C10ABE" w:rsidRDefault="00C53A0D" w:rsidP="00C53A0D">
      <w:pPr>
        <w:tabs>
          <w:tab w:val="left" w:pos="1390"/>
        </w:tabs>
        <w:spacing w:after="0"/>
        <w:rPr>
          <w:rFonts w:ascii="Arial Bold" w:eastAsia="Times New Roman" w:hAnsi="Arial Bold" w:cs="Arial"/>
          <w:b/>
          <w:lang w:eastAsia="fr-FR"/>
        </w:rPr>
      </w:pPr>
      <w:r w:rsidRPr="00C10ABE">
        <w:rPr>
          <w:rFonts w:ascii="Arial Bold" w:eastAsia="Times New Roman" w:hAnsi="Arial Bold" w:cs="Arial"/>
          <w:b/>
          <w:lang w:eastAsia="fr-FR"/>
        </w:rPr>
        <w:t>1. INTRODUCTION</w:t>
      </w:r>
    </w:p>
    <w:p w:rsidR="00C53A0D" w:rsidRPr="00C10ABE" w:rsidRDefault="00C53A0D" w:rsidP="00C53A0D">
      <w:pPr>
        <w:tabs>
          <w:tab w:val="left" w:pos="1390"/>
        </w:tabs>
        <w:spacing w:after="0"/>
        <w:rPr>
          <w:rFonts w:ascii="Arial Bold" w:eastAsia="Times New Roman" w:hAnsi="Arial Bold" w:cs="Arial"/>
          <w:b/>
          <w:lang w:eastAsia="fr-FR"/>
        </w:rPr>
      </w:pP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Inflammation is an immunological defence mechanism of the body in response to mechanical damage, burns, microbial infections, toxic chemicals, allergens and other harmful stimuli. It is considered to be the primary physiological defence mechanism that helps the body to protect itself from these assaults, </w:t>
      </w:r>
      <w:r w:rsidRPr="00C10ABE">
        <w:rPr>
          <w:rFonts w:ascii="Arial" w:hAnsi="Arial" w:cs="Arial"/>
          <w:sz w:val="20"/>
          <w:szCs w:val="20"/>
        </w:rPr>
        <w:lastRenderedPageBreak/>
        <w:t xml:space="preserve">ensuring the healing, defence and sterilisation of injured tissues </w:t>
      </w:r>
      <w:r w:rsidRPr="00C10ABE">
        <w:rPr>
          <w:rFonts w:ascii="Arial" w:hAnsi="Arial" w:cs="Arial"/>
          <w:b/>
          <w:sz w:val="20"/>
          <w:szCs w:val="20"/>
        </w:rPr>
        <w:t>[</w:t>
      </w:r>
      <w:commentRangeStart w:id="6"/>
      <w:r w:rsidRPr="00C10ABE">
        <w:rPr>
          <w:rFonts w:ascii="Arial" w:hAnsi="Arial" w:cs="Arial"/>
          <w:b/>
          <w:sz w:val="20"/>
          <w:szCs w:val="20"/>
        </w:rPr>
        <w:t>1</w:t>
      </w:r>
      <w:commentRangeEnd w:id="6"/>
      <w:r w:rsidR="004C4F2D">
        <w:rPr>
          <w:rStyle w:val="CommentReference"/>
        </w:rPr>
        <w:commentReference w:id="6"/>
      </w:r>
      <w:r w:rsidRPr="00C10ABE">
        <w:rPr>
          <w:rFonts w:ascii="Arial" w:hAnsi="Arial" w:cs="Arial"/>
          <w:b/>
          <w:sz w:val="20"/>
          <w:szCs w:val="20"/>
        </w:rPr>
        <w:t>].</w:t>
      </w:r>
      <w:r w:rsidRPr="00C10ABE">
        <w:rPr>
          <w:rFonts w:ascii="Arial" w:hAnsi="Arial" w:cs="Arial"/>
          <w:sz w:val="20"/>
          <w:szCs w:val="20"/>
        </w:rPr>
        <w:t xml:space="preserve"> This protective immune response can sometimes be harmful due to the aggressiveness of the pathogen, its persistence, and abnormalities in the regulation and production of cells involved in inflammation </w:t>
      </w:r>
      <w:r w:rsidRPr="00C10ABE">
        <w:rPr>
          <w:rFonts w:ascii="Arial" w:hAnsi="Arial" w:cs="Arial"/>
          <w:b/>
          <w:sz w:val="20"/>
          <w:szCs w:val="20"/>
        </w:rPr>
        <w:t>[2]</w:t>
      </w:r>
      <w:r w:rsidRPr="00C10ABE">
        <w:rPr>
          <w:rFonts w:ascii="Arial" w:hAnsi="Arial" w:cs="Arial"/>
          <w:sz w:val="20"/>
          <w:szCs w:val="20"/>
        </w:rPr>
        <w:t xml:space="preserve">. These inflammatory processes are involved in the development of a large number of human pathologies such as arthritis, diabetes, asthma, allergies and cancer </w:t>
      </w:r>
      <w:r w:rsidRPr="00C10ABE">
        <w:rPr>
          <w:rFonts w:ascii="Arial" w:hAnsi="Arial" w:cs="Arial"/>
          <w:b/>
          <w:sz w:val="20"/>
          <w:szCs w:val="20"/>
        </w:rPr>
        <w:t>[3]</w:t>
      </w:r>
      <w:r w:rsidRPr="00C10ABE">
        <w:rPr>
          <w:rFonts w:ascii="Arial" w:hAnsi="Arial" w:cs="Arial"/>
          <w:sz w:val="20"/>
          <w:szCs w:val="20"/>
        </w:rPr>
        <w:t>.</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Inflammation and its associated pathologies are increasingly a major health problem, both in terms of the majority of people who suffer from them and the different forms in which they manifest themselves. Treatment of inflammation is often based on non-steroidal anti-inflammatory drugs (NSAIDs) and glucocorticoids.</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Although effective, these molecules most often have undesirable effects </w:t>
      </w:r>
      <w:r w:rsidRPr="00C10ABE">
        <w:rPr>
          <w:rFonts w:ascii="Arial" w:hAnsi="Arial" w:cs="Arial"/>
          <w:b/>
          <w:sz w:val="20"/>
          <w:szCs w:val="20"/>
        </w:rPr>
        <w:t>[4]</w:t>
      </w:r>
      <w:r w:rsidRPr="00C10ABE">
        <w:rPr>
          <w:rFonts w:ascii="Arial" w:hAnsi="Arial" w:cs="Arial"/>
          <w:sz w:val="20"/>
          <w:szCs w:val="20"/>
        </w:rPr>
        <w:t xml:space="preserve">. All NSAIDs, whatever their route of administration, present risks of gastrointestinal and renal toxicity, and sometimes cardiac complications </w:t>
      </w:r>
      <w:r w:rsidRPr="00C10ABE">
        <w:rPr>
          <w:rFonts w:ascii="Arial" w:hAnsi="Arial" w:cs="Arial"/>
          <w:b/>
          <w:sz w:val="20"/>
          <w:szCs w:val="20"/>
        </w:rPr>
        <w:t>[5].</w:t>
      </w:r>
      <w:r w:rsidRPr="00C10ABE">
        <w:rPr>
          <w:rFonts w:ascii="Arial" w:hAnsi="Arial" w:cs="Arial"/>
          <w:sz w:val="20"/>
          <w:szCs w:val="20"/>
        </w:rPr>
        <w:t xml:space="preserve"> The higher the dosage and the longer the course of treatment, the greater the risk </w:t>
      </w:r>
      <w:r w:rsidRPr="00C10ABE">
        <w:rPr>
          <w:rFonts w:ascii="Arial" w:hAnsi="Arial" w:cs="Arial"/>
          <w:b/>
          <w:sz w:val="20"/>
          <w:szCs w:val="20"/>
        </w:rPr>
        <w:t>[6]</w:t>
      </w:r>
      <w:r w:rsidRPr="00C10ABE">
        <w:rPr>
          <w:rFonts w:ascii="Arial" w:hAnsi="Arial" w:cs="Arial"/>
          <w:sz w:val="20"/>
          <w:szCs w:val="20"/>
        </w:rPr>
        <w:t>.</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search for new medical molecules with no risk of side-effects is proving essential for the treatment of patients. For this reason, increasing emphasis is being placed on the search for new molecules with anti-inflammatory activity in medicinal plants. For this reason, the present work was undertaken to evaluate the anti-inflammatory effect of an aqueous extract from the trunk bark of Pseudocedrela kotschyi, a plant widely used in traditional medicine. This plant has many valuable properties, making it a very interesting subject for study. </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i/>
          <w:sz w:val="20"/>
          <w:szCs w:val="20"/>
        </w:rPr>
        <w:t>Pseudocedrela kotschyi</w:t>
      </w:r>
      <w:r w:rsidRPr="00C10ABE">
        <w:rPr>
          <w:rFonts w:ascii="Arial" w:hAnsi="Arial" w:cs="Arial"/>
          <w:sz w:val="20"/>
          <w:szCs w:val="20"/>
        </w:rPr>
        <w:t xml:space="preserve"> (Schweinf.) Harms (Meliaceae) or dry zone cedar </w:t>
      </w:r>
      <w:r w:rsidRPr="00C10ABE">
        <w:rPr>
          <w:rFonts w:ascii="Arial" w:hAnsi="Arial" w:cs="Arial"/>
          <w:b/>
          <w:sz w:val="20"/>
          <w:szCs w:val="20"/>
        </w:rPr>
        <w:t>[7]</w:t>
      </w:r>
      <w:r w:rsidRPr="00C10ABE">
        <w:rPr>
          <w:rFonts w:ascii="Arial" w:hAnsi="Arial" w:cs="Arial"/>
          <w:sz w:val="20"/>
          <w:szCs w:val="20"/>
        </w:rPr>
        <w:t xml:space="preserve"> is a long tree that can reach a height of 20 m with a greyish, cracked bark </w:t>
      </w:r>
      <w:r w:rsidRPr="00C10ABE">
        <w:rPr>
          <w:rFonts w:ascii="Arial" w:hAnsi="Arial" w:cs="Arial"/>
          <w:b/>
          <w:sz w:val="20"/>
          <w:szCs w:val="20"/>
        </w:rPr>
        <w:t>[8]</w:t>
      </w:r>
      <w:r w:rsidRPr="00C10ABE">
        <w:rPr>
          <w:rFonts w:ascii="Arial" w:hAnsi="Arial" w:cs="Arial"/>
          <w:sz w:val="20"/>
          <w:szCs w:val="20"/>
        </w:rPr>
        <w:t>. It is one of the biggest trees found in tropical and subtropical countries of Africa.</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Different parts of </w:t>
      </w:r>
      <w:r w:rsidRPr="00C10ABE">
        <w:rPr>
          <w:rFonts w:ascii="Arial" w:hAnsi="Arial" w:cs="Arial"/>
          <w:i/>
          <w:sz w:val="20"/>
          <w:szCs w:val="20"/>
        </w:rPr>
        <w:t>Pseudocedrela kotschyi</w:t>
      </w:r>
      <w:r w:rsidRPr="00C10ABE">
        <w:rPr>
          <w:rFonts w:ascii="Arial" w:hAnsi="Arial" w:cs="Arial"/>
          <w:sz w:val="20"/>
          <w:szCs w:val="20"/>
        </w:rPr>
        <w:t xml:space="preserve"> are used in the traditional treatment of various diseases. The root is used in the treatment of epilepsy, dementia </w:t>
      </w:r>
      <w:r w:rsidRPr="00C10ABE">
        <w:rPr>
          <w:rFonts w:ascii="Arial" w:hAnsi="Arial" w:cs="Arial"/>
          <w:b/>
          <w:sz w:val="20"/>
          <w:szCs w:val="20"/>
        </w:rPr>
        <w:t>[9]</w:t>
      </w:r>
      <w:r w:rsidRPr="00C10ABE">
        <w:rPr>
          <w:rFonts w:ascii="Arial" w:hAnsi="Arial" w:cs="Arial"/>
          <w:sz w:val="20"/>
          <w:szCs w:val="20"/>
        </w:rPr>
        <w:t xml:space="preserve">, diabetes </w:t>
      </w:r>
      <w:r w:rsidRPr="00C10ABE">
        <w:rPr>
          <w:rFonts w:ascii="Arial" w:hAnsi="Arial" w:cs="Arial"/>
          <w:b/>
          <w:sz w:val="20"/>
          <w:szCs w:val="20"/>
        </w:rPr>
        <w:t>[10]</w:t>
      </w:r>
      <w:r w:rsidRPr="00C10ABE">
        <w:rPr>
          <w:rFonts w:ascii="Arial" w:hAnsi="Arial" w:cs="Arial"/>
          <w:sz w:val="20"/>
          <w:szCs w:val="20"/>
        </w:rPr>
        <w:t xml:space="preserve">. The stem bark is used in the treatment of cancer </w:t>
      </w:r>
      <w:r w:rsidRPr="00C10ABE">
        <w:rPr>
          <w:rFonts w:ascii="Arial" w:hAnsi="Arial" w:cs="Arial"/>
          <w:b/>
          <w:sz w:val="20"/>
          <w:szCs w:val="20"/>
        </w:rPr>
        <w:t>[11]</w:t>
      </w:r>
      <w:r w:rsidRPr="00C10ABE">
        <w:rPr>
          <w:rFonts w:ascii="Arial" w:hAnsi="Arial" w:cs="Arial"/>
          <w:sz w:val="20"/>
          <w:szCs w:val="20"/>
        </w:rPr>
        <w:t xml:space="preserve">, infantile dermatitis </w:t>
      </w:r>
      <w:r w:rsidRPr="00C10ABE">
        <w:rPr>
          <w:rFonts w:ascii="Arial" w:hAnsi="Arial" w:cs="Arial"/>
          <w:b/>
          <w:sz w:val="20"/>
          <w:szCs w:val="20"/>
        </w:rPr>
        <w:t>[12]</w:t>
      </w:r>
      <w:r w:rsidRPr="00C10ABE">
        <w:rPr>
          <w:rFonts w:ascii="Arial" w:hAnsi="Arial" w:cs="Arial"/>
          <w:sz w:val="20"/>
          <w:szCs w:val="20"/>
        </w:rPr>
        <w:t xml:space="preserve">, toothache </w:t>
      </w:r>
      <w:r w:rsidRPr="00C10ABE">
        <w:rPr>
          <w:rFonts w:ascii="Arial" w:hAnsi="Arial" w:cs="Arial"/>
          <w:b/>
          <w:sz w:val="20"/>
          <w:szCs w:val="20"/>
        </w:rPr>
        <w:t>[13].</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present study aims to evaluate the anti-inflammatory properties of the aqueous extract of </w:t>
      </w:r>
      <w:r w:rsidRPr="00C10ABE">
        <w:rPr>
          <w:rFonts w:ascii="Arial" w:hAnsi="Arial" w:cs="Arial"/>
          <w:i/>
          <w:sz w:val="20"/>
          <w:szCs w:val="20"/>
        </w:rPr>
        <w:t>Pseudocedrela kotschyi</w:t>
      </w:r>
      <w:r w:rsidRPr="00C10ABE">
        <w:rPr>
          <w:rFonts w:ascii="Arial" w:hAnsi="Arial" w:cs="Arial"/>
          <w:sz w:val="20"/>
          <w:szCs w:val="20"/>
        </w:rPr>
        <w:t xml:space="preserve"> in order to provide a scientific basis for its ethnopharmacological use.</w:t>
      </w:r>
    </w:p>
    <w:p w:rsidR="00C53A0D" w:rsidRPr="00C10ABE" w:rsidRDefault="00C53A0D" w:rsidP="00C53A0D">
      <w:pPr>
        <w:spacing w:after="0" w:line="360" w:lineRule="auto"/>
        <w:jc w:val="both"/>
        <w:rPr>
          <w:rFonts w:ascii="Arial" w:hAnsi="Arial" w:cs="Arial"/>
          <w:b/>
          <w:sz w:val="20"/>
          <w:szCs w:val="20"/>
        </w:rPr>
      </w:pPr>
    </w:p>
    <w:p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2. MATERIALS AND METHODS </w:t>
      </w:r>
    </w:p>
    <w:p w:rsidR="00C65C86" w:rsidRPr="00C10ABE" w:rsidRDefault="00C65C86" w:rsidP="00C53A0D">
      <w:pPr>
        <w:spacing w:after="0" w:line="360" w:lineRule="auto"/>
        <w:jc w:val="both"/>
        <w:rPr>
          <w:rFonts w:ascii="Arial Bold" w:hAnsi="Arial Bold" w:cs="Arial"/>
          <w:b/>
        </w:rPr>
      </w:pPr>
    </w:p>
    <w:p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2.1 Plant material</w:t>
      </w:r>
    </w:p>
    <w:p w:rsidR="00C65C86" w:rsidRPr="00C10ABE" w:rsidRDefault="00C65C86" w:rsidP="00C53A0D">
      <w:pPr>
        <w:spacing w:after="0" w:line="360" w:lineRule="auto"/>
        <w:jc w:val="both"/>
        <w:rPr>
          <w:rFonts w:ascii="Arial Bold" w:hAnsi="Arial Bold" w:cs="Arial"/>
          <w:b/>
        </w:rPr>
      </w:pP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We used the freeze-dried infusion of </w:t>
      </w:r>
      <w:r w:rsidRPr="00C10ABE">
        <w:rPr>
          <w:rFonts w:ascii="Arial" w:hAnsi="Arial" w:cs="Arial"/>
          <w:i/>
          <w:sz w:val="20"/>
          <w:szCs w:val="20"/>
        </w:rPr>
        <w:t>Pseudocedrela kotschyi</w:t>
      </w:r>
      <w:r w:rsidRPr="00C10ABE">
        <w:rPr>
          <w:rFonts w:ascii="Arial" w:hAnsi="Arial" w:cs="Arial"/>
          <w:sz w:val="20"/>
          <w:szCs w:val="20"/>
        </w:rPr>
        <w:t xml:space="preserve"> (Meliaceae) trunk bark. </w:t>
      </w:r>
      <w:commentRangeStart w:id="7"/>
      <w:r w:rsidRPr="00C10ABE">
        <w:rPr>
          <w:rFonts w:ascii="Arial" w:hAnsi="Arial" w:cs="Arial"/>
          <w:i/>
          <w:sz w:val="20"/>
          <w:szCs w:val="20"/>
        </w:rPr>
        <w:t>Pseudocedrela</w:t>
      </w:r>
      <w:commentRangeEnd w:id="7"/>
      <w:r w:rsidR="0047592D">
        <w:rPr>
          <w:rStyle w:val="CommentReference"/>
        </w:rPr>
        <w:commentReference w:id="7"/>
      </w:r>
      <w:r w:rsidRPr="00C10ABE">
        <w:rPr>
          <w:rFonts w:ascii="Arial" w:hAnsi="Arial" w:cs="Arial"/>
          <w:i/>
          <w:sz w:val="20"/>
          <w:szCs w:val="20"/>
        </w:rPr>
        <w:t xml:space="preserve"> kotschyi</w:t>
      </w:r>
      <w:r w:rsidRPr="00C10ABE">
        <w:rPr>
          <w:rFonts w:ascii="Arial" w:hAnsi="Arial" w:cs="Arial"/>
          <w:sz w:val="20"/>
          <w:szCs w:val="20"/>
        </w:rPr>
        <w:t xml:space="preserve"> trunk bark collection was carried out Dikodougou’s Prefecture, in the northern part of Côte d'Ivoire. The plant species was authenticated at the National Floristic Center (CNF) of the University Felix Houphouët-Boigny from herbarium n°8664. The barks were dried in the shade at room temperature and then ground to prepare our aqueous extract.</w:t>
      </w:r>
    </w:p>
    <w:p w:rsidR="00C53A0D" w:rsidRPr="00C10ABE" w:rsidRDefault="00C53A0D" w:rsidP="00C53A0D">
      <w:pPr>
        <w:spacing w:after="0" w:line="360" w:lineRule="auto"/>
        <w:jc w:val="both"/>
        <w:rPr>
          <w:rFonts w:ascii="Arial" w:eastAsia="TimesNewRomanPSMT" w:hAnsi="Arial" w:cs="Arial"/>
          <w:sz w:val="20"/>
          <w:szCs w:val="20"/>
        </w:rPr>
      </w:pPr>
    </w:p>
    <w:p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2.2 Animal material </w:t>
      </w:r>
    </w:p>
    <w:p w:rsidR="00C65C86" w:rsidRPr="00C10ABE" w:rsidRDefault="00C65C86" w:rsidP="00C53A0D">
      <w:pPr>
        <w:spacing w:after="0" w:line="360" w:lineRule="auto"/>
        <w:jc w:val="both"/>
        <w:rPr>
          <w:rFonts w:ascii="Arial Bold" w:hAnsi="Arial Bold" w:cs="Arial"/>
          <w:b/>
        </w:rPr>
      </w:pP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lastRenderedPageBreak/>
        <w:t xml:space="preserve">The animal </w:t>
      </w:r>
      <w:commentRangeStart w:id="8"/>
      <w:r w:rsidRPr="00C10ABE">
        <w:rPr>
          <w:rFonts w:ascii="Arial" w:hAnsi="Arial" w:cs="Arial"/>
          <w:sz w:val="20"/>
          <w:szCs w:val="20"/>
        </w:rPr>
        <w:t>material</w:t>
      </w:r>
      <w:commentRangeEnd w:id="8"/>
      <w:r w:rsidR="0047592D">
        <w:rPr>
          <w:rStyle w:val="CommentReference"/>
        </w:rPr>
        <w:commentReference w:id="8"/>
      </w:r>
      <w:r w:rsidRPr="00C10ABE">
        <w:rPr>
          <w:rFonts w:ascii="Arial" w:hAnsi="Arial" w:cs="Arial"/>
          <w:sz w:val="20"/>
          <w:szCs w:val="20"/>
        </w:rPr>
        <w:t xml:space="preserve"> used for the test is composed of rats of the species Rattus norvegicus, of Wi</w:t>
      </w:r>
      <w:r w:rsidR="00871FED" w:rsidRPr="00C10ABE">
        <w:rPr>
          <w:rFonts w:ascii="Arial" w:hAnsi="Arial" w:cs="Arial"/>
          <w:sz w:val="20"/>
          <w:szCs w:val="20"/>
        </w:rPr>
        <w:t xml:space="preserve">star </w:t>
      </w:r>
      <w:commentRangeStart w:id="9"/>
      <w:r w:rsidR="00871FED" w:rsidRPr="00C10ABE">
        <w:rPr>
          <w:rFonts w:ascii="Arial" w:hAnsi="Arial" w:cs="Arial"/>
          <w:sz w:val="20"/>
          <w:szCs w:val="20"/>
        </w:rPr>
        <w:t>strain</w:t>
      </w:r>
      <w:commentRangeEnd w:id="9"/>
      <w:r w:rsidR="0047592D">
        <w:rPr>
          <w:rStyle w:val="CommentReference"/>
        </w:rPr>
        <w:commentReference w:id="9"/>
      </w:r>
      <w:r w:rsidRPr="00C10ABE">
        <w:rPr>
          <w:rFonts w:ascii="Arial" w:hAnsi="Arial" w:cs="Arial"/>
          <w:sz w:val="20"/>
          <w:szCs w:val="20"/>
        </w:rPr>
        <w:t>. The rats weigh bet</w:t>
      </w:r>
      <w:r w:rsidR="00871FED" w:rsidRPr="00C10ABE">
        <w:rPr>
          <w:rFonts w:ascii="Arial" w:hAnsi="Arial" w:cs="Arial"/>
          <w:sz w:val="20"/>
          <w:szCs w:val="20"/>
        </w:rPr>
        <w:t>ween 180 and 250g</w:t>
      </w:r>
      <w:r w:rsidRPr="00C10ABE">
        <w:rPr>
          <w:rFonts w:ascii="Arial" w:hAnsi="Arial" w:cs="Arial"/>
          <w:sz w:val="20"/>
          <w:szCs w:val="20"/>
        </w:rPr>
        <w:t>. These animals were reared in the vivarium of the Ecole Normale Supérieure d'Abidjan, where the photoperiod is 12/24 hours with a relative humidity of 70% and the average temperature is 28°± 3°C. These animals have free access to water and food.</w:t>
      </w:r>
    </w:p>
    <w:p w:rsidR="00C53A0D" w:rsidRPr="00C10ABE" w:rsidRDefault="00C53A0D" w:rsidP="00C53A0D">
      <w:pPr>
        <w:spacing w:after="0" w:line="360" w:lineRule="auto"/>
        <w:jc w:val="both"/>
        <w:rPr>
          <w:rFonts w:ascii="Arial" w:eastAsia="TimesNewRomanPSMT" w:hAnsi="Arial" w:cs="Arial"/>
          <w:sz w:val="20"/>
          <w:szCs w:val="20"/>
        </w:rPr>
      </w:pPr>
    </w:p>
    <w:p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2.3 Preparation of aqueous extract of </w:t>
      </w:r>
      <w:r w:rsidRPr="00C10ABE">
        <w:rPr>
          <w:rFonts w:ascii="Arial Bold" w:hAnsi="Arial Bold" w:cs="Arial"/>
          <w:b/>
          <w:i/>
        </w:rPr>
        <w:t>Pseudocedrela kotschyi</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One hundred and fifty grams of </w:t>
      </w:r>
      <w:r w:rsidRPr="00C10ABE">
        <w:rPr>
          <w:rFonts w:ascii="Arial" w:hAnsi="Arial" w:cs="Arial"/>
          <w:i/>
          <w:sz w:val="20"/>
          <w:szCs w:val="20"/>
        </w:rPr>
        <w:t>Pseudocedrela kotschyi</w:t>
      </w:r>
      <w:r w:rsidRPr="00C10ABE">
        <w:rPr>
          <w:rFonts w:ascii="Arial" w:hAnsi="Arial" w:cs="Arial"/>
          <w:sz w:val="20"/>
          <w:szCs w:val="20"/>
        </w:rPr>
        <w:t xml:space="preserve"> trunk bark powder was taken and put into a 5 litre beaker. Three litres of distilled water heated to 100°C are added. This mixture is stirred for 24 hours using a magnetic stirrer. The solution was then filtered through cotton wool and Wattman paper (3mm). The filtrate obtained is freeze-dried using a freeze-dryer (type SERIAL). The lyophilisate is a light brown powder with a 20% yield.</w:t>
      </w:r>
    </w:p>
    <w:p w:rsidR="00C53A0D" w:rsidRPr="00C10ABE" w:rsidRDefault="00C53A0D" w:rsidP="00C53A0D">
      <w:pPr>
        <w:spacing w:after="0" w:line="360" w:lineRule="auto"/>
        <w:jc w:val="both"/>
        <w:rPr>
          <w:rFonts w:ascii="Arial" w:eastAsia="TimesNewRomanPSMT" w:hAnsi="Arial" w:cs="Arial"/>
          <w:sz w:val="20"/>
          <w:szCs w:val="20"/>
        </w:rPr>
      </w:pPr>
    </w:p>
    <w:p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2.4 Phytochemical screening </w:t>
      </w:r>
    </w:p>
    <w:p w:rsidR="00C53A0D" w:rsidRPr="00C10ABE" w:rsidRDefault="00C53A0D" w:rsidP="00C53A0D">
      <w:pPr>
        <w:spacing w:after="0" w:line="360" w:lineRule="auto"/>
        <w:jc w:val="both"/>
        <w:rPr>
          <w:rFonts w:ascii="Arial" w:eastAsia="TimesNewRomanPSMT" w:hAnsi="Arial" w:cs="Arial"/>
          <w:sz w:val="20"/>
          <w:szCs w:val="20"/>
        </w:rPr>
      </w:pPr>
      <w:r w:rsidRPr="00C10ABE">
        <w:rPr>
          <w:rFonts w:ascii="Arial" w:hAnsi="Arial" w:cs="Arial"/>
          <w:sz w:val="20"/>
          <w:szCs w:val="20"/>
        </w:rPr>
        <w:t xml:space="preserve">The phytochemical screening was carried out in order to identify the chemical constituents withpharmacological interest such as sterols, terpenoids, polyphenols, flavonoids, tannins, quinone compounds, saponosides, alkaloids, coumarins, cardiotonic heterosides, reducing compounds, oses and holosides via qualitative analysis techniques described in the literature </w:t>
      </w:r>
      <w:r w:rsidRPr="00C10ABE">
        <w:rPr>
          <w:rFonts w:ascii="Arial" w:hAnsi="Arial" w:cs="Arial"/>
          <w:b/>
          <w:sz w:val="20"/>
          <w:szCs w:val="20"/>
        </w:rPr>
        <w:t>[14].</w:t>
      </w:r>
    </w:p>
    <w:p w:rsidR="00AB7E85" w:rsidRDefault="00AB7E85" w:rsidP="00C53A0D">
      <w:pPr>
        <w:spacing w:after="0" w:line="360" w:lineRule="auto"/>
        <w:jc w:val="both"/>
        <w:rPr>
          <w:rFonts w:ascii="Arial Bold" w:hAnsi="Arial Bold" w:cs="Arial"/>
          <w:b/>
        </w:rPr>
      </w:pPr>
    </w:p>
    <w:p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2.5 Acute oral toxicity test</w:t>
      </w:r>
    </w:p>
    <w:p w:rsidR="00C53A0D" w:rsidRPr="00C10ABE" w:rsidRDefault="00C53A0D" w:rsidP="00C53A0D">
      <w:pPr>
        <w:spacing w:after="0" w:line="360" w:lineRule="auto"/>
        <w:jc w:val="both"/>
        <w:rPr>
          <w:rFonts w:ascii="Arial" w:eastAsia="TimesNewRomanPSMT" w:hAnsi="Arial" w:cs="Arial"/>
          <w:sz w:val="20"/>
          <w:szCs w:val="20"/>
        </w:rPr>
      </w:pPr>
      <w:r w:rsidRPr="00C10ABE">
        <w:rPr>
          <w:rFonts w:ascii="Arial" w:hAnsi="Arial" w:cs="Arial"/>
          <w:sz w:val="20"/>
          <w:szCs w:val="20"/>
        </w:rPr>
        <w:t xml:space="preserve">The acute oral toxicity study was conducted on female rats using the Organisation for Economic Co-operation and Development (OECD) protocol 423 </w:t>
      </w:r>
      <w:r w:rsidRPr="00C10ABE">
        <w:rPr>
          <w:rFonts w:ascii="Arial" w:hAnsi="Arial" w:cs="Arial"/>
          <w:b/>
          <w:sz w:val="20"/>
          <w:szCs w:val="20"/>
        </w:rPr>
        <w:t>[</w:t>
      </w:r>
      <w:commentRangeStart w:id="10"/>
      <w:r w:rsidRPr="00C10ABE">
        <w:rPr>
          <w:rFonts w:ascii="Arial" w:hAnsi="Arial" w:cs="Arial"/>
          <w:b/>
          <w:sz w:val="20"/>
          <w:szCs w:val="20"/>
        </w:rPr>
        <w:t>15</w:t>
      </w:r>
      <w:commentRangeEnd w:id="10"/>
      <w:r w:rsidR="00D47FD1">
        <w:rPr>
          <w:rStyle w:val="CommentReference"/>
        </w:rPr>
        <w:commentReference w:id="10"/>
      </w:r>
      <w:r w:rsidRPr="00C10ABE">
        <w:rPr>
          <w:rFonts w:ascii="Arial" w:hAnsi="Arial" w:cs="Arial"/>
          <w:b/>
          <w:sz w:val="20"/>
          <w:szCs w:val="20"/>
        </w:rPr>
        <w:t>].</w:t>
      </w:r>
    </w:p>
    <w:p w:rsidR="00C53A0D" w:rsidRPr="00C10ABE" w:rsidRDefault="00C53A0D" w:rsidP="00C53A0D">
      <w:pPr>
        <w:spacing w:after="0" w:line="360" w:lineRule="auto"/>
        <w:jc w:val="both"/>
        <w:rPr>
          <w:rFonts w:ascii="Times New Roman" w:eastAsia="TimesNewRomanPSMT" w:hAnsi="Times New Roman" w:cs="Times New Roman"/>
          <w:sz w:val="24"/>
          <w:szCs w:val="24"/>
        </w:rPr>
      </w:pPr>
    </w:p>
    <w:p w:rsidR="00C53A0D" w:rsidRPr="00C10ABE" w:rsidRDefault="000E090E" w:rsidP="00C53A0D">
      <w:pPr>
        <w:spacing w:after="0" w:line="360" w:lineRule="auto"/>
        <w:rPr>
          <w:rFonts w:ascii="Arial Bold" w:hAnsi="Arial Bold" w:cs="Arial"/>
          <w:b/>
        </w:rPr>
      </w:pPr>
      <w:r w:rsidRPr="00C10ABE">
        <w:rPr>
          <w:rFonts w:ascii="Arial Bold" w:hAnsi="Arial Bold" w:cs="Arial"/>
          <w:b/>
        </w:rPr>
        <w:t>2.6</w:t>
      </w:r>
      <w:r w:rsidR="00C53A0D" w:rsidRPr="00C10ABE">
        <w:rPr>
          <w:rFonts w:ascii="Arial Bold" w:hAnsi="Arial Bold" w:cs="Arial"/>
          <w:b/>
        </w:rPr>
        <w:t xml:space="preserve"> </w:t>
      </w:r>
      <w:r w:rsidR="00C53A0D" w:rsidRPr="00F3340B">
        <w:rPr>
          <w:rFonts w:ascii="Arial Bold" w:hAnsi="Arial Bold" w:cs="Arial"/>
          <w:b/>
          <w:strike/>
        </w:rPr>
        <w:t>Method of studying</w:t>
      </w:r>
      <w:r w:rsidR="00C53A0D" w:rsidRPr="00C10ABE">
        <w:rPr>
          <w:rFonts w:ascii="Arial Bold" w:hAnsi="Arial Bold" w:cs="Arial"/>
          <w:b/>
        </w:rPr>
        <w:t xml:space="preserve"> anti-inflammatory </w:t>
      </w:r>
      <w:commentRangeStart w:id="11"/>
      <w:r w:rsidR="00C53A0D" w:rsidRPr="00C10ABE">
        <w:rPr>
          <w:rFonts w:ascii="Arial Bold" w:hAnsi="Arial Bold" w:cs="Arial"/>
          <w:b/>
        </w:rPr>
        <w:t>activity</w:t>
      </w:r>
      <w:commentRangeEnd w:id="11"/>
      <w:r w:rsidR="00B26889">
        <w:rPr>
          <w:rStyle w:val="CommentReference"/>
        </w:rPr>
        <w:commentReference w:id="11"/>
      </w:r>
    </w:p>
    <w:p w:rsidR="00C53A0D" w:rsidRPr="00C10ABE" w:rsidRDefault="00C53A0D" w:rsidP="00C53A0D">
      <w:pPr>
        <w:spacing w:after="0" w:line="360" w:lineRule="auto"/>
        <w:jc w:val="both"/>
        <w:rPr>
          <w:rFonts w:ascii="Arial" w:eastAsia="TimesNewRomanPSMT" w:hAnsi="Arial" w:cs="Arial"/>
          <w:sz w:val="20"/>
          <w:szCs w:val="20"/>
        </w:rPr>
      </w:pPr>
      <w:r w:rsidRPr="00C10ABE">
        <w:rPr>
          <w:rFonts w:ascii="Arial" w:eastAsia="TimesNewRomanPSMT" w:hAnsi="Arial" w:cs="Arial"/>
          <w:sz w:val="20"/>
          <w:szCs w:val="20"/>
        </w:rPr>
        <w:t>Injection of carrageenan under the plantar pad of the rat's right hind leg provokes an inflammatory reaction that can be reduced by anti-inflammatory substances.</w:t>
      </w:r>
    </w:p>
    <w:p w:rsidR="00C53A0D" w:rsidRPr="00C10ABE" w:rsidRDefault="00C53A0D" w:rsidP="00C53A0D">
      <w:pPr>
        <w:spacing w:after="0" w:line="360" w:lineRule="auto"/>
        <w:jc w:val="both"/>
        <w:rPr>
          <w:rFonts w:ascii="Arial" w:eastAsia="TimesNewRomanPSMT" w:hAnsi="Arial" w:cs="Arial"/>
          <w:sz w:val="20"/>
          <w:szCs w:val="20"/>
        </w:rPr>
      </w:pPr>
      <w:r w:rsidRPr="00C10ABE">
        <w:rPr>
          <w:rFonts w:ascii="Arial" w:eastAsia="TimesNewRomanPSMT" w:hAnsi="Arial" w:cs="Arial"/>
          <w:sz w:val="20"/>
          <w:szCs w:val="20"/>
        </w:rPr>
        <w:t xml:space="preserve">The anti-inflammatory activity of the aqueous extract of </w:t>
      </w:r>
      <w:r w:rsidRPr="00C10ABE">
        <w:rPr>
          <w:rFonts w:ascii="Arial" w:eastAsia="TimesNewRomanPSMT" w:hAnsi="Arial" w:cs="Arial"/>
          <w:i/>
          <w:sz w:val="20"/>
          <w:szCs w:val="20"/>
        </w:rPr>
        <w:t>Pseudocedrela kotschyi</w:t>
      </w:r>
      <w:r w:rsidRPr="00C10ABE">
        <w:rPr>
          <w:rFonts w:ascii="Arial" w:eastAsia="TimesNewRomanPSMT" w:hAnsi="Arial" w:cs="Arial"/>
          <w:sz w:val="20"/>
          <w:szCs w:val="20"/>
        </w:rPr>
        <w:t xml:space="preserve"> was assessed using the method described by </w:t>
      </w:r>
      <w:r w:rsidR="000E090E" w:rsidRPr="00C10ABE">
        <w:rPr>
          <w:rFonts w:ascii="Arial" w:eastAsia="TimesNewRomanPSMT" w:hAnsi="Arial" w:cs="Arial"/>
          <w:sz w:val="20"/>
          <w:szCs w:val="20"/>
        </w:rPr>
        <w:t>Winter et al.</w:t>
      </w:r>
      <w:r w:rsidR="00030340" w:rsidRPr="00C10ABE">
        <w:rPr>
          <w:rFonts w:ascii="Arial" w:hAnsi="Arial" w:cs="Arial"/>
          <w:b/>
          <w:sz w:val="20"/>
          <w:szCs w:val="20"/>
        </w:rPr>
        <w:t>[16]</w:t>
      </w:r>
      <w:r w:rsidRPr="00C10ABE">
        <w:rPr>
          <w:rFonts w:ascii="Arial" w:eastAsia="TimesNewRomanPSMT" w:hAnsi="Arial" w:cs="Arial"/>
          <w:b/>
          <w:sz w:val="20"/>
          <w:szCs w:val="20"/>
        </w:rPr>
        <w:t>.</w:t>
      </w:r>
      <w:r w:rsidRPr="00C10ABE">
        <w:rPr>
          <w:rFonts w:ascii="Arial" w:eastAsia="TimesNewRomanPSMT" w:hAnsi="Arial" w:cs="Arial"/>
          <w:sz w:val="20"/>
          <w:szCs w:val="20"/>
        </w:rPr>
        <w:t xml:space="preserve"> The rats were fasted for 16 h prior to experimentation with free access to water. They were divided into batches of 6 animals each. The circumference of the right hind leg of each rat was measured.</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rats were then </w:t>
      </w:r>
      <w:commentRangeStart w:id="12"/>
      <w:r w:rsidRPr="00C10ABE">
        <w:rPr>
          <w:rFonts w:ascii="Arial" w:hAnsi="Arial" w:cs="Arial"/>
          <w:sz w:val="20"/>
          <w:szCs w:val="20"/>
        </w:rPr>
        <w:t>injected</w:t>
      </w:r>
      <w:commentRangeEnd w:id="12"/>
      <w:r w:rsidR="00B26889">
        <w:rPr>
          <w:rStyle w:val="CommentReference"/>
        </w:rPr>
        <w:commentReference w:id="12"/>
      </w:r>
      <w:r w:rsidRPr="00C10ABE">
        <w:rPr>
          <w:rFonts w:ascii="Arial" w:hAnsi="Arial" w:cs="Arial"/>
          <w:sz w:val="20"/>
          <w:szCs w:val="20"/>
        </w:rPr>
        <w:t xml:space="preserve"> by gavage with distilled water (control), plant extracts and </w:t>
      </w:r>
      <w:r w:rsidR="009B10C6" w:rsidRPr="00C10ABE">
        <w:rPr>
          <w:rFonts w:ascii="Arial" w:hAnsi="Arial" w:cs="Arial"/>
          <w:sz w:val="20"/>
          <w:szCs w:val="20"/>
        </w:rPr>
        <w:t>indometacin</w:t>
      </w:r>
      <w:r w:rsidRPr="00C10ABE">
        <w:rPr>
          <w:rFonts w:ascii="Arial" w:hAnsi="Arial" w:cs="Arial"/>
          <w:sz w:val="20"/>
          <w:szCs w:val="20"/>
        </w:rPr>
        <w:t xml:space="preserve">(reference substance) at a dose of 10 mg/kg at a rate of 1 ml per 100 g of body weight. This injection was supplemented with distilled water to a total volume of 5ml, ensuring uniform hydration in all rats and minimising individual variations in response. The aqueous extract and </w:t>
      </w:r>
      <w:r w:rsidR="009B10C6" w:rsidRPr="00C10ABE">
        <w:rPr>
          <w:rFonts w:ascii="Arial" w:hAnsi="Arial" w:cs="Arial"/>
          <w:sz w:val="20"/>
          <w:szCs w:val="20"/>
        </w:rPr>
        <w:t>indometacin</w:t>
      </w:r>
      <w:r w:rsidRPr="00C10ABE">
        <w:rPr>
          <w:rFonts w:ascii="Arial" w:hAnsi="Arial" w:cs="Arial"/>
          <w:sz w:val="20"/>
          <w:szCs w:val="20"/>
        </w:rPr>
        <w:t>had concentrations of 60 mg/ml and 1 mg/ml respectively. Dilutions were made with distilled water. The product was administered orally using a rigid olivar-tipped tube.</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One hour after gavage, </w:t>
      </w:r>
      <w:r w:rsidR="009B10C6" w:rsidRPr="00C10ABE">
        <w:rPr>
          <w:rFonts w:ascii="Arial" w:hAnsi="Arial" w:cs="Arial"/>
          <w:sz w:val="20"/>
          <w:szCs w:val="20"/>
        </w:rPr>
        <w:t>edema</w:t>
      </w:r>
      <w:r w:rsidRPr="00C10ABE">
        <w:rPr>
          <w:rFonts w:ascii="Arial" w:hAnsi="Arial" w:cs="Arial"/>
          <w:sz w:val="20"/>
          <w:szCs w:val="20"/>
        </w:rPr>
        <w:t xml:space="preserve"> was induced by injecting each rat with 0.05 ml of a 1% carrageenan solution under the plantar pad of the right hind paw. The animals were then returned to their cages. Progression of the </w:t>
      </w:r>
      <w:r w:rsidR="009B10C6" w:rsidRPr="00C10ABE">
        <w:rPr>
          <w:rFonts w:ascii="Arial" w:hAnsi="Arial" w:cs="Arial"/>
          <w:sz w:val="20"/>
          <w:szCs w:val="20"/>
        </w:rPr>
        <w:t>edema</w:t>
      </w:r>
      <w:r w:rsidRPr="00C10ABE">
        <w:rPr>
          <w:rFonts w:ascii="Arial" w:hAnsi="Arial" w:cs="Arial"/>
          <w:sz w:val="20"/>
          <w:szCs w:val="20"/>
        </w:rPr>
        <w:t xml:space="preserve"> was determined every 60 min for 6 h after injection. To assess anti-inflammatory activity, the transmetatarsal diameter of the ankle and the circumference of the paw at </w:t>
      </w:r>
      <w:r w:rsidRPr="00C10ABE">
        <w:rPr>
          <w:rFonts w:ascii="Arial" w:hAnsi="Arial" w:cs="Arial"/>
          <w:sz w:val="20"/>
          <w:szCs w:val="20"/>
        </w:rPr>
        <w:lastRenderedPageBreak/>
        <w:t>the metatarsal level were determined using an electronic calip</w:t>
      </w:r>
      <w:r w:rsidR="000E090E" w:rsidRPr="00C10ABE">
        <w:rPr>
          <w:rFonts w:ascii="Arial" w:hAnsi="Arial" w:cs="Arial"/>
          <w:sz w:val="20"/>
          <w:szCs w:val="20"/>
        </w:rPr>
        <w:t xml:space="preserve">er from COGEX SENSEMAT (France) </w:t>
      </w:r>
      <w:r w:rsidR="00030340" w:rsidRPr="00C10ABE">
        <w:rPr>
          <w:rFonts w:ascii="Arial" w:hAnsi="Arial" w:cs="Arial"/>
          <w:b/>
          <w:sz w:val="20"/>
          <w:szCs w:val="20"/>
        </w:rPr>
        <w:t>[17]</w:t>
      </w:r>
      <w:r w:rsidR="00030340" w:rsidRPr="00C10ABE">
        <w:rPr>
          <w:rFonts w:ascii="Arial" w:eastAsia="TimesNewRomanPSMT" w:hAnsi="Arial" w:cs="Arial"/>
          <w:b/>
          <w:sz w:val="20"/>
          <w:szCs w:val="20"/>
        </w:rPr>
        <w:t>.</w:t>
      </w:r>
      <w:r w:rsidRPr="00C10ABE">
        <w:rPr>
          <w:rFonts w:ascii="Arial" w:hAnsi="Arial" w:cs="Arial"/>
          <w:sz w:val="20"/>
          <w:szCs w:val="20"/>
        </w:rPr>
        <w:t xml:space="preserve"> The percentage of </w:t>
      </w:r>
      <w:r w:rsidR="009B10C6" w:rsidRPr="00C10ABE">
        <w:rPr>
          <w:rFonts w:ascii="Arial" w:hAnsi="Arial" w:cs="Arial"/>
          <w:sz w:val="20"/>
          <w:szCs w:val="20"/>
        </w:rPr>
        <w:t>edema</w:t>
      </w:r>
      <w:r w:rsidRPr="00C10ABE">
        <w:rPr>
          <w:rFonts w:ascii="Arial" w:hAnsi="Arial" w:cs="Arial"/>
          <w:sz w:val="20"/>
          <w:szCs w:val="20"/>
        </w:rPr>
        <w:t xml:space="preserve"> inhibition was then calculated (Nongoniermar, 2006).</w:t>
      </w:r>
    </w:p>
    <w:p w:rsidR="00C53A0D" w:rsidRPr="00C10ABE" w:rsidRDefault="00C53A0D" w:rsidP="00C53A0D">
      <w:pPr>
        <w:spacing w:line="360" w:lineRule="auto"/>
        <w:rPr>
          <w:rFonts w:ascii="Arial" w:eastAsia="TimesNewRomanPSMT" w:hAnsi="Arial" w:cs="Arial"/>
          <w:b/>
          <w:sz w:val="20"/>
          <w:szCs w:val="20"/>
        </w:rPr>
      </w:pPr>
      <m:oMathPara>
        <m:oMath>
          <m:r>
            <m:rPr>
              <m:sty m:val="b"/>
            </m:rPr>
            <w:rPr>
              <w:rFonts w:ascii="Cambria Math" w:eastAsia="TimesNewRomanPSMT" w:hAnsi="Cambria Math" w:cs="Arial"/>
              <w:sz w:val="20"/>
              <w:szCs w:val="20"/>
            </w:rPr>
            <m:t>Inhibition percentage=</m:t>
          </m:r>
          <m:f>
            <m:fPr>
              <m:ctrlPr>
                <w:rPr>
                  <w:rFonts w:ascii="Cambria Math" w:eastAsia="TimesNewRomanPSMT" w:hAnsi="Cambria Math" w:cs="Arial"/>
                  <w:b/>
                  <w:sz w:val="20"/>
                  <w:szCs w:val="20"/>
                </w:rPr>
              </m:ctrlPr>
            </m:fPr>
            <m:num>
              <m:r>
                <m:rPr>
                  <m:sty m:val="b"/>
                </m:rPr>
                <w:rPr>
                  <w:rFonts w:ascii="Cambria Math" w:eastAsia="TimesNewRomanPSMT" w:hAnsi="Cambria Math" w:cs="Arial"/>
                  <w:sz w:val="20"/>
                  <w:szCs w:val="20"/>
                </w:rPr>
                <m:t>C-C1</m:t>
              </m:r>
            </m:num>
            <m:den>
              <m:r>
                <m:rPr>
                  <m:sty m:val="b"/>
                </m:rPr>
                <w:rPr>
                  <w:rFonts w:ascii="Cambria Math" w:eastAsia="TimesNewRomanPSMT" w:hAnsi="Cambria Math" w:cs="Arial"/>
                  <w:sz w:val="20"/>
                  <w:szCs w:val="20"/>
                </w:rPr>
                <m:t>C</m:t>
              </m:r>
            </m:den>
          </m:f>
          <m:r>
            <m:rPr>
              <m:sty m:val="b"/>
            </m:rPr>
            <w:rPr>
              <w:rFonts w:ascii="Cambria Math" w:eastAsia="TimesNewRomanPSMT" w:hAnsi="Cambria Math" w:cs="Arial"/>
              <w:sz w:val="20"/>
              <w:szCs w:val="20"/>
            </w:rPr>
            <m:t>×100</m:t>
          </m:r>
        </m:oMath>
      </m:oMathPara>
    </w:p>
    <w:p w:rsidR="00C53A0D" w:rsidRPr="00C10ABE" w:rsidRDefault="00C53A0D" w:rsidP="00C53A0D">
      <w:pPr>
        <w:spacing w:after="0" w:line="360" w:lineRule="auto"/>
        <w:rPr>
          <w:rFonts w:ascii="Arial" w:eastAsia="TimesNewRomanPSMT" w:hAnsi="Arial" w:cs="Arial"/>
          <w:sz w:val="20"/>
          <w:szCs w:val="20"/>
        </w:rPr>
      </w:pPr>
      <w:r w:rsidRPr="00C10ABE">
        <w:rPr>
          <w:rFonts w:ascii="Arial" w:eastAsia="TimesNewRomanPSMT" w:hAnsi="Arial" w:cs="Arial"/>
          <w:sz w:val="20"/>
          <w:szCs w:val="20"/>
        </w:rPr>
        <w:t xml:space="preserve">C= Percentage (%) increase in the average circumference of the </w:t>
      </w:r>
      <w:r w:rsidR="009B10C6" w:rsidRPr="00C10ABE">
        <w:rPr>
          <w:rFonts w:ascii="Arial" w:eastAsia="TimesNewRomanPSMT" w:hAnsi="Arial" w:cs="Arial"/>
          <w:sz w:val="20"/>
          <w:szCs w:val="20"/>
        </w:rPr>
        <w:t>edema</w:t>
      </w:r>
      <w:r w:rsidRPr="00C10ABE">
        <w:rPr>
          <w:rFonts w:ascii="Arial" w:eastAsia="TimesNewRomanPSMT" w:hAnsi="Arial" w:cs="Arial"/>
          <w:sz w:val="20"/>
          <w:szCs w:val="20"/>
        </w:rPr>
        <w:t>tous leg of the control group (batch 1 at a given time).</w:t>
      </w:r>
    </w:p>
    <w:p w:rsidR="00C53A0D" w:rsidRPr="00C10ABE" w:rsidRDefault="00C53A0D" w:rsidP="00C53A0D">
      <w:pPr>
        <w:spacing w:line="360" w:lineRule="auto"/>
        <w:rPr>
          <w:rFonts w:ascii="Arial" w:eastAsia="TimesNewRomanPSMT" w:hAnsi="Arial" w:cs="Arial"/>
          <w:sz w:val="20"/>
          <w:szCs w:val="20"/>
        </w:rPr>
      </w:pPr>
      <w:r w:rsidRPr="00C10ABE">
        <w:rPr>
          <w:rFonts w:ascii="Arial" w:eastAsia="TimesNewRomanPSMT" w:hAnsi="Arial" w:cs="Arial"/>
          <w:sz w:val="20"/>
          <w:szCs w:val="20"/>
        </w:rPr>
        <w:t xml:space="preserve">C1= Percentage (%) increase in the average circumference of the </w:t>
      </w:r>
      <w:r w:rsidR="009B10C6" w:rsidRPr="00C10ABE">
        <w:rPr>
          <w:rFonts w:ascii="Arial" w:eastAsia="TimesNewRomanPSMT" w:hAnsi="Arial" w:cs="Arial"/>
          <w:sz w:val="20"/>
          <w:szCs w:val="20"/>
        </w:rPr>
        <w:t>edema</w:t>
      </w:r>
      <w:r w:rsidRPr="00C10ABE">
        <w:rPr>
          <w:rFonts w:ascii="Arial" w:eastAsia="TimesNewRomanPSMT" w:hAnsi="Arial" w:cs="Arial"/>
          <w:sz w:val="20"/>
          <w:szCs w:val="20"/>
        </w:rPr>
        <w:t>tous leg of the test group at the same time.</w:t>
      </w:r>
    </w:p>
    <w:p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2.8 Statistical analysis </w:t>
      </w:r>
    </w:p>
    <w:p w:rsidR="00C53A0D" w:rsidRPr="00C10ABE" w:rsidRDefault="00C53A0D" w:rsidP="00C53A0D">
      <w:pPr>
        <w:spacing w:line="360" w:lineRule="auto"/>
        <w:jc w:val="both"/>
        <w:rPr>
          <w:rFonts w:ascii="Arial" w:hAnsi="Arial" w:cs="Arial"/>
          <w:sz w:val="20"/>
          <w:szCs w:val="20"/>
        </w:rPr>
      </w:pPr>
      <w:r w:rsidRPr="00C10ABE">
        <w:rPr>
          <w:rFonts w:ascii="Arial" w:hAnsi="Arial" w:cs="Arial"/>
          <w:sz w:val="20"/>
          <w:szCs w:val="20"/>
        </w:rPr>
        <w:t xml:space="preserve">Statistical data are expressed as mean ± standard error (M±SEM) obtained from the (n) separate experiments. Statistical differences are calculated using Student's t-test. When p≤0.05 the difference is said to be significant. Statistical analysis was performed with Graphpad prism 5.0 software. </w:t>
      </w:r>
    </w:p>
    <w:p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3. RESULTS AND DISCUSSION</w:t>
      </w:r>
    </w:p>
    <w:p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3.1 Phytochemical Composition</w:t>
      </w:r>
    </w:p>
    <w:p w:rsidR="00C53A0D" w:rsidRPr="00C10ABE" w:rsidRDefault="00C53A0D" w:rsidP="00C53A0D">
      <w:pPr>
        <w:spacing w:after="0" w:line="360" w:lineRule="auto"/>
        <w:jc w:val="both"/>
        <w:rPr>
          <w:rFonts w:ascii="Arial" w:hAnsi="Arial" w:cs="Arial"/>
          <w:b/>
          <w:sz w:val="20"/>
          <w:szCs w:val="20"/>
        </w:rPr>
      </w:pPr>
      <w:r w:rsidRPr="00C10ABE">
        <w:rPr>
          <w:rFonts w:ascii="Arial" w:hAnsi="Arial" w:cs="Arial"/>
          <w:sz w:val="20"/>
          <w:szCs w:val="20"/>
        </w:rPr>
        <w:t xml:space="preserve">Phytochemical screening of the aqueous extract of </w:t>
      </w:r>
      <w:r w:rsidRPr="00C10ABE">
        <w:rPr>
          <w:rFonts w:ascii="Arial" w:hAnsi="Arial" w:cs="Arial"/>
          <w:i/>
          <w:sz w:val="20"/>
          <w:szCs w:val="20"/>
        </w:rPr>
        <w:t>Pseudocedrela kotschyi</w:t>
      </w:r>
      <w:r w:rsidRPr="00C10ABE">
        <w:rPr>
          <w:rFonts w:ascii="Arial" w:hAnsi="Arial" w:cs="Arial"/>
          <w:sz w:val="20"/>
          <w:szCs w:val="20"/>
        </w:rPr>
        <w:t xml:space="preserve"> trunk bark by qualitative characterization reactions revealed the presence of different chemical groups with chemical potentialities such as alkaloids, flavonoids, catechol tannins, saponosides, polyphenols, quinones, terpenoids, reducing compounds, oses and holosides (Table 1). These same chemical compounds were revealed by </w:t>
      </w:r>
      <w:r w:rsidR="000E090E" w:rsidRPr="00C10ABE">
        <w:rPr>
          <w:rFonts w:ascii="Arial" w:hAnsi="Arial" w:cs="Arial"/>
          <w:sz w:val="20"/>
          <w:szCs w:val="20"/>
        </w:rPr>
        <w:t>Adeniyi et al.</w:t>
      </w:r>
      <w:r w:rsidR="00030340" w:rsidRPr="00C10ABE">
        <w:rPr>
          <w:rFonts w:ascii="Arial" w:hAnsi="Arial" w:cs="Arial"/>
          <w:b/>
          <w:sz w:val="20"/>
          <w:szCs w:val="20"/>
        </w:rPr>
        <w:t>[18]</w:t>
      </w:r>
      <w:r w:rsidR="00030340" w:rsidRPr="00C10ABE">
        <w:rPr>
          <w:rFonts w:ascii="Arial" w:eastAsia="TimesNewRomanPSMT" w:hAnsi="Arial" w:cs="Arial"/>
          <w:b/>
          <w:sz w:val="20"/>
          <w:szCs w:val="20"/>
        </w:rPr>
        <w:t>.</w:t>
      </w:r>
      <w:r w:rsidRPr="00C10ABE">
        <w:rPr>
          <w:rFonts w:ascii="Arial" w:hAnsi="Arial" w:cs="Arial"/>
          <w:sz w:val="20"/>
          <w:szCs w:val="20"/>
        </w:rPr>
        <w:t>; Alhassan et al.</w:t>
      </w:r>
      <w:r w:rsidR="00030340" w:rsidRPr="00C10ABE">
        <w:rPr>
          <w:rFonts w:ascii="Arial" w:hAnsi="Arial" w:cs="Arial"/>
          <w:b/>
          <w:sz w:val="20"/>
          <w:szCs w:val="20"/>
        </w:rPr>
        <w:t>[19]</w:t>
      </w:r>
      <w:r w:rsidRPr="00C10ABE">
        <w:rPr>
          <w:rFonts w:ascii="Arial" w:hAnsi="Arial" w:cs="Arial"/>
          <w:sz w:val="20"/>
          <w:szCs w:val="20"/>
        </w:rPr>
        <w:t xml:space="preserve"> with methanolic extract of stem bark and aqueous extract of </w:t>
      </w:r>
      <w:r w:rsidRPr="00C10ABE">
        <w:rPr>
          <w:rFonts w:ascii="Arial" w:hAnsi="Arial" w:cs="Arial"/>
          <w:i/>
          <w:sz w:val="20"/>
          <w:szCs w:val="20"/>
        </w:rPr>
        <w:t>Pseudocedrela kotschyi</w:t>
      </w:r>
      <w:r w:rsidRPr="00C10ABE">
        <w:rPr>
          <w:rFonts w:ascii="Arial" w:hAnsi="Arial" w:cs="Arial"/>
          <w:sz w:val="20"/>
          <w:szCs w:val="20"/>
        </w:rPr>
        <w:t xml:space="preserve"> roots respectively.</w:t>
      </w: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b/>
          <w:sz w:val="20"/>
          <w:szCs w:val="20"/>
        </w:rPr>
        <w:t xml:space="preserve">Table 1. Chemical composition of the aqueous extract of </w:t>
      </w:r>
      <w:r w:rsidRPr="00C10ABE">
        <w:rPr>
          <w:rFonts w:ascii="Arial" w:hAnsi="Arial" w:cs="Arial"/>
          <w:b/>
          <w:i/>
          <w:sz w:val="20"/>
          <w:szCs w:val="20"/>
        </w:rPr>
        <w:t>Pseudocedrela kotschyi</w:t>
      </w:r>
      <w:r w:rsidRPr="00C10ABE">
        <w:rPr>
          <w:rFonts w:ascii="Arial" w:hAnsi="Arial" w:cs="Arial"/>
          <w:b/>
          <w:sz w:val="20"/>
          <w:szCs w:val="20"/>
        </w:rPr>
        <w:t xml:space="preserve"> trunk bark. </w:t>
      </w:r>
    </w:p>
    <w:p w:rsidR="00C53A0D" w:rsidRPr="00C10ABE" w:rsidRDefault="00C53A0D" w:rsidP="00C53A0D">
      <w:pPr>
        <w:spacing w:after="0" w:line="360" w:lineRule="auto"/>
        <w:jc w:val="both"/>
        <w:rPr>
          <w:rFonts w:ascii="Times New Roman" w:hAnsi="Times New Roman" w:cs="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4531"/>
        <w:gridCol w:w="4531"/>
      </w:tblGrid>
      <w:tr w:rsidR="00C10ABE" w:rsidRPr="00C10ABE" w:rsidTr="00664DCF">
        <w:tc>
          <w:tcPr>
            <w:tcW w:w="4531" w:type="dxa"/>
            <w:tcBorders>
              <w:top w:val="single" w:sz="4" w:space="0" w:color="auto"/>
              <w:bottom w:val="single" w:sz="4" w:space="0" w:color="auto"/>
            </w:tcBorders>
          </w:tcPr>
          <w:p w:rsidR="00C53A0D" w:rsidRPr="00C10ABE" w:rsidRDefault="00C53A0D" w:rsidP="00664DCF">
            <w:pPr>
              <w:spacing w:line="480" w:lineRule="auto"/>
              <w:jc w:val="both"/>
              <w:rPr>
                <w:rFonts w:ascii="Arial" w:hAnsi="Arial" w:cs="Arial"/>
                <w:b/>
                <w:sz w:val="20"/>
                <w:szCs w:val="20"/>
              </w:rPr>
            </w:pPr>
            <w:r w:rsidRPr="00C10ABE">
              <w:rPr>
                <w:rFonts w:ascii="Arial" w:hAnsi="Arial" w:cs="Arial"/>
                <w:b/>
                <w:sz w:val="20"/>
                <w:szCs w:val="20"/>
              </w:rPr>
              <w:t>Chemical compounds</w:t>
            </w:r>
          </w:p>
        </w:tc>
        <w:tc>
          <w:tcPr>
            <w:tcW w:w="4531" w:type="dxa"/>
            <w:tcBorders>
              <w:top w:val="single" w:sz="4" w:space="0" w:color="auto"/>
              <w:bottom w:val="single" w:sz="4" w:space="0" w:color="auto"/>
            </w:tcBorders>
          </w:tcPr>
          <w:p w:rsidR="00C53A0D" w:rsidRPr="00C10ABE" w:rsidRDefault="00C53A0D" w:rsidP="00664DCF">
            <w:pPr>
              <w:spacing w:line="480" w:lineRule="auto"/>
              <w:jc w:val="both"/>
              <w:rPr>
                <w:rFonts w:ascii="Arial" w:hAnsi="Arial" w:cs="Arial"/>
                <w:b/>
                <w:sz w:val="20"/>
                <w:szCs w:val="20"/>
              </w:rPr>
            </w:pPr>
            <w:r w:rsidRPr="00C10ABE">
              <w:rPr>
                <w:rFonts w:ascii="Arial" w:hAnsi="Arial" w:cs="Arial"/>
                <w:b/>
                <w:sz w:val="20"/>
                <w:szCs w:val="20"/>
              </w:rPr>
              <w:t xml:space="preserve">Aqueous extract of </w:t>
            </w:r>
            <w:r w:rsidRPr="00C10ABE">
              <w:rPr>
                <w:rFonts w:ascii="Arial" w:hAnsi="Arial" w:cs="Arial"/>
                <w:b/>
                <w:i/>
                <w:sz w:val="20"/>
                <w:szCs w:val="20"/>
              </w:rPr>
              <w:t xml:space="preserve">Pseudocedrela </w:t>
            </w:r>
            <w:r w:rsidRPr="00C10ABE">
              <w:rPr>
                <w:rFonts w:ascii="Arial" w:hAnsi="Arial" w:cs="Arial"/>
                <w:b/>
                <w:i/>
                <w:sz w:val="20"/>
                <w:szCs w:val="20"/>
              </w:rPr>
              <w:lastRenderedPageBreak/>
              <w:t>kotschyi</w:t>
            </w:r>
            <w:r w:rsidRPr="00C10ABE">
              <w:rPr>
                <w:rFonts w:ascii="Arial" w:hAnsi="Arial" w:cs="Arial"/>
                <w:b/>
                <w:sz w:val="20"/>
                <w:szCs w:val="20"/>
              </w:rPr>
              <w:t>trunk bark</w:t>
            </w:r>
          </w:p>
        </w:tc>
      </w:tr>
      <w:tr w:rsidR="00C10ABE" w:rsidRPr="00C10ABE" w:rsidTr="00664DCF">
        <w:tc>
          <w:tcPr>
            <w:tcW w:w="4531" w:type="dxa"/>
            <w:tcBorders>
              <w:top w:val="single" w:sz="4" w:space="0" w:color="auto"/>
            </w:tcBorders>
          </w:tcPr>
          <w:p w:rsidR="00C53A0D" w:rsidRPr="00C10ABE" w:rsidRDefault="00C53A0D" w:rsidP="00664DCF">
            <w:pPr>
              <w:spacing w:line="480" w:lineRule="auto"/>
              <w:jc w:val="both"/>
              <w:rPr>
                <w:rFonts w:ascii="Arial" w:hAnsi="Arial" w:cs="Arial"/>
                <w:sz w:val="20"/>
                <w:szCs w:val="20"/>
              </w:rPr>
            </w:pPr>
            <w:r w:rsidRPr="00C10ABE">
              <w:rPr>
                <w:rFonts w:ascii="Arial" w:hAnsi="Arial" w:cs="Arial"/>
                <w:sz w:val="20"/>
                <w:szCs w:val="20"/>
              </w:rPr>
              <w:lastRenderedPageBreak/>
              <w:t xml:space="preserve">Flavonoids </w:t>
            </w:r>
          </w:p>
        </w:tc>
        <w:tc>
          <w:tcPr>
            <w:tcW w:w="4531" w:type="dxa"/>
            <w:tcBorders>
              <w:top w:val="single" w:sz="4" w:space="0" w:color="auto"/>
            </w:tcBorders>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rsidTr="00664DCF">
        <w:tc>
          <w:tcPr>
            <w:tcW w:w="4531" w:type="dxa"/>
          </w:tcPr>
          <w:p w:rsidR="00C53A0D" w:rsidRPr="00C10ABE" w:rsidRDefault="00C53A0D" w:rsidP="00664DCF">
            <w:pPr>
              <w:spacing w:line="480" w:lineRule="auto"/>
              <w:jc w:val="both"/>
              <w:rPr>
                <w:rFonts w:ascii="Arial" w:hAnsi="Arial" w:cs="Arial"/>
                <w:sz w:val="20"/>
                <w:szCs w:val="20"/>
              </w:rPr>
            </w:pPr>
            <w:r w:rsidRPr="00C10ABE">
              <w:rPr>
                <w:rFonts w:ascii="Arial" w:hAnsi="Arial" w:cs="Arial"/>
                <w:sz w:val="20"/>
                <w:szCs w:val="20"/>
              </w:rPr>
              <w:t xml:space="preserve">Alkaloids </w:t>
            </w:r>
          </w:p>
        </w:tc>
        <w:tc>
          <w:tcPr>
            <w:tcW w:w="4531"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rsidTr="00664DCF">
        <w:tc>
          <w:tcPr>
            <w:tcW w:w="4531" w:type="dxa"/>
          </w:tcPr>
          <w:p w:rsidR="00C53A0D" w:rsidRPr="00C10ABE" w:rsidRDefault="00C53A0D" w:rsidP="00664DCF">
            <w:pPr>
              <w:spacing w:line="480" w:lineRule="auto"/>
              <w:jc w:val="both"/>
              <w:rPr>
                <w:rFonts w:ascii="Arial" w:hAnsi="Arial" w:cs="Arial"/>
                <w:sz w:val="20"/>
                <w:szCs w:val="20"/>
              </w:rPr>
            </w:pPr>
            <w:r w:rsidRPr="00C10ABE">
              <w:rPr>
                <w:rFonts w:ascii="Arial" w:hAnsi="Arial" w:cs="Arial"/>
                <w:sz w:val="20"/>
                <w:szCs w:val="20"/>
              </w:rPr>
              <w:t xml:space="preserve">Saponosides </w:t>
            </w:r>
          </w:p>
        </w:tc>
        <w:tc>
          <w:tcPr>
            <w:tcW w:w="4531"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rsidTr="00664DCF">
        <w:tc>
          <w:tcPr>
            <w:tcW w:w="4531" w:type="dxa"/>
          </w:tcPr>
          <w:p w:rsidR="00C53A0D" w:rsidRPr="00C10ABE" w:rsidRDefault="00C53A0D" w:rsidP="00664DCF">
            <w:pPr>
              <w:spacing w:line="480" w:lineRule="auto"/>
              <w:jc w:val="both"/>
              <w:rPr>
                <w:rFonts w:ascii="Arial" w:hAnsi="Arial" w:cs="Arial"/>
                <w:sz w:val="20"/>
                <w:szCs w:val="20"/>
              </w:rPr>
            </w:pPr>
            <w:r w:rsidRPr="00C10ABE">
              <w:rPr>
                <w:rFonts w:ascii="Arial" w:hAnsi="Arial" w:cs="Arial"/>
                <w:sz w:val="20"/>
                <w:szCs w:val="20"/>
              </w:rPr>
              <w:t xml:space="preserve">Polyphénols </w:t>
            </w:r>
          </w:p>
        </w:tc>
        <w:tc>
          <w:tcPr>
            <w:tcW w:w="4531"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rsidTr="00664DCF">
        <w:tc>
          <w:tcPr>
            <w:tcW w:w="4531" w:type="dxa"/>
          </w:tcPr>
          <w:p w:rsidR="00C53A0D" w:rsidRPr="00C10ABE" w:rsidRDefault="00C53A0D" w:rsidP="00664DCF">
            <w:pPr>
              <w:spacing w:line="480" w:lineRule="auto"/>
              <w:jc w:val="both"/>
              <w:rPr>
                <w:rFonts w:ascii="Arial" w:hAnsi="Arial" w:cs="Arial"/>
                <w:sz w:val="20"/>
                <w:szCs w:val="20"/>
              </w:rPr>
            </w:pPr>
            <w:r w:rsidRPr="00C10ABE">
              <w:rPr>
                <w:rFonts w:ascii="Arial" w:hAnsi="Arial" w:cs="Arial"/>
                <w:sz w:val="20"/>
                <w:szCs w:val="20"/>
              </w:rPr>
              <w:t xml:space="preserve">Coumarins </w:t>
            </w:r>
          </w:p>
        </w:tc>
        <w:tc>
          <w:tcPr>
            <w:tcW w:w="4531"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rsidTr="00664DCF">
        <w:tc>
          <w:tcPr>
            <w:tcW w:w="4531" w:type="dxa"/>
          </w:tcPr>
          <w:p w:rsidR="00C53A0D" w:rsidRPr="00C10ABE" w:rsidRDefault="00C53A0D" w:rsidP="00664DCF">
            <w:pPr>
              <w:spacing w:line="480" w:lineRule="auto"/>
              <w:jc w:val="both"/>
              <w:rPr>
                <w:rFonts w:ascii="Arial" w:hAnsi="Arial" w:cs="Arial"/>
                <w:sz w:val="20"/>
                <w:szCs w:val="20"/>
              </w:rPr>
            </w:pPr>
            <w:r w:rsidRPr="00C10ABE">
              <w:rPr>
                <w:rFonts w:ascii="Arial" w:hAnsi="Arial" w:cs="Arial"/>
                <w:sz w:val="20"/>
                <w:szCs w:val="20"/>
              </w:rPr>
              <w:t xml:space="preserve">Terpenoids </w:t>
            </w:r>
          </w:p>
        </w:tc>
        <w:tc>
          <w:tcPr>
            <w:tcW w:w="4531"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rsidTr="00664DCF">
        <w:tc>
          <w:tcPr>
            <w:tcW w:w="4531" w:type="dxa"/>
          </w:tcPr>
          <w:p w:rsidR="00C53A0D" w:rsidRPr="00C10ABE" w:rsidRDefault="00C53A0D" w:rsidP="00664DCF">
            <w:pPr>
              <w:spacing w:line="480" w:lineRule="auto"/>
              <w:jc w:val="both"/>
              <w:rPr>
                <w:rFonts w:ascii="Arial" w:hAnsi="Arial" w:cs="Arial"/>
                <w:sz w:val="20"/>
                <w:szCs w:val="20"/>
              </w:rPr>
            </w:pPr>
            <w:r w:rsidRPr="00C10ABE">
              <w:rPr>
                <w:rFonts w:ascii="Arial" w:hAnsi="Arial" w:cs="Arial"/>
                <w:sz w:val="20"/>
                <w:szCs w:val="20"/>
              </w:rPr>
              <w:t xml:space="preserve">Oses and holosides </w:t>
            </w:r>
          </w:p>
        </w:tc>
        <w:tc>
          <w:tcPr>
            <w:tcW w:w="4531"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rsidTr="00664DCF">
        <w:tc>
          <w:tcPr>
            <w:tcW w:w="4531" w:type="dxa"/>
          </w:tcPr>
          <w:p w:rsidR="00C53A0D" w:rsidRPr="00C10ABE" w:rsidRDefault="00C53A0D" w:rsidP="00664DCF">
            <w:pPr>
              <w:spacing w:line="480" w:lineRule="auto"/>
              <w:jc w:val="both"/>
              <w:rPr>
                <w:rFonts w:ascii="Arial" w:hAnsi="Arial" w:cs="Arial"/>
                <w:sz w:val="20"/>
                <w:szCs w:val="20"/>
              </w:rPr>
            </w:pPr>
            <w:r w:rsidRPr="00C10ABE">
              <w:rPr>
                <w:rFonts w:ascii="Arial" w:hAnsi="Arial" w:cs="Arial"/>
                <w:sz w:val="20"/>
                <w:szCs w:val="20"/>
              </w:rPr>
              <w:t xml:space="preserve">Reducing compounds </w:t>
            </w:r>
          </w:p>
        </w:tc>
        <w:tc>
          <w:tcPr>
            <w:tcW w:w="4531"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rsidTr="00664DCF">
        <w:tc>
          <w:tcPr>
            <w:tcW w:w="4531" w:type="dxa"/>
          </w:tcPr>
          <w:p w:rsidR="00C53A0D" w:rsidRPr="00C10ABE" w:rsidRDefault="00C53A0D" w:rsidP="00664DCF">
            <w:pPr>
              <w:spacing w:line="480" w:lineRule="auto"/>
              <w:jc w:val="both"/>
              <w:rPr>
                <w:rFonts w:ascii="Arial" w:hAnsi="Arial" w:cs="Arial"/>
                <w:sz w:val="20"/>
                <w:szCs w:val="20"/>
              </w:rPr>
            </w:pPr>
            <w:r w:rsidRPr="00C10ABE">
              <w:rPr>
                <w:rFonts w:ascii="Arial" w:hAnsi="Arial" w:cs="Arial"/>
                <w:sz w:val="20"/>
                <w:szCs w:val="20"/>
              </w:rPr>
              <w:t xml:space="preserve">Quinones </w:t>
            </w:r>
          </w:p>
        </w:tc>
        <w:tc>
          <w:tcPr>
            <w:tcW w:w="4531"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rsidTr="00664DCF">
        <w:tc>
          <w:tcPr>
            <w:tcW w:w="4531" w:type="dxa"/>
          </w:tcPr>
          <w:p w:rsidR="00C53A0D" w:rsidRPr="00C10ABE" w:rsidRDefault="00C53A0D" w:rsidP="00664DCF">
            <w:pPr>
              <w:spacing w:line="480" w:lineRule="auto"/>
              <w:jc w:val="both"/>
              <w:rPr>
                <w:rFonts w:ascii="Arial" w:hAnsi="Arial" w:cs="Arial"/>
                <w:sz w:val="20"/>
                <w:szCs w:val="20"/>
              </w:rPr>
            </w:pPr>
            <w:r w:rsidRPr="00C10ABE">
              <w:rPr>
                <w:rFonts w:ascii="Arial" w:hAnsi="Arial" w:cs="Arial"/>
                <w:sz w:val="20"/>
                <w:szCs w:val="20"/>
              </w:rPr>
              <w:t xml:space="preserve">Catechic tannins </w:t>
            </w:r>
          </w:p>
        </w:tc>
        <w:tc>
          <w:tcPr>
            <w:tcW w:w="4531"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rsidTr="00664DCF">
        <w:trPr>
          <w:trHeight w:val="504"/>
        </w:trPr>
        <w:tc>
          <w:tcPr>
            <w:tcW w:w="4531" w:type="dxa"/>
          </w:tcPr>
          <w:p w:rsidR="00C53A0D" w:rsidRPr="00C10ABE" w:rsidRDefault="00C53A0D" w:rsidP="00664DCF">
            <w:pPr>
              <w:spacing w:line="480" w:lineRule="auto"/>
              <w:jc w:val="both"/>
              <w:rPr>
                <w:rFonts w:ascii="Arial" w:hAnsi="Arial" w:cs="Arial"/>
                <w:sz w:val="20"/>
                <w:szCs w:val="20"/>
              </w:rPr>
            </w:pPr>
            <w:r w:rsidRPr="00C10ABE">
              <w:rPr>
                <w:rFonts w:ascii="Arial" w:hAnsi="Arial" w:cs="Arial"/>
                <w:sz w:val="20"/>
                <w:szCs w:val="20"/>
              </w:rPr>
              <w:t xml:space="preserve">Gallic tannins </w:t>
            </w:r>
          </w:p>
        </w:tc>
        <w:tc>
          <w:tcPr>
            <w:tcW w:w="4531"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w:t>
            </w:r>
          </w:p>
        </w:tc>
      </w:tr>
    </w:tbl>
    <w:p w:rsidR="00C53A0D" w:rsidRPr="00C10ABE" w:rsidRDefault="00C53A0D" w:rsidP="00C53A0D">
      <w:pPr>
        <w:spacing w:after="0" w:line="360" w:lineRule="auto"/>
        <w:jc w:val="both"/>
        <w:rPr>
          <w:rFonts w:ascii="Times New Roman" w:hAnsi="Times New Roman" w:cs="Times New Roman"/>
          <w:sz w:val="24"/>
          <w:szCs w:val="24"/>
        </w:rPr>
      </w:pPr>
      <w:r w:rsidRPr="00C10ABE">
        <w:rPr>
          <w:rFonts w:ascii="Times New Roman" w:hAnsi="Times New Roman" w:cs="Times New Roman"/>
          <w:sz w:val="24"/>
          <w:szCs w:val="24"/>
        </w:rPr>
        <w:t>+= presence of compound; -= absence of compound</w:t>
      </w:r>
    </w:p>
    <w:p w:rsidR="00C53A0D" w:rsidRPr="00C10ABE" w:rsidRDefault="00C53A0D" w:rsidP="00C53A0D">
      <w:pPr>
        <w:spacing w:after="0" w:line="360" w:lineRule="auto"/>
        <w:jc w:val="both"/>
        <w:rPr>
          <w:rFonts w:ascii="Arial Bold" w:hAnsi="Arial Bold" w:cs="Arial"/>
          <w:b/>
        </w:rPr>
      </w:pPr>
    </w:p>
    <w:p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3.2 Acute oral toxicity </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During the oral acute toxicity study the animals were shaken a few minutes after administration of the extracts. They showed no evidence of tremors, change in respiratory rate, convulsions, salivation, diarrhoea, coma, walking backwards and self-mutilation. There were no deaths during the 14 days following administration of the extracts (Table 2).</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In the acute oral toxicity study, the aqueous extract of </w:t>
      </w:r>
      <w:r w:rsidRPr="00C10ABE">
        <w:rPr>
          <w:rFonts w:ascii="Arial" w:hAnsi="Arial" w:cs="Arial"/>
          <w:i/>
          <w:sz w:val="20"/>
          <w:szCs w:val="20"/>
        </w:rPr>
        <w:t>Pseudocedrela kotschyi</w:t>
      </w:r>
      <w:r w:rsidRPr="00C10ABE">
        <w:rPr>
          <w:rFonts w:ascii="Arial" w:hAnsi="Arial" w:cs="Arial"/>
          <w:sz w:val="20"/>
          <w:szCs w:val="20"/>
        </w:rPr>
        <w:t xml:space="preserve"> did not result i</w:t>
      </w:r>
      <w:r w:rsidR="00275EE0" w:rsidRPr="00C10ABE">
        <w:rPr>
          <w:rFonts w:ascii="Arial" w:hAnsi="Arial" w:cs="Arial"/>
          <w:sz w:val="20"/>
          <w:szCs w:val="20"/>
        </w:rPr>
        <w:t xml:space="preserve">n death at 5000mg/kg </w:t>
      </w:r>
      <w:r w:rsidRPr="00C10ABE">
        <w:rPr>
          <w:rFonts w:ascii="Arial" w:hAnsi="Arial" w:cs="Arial"/>
          <w:sz w:val="20"/>
          <w:szCs w:val="20"/>
        </w:rPr>
        <w:t>body weight</w:t>
      </w:r>
      <w:r w:rsidR="00275EE0" w:rsidRPr="00C10ABE">
        <w:rPr>
          <w:rFonts w:ascii="Arial" w:hAnsi="Arial" w:cs="Arial"/>
          <w:sz w:val="20"/>
          <w:szCs w:val="20"/>
        </w:rPr>
        <w:t xml:space="preserve"> (BW)</w:t>
      </w:r>
      <w:r w:rsidRPr="00C10ABE">
        <w:rPr>
          <w:rFonts w:ascii="Arial" w:hAnsi="Arial" w:cs="Arial"/>
          <w:sz w:val="20"/>
          <w:szCs w:val="20"/>
        </w:rPr>
        <w:t xml:space="preserve">.  According to the OECD 423 Globally Harmonised System of Classification (GHS) </w:t>
      </w:r>
      <w:r w:rsidRPr="00C10ABE">
        <w:rPr>
          <w:rFonts w:ascii="Arial" w:hAnsi="Arial" w:cs="Arial"/>
          <w:b/>
          <w:sz w:val="20"/>
          <w:szCs w:val="20"/>
        </w:rPr>
        <w:t>[15],</w:t>
      </w:r>
      <w:r w:rsidRPr="00C10ABE">
        <w:rPr>
          <w:rFonts w:ascii="Arial" w:hAnsi="Arial" w:cs="Arial"/>
          <w:sz w:val="20"/>
          <w:szCs w:val="20"/>
        </w:rPr>
        <w:t xml:space="preserve"> any non-lethal substance administered at this dose has a</w:t>
      </w:r>
      <w:r w:rsidR="00275EE0" w:rsidRPr="00C10ABE">
        <w:rPr>
          <w:rFonts w:ascii="Arial" w:hAnsi="Arial" w:cs="Arial"/>
          <w:sz w:val="20"/>
          <w:szCs w:val="20"/>
        </w:rPr>
        <w:t>n LD50 greater than 5000mg/kg B</w:t>
      </w:r>
      <w:r w:rsidRPr="00C10ABE">
        <w:rPr>
          <w:rFonts w:ascii="Arial" w:hAnsi="Arial" w:cs="Arial"/>
          <w:sz w:val="20"/>
          <w:szCs w:val="20"/>
        </w:rPr>
        <w:t xml:space="preserve">W. The aqueous extract of </w:t>
      </w:r>
      <w:r w:rsidRPr="00C10ABE">
        <w:rPr>
          <w:rFonts w:ascii="Arial" w:hAnsi="Arial" w:cs="Arial"/>
          <w:i/>
          <w:sz w:val="20"/>
          <w:szCs w:val="20"/>
        </w:rPr>
        <w:t>Pseudocedrela kotschyi</w:t>
      </w:r>
      <w:r w:rsidRPr="00C10ABE">
        <w:rPr>
          <w:rFonts w:ascii="Arial" w:hAnsi="Arial" w:cs="Arial"/>
          <w:sz w:val="20"/>
          <w:szCs w:val="20"/>
        </w:rPr>
        <w:t xml:space="preserve"> therefore has a</w:t>
      </w:r>
      <w:r w:rsidR="00275EE0" w:rsidRPr="00C10ABE">
        <w:rPr>
          <w:rFonts w:ascii="Arial" w:hAnsi="Arial" w:cs="Arial"/>
          <w:sz w:val="20"/>
          <w:szCs w:val="20"/>
        </w:rPr>
        <w:t>n LD50 greater than 5000mg/kg B</w:t>
      </w:r>
      <w:r w:rsidRPr="00C10ABE">
        <w:rPr>
          <w:rFonts w:ascii="Arial" w:hAnsi="Arial" w:cs="Arial"/>
          <w:sz w:val="20"/>
          <w:szCs w:val="20"/>
        </w:rPr>
        <w:t xml:space="preserve">W. Under this classification system, the aqueous trunk bark extract of </w:t>
      </w:r>
      <w:r w:rsidRPr="00C10ABE">
        <w:rPr>
          <w:rFonts w:ascii="Arial" w:hAnsi="Arial" w:cs="Arial"/>
          <w:i/>
          <w:sz w:val="20"/>
          <w:szCs w:val="20"/>
        </w:rPr>
        <w:t>Pseudocedrela kotschyi</w:t>
      </w:r>
      <w:r w:rsidRPr="00C10ABE">
        <w:rPr>
          <w:rFonts w:ascii="Arial" w:hAnsi="Arial" w:cs="Arial"/>
          <w:sz w:val="20"/>
          <w:szCs w:val="20"/>
        </w:rPr>
        <w:t xml:space="preserve"> is classified in Category 5, a category of relatively low acute toxicity.</w:t>
      </w:r>
    </w:p>
    <w:p w:rsidR="00C53A0D" w:rsidRPr="00C10ABE" w:rsidRDefault="00C53A0D" w:rsidP="00C53A0D">
      <w:pPr>
        <w:spacing w:after="0" w:line="360" w:lineRule="auto"/>
        <w:jc w:val="both"/>
        <w:rPr>
          <w:rFonts w:ascii="Arial" w:hAnsi="Arial" w:cs="Arial"/>
          <w:b/>
          <w:sz w:val="20"/>
          <w:szCs w:val="20"/>
        </w:rPr>
      </w:pPr>
      <w:r w:rsidRPr="00C10ABE">
        <w:rPr>
          <w:rFonts w:ascii="Arial" w:hAnsi="Arial" w:cs="Arial"/>
          <w:sz w:val="20"/>
          <w:szCs w:val="20"/>
        </w:rPr>
        <w:t xml:space="preserve">This LD50 is identical to that obtained by </w:t>
      </w:r>
      <w:r w:rsidR="000E090E" w:rsidRPr="00C10ABE">
        <w:rPr>
          <w:rFonts w:ascii="Arial" w:hAnsi="Arial" w:cs="Arial"/>
          <w:sz w:val="20"/>
          <w:szCs w:val="20"/>
        </w:rPr>
        <w:t xml:space="preserve">Essiet et al. </w:t>
      </w:r>
      <w:r w:rsidR="00030340" w:rsidRPr="00C10ABE">
        <w:rPr>
          <w:rFonts w:ascii="Arial" w:hAnsi="Arial" w:cs="Arial"/>
          <w:b/>
          <w:sz w:val="20"/>
          <w:szCs w:val="20"/>
        </w:rPr>
        <w:t>[20]</w:t>
      </w:r>
      <w:r w:rsidR="00030340" w:rsidRPr="00C10ABE">
        <w:rPr>
          <w:rFonts w:ascii="Arial" w:eastAsia="TimesNewRomanPSMT" w:hAnsi="Arial" w:cs="Arial"/>
          <w:b/>
          <w:sz w:val="20"/>
          <w:szCs w:val="20"/>
        </w:rPr>
        <w:t>.</w:t>
      </w:r>
      <w:r w:rsidRPr="00C10ABE">
        <w:rPr>
          <w:rFonts w:ascii="Arial" w:hAnsi="Arial" w:cs="Arial"/>
          <w:sz w:val="20"/>
          <w:szCs w:val="20"/>
        </w:rPr>
        <w:t xml:space="preserve">with the ethanolic extract from the leaves of </w:t>
      </w:r>
      <w:r w:rsidRPr="00C10ABE">
        <w:rPr>
          <w:rFonts w:ascii="Arial" w:hAnsi="Arial" w:cs="Arial"/>
          <w:i/>
          <w:sz w:val="20"/>
          <w:szCs w:val="20"/>
        </w:rPr>
        <w:t>Pseudocedrela kotschyi</w:t>
      </w:r>
      <w:r w:rsidRPr="00C10ABE">
        <w:rPr>
          <w:rFonts w:ascii="Arial" w:hAnsi="Arial" w:cs="Arial"/>
          <w:sz w:val="20"/>
          <w:szCs w:val="20"/>
        </w:rPr>
        <w:t>. It is, however, higher than that determined by Daniel</w:t>
      </w:r>
      <w:r w:rsidR="00030340" w:rsidRPr="00C10ABE">
        <w:rPr>
          <w:rFonts w:ascii="Arial" w:hAnsi="Arial" w:cs="Arial"/>
          <w:b/>
          <w:sz w:val="20"/>
          <w:szCs w:val="20"/>
        </w:rPr>
        <w:t>[21]</w:t>
      </w:r>
      <w:r w:rsidRPr="00C10ABE">
        <w:rPr>
          <w:rFonts w:ascii="Arial" w:hAnsi="Arial" w:cs="Arial"/>
          <w:b/>
          <w:sz w:val="20"/>
          <w:szCs w:val="20"/>
        </w:rPr>
        <w:t>.</w:t>
      </w:r>
      <w:r w:rsidRPr="00C10ABE">
        <w:rPr>
          <w:rFonts w:ascii="Arial" w:hAnsi="Arial" w:cs="Arial"/>
          <w:sz w:val="20"/>
          <w:szCs w:val="20"/>
        </w:rPr>
        <w:t xml:space="preserve"> The latter determined an LD50 of 1225mg/kg B.W with the aqueous extract of stem bark of </w:t>
      </w:r>
      <w:r w:rsidRPr="00C10ABE">
        <w:rPr>
          <w:rFonts w:ascii="Arial" w:hAnsi="Arial" w:cs="Arial"/>
          <w:i/>
          <w:sz w:val="20"/>
          <w:szCs w:val="20"/>
        </w:rPr>
        <w:t>Pseudocedrela kotschyi</w:t>
      </w:r>
      <w:r w:rsidRPr="00C10ABE">
        <w:rPr>
          <w:rFonts w:ascii="Arial" w:hAnsi="Arial" w:cs="Arial"/>
          <w:sz w:val="20"/>
          <w:szCs w:val="20"/>
        </w:rPr>
        <w:t>.</w:t>
      </w:r>
    </w:p>
    <w:p w:rsidR="00C53A0D" w:rsidRPr="00C10ABE" w:rsidRDefault="00C53A0D" w:rsidP="00C53A0D">
      <w:pPr>
        <w:spacing w:after="0" w:line="360" w:lineRule="auto"/>
        <w:jc w:val="both"/>
        <w:rPr>
          <w:rFonts w:ascii="Times New Roman" w:hAnsi="Times New Roman" w:cs="Times New Roman"/>
          <w:sz w:val="24"/>
          <w:szCs w:val="24"/>
        </w:rPr>
      </w:pPr>
    </w:p>
    <w:p w:rsidR="00C65C86" w:rsidRPr="00C10ABE" w:rsidRDefault="00C65C86" w:rsidP="00C53A0D">
      <w:pPr>
        <w:spacing w:after="0" w:line="360" w:lineRule="auto"/>
        <w:jc w:val="both"/>
        <w:rPr>
          <w:rFonts w:ascii="Arial" w:hAnsi="Arial" w:cs="Arial"/>
          <w:b/>
          <w:sz w:val="20"/>
          <w:szCs w:val="20"/>
        </w:rPr>
      </w:pPr>
    </w:p>
    <w:p w:rsidR="00C53A0D" w:rsidRPr="00C10ABE" w:rsidRDefault="00C53A0D" w:rsidP="00C53A0D">
      <w:pPr>
        <w:spacing w:after="0" w:line="360" w:lineRule="auto"/>
        <w:jc w:val="both"/>
        <w:rPr>
          <w:rFonts w:ascii="Arial" w:hAnsi="Arial" w:cs="Arial"/>
          <w:b/>
          <w:sz w:val="20"/>
          <w:szCs w:val="20"/>
        </w:rPr>
      </w:pPr>
      <w:r w:rsidRPr="00C10ABE">
        <w:rPr>
          <w:rFonts w:ascii="Arial" w:hAnsi="Arial" w:cs="Arial"/>
          <w:b/>
          <w:sz w:val="20"/>
          <w:szCs w:val="20"/>
        </w:rPr>
        <w:t xml:space="preserve">Table 2. Percentage mortality of female rats as a function of the dose of aqueous extract of </w:t>
      </w:r>
      <w:r w:rsidRPr="00C10ABE">
        <w:rPr>
          <w:rFonts w:ascii="Arial" w:hAnsi="Arial" w:cs="Arial"/>
          <w:b/>
          <w:i/>
          <w:sz w:val="20"/>
          <w:szCs w:val="20"/>
        </w:rPr>
        <w:t>Pseudocedrela kotschyi</w:t>
      </w:r>
    </w:p>
    <w:p w:rsidR="00C53A0D" w:rsidRPr="00C10ABE" w:rsidRDefault="00C53A0D" w:rsidP="00C53A0D">
      <w:pPr>
        <w:spacing w:after="0" w:line="36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265"/>
        <w:gridCol w:w="2265"/>
        <w:gridCol w:w="2266"/>
        <w:gridCol w:w="2266"/>
      </w:tblGrid>
      <w:tr w:rsidR="00C10ABE" w:rsidRPr="00C10ABE" w:rsidTr="00664DCF">
        <w:tc>
          <w:tcPr>
            <w:tcW w:w="2265" w:type="dxa"/>
            <w:tcBorders>
              <w:top w:val="single" w:sz="4" w:space="0" w:color="auto"/>
              <w:bottom w:val="single" w:sz="4" w:space="0" w:color="auto"/>
            </w:tcBorders>
          </w:tcPr>
          <w:p w:rsidR="00C53A0D" w:rsidRPr="00C10ABE" w:rsidRDefault="00C53A0D" w:rsidP="00664DCF">
            <w:pPr>
              <w:spacing w:line="480" w:lineRule="auto"/>
              <w:jc w:val="both"/>
              <w:rPr>
                <w:rFonts w:ascii="Arial" w:hAnsi="Arial" w:cs="Arial"/>
                <w:b/>
                <w:sz w:val="20"/>
                <w:szCs w:val="20"/>
              </w:rPr>
            </w:pPr>
            <w:r w:rsidRPr="00C10ABE">
              <w:rPr>
                <w:rFonts w:ascii="Arial" w:hAnsi="Arial" w:cs="Arial"/>
                <w:b/>
                <w:sz w:val="20"/>
                <w:szCs w:val="20"/>
              </w:rPr>
              <w:t>Batches</w:t>
            </w:r>
          </w:p>
        </w:tc>
        <w:tc>
          <w:tcPr>
            <w:tcW w:w="2265" w:type="dxa"/>
            <w:tcBorders>
              <w:top w:val="single" w:sz="4" w:space="0" w:color="auto"/>
              <w:bottom w:val="single" w:sz="4" w:space="0" w:color="auto"/>
            </w:tcBorders>
          </w:tcPr>
          <w:p w:rsidR="00C53A0D" w:rsidRPr="00C10ABE" w:rsidRDefault="00275EE0" w:rsidP="00664DCF">
            <w:pPr>
              <w:spacing w:line="480" w:lineRule="auto"/>
              <w:jc w:val="center"/>
              <w:rPr>
                <w:rFonts w:ascii="Arial" w:hAnsi="Arial" w:cs="Arial"/>
                <w:b/>
                <w:sz w:val="20"/>
                <w:szCs w:val="20"/>
              </w:rPr>
            </w:pPr>
            <w:r w:rsidRPr="00C10ABE">
              <w:rPr>
                <w:rFonts w:ascii="Arial" w:hAnsi="Arial" w:cs="Arial"/>
                <w:b/>
                <w:sz w:val="20"/>
                <w:szCs w:val="20"/>
              </w:rPr>
              <w:t xml:space="preserve">Dose administered </w:t>
            </w:r>
            <w:r w:rsidRPr="00C10ABE">
              <w:rPr>
                <w:rFonts w:ascii="Arial" w:hAnsi="Arial" w:cs="Arial"/>
                <w:b/>
                <w:sz w:val="20"/>
                <w:szCs w:val="20"/>
              </w:rPr>
              <w:lastRenderedPageBreak/>
              <w:t>(mg/kg B</w:t>
            </w:r>
            <w:r w:rsidR="00C53A0D" w:rsidRPr="00C10ABE">
              <w:rPr>
                <w:rFonts w:ascii="Arial" w:hAnsi="Arial" w:cs="Arial"/>
                <w:b/>
                <w:sz w:val="20"/>
                <w:szCs w:val="20"/>
              </w:rPr>
              <w:t>W)</w:t>
            </w:r>
          </w:p>
        </w:tc>
        <w:tc>
          <w:tcPr>
            <w:tcW w:w="2266" w:type="dxa"/>
            <w:tcBorders>
              <w:top w:val="single" w:sz="4" w:space="0" w:color="auto"/>
              <w:bottom w:val="single" w:sz="4" w:space="0" w:color="auto"/>
            </w:tcBorders>
          </w:tcPr>
          <w:p w:rsidR="00C53A0D" w:rsidRPr="00C10ABE" w:rsidRDefault="00C53A0D" w:rsidP="00664DCF">
            <w:pPr>
              <w:spacing w:line="480" w:lineRule="auto"/>
              <w:jc w:val="center"/>
              <w:rPr>
                <w:rFonts w:ascii="Arial" w:hAnsi="Arial" w:cs="Arial"/>
                <w:b/>
                <w:sz w:val="20"/>
                <w:szCs w:val="20"/>
              </w:rPr>
            </w:pPr>
            <w:r w:rsidRPr="00C10ABE">
              <w:rPr>
                <w:rFonts w:ascii="Arial" w:hAnsi="Arial" w:cs="Arial"/>
                <w:b/>
                <w:sz w:val="20"/>
                <w:szCs w:val="20"/>
              </w:rPr>
              <w:lastRenderedPageBreak/>
              <w:t>Number of rats</w:t>
            </w:r>
          </w:p>
        </w:tc>
        <w:tc>
          <w:tcPr>
            <w:tcW w:w="2266" w:type="dxa"/>
            <w:tcBorders>
              <w:top w:val="single" w:sz="4" w:space="0" w:color="auto"/>
              <w:bottom w:val="single" w:sz="4" w:space="0" w:color="auto"/>
            </w:tcBorders>
          </w:tcPr>
          <w:p w:rsidR="00C53A0D" w:rsidRPr="00C10ABE" w:rsidRDefault="00C53A0D" w:rsidP="00664DCF">
            <w:pPr>
              <w:spacing w:line="480" w:lineRule="auto"/>
              <w:jc w:val="center"/>
              <w:rPr>
                <w:rFonts w:ascii="Arial" w:hAnsi="Arial" w:cs="Arial"/>
                <w:b/>
                <w:sz w:val="20"/>
                <w:szCs w:val="20"/>
              </w:rPr>
            </w:pPr>
            <w:r w:rsidRPr="00C10ABE">
              <w:rPr>
                <w:rFonts w:ascii="Arial" w:hAnsi="Arial" w:cs="Arial"/>
                <w:b/>
                <w:sz w:val="20"/>
                <w:szCs w:val="20"/>
              </w:rPr>
              <w:t>% deaths</w:t>
            </w:r>
          </w:p>
        </w:tc>
      </w:tr>
      <w:tr w:rsidR="00C10ABE" w:rsidRPr="00C10ABE" w:rsidTr="00664DCF">
        <w:tc>
          <w:tcPr>
            <w:tcW w:w="2265" w:type="dxa"/>
            <w:tcBorders>
              <w:top w:val="single" w:sz="4" w:space="0" w:color="auto"/>
            </w:tcBorders>
          </w:tcPr>
          <w:p w:rsidR="00C53A0D" w:rsidRPr="00C10ABE" w:rsidRDefault="00C53A0D" w:rsidP="00664DCF">
            <w:pPr>
              <w:spacing w:line="480" w:lineRule="auto"/>
              <w:jc w:val="both"/>
              <w:rPr>
                <w:rFonts w:ascii="Arial" w:hAnsi="Arial" w:cs="Arial"/>
                <w:sz w:val="20"/>
                <w:szCs w:val="20"/>
              </w:rPr>
            </w:pPr>
            <w:r w:rsidRPr="00C10ABE">
              <w:rPr>
                <w:rFonts w:ascii="Arial" w:hAnsi="Arial" w:cs="Arial"/>
                <w:sz w:val="20"/>
                <w:szCs w:val="20"/>
              </w:rPr>
              <w:lastRenderedPageBreak/>
              <w:t>1</w:t>
            </w:r>
          </w:p>
        </w:tc>
        <w:tc>
          <w:tcPr>
            <w:tcW w:w="2265" w:type="dxa"/>
            <w:tcBorders>
              <w:top w:val="single" w:sz="4" w:space="0" w:color="auto"/>
            </w:tcBorders>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Control (distilled water)</w:t>
            </w:r>
          </w:p>
        </w:tc>
        <w:tc>
          <w:tcPr>
            <w:tcW w:w="2266" w:type="dxa"/>
            <w:tcBorders>
              <w:top w:val="single" w:sz="4" w:space="0" w:color="auto"/>
            </w:tcBorders>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3</w:t>
            </w:r>
          </w:p>
        </w:tc>
        <w:tc>
          <w:tcPr>
            <w:tcW w:w="2266" w:type="dxa"/>
            <w:tcBorders>
              <w:top w:val="single" w:sz="4" w:space="0" w:color="auto"/>
            </w:tcBorders>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0</w:t>
            </w:r>
          </w:p>
        </w:tc>
      </w:tr>
      <w:tr w:rsidR="00C10ABE" w:rsidRPr="00C10ABE" w:rsidTr="00664DCF">
        <w:tc>
          <w:tcPr>
            <w:tcW w:w="2265" w:type="dxa"/>
          </w:tcPr>
          <w:p w:rsidR="00C53A0D" w:rsidRPr="00C10ABE" w:rsidRDefault="00C53A0D" w:rsidP="00664DCF">
            <w:pPr>
              <w:spacing w:line="480" w:lineRule="auto"/>
              <w:jc w:val="both"/>
              <w:rPr>
                <w:rFonts w:ascii="Arial" w:hAnsi="Arial" w:cs="Arial"/>
                <w:sz w:val="20"/>
                <w:szCs w:val="20"/>
              </w:rPr>
            </w:pPr>
            <w:r w:rsidRPr="00C10ABE">
              <w:rPr>
                <w:rFonts w:ascii="Arial" w:hAnsi="Arial" w:cs="Arial"/>
                <w:sz w:val="20"/>
                <w:szCs w:val="20"/>
              </w:rPr>
              <w:t>2</w:t>
            </w:r>
          </w:p>
        </w:tc>
        <w:tc>
          <w:tcPr>
            <w:tcW w:w="2265"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300</w:t>
            </w:r>
          </w:p>
        </w:tc>
        <w:tc>
          <w:tcPr>
            <w:tcW w:w="2266"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3</w:t>
            </w:r>
          </w:p>
        </w:tc>
        <w:tc>
          <w:tcPr>
            <w:tcW w:w="2266"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0</w:t>
            </w:r>
          </w:p>
        </w:tc>
      </w:tr>
      <w:tr w:rsidR="00C10ABE" w:rsidRPr="00C10ABE" w:rsidTr="00664DCF">
        <w:tc>
          <w:tcPr>
            <w:tcW w:w="2265" w:type="dxa"/>
          </w:tcPr>
          <w:p w:rsidR="00C53A0D" w:rsidRPr="00C10ABE" w:rsidRDefault="00C53A0D" w:rsidP="00664DCF">
            <w:pPr>
              <w:spacing w:line="480" w:lineRule="auto"/>
              <w:jc w:val="both"/>
              <w:rPr>
                <w:rFonts w:ascii="Arial" w:hAnsi="Arial" w:cs="Arial"/>
                <w:sz w:val="20"/>
                <w:szCs w:val="20"/>
              </w:rPr>
            </w:pPr>
            <w:r w:rsidRPr="00C10ABE">
              <w:rPr>
                <w:rFonts w:ascii="Arial" w:hAnsi="Arial" w:cs="Arial"/>
                <w:sz w:val="20"/>
                <w:szCs w:val="20"/>
              </w:rPr>
              <w:t>3</w:t>
            </w:r>
          </w:p>
        </w:tc>
        <w:tc>
          <w:tcPr>
            <w:tcW w:w="2265"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2000</w:t>
            </w:r>
          </w:p>
        </w:tc>
        <w:tc>
          <w:tcPr>
            <w:tcW w:w="2266"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3</w:t>
            </w:r>
          </w:p>
        </w:tc>
        <w:tc>
          <w:tcPr>
            <w:tcW w:w="2266"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0</w:t>
            </w:r>
          </w:p>
        </w:tc>
      </w:tr>
      <w:tr w:rsidR="00C53A0D" w:rsidRPr="00C10ABE" w:rsidTr="00664DCF">
        <w:tc>
          <w:tcPr>
            <w:tcW w:w="2265" w:type="dxa"/>
          </w:tcPr>
          <w:p w:rsidR="00C53A0D" w:rsidRPr="00C10ABE" w:rsidRDefault="00C53A0D" w:rsidP="00664DCF">
            <w:pPr>
              <w:spacing w:line="480" w:lineRule="auto"/>
              <w:jc w:val="both"/>
              <w:rPr>
                <w:rFonts w:ascii="Arial" w:hAnsi="Arial" w:cs="Arial"/>
                <w:sz w:val="20"/>
                <w:szCs w:val="20"/>
              </w:rPr>
            </w:pPr>
            <w:r w:rsidRPr="00C10ABE">
              <w:rPr>
                <w:rFonts w:ascii="Arial" w:hAnsi="Arial" w:cs="Arial"/>
                <w:sz w:val="20"/>
                <w:szCs w:val="20"/>
              </w:rPr>
              <w:t>4</w:t>
            </w:r>
          </w:p>
        </w:tc>
        <w:tc>
          <w:tcPr>
            <w:tcW w:w="2265"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5000</w:t>
            </w:r>
          </w:p>
        </w:tc>
        <w:tc>
          <w:tcPr>
            <w:tcW w:w="2266"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3</w:t>
            </w:r>
          </w:p>
        </w:tc>
        <w:tc>
          <w:tcPr>
            <w:tcW w:w="2266" w:type="dxa"/>
          </w:tcPr>
          <w:p w:rsidR="00C53A0D" w:rsidRPr="00C10ABE" w:rsidRDefault="00C53A0D" w:rsidP="00664DCF">
            <w:pPr>
              <w:spacing w:line="480" w:lineRule="auto"/>
              <w:jc w:val="center"/>
              <w:rPr>
                <w:rFonts w:ascii="Arial" w:hAnsi="Arial" w:cs="Arial"/>
                <w:sz w:val="20"/>
                <w:szCs w:val="20"/>
              </w:rPr>
            </w:pPr>
            <w:r w:rsidRPr="00C10ABE">
              <w:rPr>
                <w:rFonts w:ascii="Arial" w:hAnsi="Arial" w:cs="Arial"/>
                <w:sz w:val="20"/>
                <w:szCs w:val="20"/>
              </w:rPr>
              <w:t>0</w:t>
            </w:r>
          </w:p>
        </w:tc>
      </w:tr>
    </w:tbl>
    <w:p w:rsidR="00C53A0D" w:rsidRPr="00C10ABE" w:rsidRDefault="00C53A0D" w:rsidP="00C53A0D">
      <w:pPr>
        <w:spacing w:after="0" w:line="360" w:lineRule="auto"/>
        <w:jc w:val="both"/>
        <w:rPr>
          <w:rFonts w:ascii="Times New Roman" w:hAnsi="Times New Roman" w:cs="Times New Roman"/>
          <w:sz w:val="24"/>
          <w:szCs w:val="24"/>
        </w:rPr>
      </w:pPr>
    </w:p>
    <w:p w:rsidR="00C53A0D" w:rsidRPr="00C10ABE" w:rsidRDefault="00030340" w:rsidP="00C53A0D">
      <w:pPr>
        <w:spacing w:after="0" w:line="360" w:lineRule="auto"/>
        <w:jc w:val="both"/>
        <w:rPr>
          <w:rFonts w:ascii="Arial Bold" w:eastAsia="TimesNewRomanPSMT" w:hAnsi="Arial Bold" w:cs="Arial" w:hint="eastAsia"/>
        </w:rPr>
      </w:pPr>
      <w:r w:rsidRPr="00C10ABE">
        <w:rPr>
          <w:rFonts w:ascii="Arial Bold" w:hAnsi="Arial Bold" w:cs="Arial"/>
          <w:b/>
        </w:rPr>
        <w:t>3.3</w:t>
      </w:r>
      <w:r w:rsidR="00C53A0D" w:rsidRPr="00C10ABE">
        <w:rPr>
          <w:rFonts w:ascii="Arial Bold" w:hAnsi="Arial Bold" w:cs="Arial"/>
          <w:b/>
        </w:rPr>
        <w:t xml:space="preserve"> Anti-inflammatory </w:t>
      </w:r>
      <w:commentRangeStart w:id="13"/>
      <w:r w:rsidR="00C53A0D" w:rsidRPr="00C10ABE">
        <w:rPr>
          <w:rFonts w:ascii="Arial Bold" w:hAnsi="Arial Bold" w:cs="Arial"/>
          <w:b/>
        </w:rPr>
        <w:t>activity</w:t>
      </w:r>
      <w:commentRangeEnd w:id="13"/>
      <w:r w:rsidR="002B6A9B">
        <w:rPr>
          <w:rStyle w:val="CommentReference"/>
        </w:rPr>
        <w:commentReference w:id="13"/>
      </w:r>
    </w:p>
    <w:p w:rsidR="00C53A0D" w:rsidRPr="00C10ABE" w:rsidRDefault="00C53A0D" w:rsidP="00C53A0D">
      <w:pPr>
        <w:spacing w:after="0" w:line="360" w:lineRule="auto"/>
        <w:jc w:val="both"/>
        <w:rPr>
          <w:rFonts w:ascii="Arial" w:eastAsia="TimesNewRomanPSMT" w:hAnsi="Arial" w:cs="Arial"/>
          <w:sz w:val="20"/>
          <w:szCs w:val="20"/>
        </w:rPr>
      </w:pPr>
      <w:r w:rsidRPr="00C10ABE">
        <w:rPr>
          <w:rFonts w:ascii="Arial" w:hAnsi="Arial" w:cs="Arial"/>
          <w:sz w:val="20"/>
          <w:szCs w:val="20"/>
        </w:rPr>
        <w:t xml:space="preserve">The aqueous extract of </w:t>
      </w:r>
      <w:r w:rsidRPr="00C10ABE">
        <w:rPr>
          <w:rFonts w:ascii="Arial" w:hAnsi="Arial" w:cs="Arial"/>
          <w:i/>
          <w:sz w:val="20"/>
          <w:szCs w:val="20"/>
        </w:rPr>
        <w:t>Pseudocedrela kotschyi</w:t>
      </w:r>
      <w:r w:rsidRPr="00C10ABE">
        <w:rPr>
          <w:rFonts w:ascii="Arial" w:hAnsi="Arial" w:cs="Arial"/>
          <w:sz w:val="20"/>
          <w:szCs w:val="20"/>
        </w:rPr>
        <w:t xml:space="preserve"> trunk bark used in this study exhibited potent anti-inf</w:t>
      </w:r>
      <w:r w:rsidR="000E090E" w:rsidRPr="00C10ABE">
        <w:rPr>
          <w:rFonts w:ascii="Arial" w:hAnsi="Arial" w:cs="Arial"/>
          <w:sz w:val="20"/>
          <w:szCs w:val="20"/>
        </w:rPr>
        <w:t xml:space="preserve">lammatory action by inhibiting </w:t>
      </w:r>
      <w:r w:rsidRPr="00C10ABE">
        <w:rPr>
          <w:rFonts w:ascii="Arial" w:eastAsia="TimesNewRomanPSMT" w:hAnsi="Arial" w:cs="Arial"/>
          <w:sz w:val="20"/>
          <w:szCs w:val="20"/>
        </w:rPr>
        <w:t xml:space="preserve">carrageenan </w:t>
      </w:r>
      <w:r w:rsidRPr="00C10ABE">
        <w:rPr>
          <w:rFonts w:ascii="Arial" w:hAnsi="Arial" w:cs="Arial"/>
          <w:sz w:val="20"/>
          <w:szCs w:val="20"/>
        </w:rPr>
        <w:t>inflammation.</w:t>
      </w:r>
    </w:p>
    <w:p w:rsidR="00C53A0D" w:rsidRPr="00C10ABE" w:rsidRDefault="000E090E" w:rsidP="00C53A0D">
      <w:pPr>
        <w:spacing w:after="0" w:line="360" w:lineRule="auto"/>
        <w:jc w:val="both"/>
        <w:rPr>
          <w:rFonts w:ascii="Arial" w:hAnsi="Arial" w:cs="Arial"/>
          <w:sz w:val="20"/>
          <w:szCs w:val="20"/>
        </w:rPr>
      </w:pPr>
      <w:r w:rsidRPr="00C10ABE">
        <w:rPr>
          <w:rFonts w:ascii="Arial" w:hAnsi="Arial" w:cs="Arial"/>
          <w:sz w:val="20"/>
          <w:szCs w:val="20"/>
        </w:rPr>
        <w:t>Table 3</w:t>
      </w:r>
      <w:r w:rsidR="00C53A0D" w:rsidRPr="00C10ABE">
        <w:rPr>
          <w:rFonts w:ascii="Arial" w:hAnsi="Arial" w:cs="Arial"/>
          <w:sz w:val="20"/>
          <w:szCs w:val="20"/>
        </w:rPr>
        <w:t xml:space="preserve"> shows the effects of </w:t>
      </w:r>
      <w:r w:rsidR="009B10C6" w:rsidRPr="00C10ABE">
        <w:rPr>
          <w:rFonts w:ascii="Arial" w:hAnsi="Arial" w:cs="Arial"/>
          <w:sz w:val="20"/>
          <w:szCs w:val="20"/>
        </w:rPr>
        <w:t>indometacin</w:t>
      </w:r>
      <w:r w:rsidR="00C53A0D" w:rsidRPr="00C10ABE">
        <w:rPr>
          <w:rFonts w:ascii="Arial" w:hAnsi="Arial" w:cs="Arial"/>
          <w:sz w:val="20"/>
          <w:szCs w:val="20"/>
        </w:rPr>
        <w:t xml:space="preserve">(reference substance) and different doses of the aqueous extract of </w:t>
      </w:r>
      <w:r w:rsidR="00C53A0D" w:rsidRPr="00C10ABE">
        <w:rPr>
          <w:rFonts w:ascii="Arial" w:hAnsi="Arial" w:cs="Arial"/>
          <w:i/>
          <w:sz w:val="20"/>
          <w:szCs w:val="20"/>
        </w:rPr>
        <w:t>Pseudocedrela kotschyi</w:t>
      </w:r>
      <w:r w:rsidR="00C53A0D" w:rsidRPr="00C10ABE">
        <w:rPr>
          <w:rFonts w:ascii="Arial" w:hAnsi="Arial" w:cs="Arial"/>
          <w:sz w:val="20"/>
          <w:szCs w:val="20"/>
        </w:rPr>
        <w:t xml:space="preserve"> on the time-dependent increase in the circumference of carrageenan-induced </w:t>
      </w:r>
      <w:r w:rsidR="009B10C6" w:rsidRPr="00C10ABE">
        <w:rPr>
          <w:rFonts w:ascii="Arial" w:hAnsi="Arial" w:cs="Arial"/>
          <w:sz w:val="20"/>
          <w:szCs w:val="20"/>
        </w:rPr>
        <w:t>edema</w:t>
      </w:r>
      <w:r w:rsidR="00C53A0D" w:rsidRPr="00C10ABE">
        <w:rPr>
          <w:rFonts w:ascii="Arial" w:hAnsi="Arial" w:cs="Arial"/>
          <w:sz w:val="20"/>
          <w:szCs w:val="20"/>
        </w:rPr>
        <w:t xml:space="preserve"> of the rat paw. Subplantar injection of 1% carrageenan to the control lot (Batch 1) resulted in respective percentage increases in paw circumference of 10.03 ± 1.65%; 22.40 ± 1.12%; 25.63 ± 0.85%; 37.25 ± 0.74%; 36.36 ± 0.83% and 35.03 ± 0.78% with a maximum of 37.25 ± 0.74% at 4 hours.</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administration of </w:t>
      </w:r>
      <w:r w:rsidR="009B10C6" w:rsidRPr="00C10ABE">
        <w:rPr>
          <w:rFonts w:ascii="Arial" w:hAnsi="Arial" w:cs="Arial"/>
          <w:sz w:val="20"/>
          <w:szCs w:val="20"/>
        </w:rPr>
        <w:t>indometacin</w:t>
      </w:r>
      <w:r w:rsidR="00275EE0" w:rsidRPr="00C10ABE">
        <w:rPr>
          <w:rFonts w:ascii="Arial" w:hAnsi="Arial" w:cs="Arial"/>
          <w:sz w:val="20"/>
          <w:szCs w:val="20"/>
        </w:rPr>
        <w:t xml:space="preserve"> at a dose of 10 mg/kg BW</w:t>
      </w:r>
      <w:r w:rsidRPr="00C10ABE">
        <w:rPr>
          <w:rFonts w:ascii="Arial" w:hAnsi="Arial" w:cs="Arial"/>
          <w:sz w:val="20"/>
          <w:szCs w:val="20"/>
        </w:rPr>
        <w:t xml:space="preserve"> to rats in batch 2 and of different doses of 200 mg/kg </w:t>
      </w:r>
      <w:r w:rsidR="00275EE0" w:rsidRPr="00C10ABE">
        <w:rPr>
          <w:rFonts w:ascii="Arial" w:hAnsi="Arial" w:cs="Arial"/>
          <w:sz w:val="20"/>
          <w:szCs w:val="20"/>
        </w:rPr>
        <w:t>BW</w:t>
      </w:r>
      <w:r w:rsidRPr="00C10ABE">
        <w:rPr>
          <w:rFonts w:ascii="Arial" w:hAnsi="Arial" w:cs="Arial"/>
          <w:sz w:val="20"/>
          <w:szCs w:val="20"/>
        </w:rPr>
        <w:t xml:space="preserve">, 150 mg/kg </w:t>
      </w:r>
      <w:r w:rsidR="00275EE0" w:rsidRPr="00C10ABE">
        <w:rPr>
          <w:rFonts w:ascii="Arial" w:hAnsi="Arial" w:cs="Arial"/>
          <w:sz w:val="20"/>
          <w:szCs w:val="20"/>
        </w:rPr>
        <w:t>BW</w:t>
      </w:r>
      <w:r w:rsidRPr="00C10ABE">
        <w:rPr>
          <w:rFonts w:ascii="Arial" w:hAnsi="Arial" w:cs="Arial"/>
          <w:sz w:val="20"/>
          <w:szCs w:val="20"/>
        </w:rPr>
        <w:t xml:space="preserve"> and 100 mg/kg </w:t>
      </w:r>
      <w:r w:rsidR="00275EE0" w:rsidRPr="00C10ABE">
        <w:rPr>
          <w:rFonts w:ascii="Arial" w:hAnsi="Arial" w:cs="Arial"/>
          <w:sz w:val="20"/>
          <w:szCs w:val="20"/>
        </w:rPr>
        <w:t>BW</w:t>
      </w:r>
      <w:r w:rsidRPr="00C10ABE">
        <w:rPr>
          <w:rFonts w:ascii="Arial" w:hAnsi="Arial" w:cs="Arial"/>
          <w:sz w:val="20"/>
          <w:szCs w:val="20"/>
        </w:rPr>
        <w:t xml:space="preserve"> of the aqueous extract of </w:t>
      </w:r>
      <w:r w:rsidRPr="00C10ABE">
        <w:rPr>
          <w:rFonts w:ascii="Arial" w:hAnsi="Arial" w:cs="Arial"/>
          <w:i/>
          <w:sz w:val="20"/>
          <w:szCs w:val="20"/>
        </w:rPr>
        <w:t>Pseudocedrela kotschyi</w:t>
      </w:r>
      <w:r w:rsidRPr="00C10ABE">
        <w:rPr>
          <w:rFonts w:ascii="Arial" w:hAnsi="Arial" w:cs="Arial"/>
          <w:sz w:val="20"/>
          <w:szCs w:val="20"/>
        </w:rPr>
        <w:t xml:space="preserve"> to rats in batches 3, 4 and 5 respectively significantly (p &lt; 0.05) prevented the development of plantar </w:t>
      </w:r>
      <w:r w:rsidR="009B10C6" w:rsidRPr="00C10ABE">
        <w:rPr>
          <w:rFonts w:ascii="Arial" w:hAnsi="Arial" w:cs="Arial"/>
          <w:sz w:val="20"/>
          <w:szCs w:val="20"/>
        </w:rPr>
        <w:t>edema</w:t>
      </w:r>
      <w:r w:rsidRPr="00C10ABE">
        <w:rPr>
          <w:rFonts w:ascii="Arial" w:hAnsi="Arial" w:cs="Arial"/>
          <w:sz w:val="20"/>
          <w:szCs w:val="20"/>
        </w:rPr>
        <w:t xml:space="preserve"> of the right hind paw of rats from 1 h to 6 h after injection of carrageenan. The percentage increase in </w:t>
      </w:r>
      <w:r w:rsidR="009B10C6" w:rsidRPr="00C10ABE">
        <w:rPr>
          <w:rFonts w:ascii="Arial" w:hAnsi="Arial" w:cs="Arial"/>
          <w:sz w:val="20"/>
          <w:szCs w:val="20"/>
        </w:rPr>
        <w:t>edema</w:t>
      </w:r>
      <w:r w:rsidRPr="00C10ABE">
        <w:rPr>
          <w:rFonts w:ascii="Arial" w:hAnsi="Arial" w:cs="Arial"/>
          <w:sz w:val="20"/>
          <w:szCs w:val="20"/>
        </w:rPr>
        <w:t xml:space="preserve"> of the right hind paw of rats in batch 2 at 1 h, 2 h, 3 h, 4 h, 5 h and 6 h was 6.09 ± 0.96%, 9.07 ± 0.38%, 12.05 ± 0.73%, 17.12 ± 0.64%, 15.85 ± 0.97% and 14.58 ± 0.45% respectively.</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percentages of increase in </w:t>
      </w:r>
      <w:r w:rsidR="009B10C6" w:rsidRPr="00C10ABE">
        <w:rPr>
          <w:rFonts w:ascii="Arial" w:hAnsi="Arial" w:cs="Arial"/>
          <w:sz w:val="20"/>
          <w:szCs w:val="20"/>
        </w:rPr>
        <w:t>edema</w:t>
      </w:r>
      <w:r w:rsidRPr="00C10ABE">
        <w:rPr>
          <w:rFonts w:ascii="Arial" w:hAnsi="Arial" w:cs="Arial"/>
          <w:sz w:val="20"/>
          <w:szCs w:val="20"/>
        </w:rPr>
        <w:t xml:space="preserve"> of the right hind paw of rats at 1 h, 2 h, 3 h, 4 h, 5 h and 6 h were respectively 8.83 ± 0.69%; 14.54 ± 1.2%; 18.35 ± 0.55%; 23.43 ± 1.15%; 22.16 ± 0.78% and 20.89 ± 0.73% for batch 3;  9.00±0.54%; 15.02±1.36%; 18.50±1.23%; 23.95±0.64%; 23.00±1.24% and 21.36±0.72% for batch 4; 15.76±0.40%; 17.21±0.38%; 18.25±0.38%; 18.8±0.23%; 19.74±0.76% and 19.5±0.69%; 19.3±0.29% for batch 5. The reduction induced by the aqueous extract was dose-dependent.</w:t>
      </w: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65C86" w:rsidRPr="00C10ABE" w:rsidRDefault="00C65C86" w:rsidP="00C53A0D">
      <w:pPr>
        <w:spacing w:after="0" w:line="360" w:lineRule="auto"/>
        <w:jc w:val="both"/>
        <w:rPr>
          <w:rFonts w:ascii="Arial" w:hAnsi="Arial" w:cs="Arial"/>
          <w:b/>
          <w:sz w:val="20"/>
          <w:szCs w:val="20"/>
        </w:rPr>
      </w:pPr>
    </w:p>
    <w:p w:rsidR="00C53A0D" w:rsidRPr="00C10ABE" w:rsidRDefault="000E090E" w:rsidP="00C53A0D">
      <w:pPr>
        <w:spacing w:after="0" w:line="360" w:lineRule="auto"/>
        <w:jc w:val="both"/>
        <w:rPr>
          <w:rFonts w:ascii="Arial" w:hAnsi="Arial" w:cs="Arial"/>
          <w:b/>
          <w:sz w:val="20"/>
          <w:szCs w:val="20"/>
        </w:rPr>
      </w:pPr>
      <w:r w:rsidRPr="00C10ABE">
        <w:rPr>
          <w:rFonts w:ascii="Arial" w:hAnsi="Arial" w:cs="Arial"/>
          <w:b/>
          <w:sz w:val="20"/>
          <w:szCs w:val="20"/>
        </w:rPr>
        <w:t>Table 3</w:t>
      </w:r>
      <w:r w:rsidR="00C53A0D" w:rsidRPr="00C10ABE">
        <w:rPr>
          <w:rFonts w:ascii="Arial" w:hAnsi="Arial" w:cs="Arial"/>
          <w:b/>
          <w:sz w:val="20"/>
          <w:szCs w:val="20"/>
        </w:rPr>
        <w:t xml:space="preserve">: Effect of </w:t>
      </w:r>
      <w:r w:rsidR="009B10C6" w:rsidRPr="00C10ABE">
        <w:rPr>
          <w:rFonts w:ascii="Arial" w:hAnsi="Arial" w:cs="Arial"/>
          <w:b/>
          <w:sz w:val="20"/>
          <w:szCs w:val="20"/>
        </w:rPr>
        <w:t>indometacin</w:t>
      </w:r>
      <w:r w:rsidR="00C53A0D" w:rsidRPr="00C10ABE">
        <w:rPr>
          <w:rFonts w:ascii="Arial" w:hAnsi="Arial" w:cs="Arial"/>
          <w:b/>
          <w:sz w:val="20"/>
          <w:szCs w:val="20"/>
        </w:rPr>
        <w:t xml:space="preserve">and aqueous extract of </w:t>
      </w:r>
      <w:r w:rsidR="00C53A0D" w:rsidRPr="00C10ABE">
        <w:rPr>
          <w:rFonts w:ascii="Arial" w:hAnsi="Arial" w:cs="Arial"/>
          <w:b/>
          <w:i/>
          <w:sz w:val="20"/>
          <w:szCs w:val="20"/>
        </w:rPr>
        <w:t>Pseudocedrela kotschyi</w:t>
      </w:r>
      <w:r w:rsidR="00C53A0D" w:rsidRPr="00C10ABE">
        <w:rPr>
          <w:rFonts w:ascii="Arial" w:hAnsi="Arial" w:cs="Arial"/>
          <w:b/>
          <w:sz w:val="20"/>
          <w:szCs w:val="20"/>
        </w:rPr>
        <w:t xml:space="preserve"> on the increase in circumference of rat paw </w:t>
      </w:r>
      <w:r w:rsidR="009B10C6" w:rsidRPr="00C10ABE">
        <w:rPr>
          <w:rFonts w:ascii="Arial" w:hAnsi="Arial" w:cs="Arial"/>
          <w:b/>
          <w:sz w:val="20"/>
          <w:szCs w:val="20"/>
        </w:rPr>
        <w:t>edema</w:t>
      </w:r>
      <w:r w:rsidR="00C53A0D" w:rsidRPr="00C10ABE">
        <w:rPr>
          <w:rFonts w:ascii="Arial" w:hAnsi="Arial" w:cs="Arial"/>
          <w:b/>
          <w:sz w:val="20"/>
          <w:szCs w:val="20"/>
        </w:rPr>
        <w:t xml:space="preserve"> induced by carrageenan.</w:t>
      </w:r>
    </w:p>
    <w:p w:rsidR="00C53A0D" w:rsidRPr="00C10ABE" w:rsidRDefault="00C53A0D" w:rsidP="00C53A0D">
      <w:pPr>
        <w:spacing w:after="0" w:line="360" w:lineRule="auto"/>
        <w:jc w:val="both"/>
        <w:rPr>
          <w:rFonts w:ascii="Arial" w:hAnsi="Arial" w:cs="Arial"/>
          <w:sz w:val="20"/>
          <w:szCs w:val="20"/>
        </w:rPr>
      </w:pPr>
    </w:p>
    <w:tbl>
      <w:tblPr>
        <w:tblW w:w="8931" w:type="dxa"/>
        <w:jc w:val="center"/>
        <w:tblLayout w:type="fixed"/>
        <w:tblCellMar>
          <w:left w:w="70" w:type="dxa"/>
          <w:right w:w="70" w:type="dxa"/>
        </w:tblCellMar>
        <w:tblLook w:val="04A0"/>
      </w:tblPr>
      <w:tblGrid>
        <w:gridCol w:w="1560"/>
        <w:gridCol w:w="1134"/>
        <w:gridCol w:w="992"/>
        <w:gridCol w:w="992"/>
        <w:gridCol w:w="992"/>
        <w:gridCol w:w="993"/>
        <w:gridCol w:w="992"/>
        <w:gridCol w:w="1276"/>
      </w:tblGrid>
      <w:tr w:rsidR="00C10ABE" w:rsidRPr="00C10ABE" w:rsidTr="00664DCF">
        <w:trPr>
          <w:trHeight w:val="680"/>
          <w:jc w:val="center"/>
        </w:trPr>
        <w:tc>
          <w:tcPr>
            <w:tcW w:w="1560" w:type="dxa"/>
            <w:vMerge w:val="restart"/>
            <w:tcBorders>
              <w:top w:val="single" w:sz="8" w:space="0" w:color="auto"/>
              <w:left w:val="nil"/>
              <w:bottom w:val="single" w:sz="8" w:space="0" w:color="000000"/>
              <w:right w:val="nil"/>
            </w:tcBorders>
            <w:shd w:val="clear" w:color="auto" w:fill="auto"/>
            <w:vAlign w:val="center"/>
            <w:hideMark/>
          </w:tcPr>
          <w:p w:rsidR="00C53A0D" w:rsidRPr="00C10ABE" w:rsidRDefault="00C53A0D" w:rsidP="00664DCF">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lastRenderedPageBreak/>
              <w:t>Treatment</w:t>
            </w:r>
          </w:p>
        </w:tc>
        <w:tc>
          <w:tcPr>
            <w:tcW w:w="1134" w:type="dxa"/>
            <w:vMerge w:val="restart"/>
            <w:tcBorders>
              <w:top w:val="single" w:sz="8" w:space="0" w:color="auto"/>
              <w:left w:val="nil"/>
              <w:bottom w:val="single" w:sz="8" w:space="0" w:color="000000"/>
              <w:right w:val="nil"/>
            </w:tcBorders>
            <w:shd w:val="clear" w:color="auto" w:fill="auto"/>
            <w:vAlign w:val="center"/>
            <w:hideMark/>
          </w:tcPr>
          <w:p w:rsidR="00C53A0D" w:rsidRPr="00C10ABE" w:rsidRDefault="00C53A0D" w:rsidP="00664DCF">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 xml:space="preserve">Doses </w:t>
            </w:r>
          </w:p>
          <w:p w:rsidR="00C53A0D" w:rsidRPr="00C10ABE" w:rsidRDefault="00C53A0D" w:rsidP="00664DCF">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(mg/kg BW)</w:t>
            </w:r>
          </w:p>
        </w:tc>
        <w:tc>
          <w:tcPr>
            <w:tcW w:w="6237" w:type="dxa"/>
            <w:gridSpan w:val="6"/>
            <w:tcBorders>
              <w:top w:val="single" w:sz="8" w:space="0" w:color="auto"/>
              <w:left w:val="nil"/>
              <w:bottom w:val="nil"/>
              <w:right w:val="nil"/>
            </w:tcBorders>
            <w:shd w:val="clear" w:color="auto" w:fill="auto"/>
            <w:vAlign w:val="center"/>
            <w:hideMark/>
          </w:tcPr>
          <w:p w:rsidR="00C53A0D" w:rsidRPr="00C10ABE" w:rsidRDefault="00C53A0D" w:rsidP="00664DCF">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 xml:space="preserve">Percentage increase in paw circumference induced by </w:t>
            </w:r>
            <w:commentRangeStart w:id="14"/>
            <w:r w:rsidRPr="00C10ABE">
              <w:rPr>
                <w:rFonts w:ascii="Arial" w:eastAsia="Times New Roman" w:hAnsi="Arial" w:cs="Arial"/>
                <w:b/>
                <w:bCs/>
                <w:sz w:val="14"/>
                <w:szCs w:val="14"/>
                <w:lang w:eastAsia="fr-FR"/>
              </w:rPr>
              <w:t>carrageenan</w:t>
            </w:r>
            <w:commentRangeEnd w:id="14"/>
            <w:r w:rsidR="002B6A9B">
              <w:rPr>
                <w:rStyle w:val="CommentReference"/>
              </w:rPr>
              <w:commentReference w:id="14"/>
            </w:r>
          </w:p>
        </w:tc>
      </w:tr>
      <w:tr w:rsidR="00C10ABE" w:rsidRPr="00C10ABE" w:rsidTr="00664DCF">
        <w:trPr>
          <w:trHeight w:val="680"/>
          <w:jc w:val="center"/>
        </w:trPr>
        <w:tc>
          <w:tcPr>
            <w:tcW w:w="1560" w:type="dxa"/>
            <w:vMerge/>
            <w:tcBorders>
              <w:top w:val="single" w:sz="8" w:space="0" w:color="auto"/>
              <w:left w:val="nil"/>
              <w:bottom w:val="single" w:sz="8" w:space="0" w:color="000000"/>
              <w:right w:val="nil"/>
            </w:tcBorders>
            <w:vAlign w:val="center"/>
            <w:hideMark/>
          </w:tcPr>
          <w:p w:rsidR="00C53A0D" w:rsidRPr="00C10ABE" w:rsidRDefault="00C53A0D" w:rsidP="00664DCF">
            <w:pPr>
              <w:spacing w:after="0" w:line="360" w:lineRule="auto"/>
              <w:jc w:val="both"/>
              <w:rPr>
                <w:rFonts w:ascii="Arial" w:eastAsia="Times New Roman" w:hAnsi="Arial" w:cs="Arial"/>
                <w:b/>
                <w:bCs/>
                <w:sz w:val="14"/>
                <w:szCs w:val="14"/>
                <w:lang w:eastAsia="fr-FR"/>
              </w:rPr>
            </w:pPr>
          </w:p>
        </w:tc>
        <w:tc>
          <w:tcPr>
            <w:tcW w:w="1134" w:type="dxa"/>
            <w:vMerge/>
            <w:tcBorders>
              <w:top w:val="single" w:sz="8" w:space="0" w:color="auto"/>
              <w:left w:val="nil"/>
              <w:bottom w:val="single" w:sz="8" w:space="0" w:color="000000"/>
              <w:right w:val="nil"/>
            </w:tcBorders>
            <w:vAlign w:val="center"/>
            <w:hideMark/>
          </w:tcPr>
          <w:p w:rsidR="00C53A0D" w:rsidRPr="00C10ABE" w:rsidRDefault="00C53A0D" w:rsidP="00664DCF">
            <w:pPr>
              <w:spacing w:after="0" w:line="360" w:lineRule="auto"/>
              <w:jc w:val="both"/>
              <w:rPr>
                <w:rFonts w:ascii="Arial" w:eastAsia="Times New Roman" w:hAnsi="Arial" w:cs="Arial"/>
                <w:bCs/>
                <w:sz w:val="14"/>
                <w:szCs w:val="14"/>
                <w:lang w:eastAsia="fr-FR"/>
              </w:rPr>
            </w:pPr>
          </w:p>
        </w:tc>
        <w:tc>
          <w:tcPr>
            <w:tcW w:w="992" w:type="dxa"/>
            <w:tcBorders>
              <w:top w:val="single" w:sz="8" w:space="0" w:color="auto"/>
              <w:left w:val="nil"/>
              <w:bottom w:val="single" w:sz="8" w:space="0" w:color="auto"/>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1 h</w:t>
            </w:r>
          </w:p>
        </w:tc>
        <w:tc>
          <w:tcPr>
            <w:tcW w:w="992" w:type="dxa"/>
            <w:tcBorders>
              <w:top w:val="single" w:sz="8" w:space="0" w:color="auto"/>
              <w:left w:val="nil"/>
              <w:bottom w:val="single" w:sz="8" w:space="0" w:color="auto"/>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2 h</w:t>
            </w:r>
          </w:p>
        </w:tc>
        <w:tc>
          <w:tcPr>
            <w:tcW w:w="992" w:type="dxa"/>
            <w:tcBorders>
              <w:top w:val="single" w:sz="8" w:space="0" w:color="auto"/>
              <w:left w:val="nil"/>
              <w:bottom w:val="single" w:sz="8" w:space="0" w:color="auto"/>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3 h</w:t>
            </w:r>
          </w:p>
        </w:tc>
        <w:tc>
          <w:tcPr>
            <w:tcW w:w="993" w:type="dxa"/>
            <w:tcBorders>
              <w:top w:val="single" w:sz="8" w:space="0" w:color="auto"/>
              <w:left w:val="nil"/>
              <w:bottom w:val="single" w:sz="8" w:space="0" w:color="auto"/>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4 h</w:t>
            </w:r>
          </w:p>
        </w:tc>
        <w:tc>
          <w:tcPr>
            <w:tcW w:w="992" w:type="dxa"/>
            <w:tcBorders>
              <w:top w:val="single" w:sz="8" w:space="0" w:color="auto"/>
              <w:left w:val="nil"/>
              <w:bottom w:val="single" w:sz="8" w:space="0" w:color="auto"/>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5 h</w:t>
            </w:r>
          </w:p>
        </w:tc>
        <w:tc>
          <w:tcPr>
            <w:tcW w:w="1276" w:type="dxa"/>
            <w:tcBorders>
              <w:top w:val="single" w:sz="8" w:space="0" w:color="auto"/>
              <w:left w:val="nil"/>
              <w:bottom w:val="single" w:sz="8" w:space="0" w:color="auto"/>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6 h</w:t>
            </w:r>
          </w:p>
        </w:tc>
      </w:tr>
      <w:tr w:rsidR="00C10ABE" w:rsidRPr="00C10ABE" w:rsidTr="00664DCF">
        <w:trPr>
          <w:trHeight w:val="680"/>
          <w:jc w:val="center"/>
        </w:trPr>
        <w:tc>
          <w:tcPr>
            <w:tcW w:w="1560"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Control (NaCl 0,9%)</w:t>
            </w:r>
          </w:p>
        </w:tc>
        <w:tc>
          <w:tcPr>
            <w:tcW w:w="1134"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both"/>
              <w:rPr>
                <w:rFonts w:ascii="Arial" w:eastAsia="Times New Roman" w:hAnsi="Arial" w:cs="Arial"/>
                <w:bCs/>
                <w:sz w:val="14"/>
                <w:szCs w:val="14"/>
                <w:lang w:eastAsia="fr-FR"/>
              </w:rPr>
            </w:pP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10.03 ± 1,65</w:t>
            </w: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22.40 ± 1,12</w:t>
            </w: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25.63 ± 0,85</w:t>
            </w:r>
          </w:p>
        </w:tc>
        <w:tc>
          <w:tcPr>
            <w:tcW w:w="993"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37.25 ± 0,74</w:t>
            </w: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36.36 ± 0,83</w:t>
            </w:r>
          </w:p>
        </w:tc>
        <w:tc>
          <w:tcPr>
            <w:tcW w:w="1276"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35.03 ± 0,39</w:t>
            </w:r>
          </w:p>
        </w:tc>
      </w:tr>
      <w:tr w:rsidR="00C10ABE" w:rsidRPr="00C10ABE" w:rsidTr="00664DCF">
        <w:trPr>
          <w:trHeight w:val="680"/>
          <w:jc w:val="center"/>
        </w:trPr>
        <w:tc>
          <w:tcPr>
            <w:tcW w:w="1560"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Indometacin</w:t>
            </w:r>
          </w:p>
        </w:tc>
        <w:tc>
          <w:tcPr>
            <w:tcW w:w="1134"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both"/>
              <w:rPr>
                <w:rFonts w:ascii="Arial" w:eastAsia="Times New Roman" w:hAnsi="Arial" w:cs="Arial"/>
                <w:bCs/>
                <w:sz w:val="14"/>
                <w:szCs w:val="14"/>
                <w:lang w:eastAsia="fr-FR"/>
              </w:rPr>
            </w:pPr>
            <w:r w:rsidRPr="00C10ABE">
              <w:rPr>
                <w:rFonts w:ascii="Arial" w:eastAsia="Times New Roman" w:hAnsi="Arial" w:cs="Arial"/>
                <w:bCs/>
                <w:sz w:val="14"/>
                <w:szCs w:val="14"/>
                <w:lang w:eastAsia="fr-FR"/>
              </w:rPr>
              <w:t>10</w:t>
            </w: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6.09 ± 0,96*</w:t>
            </w: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9.07 ± 0,38*</w:t>
            </w: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12.05 ± 0,73*</w:t>
            </w:r>
          </w:p>
        </w:tc>
        <w:tc>
          <w:tcPr>
            <w:tcW w:w="993"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17.12 ± 0.64*</w:t>
            </w: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15.85 ± 0.97*</w:t>
            </w:r>
          </w:p>
        </w:tc>
        <w:tc>
          <w:tcPr>
            <w:tcW w:w="1276"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14.58 ± 0.45*</w:t>
            </w:r>
          </w:p>
        </w:tc>
      </w:tr>
      <w:tr w:rsidR="00C10ABE" w:rsidRPr="00C10ABE" w:rsidTr="00664DCF">
        <w:trPr>
          <w:trHeight w:val="680"/>
          <w:jc w:val="center"/>
        </w:trPr>
        <w:tc>
          <w:tcPr>
            <w:tcW w:w="1560"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 xml:space="preserve">Pk </w:t>
            </w:r>
          </w:p>
        </w:tc>
        <w:tc>
          <w:tcPr>
            <w:tcW w:w="1134"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both"/>
              <w:rPr>
                <w:rFonts w:ascii="Arial" w:eastAsia="Times New Roman" w:hAnsi="Arial" w:cs="Arial"/>
                <w:bCs/>
                <w:sz w:val="14"/>
                <w:szCs w:val="14"/>
                <w:lang w:eastAsia="fr-FR"/>
              </w:rPr>
            </w:pPr>
            <w:r w:rsidRPr="00C10ABE">
              <w:rPr>
                <w:rFonts w:ascii="Arial" w:eastAsia="Times New Roman" w:hAnsi="Arial" w:cs="Arial"/>
                <w:bCs/>
                <w:sz w:val="14"/>
                <w:szCs w:val="14"/>
                <w:lang w:eastAsia="fr-FR"/>
              </w:rPr>
              <w:t>200</w:t>
            </w: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8.83 ± 0.69*</w:t>
            </w: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14.54 ± 1.2*</w:t>
            </w: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18.35 ± 0.55*</w:t>
            </w:r>
          </w:p>
        </w:tc>
        <w:tc>
          <w:tcPr>
            <w:tcW w:w="993"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23.43 ± 1.15*</w:t>
            </w: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22.16 ± 0.78*</w:t>
            </w:r>
          </w:p>
        </w:tc>
        <w:tc>
          <w:tcPr>
            <w:tcW w:w="1276"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20.89 ± 0.73*</w:t>
            </w:r>
          </w:p>
        </w:tc>
      </w:tr>
      <w:tr w:rsidR="00C10ABE" w:rsidRPr="00C10ABE" w:rsidTr="00664DCF">
        <w:trPr>
          <w:trHeight w:val="680"/>
          <w:jc w:val="center"/>
        </w:trPr>
        <w:tc>
          <w:tcPr>
            <w:tcW w:w="1560"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Pk</w:t>
            </w:r>
          </w:p>
        </w:tc>
        <w:tc>
          <w:tcPr>
            <w:tcW w:w="1134"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both"/>
              <w:rPr>
                <w:rFonts w:ascii="Arial" w:eastAsia="Times New Roman" w:hAnsi="Arial" w:cs="Arial"/>
                <w:bCs/>
                <w:sz w:val="14"/>
                <w:szCs w:val="14"/>
                <w:lang w:eastAsia="fr-FR"/>
              </w:rPr>
            </w:pPr>
            <w:r w:rsidRPr="00C10ABE">
              <w:rPr>
                <w:rFonts w:ascii="Arial" w:eastAsia="Times New Roman" w:hAnsi="Arial" w:cs="Arial"/>
                <w:bCs/>
                <w:sz w:val="14"/>
                <w:szCs w:val="14"/>
                <w:lang w:eastAsia="fr-FR"/>
              </w:rPr>
              <w:t>150</w:t>
            </w: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9.00 ± 0.54*</w:t>
            </w: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15.02 ± 1.36*</w:t>
            </w: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18.50 ± 1.23*</w:t>
            </w:r>
          </w:p>
        </w:tc>
        <w:tc>
          <w:tcPr>
            <w:tcW w:w="993"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23.95 ± 0.64*</w:t>
            </w:r>
          </w:p>
        </w:tc>
        <w:tc>
          <w:tcPr>
            <w:tcW w:w="992"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23.00 ± 1.24*</w:t>
            </w:r>
          </w:p>
        </w:tc>
        <w:tc>
          <w:tcPr>
            <w:tcW w:w="1276" w:type="dxa"/>
            <w:tcBorders>
              <w:top w:val="nil"/>
              <w:left w:val="nil"/>
              <w:bottom w:val="nil"/>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21.36 ± 0.72*</w:t>
            </w:r>
          </w:p>
        </w:tc>
      </w:tr>
      <w:tr w:rsidR="00C53A0D" w:rsidRPr="00C10ABE" w:rsidTr="00664DCF">
        <w:trPr>
          <w:trHeight w:val="680"/>
          <w:jc w:val="center"/>
        </w:trPr>
        <w:tc>
          <w:tcPr>
            <w:tcW w:w="1560" w:type="dxa"/>
            <w:tcBorders>
              <w:top w:val="nil"/>
              <w:left w:val="nil"/>
              <w:bottom w:val="single" w:sz="8" w:space="0" w:color="auto"/>
              <w:right w:val="nil"/>
            </w:tcBorders>
            <w:shd w:val="clear" w:color="auto" w:fill="auto"/>
            <w:vAlign w:val="center"/>
            <w:hideMark/>
          </w:tcPr>
          <w:p w:rsidR="00C53A0D" w:rsidRPr="00C10ABE" w:rsidRDefault="00C53A0D" w:rsidP="00664DCF">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Pk</w:t>
            </w:r>
          </w:p>
        </w:tc>
        <w:tc>
          <w:tcPr>
            <w:tcW w:w="1134" w:type="dxa"/>
            <w:tcBorders>
              <w:top w:val="nil"/>
              <w:left w:val="nil"/>
              <w:bottom w:val="single" w:sz="8" w:space="0" w:color="auto"/>
              <w:right w:val="nil"/>
            </w:tcBorders>
            <w:shd w:val="clear" w:color="auto" w:fill="auto"/>
            <w:vAlign w:val="center"/>
            <w:hideMark/>
          </w:tcPr>
          <w:p w:rsidR="00C53A0D" w:rsidRPr="00C10ABE" w:rsidRDefault="00C53A0D" w:rsidP="00664DCF">
            <w:pPr>
              <w:spacing w:after="0" w:line="360" w:lineRule="auto"/>
              <w:jc w:val="both"/>
              <w:rPr>
                <w:rFonts w:ascii="Arial" w:eastAsia="Times New Roman" w:hAnsi="Arial" w:cs="Arial"/>
                <w:bCs/>
                <w:sz w:val="14"/>
                <w:szCs w:val="14"/>
                <w:lang w:eastAsia="fr-FR"/>
              </w:rPr>
            </w:pPr>
            <w:r w:rsidRPr="00C10ABE">
              <w:rPr>
                <w:rFonts w:ascii="Arial" w:eastAsia="Times New Roman" w:hAnsi="Arial" w:cs="Arial"/>
                <w:bCs/>
                <w:sz w:val="14"/>
                <w:szCs w:val="14"/>
                <w:lang w:eastAsia="fr-FR"/>
              </w:rPr>
              <w:t>100</w:t>
            </w:r>
          </w:p>
        </w:tc>
        <w:tc>
          <w:tcPr>
            <w:tcW w:w="992" w:type="dxa"/>
            <w:tcBorders>
              <w:top w:val="nil"/>
              <w:left w:val="nil"/>
              <w:bottom w:val="single" w:sz="8" w:space="0" w:color="auto"/>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9.20 ± 1.12*</w:t>
            </w:r>
          </w:p>
        </w:tc>
        <w:tc>
          <w:tcPr>
            <w:tcW w:w="992" w:type="dxa"/>
            <w:tcBorders>
              <w:top w:val="nil"/>
              <w:left w:val="nil"/>
              <w:bottom w:val="single" w:sz="8" w:space="0" w:color="auto"/>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15.80 ± 0.92*</w:t>
            </w:r>
          </w:p>
        </w:tc>
        <w:tc>
          <w:tcPr>
            <w:tcW w:w="992" w:type="dxa"/>
            <w:tcBorders>
              <w:top w:val="nil"/>
              <w:left w:val="nil"/>
              <w:bottom w:val="single" w:sz="8" w:space="0" w:color="auto"/>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19.29 ± 1.06*</w:t>
            </w:r>
          </w:p>
        </w:tc>
        <w:tc>
          <w:tcPr>
            <w:tcW w:w="993" w:type="dxa"/>
            <w:tcBorders>
              <w:top w:val="nil"/>
              <w:left w:val="nil"/>
              <w:bottom w:val="single" w:sz="8" w:space="0" w:color="auto"/>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25.25 ± 1.16*</w:t>
            </w:r>
          </w:p>
        </w:tc>
        <w:tc>
          <w:tcPr>
            <w:tcW w:w="992" w:type="dxa"/>
            <w:tcBorders>
              <w:top w:val="nil"/>
              <w:left w:val="nil"/>
              <w:bottom w:val="single" w:sz="8" w:space="0" w:color="auto"/>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23.73 ± 0.4*</w:t>
            </w:r>
          </w:p>
        </w:tc>
        <w:tc>
          <w:tcPr>
            <w:tcW w:w="1276" w:type="dxa"/>
            <w:tcBorders>
              <w:top w:val="nil"/>
              <w:left w:val="nil"/>
              <w:bottom w:val="single" w:sz="8" w:space="0" w:color="auto"/>
              <w:right w:val="nil"/>
            </w:tcBorders>
            <w:shd w:val="clear" w:color="auto" w:fill="auto"/>
            <w:vAlign w:val="center"/>
            <w:hideMark/>
          </w:tcPr>
          <w:p w:rsidR="00C53A0D" w:rsidRPr="00C10ABE" w:rsidRDefault="00C53A0D" w:rsidP="00664DCF">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22.46 ± 1.16*</w:t>
            </w:r>
          </w:p>
        </w:tc>
      </w:tr>
    </w:tbl>
    <w:p w:rsidR="00C53A0D" w:rsidRPr="00C10ABE" w:rsidRDefault="00C53A0D" w:rsidP="00C53A0D">
      <w:pPr>
        <w:spacing w:after="0" w:line="360" w:lineRule="auto"/>
        <w:jc w:val="both"/>
        <w:rPr>
          <w:rFonts w:ascii="Arial" w:hAnsi="Arial" w:cs="Arial"/>
          <w:b/>
          <w:sz w:val="20"/>
          <w:szCs w:val="20"/>
        </w:rPr>
      </w:pPr>
    </w:p>
    <w:p w:rsidR="00C53A0D" w:rsidRPr="00C10ABE" w:rsidRDefault="00C53A0D" w:rsidP="00C53A0D">
      <w:pPr>
        <w:spacing w:after="0" w:line="360" w:lineRule="auto"/>
        <w:jc w:val="both"/>
        <w:rPr>
          <w:rFonts w:ascii="Arial" w:hAnsi="Arial" w:cs="Arial"/>
          <w:b/>
          <w:i/>
          <w:sz w:val="20"/>
          <w:szCs w:val="20"/>
        </w:rPr>
      </w:pPr>
      <w:r w:rsidRPr="00C10ABE">
        <w:rPr>
          <w:rFonts w:ascii="Arial" w:hAnsi="Arial" w:cs="Arial"/>
          <w:i/>
          <w:sz w:val="20"/>
          <w:szCs w:val="20"/>
        </w:rPr>
        <w:t>Values represent mean ± SEM : Standard Error of the Mean</w:t>
      </w:r>
      <w:r w:rsidR="00A376FD" w:rsidRPr="00C10ABE">
        <w:rPr>
          <w:rFonts w:ascii="Arial" w:hAnsi="Arial" w:cs="Arial"/>
          <w:i/>
          <w:sz w:val="20"/>
          <w:szCs w:val="20"/>
        </w:rPr>
        <w:t>; n = 6 for each group</w:t>
      </w:r>
      <w:r w:rsidRPr="00C10ABE">
        <w:rPr>
          <w:rFonts w:ascii="Arial" w:hAnsi="Arial" w:cs="Arial"/>
          <w:i/>
          <w:sz w:val="20"/>
          <w:szCs w:val="20"/>
        </w:rPr>
        <w:t xml:space="preserve">; Significantly different compared to Control *p &lt; 0.05 </w:t>
      </w:r>
    </w:p>
    <w:p w:rsidR="00C53A0D" w:rsidRPr="00C10ABE" w:rsidRDefault="00C53A0D" w:rsidP="00C53A0D">
      <w:pPr>
        <w:spacing w:after="0" w:line="360" w:lineRule="auto"/>
        <w:jc w:val="both"/>
        <w:rPr>
          <w:rFonts w:ascii="Arial" w:hAnsi="Arial" w:cs="Arial"/>
          <w:i/>
          <w:sz w:val="20"/>
          <w:szCs w:val="20"/>
        </w:rPr>
      </w:pPr>
      <w:r w:rsidRPr="00C10ABE">
        <w:rPr>
          <w:rFonts w:ascii="Arial" w:hAnsi="Arial" w:cs="Arial"/>
          <w:sz w:val="20"/>
          <w:szCs w:val="20"/>
        </w:rPr>
        <w:t>Pk =</w:t>
      </w:r>
      <w:r w:rsidRPr="00C10ABE">
        <w:rPr>
          <w:rFonts w:ascii="Arial" w:hAnsi="Arial" w:cs="Arial"/>
          <w:i/>
          <w:sz w:val="20"/>
          <w:szCs w:val="20"/>
        </w:rPr>
        <w:t xml:space="preserve"> Pseudocedrela kotschyi</w:t>
      </w:r>
    </w:p>
    <w:p w:rsidR="00C53A0D" w:rsidRPr="00C10ABE" w:rsidRDefault="00C53A0D" w:rsidP="00C53A0D">
      <w:pPr>
        <w:spacing w:after="0" w:line="360" w:lineRule="auto"/>
        <w:jc w:val="both"/>
        <w:rPr>
          <w:rFonts w:ascii="Arial" w:hAnsi="Arial" w:cs="Arial"/>
          <w:b/>
          <w:sz w:val="20"/>
          <w:szCs w:val="20"/>
        </w:rPr>
      </w:pPr>
      <w:r w:rsidRPr="00C10ABE">
        <w:rPr>
          <w:rFonts w:ascii="Arial" w:hAnsi="Arial" w:cs="Arial"/>
          <w:sz w:val="20"/>
          <w:szCs w:val="20"/>
        </w:rPr>
        <w:t xml:space="preserve">The </w:t>
      </w:r>
      <w:r w:rsidR="009B10C6" w:rsidRPr="00C10ABE">
        <w:rPr>
          <w:rFonts w:ascii="Arial" w:hAnsi="Arial" w:cs="Arial"/>
          <w:sz w:val="20"/>
          <w:szCs w:val="20"/>
        </w:rPr>
        <w:t>edema</w:t>
      </w:r>
      <w:r w:rsidRPr="00C10ABE">
        <w:rPr>
          <w:rFonts w:ascii="Arial" w:hAnsi="Arial" w:cs="Arial"/>
          <w:sz w:val="20"/>
          <w:szCs w:val="20"/>
        </w:rPr>
        <w:t xml:space="preserve"> induced by carrageenan injection is a model widely used to assess the anti-inflammatory activity of substances </w:t>
      </w:r>
      <w:r w:rsidR="00030340" w:rsidRPr="00C10ABE">
        <w:rPr>
          <w:rFonts w:ascii="Arial" w:hAnsi="Arial" w:cs="Arial"/>
          <w:b/>
          <w:sz w:val="20"/>
          <w:szCs w:val="20"/>
        </w:rPr>
        <w:t>[22]</w:t>
      </w:r>
      <w:r w:rsidRPr="00C10ABE">
        <w:rPr>
          <w:rFonts w:ascii="Arial" w:hAnsi="Arial" w:cs="Arial"/>
          <w:b/>
          <w:sz w:val="20"/>
          <w:szCs w:val="20"/>
        </w:rPr>
        <w:t>.</w:t>
      </w:r>
      <w:r w:rsidRPr="00C10ABE">
        <w:rPr>
          <w:rFonts w:ascii="Arial" w:hAnsi="Arial" w:cs="Arial"/>
          <w:sz w:val="20"/>
          <w:szCs w:val="20"/>
        </w:rPr>
        <w:t xml:space="preserve"> Carrageenan injection induces the release of several chemical mediators that are responsible for the inflammatory process. This inflammatory response occurs in two phases. The initial phase, which lasts approximately one hour, is due to the release of histamine and serotonin, while the second phase involves the release of bradykinin (1.5-3 hours) and the biosynthesis of prostaglandins beyond the third hour </w:t>
      </w:r>
      <w:r w:rsidR="00030340" w:rsidRPr="00C10ABE">
        <w:rPr>
          <w:rFonts w:ascii="Arial" w:hAnsi="Arial" w:cs="Arial"/>
          <w:b/>
          <w:sz w:val="20"/>
          <w:szCs w:val="20"/>
        </w:rPr>
        <w:t>[23, 24, 25]</w:t>
      </w:r>
      <w:r w:rsidRPr="00C10ABE">
        <w:rPr>
          <w:rFonts w:ascii="Arial" w:hAnsi="Arial" w:cs="Arial"/>
          <w:b/>
          <w:sz w:val="20"/>
          <w:szCs w:val="20"/>
        </w:rPr>
        <w:t xml:space="preserve">. </w:t>
      </w:r>
      <w:r w:rsidRPr="00C10ABE">
        <w:rPr>
          <w:rFonts w:ascii="Arial" w:hAnsi="Arial" w:cs="Arial"/>
          <w:sz w:val="20"/>
          <w:szCs w:val="20"/>
        </w:rPr>
        <w:t xml:space="preserve">These chemical mediators activate phospholipases A2. These convert membrane phospholipids into arachidonic acid, which is metabolised into prostaglandins (PGs) by cyclooxygenase </w:t>
      </w:r>
      <w:r w:rsidR="00030340" w:rsidRPr="00C10ABE">
        <w:rPr>
          <w:rFonts w:ascii="Arial" w:hAnsi="Arial" w:cs="Arial"/>
          <w:b/>
          <w:sz w:val="20"/>
          <w:szCs w:val="20"/>
        </w:rPr>
        <w:t>[26]</w:t>
      </w:r>
      <w:r w:rsidRPr="00C10ABE">
        <w:rPr>
          <w:rFonts w:ascii="Arial" w:hAnsi="Arial" w:cs="Arial"/>
          <w:b/>
          <w:sz w:val="20"/>
          <w:szCs w:val="20"/>
        </w:rPr>
        <w:t xml:space="preserve">. </w:t>
      </w:r>
      <w:r w:rsidRPr="00C10ABE">
        <w:rPr>
          <w:rFonts w:ascii="Arial" w:hAnsi="Arial" w:cs="Arial"/>
          <w:sz w:val="20"/>
          <w:szCs w:val="20"/>
        </w:rPr>
        <w:t xml:space="preserve">Different doses of the aqueous extract of </w:t>
      </w:r>
      <w:r w:rsidRPr="00C10ABE">
        <w:rPr>
          <w:rFonts w:ascii="Arial" w:hAnsi="Arial" w:cs="Arial"/>
          <w:i/>
          <w:sz w:val="20"/>
          <w:szCs w:val="20"/>
        </w:rPr>
        <w:t>Pseudocedrela kotschyi</w:t>
      </w:r>
      <w:r w:rsidRPr="00C10ABE">
        <w:rPr>
          <w:rFonts w:ascii="Arial" w:hAnsi="Arial" w:cs="Arial"/>
          <w:sz w:val="20"/>
          <w:szCs w:val="20"/>
        </w:rPr>
        <w:t xml:space="preserve"> caused a reduction in </w:t>
      </w:r>
      <w:r w:rsidR="009B10C6" w:rsidRPr="00C10ABE">
        <w:rPr>
          <w:rFonts w:ascii="Arial" w:hAnsi="Arial" w:cs="Arial"/>
          <w:sz w:val="20"/>
          <w:szCs w:val="20"/>
        </w:rPr>
        <w:t>edema</w:t>
      </w:r>
      <w:r w:rsidRPr="00C10ABE">
        <w:rPr>
          <w:rFonts w:ascii="Arial" w:hAnsi="Arial" w:cs="Arial"/>
          <w:sz w:val="20"/>
          <w:szCs w:val="20"/>
        </w:rPr>
        <w:t xml:space="preserve"> in both the first and second phases. In view of the mechanism of action of carrageenan, this result implies a mechanism of inhibition of the synthesis of inflammatory mediators, in particular histamine and serotonin in the first phase and prostaglandins and bradykinins in the second phase. </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In addition, an increasing effect was observed for all doses, which would imply that progressive administration of the extract could confer a protective effect against inflammation </w:t>
      </w:r>
      <w:r w:rsidR="00030340" w:rsidRPr="00C10ABE">
        <w:rPr>
          <w:rFonts w:ascii="Arial" w:hAnsi="Arial" w:cs="Arial"/>
          <w:b/>
          <w:sz w:val="20"/>
          <w:szCs w:val="20"/>
        </w:rPr>
        <w:t>[27]</w:t>
      </w:r>
      <w:r w:rsidRPr="00C10ABE">
        <w:rPr>
          <w:rFonts w:ascii="Arial" w:hAnsi="Arial" w:cs="Arial"/>
          <w:b/>
          <w:sz w:val="20"/>
          <w:szCs w:val="20"/>
        </w:rPr>
        <w:t>.</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Work carried out by Soro et al.</w:t>
      </w:r>
      <w:r w:rsidR="00030340" w:rsidRPr="00C10ABE">
        <w:rPr>
          <w:rFonts w:ascii="Arial" w:hAnsi="Arial" w:cs="Arial"/>
          <w:b/>
          <w:sz w:val="20"/>
          <w:szCs w:val="20"/>
        </w:rPr>
        <w:t>[28]</w:t>
      </w:r>
      <w:r w:rsidR="00030340" w:rsidRPr="00C10ABE">
        <w:rPr>
          <w:rFonts w:ascii="Arial" w:eastAsia="TimesNewRomanPSMT" w:hAnsi="Arial" w:cs="Arial"/>
          <w:b/>
          <w:sz w:val="20"/>
          <w:szCs w:val="20"/>
        </w:rPr>
        <w:t>.</w:t>
      </w:r>
      <w:r w:rsidRPr="00C10ABE">
        <w:rPr>
          <w:rFonts w:ascii="Arial" w:hAnsi="Arial" w:cs="Arial"/>
          <w:sz w:val="20"/>
          <w:szCs w:val="20"/>
        </w:rPr>
        <w:t xml:space="preserve"> with the aqueous extract of </w:t>
      </w:r>
      <w:r w:rsidRPr="00C10ABE">
        <w:rPr>
          <w:rFonts w:ascii="Arial" w:hAnsi="Arial" w:cs="Arial"/>
          <w:i/>
          <w:sz w:val="20"/>
          <w:szCs w:val="20"/>
        </w:rPr>
        <w:t>Ximenia americana</w:t>
      </w:r>
      <w:r w:rsidR="00275EE0" w:rsidRPr="00C10ABE">
        <w:rPr>
          <w:rFonts w:ascii="Arial" w:hAnsi="Arial" w:cs="Arial"/>
          <w:sz w:val="20"/>
          <w:szCs w:val="20"/>
        </w:rPr>
        <w:t xml:space="preserve"> at 400 mg/kg B</w:t>
      </w:r>
      <w:r w:rsidRPr="00C10ABE">
        <w:rPr>
          <w:rFonts w:ascii="Arial" w:hAnsi="Arial" w:cs="Arial"/>
          <w:sz w:val="20"/>
          <w:szCs w:val="20"/>
        </w:rPr>
        <w:t xml:space="preserve">W administered by gavage reduced the inflammation caused by carrageenan injection by 26.5 ± 1.2 %; 27.3 ± 1.1 % and 56.1 ± 2.6 % at 1, 3 and 6 hours. These percentages of inhibition are higher than those obtained in the present study at 1 and 6 hours with the aqueous extract of </w:t>
      </w:r>
      <w:r w:rsidRPr="00C10ABE">
        <w:rPr>
          <w:rFonts w:ascii="Arial" w:hAnsi="Arial" w:cs="Arial"/>
          <w:i/>
          <w:sz w:val="20"/>
          <w:szCs w:val="20"/>
        </w:rPr>
        <w:t>Pseudocedrela kotschyi</w:t>
      </w:r>
      <w:r w:rsidRPr="00C10ABE">
        <w:rPr>
          <w:rFonts w:ascii="Arial" w:hAnsi="Arial" w:cs="Arial"/>
          <w:sz w:val="20"/>
          <w:szCs w:val="20"/>
        </w:rPr>
        <w:t>. However, at 3 hours, the inhibition percentage was slightly lower than that obtained at the same time. Other work carried out by Asongalem et al</w:t>
      </w:r>
      <w:r w:rsidRPr="00C10ABE">
        <w:rPr>
          <w:rFonts w:ascii="Arial" w:hAnsi="Arial" w:cs="Arial"/>
          <w:b/>
          <w:sz w:val="20"/>
          <w:szCs w:val="20"/>
        </w:rPr>
        <w:t>.</w:t>
      </w:r>
      <w:r w:rsidR="00030340" w:rsidRPr="00C10ABE">
        <w:rPr>
          <w:rFonts w:ascii="Arial" w:hAnsi="Arial" w:cs="Arial"/>
          <w:b/>
          <w:sz w:val="20"/>
          <w:szCs w:val="20"/>
        </w:rPr>
        <w:t>[29]</w:t>
      </w:r>
      <w:r w:rsidR="00030340" w:rsidRPr="00C10ABE">
        <w:rPr>
          <w:rFonts w:ascii="Arial" w:eastAsia="TimesNewRomanPSMT" w:hAnsi="Arial" w:cs="Arial"/>
          <w:b/>
          <w:sz w:val="20"/>
          <w:szCs w:val="20"/>
        </w:rPr>
        <w:t>.</w:t>
      </w:r>
      <w:r w:rsidRPr="00C10ABE">
        <w:rPr>
          <w:rFonts w:ascii="Arial" w:hAnsi="Arial" w:cs="Arial"/>
          <w:sz w:val="20"/>
          <w:szCs w:val="20"/>
        </w:rPr>
        <w:t xml:space="preserve"> using the aqueous decoctate of Acanthus </w:t>
      </w:r>
      <w:r w:rsidR="00275EE0" w:rsidRPr="00C10ABE">
        <w:rPr>
          <w:rFonts w:ascii="Arial" w:hAnsi="Arial" w:cs="Arial"/>
          <w:sz w:val="20"/>
          <w:szCs w:val="20"/>
        </w:rPr>
        <w:t>montanus leaves at 400 mg/kg BW</w:t>
      </w:r>
      <w:r w:rsidRPr="00C10ABE">
        <w:rPr>
          <w:rFonts w:ascii="Arial" w:hAnsi="Arial" w:cs="Arial"/>
          <w:sz w:val="20"/>
          <w:szCs w:val="20"/>
        </w:rPr>
        <w:t xml:space="preserve"> reduced the inflammation caused by the injection of carrageenan by 28.12%, 18.64% and 16.98% at 1, 3 and 6 hours. These percentages of inhibition obtained by the </w:t>
      </w:r>
      <w:r w:rsidRPr="00C10ABE">
        <w:rPr>
          <w:rFonts w:ascii="Arial" w:hAnsi="Arial" w:cs="Arial"/>
          <w:sz w:val="20"/>
          <w:szCs w:val="20"/>
        </w:rPr>
        <w:lastRenderedPageBreak/>
        <w:t xml:space="preserve">latter are lower than those obtained at 3 and 6 hours in this study with the aqueous extract of </w:t>
      </w:r>
      <w:r w:rsidRPr="00C10ABE">
        <w:rPr>
          <w:rFonts w:ascii="Arial" w:hAnsi="Arial" w:cs="Arial"/>
          <w:i/>
          <w:sz w:val="20"/>
          <w:szCs w:val="20"/>
        </w:rPr>
        <w:t>Pseudocedrela kotschyi</w:t>
      </w:r>
      <w:r w:rsidRPr="00C10ABE">
        <w:rPr>
          <w:rFonts w:ascii="Arial" w:hAnsi="Arial" w:cs="Arial"/>
          <w:sz w:val="20"/>
          <w:szCs w:val="20"/>
        </w:rPr>
        <w:t xml:space="preserve">. On the other hand, the percentage of inhibition obtained by the same authors at 1 hour was higher than that obtained in the present study at the same time. The mechanism of anti-inflammatory activity could be based on inhibition of inflammatory mediators </w:t>
      </w:r>
      <w:r w:rsidR="00030340" w:rsidRPr="00C10ABE">
        <w:rPr>
          <w:rFonts w:ascii="Arial" w:hAnsi="Arial" w:cs="Arial"/>
          <w:b/>
          <w:sz w:val="20"/>
          <w:szCs w:val="20"/>
        </w:rPr>
        <w:t xml:space="preserve"> [30, 31, 32, 33]</w:t>
      </w:r>
      <w:r w:rsidRPr="00C10ABE">
        <w:rPr>
          <w:rFonts w:ascii="Arial" w:hAnsi="Arial" w:cs="Arial"/>
          <w:sz w:val="20"/>
          <w:szCs w:val="20"/>
        </w:rPr>
        <w:t xml:space="preserve">. </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anti-inflammatory effects of the aqueous extract of </w:t>
      </w:r>
      <w:r w:rsidRPr="00C10ABE">
        <w:rPr>
          <w:rFonts w:ascii="Arial" w:hAnsi="Arial" w:cs="Arial"/>
          <w:i/>
          <w:sz w:val="20"/>
          <w:szCs w:val="20"/>
        </w:rPr>
        <w:t>Pseudocedrela kotschyi</w:t>
      </w:r>
      <w:r w:rsidRPr="00C10ABE">
        <w:rPr>
          <w:rFonts w:ascii="Arial" w:hAnsi="Arial" w:cs="Arial"/>
          <w:sz w:val="20"/>
          <w:szCs w:val="20"/>
        </w:rPr>
        <w:t xml:space="preserve"> can be attributed to the plant's chemical composition. The richness of this extract in phenolic constituents could partly explain these activities. Flavonoids, saponosides and polyphenols are known for their anti-inflammatory properties </w:t>
      </w:r>
      <w:r w:rsidR="00030340" w:rsidRPr="00C10ABE">
        <w:rPr>
          <w:rFonts w:ascii="Arial" w:hAnsi="Arial" w:cs="Arial"/>
          <w:b/>
          <w:sz w:val="20"/>
          <w:szCs w:val="20"/>
        </w:rPr>
        <w:t>[34, 35, 36, 37]</w:t>
      </w:r>
      <w:r w:rsidRPr="00C10ABE">
        <w:rPr>
          <w:rFonts w:ascii="Arial" w:hAnsi="Arial" w:cs="Arial"/>
          <w:b/>
          <w:sz w:val="20"/>
          <w:szCs w:val="20"/>
        </w:rPr>
        <w:t>.</w:t>
      </w:r>
      <w:r w:rsidRPr="00C10ABE">
        <w:rPr>
          <w:rFonts w:ascii="Arial" w:hAnsi="Arial" w:cs="Arial"/>
          <w:sz w:val="20"/>
          <w:szCs w:val="20"/>
        </w:rPr>
        <w:t xml:space="preserve"> These compounds have the ability to inhibit the enzymes that induce the production of chemical mediators of inflammation.</w:t>
      </w:r>
    </w:p>
    <w:p w:rsidR="00C53A0D" w:rsidRPr="00C10ABE" w:rsidRDefault="00C53A0D" w:rsidP="00C53A0D">
      <w:pPr>
        <w:spacing w:after="0" w:line="360" w:lineRule="auto"/>
        <w:jc w:val="both"/>
        <w:rPr>
          <w:rFonts w:ascii="Times New Roman" w:hAnsi="Times New Roman" w:cs="Times New Roman"/>
          <w:sz w:val="24"/>
          <w:szCs w:val="24"/>
        </w:rPr>
      </w:pPr>
    </w:p>
    <w:p w:rsidR="00C53A0D" w:rsidRPr="00C10ABE" w:rsidRDefault="00C53A0D" w:rsidP="00C53A0D">
      <w:pPr>
        <w:tabs>
          <w:tab w:val="center" w:pos="4536"/>
        </w:tabs>
        <w:spacing w:after="0" w:line="360" w:lineRule="auto"/>
        <w:jc w:val="both"/>
        <w:rPr>
          <w:rFonts w:ascii="Arial Bold" w:hAnsi="Arial Bold" w:cs="Arial"/>
          <w:b/>
        </w:rPr>
      </w:pPr>
      <w:r w:rsidRPr="00C10ABE">
        <w:rPr>
          <w:rFonts w:ascii="Arial Bold" w:hAnsi="Arial Bold" w:cs="Arial"/>
          <w:b/>
        </w:rPr>
        <w:t>5. CONCLUSION</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results of this study show that the aqueous extract of bark from the trunk of </w:t>
      </w:r>
      <w:r w:rsidRPr="00C10ABE">
        <w:rPr>
          <w:rFonts w:ascii="Arial" w:hAnsi="Arial" w:cs="Arial"/>
          <w:i/>
          <w:sz w:val="20"/>
          <w:szCs w:val="20"/>
        </w:rPr>
        <w:t>Pseudocedrela kotschyi</w:t>
      </w:r>
      <w:r w:rsidRPr="00C10ABE">
        <w:rPr>
          <w:rFonts w:ascii="Arial" w:hAnsi="Arial" w:cs="Arial"/>
          <w:sz w:val="20"/>
          <w:szCs w:val="20"/>
        </w:rPr>
        <w:t xml:space="preserve"> has anti-inflammatory properties. These anti-inflammatory properties are probably due to the presence of phytochemicals such as Flavonoids, saponosides and polyphenols found in this aqueous extract. Intraperitoneal administration of the aqueous extract of Pseudocedrela kotschyi trunk bark, at high doses is highly toxic to mice. The aqueous extract should therefore be used with caution. Further experiments using purified extracts are envisaged to identify precisely compounds responsible for this anti-inflammatory activity and to understand their action mechanism.</w:t>
      </w:r>
    </w:p>
    <w:p w:rsidR="00056B67" w:rsidRDefault="00056B67" w:rsidP="00C53A0D">
      <w:pPr>
        <w:spacing w:after="0" w:line="360" w:lineRule="auto"/>
        <w:jc w:val="both"/>
        <w:rPr>
          <w:rFonts w:ascii="Arial Bold" w:hAnsi="Arial Bold" w:cs="Arial"/>
          <w:b/>
        </w:rPr>
      </w:pPr>
    </w:p>
    <w:p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CONSENT </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It is not applicable. </w:t>
      </w:r>
    </w:p>
    <w:p w:rsidR="00C53A0D" w:rsidRPr="00C10ABE" w:rsidRDefault="00C53A0D" w:rsidP="00C53A0D">
      <w:pPr>
        <w:spacing w:after="0" w:line="360" w:lineRule="auto"/>
        <w:jc w:val="both"/>
        <w:rPr>
          <w:rFonts w:ascii="Arial Bold" w:hAnsi="Arial Bold" w:cs="Arial"/>
          <w:b/>
          <w:sz w:val="24"/>
          <w:szCs w:val="24"/>
        </w:rPr>
      </w:pPr>
      <w:r w:rsidRPr="00C10ABE">
        <w:rPr>
          <w:rFonts w:ascii="Arial Bold" w:hAnsi="Arial Bold" w:cs="Arial"/>
          <w:b/>
        </w:rPr>
        <w:t>ETHICAL APPROVAL</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All the experimental procedures and protocols used in this study are conducted in accordance with the European directive of November 24, 1986 (86/609/EEC) and the decree of April 19, 1988 relating to the use of experimental animals in research.</w:t>
      </w:r>
    </w:p>
    <w:p w:rsidR="00C53A0D" w:rsidRPr="00C10ABE" w:rsidRDefault="00C53A0D" w:rsidP="00C53A0D">
      <w:pPr>
        <w:spacing w:after="0" w:line="360" w:lineRule="auto"/>
        <w:jc w:val="both"/>
        <w:rPr>
          <w:rFonts w:ascii="Times New Roman" w:hAnsi="Times New Roman" w:cs="Times New Roman"/>
          <w:sz w:val="24"/>
          <w:szCs w:val="24"/>
        </w:rPr>
      </w:pPr>
    </w:p>
    <w:p w:rsidR="00C53A0D" w:rsidRPr="00C10ABE" w:rsidRDefault="00C53A0D" w:rsidP="00C53A0D">
      <w:pPr>
        <w:jc w:val="both"/>
        <w:rPr>
          <w:rFonts w:ascii="Arial Bold" w:hAnsi="Arial Bold" w:cs="Arial"/>
          <w:b/>
        </w:rPr>
      </w:pPr>
      <w:commentRangeStart w:id="15"/>
      <w:r w:rsidRPr="00C10ABE">
        <w:rPr>
          <w:rFonts w:ascii="Arial Bold" w:hAnsi="Arial Bold" w:cs="Arial"/>
          <w:b/>
        </w:rPr>
        <w:t>REFERENCES</w:t>
      </w:r>
      <w:commentRangeEnd w:id="15"/>
      <w:r w:rsidR="006E4733">
        <w:rPr>
          <w:rStyle w:val="CommentReference"/>
        </w:rPr>
        <w:commentReference w:id="15"/>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1. Masresha B, Makonnen E, Debella A. In-vivo anti-inflammatory activities of Ocimum suavein mice. Journal of Ethnopharmacology. 2012;142(1):201-205.</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 2. Weill B, Bateux F,  Dhainaut J. Immunopathologie et reactions inflammatoires. Eds, De Boeck, Universite (Paris). 2003;12-23.</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3. Viladomiu M, Hontecillas R, Bassaganya-Riera J. Modulation of inflammation and immunity by dietary conjugated linoleic acid. European journal of pharmacology. 2016; 785:87-95.</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4. Smahia R, Nasser B, Khaled S, Abdelkrim C. Evaluate the Anti Inflammatory of the of the Aqueous Extract from Leaves of </w:t>
      </w:r>
      <w:r w:rsidRPr="00C10ABE">
        <w:rPr>
          <w:rFonts w:ascii="Arial" w:hAnsi="Arial" w:cs="Arial"/>
          <w:i/>
          <w:sz w:val="20"/>
          <w:szCs w:val="20"/>
        </w:rPr>
        <w:t>Limoniastrum Feei</w:t>
      </w:r>
      <w:r w:rsidRPr="00C10ABE">
        <w:rPr>
          <w:rFonts w:ascii="Arial" w:hAnsi="Arial" w:cs="Arial"/>
          <w:sz w:val="20"/>
          <w:szCs w:val="20"/>
        </w:rPr>
        <w:t xml:space="preserve"> (Plumbaginacea). Algerian Journal of Arid Environment. 2016;6(1).</w:t>
      </w:r>
    </w:p>
    <w:p w:rsidR="007D1E43"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5. </w:t>
      </w:r>
      <w:r w:rsidR="007D1E43" w:rsidRPr="007D1E43">
        <w:rPr>
          <w:rFonts w:ascii="Arial" w:hAnsi="Arial" w:cs="Arial"/>
          <w:sz w:val="20"/>
          <w:szCs w:val="20"/>
        </w:rPr>
        <w:t>Soubrier M, Rosenbaum D, Tatar Z. Nonsteroidal anti-inflammatory drugs and vessels. Rheumatism Review. 2013; 80(3):204-208.</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lastRenderedPageBreak/>
        <w:t xml:space="preserve">6. Renfreyet S, Downton C, Featherstone J. The painful reality. Nat. Rev. Drug Discov. 2003; 2(3):175-176. </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7. Alhassan AM, Ahmed QU, Malami I, Zakaria ZA. </w:t>
      </w:r>
      <w:r w:rsidRPr="00C10ABE">
        <w:rPr>
          <w:rFonts w:ascii="Arial" w:hAnsi="Arial" w:cs="Arial"/>
          <w:i/>
          <w:sz w:val="20"/>
          <w:szCs w:val="20"/>
        </w:rPr>
        <w:t>Pseudocedrela kotschyi</w:t>
      </w:r>
      <w:r w:rsidRPr="00C10ABE">
        <w:rPr>
          <w:rFonts w:ascii="Arial" w:hAnsi="Arial" w:cs="Arial"/>
          <w:sz w:val="20"/>
          <w:szCs w:val="20"/>
        </w:rPr>
        <w:t>: A review of ethnomedicinal uses, pharmacology and phytochemistry. Pharmaceutical Biology 2021;59(1): 953-961.</w:t>
      </w:r>
    </w:p>
    <w:p w:rsidR="007D1E43"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8. </w:t>
      </w:r>
      <w:r w:rsidR="007D1E43" w:rsidRPr="007D1E43">
        <w:rPr>
          <w:rFonts w:ascii="Arial" w:hAnsi="Arial" w:cs="Arial"/>
          <w:sz w:val="20"/>
          <w:szCs w:val="20"/>
        </w:rPr>
        <w:t>Traore MC. Study of the phytochemistry and biological activities of some plants used in the traditional treatment of dysmenorrhea in Mali. Pharmacy thesis, Faculty of Medicine, Pharmacy and Odontology, University of Bamako, Mali. 2006;176.</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9. Kantati YT, Kodjo KM, Dogbeavou KS, Vaudry D, Leprince J, Gbeassor M. Ethnopharmacological survey of plant species used in folk medicine against central nervous system disorders in Togo. Journal of Pharmacology. 2016;181:214-220.</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10. Salihu Shinkafi T, Bello L, Wara Hassan S, Ali S. An ethnobotanical survey of antidiabetic plants used by Hausa-Fulani tribes in Sokoto, Northwest Nigeria. Journal of Ethnopharmacology. 2015; 172(1):91-99. DOI: 10.1016/j.jep.2015.06.014.</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11. Saidu IN, Umar KS, Isa MH. Ethnobotanical survey of anticancer plants in Askira/Uba local government area of Borno State, Nigeria. African Journal of Pharmacy and Pharmacology. 2015;9(5):123-130.</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12. Erinoso SM, Fawibe OO, Oyelakin AS, Ajiboye AA, Agboola DA. Herbal recipes used for the traditional management of infantile dermatitis in Odeda, southwestern Nigeria. African Journal of Traditional, Complementary and Alternative Medicines. 2016;13(3):33-43. </w:t>
      </w:r>
      <w:hyperlink r:id="rId7" w:history="1">
        <w:r w:rsidRPr="00C10ABE">
          <w:rPr>
            <w:rStyle w:val="Hyperlink"/>
            <w:rFonts w:ascii="Arial" w:hAnsi="Arial" w:cs="Arial"/>
            <w:color w:val="auto"/>
            <w:sz w:val="20"/>
            <w:szCs w:val="20"/>
          </w:rPr>
          <w:t>http://dx.doi.org/10.4314</w:t>
        </w:r>
      </w:hyperlink>
      <w:r w:rsidRPr="00C10ABE">
        <w:rPr>
          <w:rFonts w:ascii="Arial" w:hAnsi="Arial" w:cs="Arial"/>
          <w:sz w:val="20"/>
          <w:szCs w:val="20"/>
        </w:rPr>
        <w:t>.</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13. Kayode J, Sanni P. Survey of barks used for medicine in the central zone of Lagos State. Nigeria. Journal of Botanical Papers. 2016;1(1):1-7.</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14. Bekro YA, Bekro JAM, Boua BB, Tra BFH, Ehile EE. Etude ethnobotanique et screening phytochimique de </w:t>
      </w:r>
      <w:r w:rsidRPr="00C10ABE">
        <w:rPr>
          <w:rFonts w:ascii="Arial" w:hAnsi="Arial" w:cs="Arial"/>
          <w:i/>
          <w:sz w:val="20"/>
          <w:szCs w:val="20"/>
        </w:rPr>
        <w:t>Caesalpinia benthamiana</w:t>
      </w:r>
      <w:r w:rsidRPr="00C10ABE">
        <w:rPr>
          <w:rFonts w:ascii="Arial" w:hAnsi="Arial" w:cs="Arial"/>
          <w:sz w:val="20"/>
          <w:szCs w:val="20"/>
        </w:rPr>
        <w:t xml:space="preserve"> (Baill.) (Caesalpiniaceae). Revue. Sciences &amp;. Nature. 2007;4(2):217-225. DOI: 10.4314/scinat.v4i2.42146.</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15. OECD. Test guidline 423, OECD guidline for chemicals. Acute Oral Toxicity-Acute Toxic class Method. 2001;14.</w:t>
      </w:r>
    </w:p>
    <w:p w:rsidR="00C53A0D" w:rsidRPr="00C10ABE" w:rsidRDefault="00953F10"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hAnsi="Arial" w:cs="Arial"/>
          <w:sz w:val="20"/>
          <w:szCs w:val="20"/>
        </w:rPr>
        <w:t>16</w:t>
      </w:r>
      <w:r w:rsidR="00C53A0D" w:rsidRPr="00C10ABE">
        <w:rPr>
          <w:rFonts w:ascii="Arial" w:hAnsi="Arial" w:cs="Arial"/>
          <w:sz w:val="20"/>
          <w:szCs w:val="20"/>
        </w:rPr>
        <w:t xml:space="preserve">. </w:t>
      </w:r>
      <w:r w:rsidR="00C53A0D" w:rsidRPr="00C10ABE">
        <w:rPr>
          <w:rFonts w:ascii="Arial" w:eastAsia="Times New Roman" w:hAnsi="Arial" w:cs="Arial"/>
          <w:bCs/>
          <w:sz w:val="20"/>
          <w:szCs w:val="20"/>
          <w:lang w:eastAsia="fr-FR"/>
        </w:rPr>
        <w:t xml:space="preserve">Winter CA, Risley EA,  Nuss GW. </w:t>
      </w:r>
      <w:r w:rsidR="00C53A0D" w:rsidRPr="00C10ABE">
        <w:rPr>
          <w:rFonts w:ascii="Arial" w:eastAsia="Times New Roman" w:hAnsi="Arial" w:cs="Arial"/>
          <w:sz w:val="20"/>
          <w:szCs w:val="20"/>
          <w:lang w:eastAsia="fr-FR"/>
        </w:rPr>
        <w:t xml:space="preserve">Carrageenan-induced edema in hind paws of the rats as an essay of anti-inflammatory drugs. </w:t>
      </w:r>
      <w:r w:rsidR="00C53A0D" w:rsidRPr="00C10ABE">
        <w:rPr>
          <w:rFonts w:ascii="Arial" w:eastAsia="Times New Roman" w:hAnsi="Arial" w:cs="Arial"/>
          <w:iCs/>
          <w:sz w:val="20"/>
          <w:szCs w:val="20"/>
          <w:lang w:eastAsia="fr-FR"/>
        </w:rPr>
        <w:t>Proceedings of the Society Experimental Biology and Medicine.</w:t>
      </w:r>
      <w:r w:rsidR="00C53A0D" w:rsidRPr="00C10ABE">
        <w:rPr>
          <w:rFonts w:ascii="Arial" w:eastAsia="Times New Roman" w:hAnsi="Arial" w:cs="Arial"/>
          <w:bCs/>
          <w:sz w:val="20"/>
          <w:szCs w:val="20"/>
          <w:lang w:eastAsia="fr-FR"/>
        </w:rPr>
        <w:t xml:space="preserve"> 1962;111(3)</w:t>
      </w:r>
      <w:r w:rsidR="00C53A0D" w:rsidRPr="00C10ABE">
        <w:rPr>
          <w:rFonts w:ascii="Arial" w:eastAsia="Times New Roman" w:hAnsi="Arial" w:cs="Arial"/>
          <w:sz w:val="20"/>
          <w:szCs w:val="20"/>
          <w:lang w:eastAsia="fr-FR"/>
        </w:rPr>
        <w:t>:544-547.</w:t>
      </w:r>
    </w:p>
    <w:p w:rsidR="007D1E43" w:rsidRDefault="00953F10" w:rsidP="00C53A0D">
      <w:pPr>
        <w:tabs>
          <w:tab w:val="left" w:pos="1390"/>
        </w:tabs>
        <w:spacing w:after="0" w:line="360" w:lineRule="auto"/>
        <w:jc w:val="both"/>
        <w:rPr>
          <w:rFonts w:ascii="Arial" w:eastAsia="Times New Roman" w:hAnsi="Arial" w:cs="Arial"/>
          <w:bCs/>
          <w:sz w:val="20"/>
          <w:szCs w:val="20"/>
          <w:lang w:eastAsia="fr-FR"/>
        </w:rPr>
      </w:pPr>
      <w:r w:rsidRPr="00C10ABE">
        <w:rPr>
          <w:rFonts w:ascii="Arial" w:eastAsia="Times New Roman" w:hAnsi="Arial" w:cs="Arial"/>
          <w:sz w:val="20"/>
          <w:szCs w:val="20"/>
          <w:lang w:eastAsia="fr-FR"/>
        </w:rPr>
        <w:t>17</w:t>
      </w:r>
      <w:r w:rsidR="00C53A0D" w:rsidRPr="00C10ABE">
        <w:rPr>
          <w:rFonts w:ascii="Arial" w:eastAsia="Times New Roman" w:hAnsi="Arial" w:cs="Arial"/>
          <w:sz w:val="20"/>
          <w:szCs w:val="20"/>
          <w:lang w:eastAsia="fr-FR"/>
        </w:rPr>
        <w:t xml:space="preserve">. </w:t>
      </w:r>
      <w:r w:rsidR="007D1E43" w:rsidRPr="007D1E43">
        <w:rPr>
          <w:rFonts w:ascii="Arial" w:eastAsia="Times New Roman" w:hAnsi="Arial" w:cs="Arial"/>
          <w:bCs/>
          <w:sz w:val="20"/>
          <w:szCs w:val="20"/>
          <w:lang w:eastAsia="fr-FR"/>
        </w:rPr>
        <w:t>Gentili M, Fletcher D, Mazoit X., Samii K. Influence of a peripheral nerve block or section on carrageenan inflammation in rats. French Annals of Anesthesia and Resuscitation. 1997;16(6):743.</w:t>
      </w:r>
    </w:p>
    <w:p w:rsidR="00C53A0D" w:rsidRPr="00C10ABE" w:rsidRDefault="00953F10" w:rsidP="00C53A0D">
      <w:pPr>
        <w:tabs>
          <w:tab w:val="left" w:pos="1390"/>
        </w:tabs>
        <w:spacing w:after="0" w:line="360" w:lineRule="auto"/>
        <w:jc w:val="both"/>
        <w:rPr>
          <w:rFonts w:ascii="Arial" w:hAnsi="Arial" w:cs="Arial"/>
          <w:sz w:val="20"/>
          <w:szCs w:val="20"/>
        </w:rPr>
      </w:pPr>
      <w:r w:rsidRPr="00C10ABE">
        <w:rPr>
          <w:rFonts w:ascii="Arial" w:eastAsia="Times New Roman" w:hAnsi="Arial" w:cs="Arial"/>
          <w:sz w:val="20"/>
          <w:szCs w:val="20"/>
          <w:lang w:eastAsia="fr-FR"/>
        </w:rPr>
        <w:t>18</w:t>
      </w:r>
      <w:r w:rsidR="00C53A0D" w:rsidRPr="00C10ABE">
        <w:rPr>
          <w:rFonts w:ascii="Arial" w:eastAsia="Times New Roman" w:hAnsi="Arial" w:cs="Arial"/>
          <w:sz w:val="20"/>
          <w:szCs w:val="20"/>
          <w:lang w:eastAsia="fr-FR"/>
        </w:rPr>
        <w:t xml:space="preserve">. </w:t>
      </w:r>
      <w:r w:rsidR="00C53A0D" w:rsidRPr="00C10ABE">
        <w:rPr>
          <w:rFonts w:ascii="Arial" w:hAnsi="Arial" w:cs="Arial"/>
          <w:sz w:val="20"/>
          <w:szCs w:val="20"/>
        </w:rPr>
        <w:t xml:space="preserve">Adeniyi CBA, Odumosu BT, Aiyelaagbe OO, Kolude B. In-vitro Antimicrobial Activities of Methanol Extracts of </w:t>
      </w:r>
      <w:r w:rsidR="00C53A0D" w:rsidRPr="00C10ABE">
        <w:rPr>
          <w:rFonts w:ascii="Arial" w:hAnsi="Arial" w:cs="Arial"/>
          <w:i/>
          <w:sz w:val="20"/>
          <w:szCs w:val="20"/>
        </w:rPr>
        <w:t>Zanthoxylum xanthoxyloides</w:t>
      </w:r>
      <w:r w:rsidR="00C53A0D" w:rsidRPr="00C10ABE">
        <w:rPr>
          <w:rFonts w:ascii="Arial" w:hAnsi="Arial" w:cs="Arial"/>
          <w:sz w:val="20"/>
          <w:szCs w:val="20"/>
        </w:rPr>
        <w:t xml:space="preserve"> and </w:t>
      </w:r>
      <w:r w:rsidR="00C53A0D" w:rsidRPr="00C10ABE">
        <w:rPr>
          <w:rFonts w:ascii="Arial" w:hAnsi="Arial" w:cs="Arial"/>
          <w:i/>
          <w:sz w:val="20"/>
          <w:szCs w:val="20"/>
        </w:rPr>
        <w:t>Pseudocedrela kotschyi</w:t>
      </w:r>
      <w:r w:rsidR="00C53A0D" w:rsidRPr="00C10ABE">
        <w:rPr>
          <w:rFonts w:ascii="Arial" w:hAnsi="Arial" w:cs="Arial"/>
          <w:sz w:val="20"/>
          <w:szCs w:val="20"/>
        </w:rPr>
        <w:t xml:space="preserve">. Africa Journal Biomedecine. 2010;13:61-68. </w:t>
      </w:r>
      <w:hyperlink r:id="rId8" w:history="1">
        <w:r w:rsidR="00C53A0D" w:rsidRPr="00C10ABE">
          <w:rPr>
            <w:rStyle w:val="Hyperlink"/>
            <w:rFonts w:ascii="Arial" w:hAnsi="Arial" w:cs="Arial"/>
            <w:color w:val="auto"/>
            <w:sz w:val="20"/>
            <w:szCs w:val="20"/>
          </w:rPr>
          <w:t>https://hdl.handle.net</w:t>
        </w:r>
      </w:hyperlink>
      <w:r w:rsidR="00C53A0D" w:rsidRPr="00C10ABE">
        <w:rPr>
          <w:rFonts w:ascii="Arial" w:hAnsi="Arial" w:cs="Arial"/>
          <w:sz w:val="20"/>
          <w:szCs w:val="20"/>
        </w:rPr>
        <w:t>.</w:t>
      </w:r>
    </w:p>
    <w:p w:rsidR="00C53A0D" w:rsidRPr="00C10ABE" w:rsidRDefault="00953F10" w:rsidP="00C53A0D">
      <w:pPr>
        <w:tabs>
          <w:tab w:val="left" w:pos="1390"/>
        </w:tabs>
        <w:spacing w:after="0" w:line="360" w:lineRule="auto"/>
        <w:jc w:val="both"/>
        <w:rPr>
          <w:rFonts w:ascii="Arial" w:hAnsi="Arial" w:cs="Arial"/>
          <w:sz w:val="20"/>
          <w:szCs w:val="20"/>
        </w:rPr>
      </w:pPr>
      <w:r w:rsidRPr="00C10ABE">
        <w:rPr>
          <w:rFonts w:ascii="Arial" w:hAnsi="Arial" w:cs="Arial"/>
          <w:sz w:val="20"/>
          <w:szCs w:val="20"/>
        </w:rPr>
        <w:t>19</w:t>
      </w:r>
      <w:r w:rsidR="00C53A0D" w:rsidRPr="00C10ABE">
        <w:rPr>
          <w:rFonts w:ascii="Arial" w:hAnsi="Arial" w:cs="Arial"/>
          <w:sz w:val="20"/>
          <w:szCs w:val="20"/>
        </w:rPr>
        <w:t xml:space="preserve">. Alhassan MA, Ibrahim M, Musa IA. Phytochemical screening and antimicrobial evaluation of stem bark of </w:t>
      </w:r>
      <w:r w:rsidR="00C53A0D" w:rsidRPr="00C10ABE">
        <w:rPr>
          <w:rFonts w:ascii="Arial" w:hAnsi="Arial" w:cs="Arial"/>
          <w:i/>
          <w:sz w:val="20"/>
          <w:szCs w:val="20"/>
        </w:rPr>
        <w:t>Pseudcedrela kotschyi</w:t>
      </w:r>
      <w:r w:rsidR="00C53A0D" w:rsidRPr="00C10ABE">
        <w:rPr>
          <w:rFonts w:ascii="Arial" w:hAnsi="Arial" w:cs="Arial"/>
          <w:sz w:val="20"/>
          <w:szCs w:val="20"/>
        </w:rPr>
        <w:t xml:space="preserve"> (Schweinf.) Herms. British Journal of pharmaceutical Research. 2014;4:1934-1944.</w:t>
      </w:r>
    </w:p>
    <w:p w:rsidR="00C53A0D" w:rsidRPr="00C10ABE" w:rsidRDefault="00953F10" w:rsidP="00C53A0D">
      <w:pPr>
        <w:tabs>
          <w:tab w:val="left" w:pos="1390"/>
        </w:tabs>
        <w:spacing w:after="0" w:line="360" w:lineRule="auto"/>
        <w:jc w:val="both"/>
        <w:rPr>
          <w:rFonts w:ascii="Arial" w:hAnsi="Arial" w:cs="Arial"/>
          <w:sz w:val="20"/>
          <w:szCs w:val="20"/>
        </w:rPr>
      </w:pPr>
      <w:r w:rsidRPr="00C10ABE">
        <w:rPr>
          <w:rFonts w:ascii="Arial" w:hAnsi="Arial" w:cs="Arial"/>
          <w:sz w:val="20"/>
          <w:szCs w:val="20"/>
        </w:rPr>
        <w:lastRenderedPageBreak/>
        <w:t>20</w:t>
      </w:r>
      <w:r w:rsidR="00C53A0D" w:rsidRPr="00C10ABE">
        <w:rPr>
          <w:rFonts w:ascii="Arial" w:hAnsi="Arial" w:cs="Arial"/>
          <w:sz w:val="20"/>
          <w:szCs w:val="20"/>
        </w:rPr>
        <w:t xml:space="preserve">. Essiet GA, Akuodor GC, Aja DO, Megwas AU, Ekenjoku JA, Nworie EM. Antidiarrhoeal and antioxidant properties of ethanol leaf extract of </w:t>
      </w:r>
      <w:r w:rsidR="00C53A0D" w:rsidRPr="00C10ABE">
        <w:rPr>
          <w:rFonts w:ascii="Arial" w:hAnsi="Arial" w:cs="Arial"/>
          <w:i/>
          <w:sz w:val="20"/>
          <w:szCs w:val="20"/>
        </w:rPr>
        <w:t>Pseudocedrela kotschyi</w:t>
      </w:r>
      <w:r w:rsidR="00C53A0D" w:rsidRPr="00C10ABE">
        <w:rPr>
          <w:rFonts w:ascii="Arial" w:hAnsi="Arial" w:cs="Arial"/>
          <w:sz w:val="20"/>
          <w:szCs w:val="20"/>
        </w:rPr>
        <w:t>. Journal of Applied Pharmaceutical Science. 2016;6 (03):107-110.</w:t>
      </w:r>
    </w:p>
    <w:p w:rsidR="00C53A0D" w:rsidRPr="00C10ABE" w:rsidRDefault="00953F10" w:rsidP="00C53A0D">
      <w:pPr>
        <w:tabs>
          <w:tab w:val="left" w:pos="1390"/>
        </w:tabs>
        <w:spacing w:after="0" w:line="360" w:lineRule="auto"/>
        <w:jc w:val="both"/>
        <w:rPr>
          <w:rFonts w:ascii="Arial" w:hAnsi="Arial" w:cs="Arial"/>
          <w:sz w:val="20"/>
          <w:szCs w:val="20"/>
        </w:rPr>
      </w:pPr>
      <w:r w:rsidRPr="00C10ABE">
        <w:rPr>
          <w:rFonts w:ascii="Arial" w:hAnsi="Arial" w:cs="Arial"/>
          <w:sz w:val="20"/>
          <w:szCs w:val="20"/>
        </w:rPr>
        <w:t>21</w:t>
      </w:r>
      <w:r w:rsidR="00C53A0D" w:rsidRPr="00C10ABE">
        <w:rPr>
          <w:rFonts w:ascii="Arial" w:hAnsi="Arial" w:cs="Arial"/>
          <w:sz w:val="20"/>
          <w:szCs w:val="20"/>
        </w:rPr>
        <w:t xml:space="preserve">. Daniel A. Effects of </w:t>
      </w:r>
      <w:r w:rsidR="00C53A0D" w:rsidRPr="00C10ABE">
        <w:rPr>
          <w:rFonts w:ascii="Arial" w:hAnsi="Arial" w:cs="Arial"/>
          <w:i/>
          <w:sz w:val="20"/>
          <w:szCs w:val="20"/>
        </w:rPr>
        <w:t>Pseudocedrela kotschyi</w:t>
      </w:r>
      <w:r w:rsidR="00C53A0D" w:rsidRPr="00C10ABE">
        <w:rPr>
          <w:rFonts w:ascii="Arial" w:hAnsi="Arial" w:cs="Arial"/>
          <w:sz w:val="20"/>
          <w:szCs w:val="20"/>
        </w:rPr>
        <w:t xml:space="preserve"> stem bark on blood chemistry and histology of some organs in rats. Journal of Clinical and experimental toxicology. 2018;2(1):25-31.</w:t>
      </w:r>
    </w:p>
    <w:p w:rsidR="00C53A0D" w:rsidRPr="00C10ABE" w:rsidRDefault="00953F10"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hAnsi="Arial" w:cs="Arial"/>
          <w:sz w:val="20"/>
          <w:szCs w:val="20"/>
        </w:rPr>
        <w:t>22</w:t>
      </w:r>
      <w:r w:rsidR="00C53A0D" w:rsidRPr="00C10ABE">
        <w:rPr>
          <w:rFonts w:ascii="Arial" w:hAnsi="Arial" w:cs="Arial"/>
          <w:sz w:val="20"/>
          <w:szCs w:val="20"/>
        </w:rPr>
        <w:t>.</w:t>
      </w:r>
      <w:r w:rsidR="00C53A0D" w:rsidRPr="00C10ABE">
        <w:rPr>
          <w:rFonts w:ascii="Arial" w:eastAsia="Times New Roman" w:hAnsi="Arial" w:cs="Arial"/>
          <w:bCs/>
          <w:sz w:val="20"/>
          <w:szCs w:val="20"/>
          <w:lang w:eastAsia="fr-FR"/>
        </w:rPr>
        <w:t xml:space="preserve"> Sharma A, Sharma S, Chaudhary P, Dobhal MP, Sharma MC. </w:t>
      </w:r>
      <w:r w:rsidR="00C53A0D" w:rsidRPr="00C10ABE">
        <w:rPr>
          <w:rFonts w:ascii="Arial" w:eastAsia="Times New Roman" w:hAnsi="Arial" w:cs="Arial"/>
          <w:sz w:val="20"/>
          <w:szCs w:val="20"/>
          <w:lang w:eastAsia="fr-FR"/>
        </w:rPr>
        <w:t xml:space="preserve">Selective cytotoxicity of non-small cell lung cancer cells by the Withaferin A-fortified root extract of </w:t>
      </w:r>
      <w:r w:rsidR="00C53A0D" w:rsidRPr="00C10ABE">
        <w:rPr>
          <w:rFonts w:ascii="Arial" w:eastAsia="Times New Roman" w:hAnsi="Arial" w:cs="Arial"/>
          <w:i/>
          <w:iCs/>
          <w:sz w:val="20"/>
          <w:szCs w:val="20"/>
          <w:lang w:eastAsia="fr-FR"/>
        </w:rPr>
        <w:t>Ashwagandha</w:t>
      </w:r>
      <w:r w:rsidR="00C53A0D" w:rsidRPr="00C10ABE">
        <w:rPr>
          <w:rFonts w:ascii="Arial" w:eastAsia="Times New Roman" w:hAnsi="Arial" w:cs="Arial"/>
          <w:sz w:val="20"/>
          <w:szCs w:val="20"/>
          <w:lang w:eastAsia="fr-FR"/>
        </w:rPr>
        <w:t xml:space="preserve"> involves differential cell-cycle arrest and apoptosis. </w:t>
      </w:r>
      <w:r w:rsidR="00C53A0D" w:rsidRPr="00C10ABE">
        <w:rPr>
          <w:rFonts w:ascii="Arial" w:eastAsia="Times New Roman" w:hAnsi="Arial" w:cs="Arial"/>
          <w:iCs/>
          <w:sz w:val="20"/>
          <w:szCs w:val="20"/>
          <w:lang w:eastAsia="fr-FR"/>
        </w:rPr>
        <w:t>Phytopharmacology.</w:t>
      </w:r>
      <w:r w:rsidR="00C53A0D" w:rsidRPr="00C10ABE">
        <w:rPr>
          <w:rFonts w:ascii="Arial" w:eastAsia="Times New Roman" w:hAnsi="Arial" w:cs="Arial"/>
          <w:bCs/>
          <w:sz w:val="20"/>
          <w:szCs w:val="20"/>
          <w:lang w:eastAsia="fr-FR"/>
        </w:rPr>
        <w:t xml:space="preserve"> 2011;1(4)</w:t>
      </w:r>
      <w:r w:rsidR="00C53A0D" w:rsidRPr="00C10ABE">
        <w:rPr>
          <w:rFonts w:ascii="Arial" w:eastAsia="Times New Roman" w:hAnsi="Arial" w:cs="Arial"/>
          <w:sz w:val="20"/>
          <w:szCs w:val="20"/>
          <w:lang w:eastAsia="fr-FR"/>
        </w:rPr>
        <w:t>: 54-70.</w:t>
      </w:r>
    </w:p>
    <w:p w:rsidR="00C53A0D" w:rsidRPr="00C10ABE" w:rsidRDefault="00953F10"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23</w:t>
      </w:r>
      <w:r w:rsidR="00C53A0D" w:rsidRPr="00C10ABE">
        <w:rPr>
          <w:rFonts w:ascii="Arial" w:eastAsia="Times New Roman" w:hAnsi="Arial" w:cs="Arial"/>
          <w:sz w:val="20"/>
          <w:szCs w:val="20"/>
          <w:lang w:eastAsia="fr-FR"/>
        </w:rPr>
        <w:t>.</w:t>
      </w:r>
      <w:r w:rsidR="00C53A0D" w:rsidRPr="00C10ABE">
        <w:rPr>
          <w:rFonts w:ascii="Arial" w:eastAsia="Times New Roman" w:hAnsi="Arial" w:cs="Arial"/>
          <w:bCs/>
          <w:sz w:val="20"/>
          <w:szCs w:val="20"/>
          <w:lang w:eastAsia="fr-FR"/>
        </w:rPr>
        <w:t xml:space="preserve"> Antonio AM, Brito ARMS. </w:t>
      </w:r>
      <w:r w:rsidR="00C53A0D" w:rsidRPr="00C10ABE">
        <w:rPr>
          <w:rFonts w:ascii="Arial" w:eastAsia="Times New Roman" w:hAnsi="Arial" w:cs="Arial"/>
          <w:sz w:val="20"/>
          <w:szCs w:val="20"/>
          <w:lang w:eastAsia="fr-FR"/>
        </w:rPr>
        <w:t xml:space="preserve">Oral anti-inflammatory and anti-ulcerogenic activities of a hydroalcoholic extract and partitioned fractions of </w:t>
      </w:r>
      <w:r w:rsidR="00C53A0D" w:rsidRPr="00C10ABE">
        <w:rPr>
          <w:rFonts w:ascii="Arial" w:eastAsia="Times New Roman" w:hAnsi="Arial" w:cs="Arial"/>
          <w:i/>
          <w:iCs/>
          <w:sz w:val="20"/>
          <w:szCs w:val="20"/>
          <w:lang w:eastAsia="fr-FR"/>
        </w:rPr>
        <w:t xml:space="preserve">Turnera ulmifolia </w:t>
      </w:r>
      <w:r w:rsidR="00C53A0D" w:rsidRPr="00C10ABE">
        <w:rPr>
          <w:rFonts w:ascii="Arial" w:eastAsia="Times New Roman" w:hAnsi="Arial" w:cs="Arial"/>
          <w:sz w:val="20"/>
          <w:szCs w:val="20"/>
          <w:lang w:eastAsia="fr-FR"/>
        </w:rPr>
        <w:t xml:space="preserve">(Turneraceae). </w:t>
      </w:r>
      <w:r w:rsidR="00C53A0D" w:rsidRPr="00C10ABE">
        <w:rPr>
          <w:rFonts w:ascii="Arial" w:eastAsia="Times New Roman" w:hAnsi="Arial" w:cs="Arial"/>
          <w:iCs/>
          <w:sz w:val="20"/>
          <w:szCs w:val="20"/>
          <w:lang w:eastAsia="fr-FR"/>
        </w:rPr>
        <w:t>Journal of Ethnopharmacology.</w:t>
      </w:r>
      <w:r w:rsidR="00C53A0D" w:rsidRPr="00C10ABE">
        <w:rPr>
          <w:rFonts w:ascii="Arial" w:eastAsia="Times New Roman" w:hAnsi="Arial" w:cs="Arial"/>
          <w:bCs/>
          <w:sz w:val="20"/>
          <w:szCs w:val="20"/>
          <w:lang w:eastAsia="fr-FR"/>
        </w:rPr>
        <w:t xml:space="preserve"> 1998;61(3)</w:t>
      </w:r>
      <w:r w:rsidR="00C53A0D" w:rsidRPr="00C10ABE">
        <w:rPr>
          <w:rFonts w:ascii="Arial" w:eastAsia="Times New Roman" w:hAnsi="Arial" w:cs="Arial"/>
          <w:sz w:val="20"/>
          <w:szCs w:val="20"/>
          <w:lang w:eastAsia="fr-FR"/>
        </w:rPr>
        <w:t>: 215-228.</w:t>
      </w:r>
    </w:p>
    <w:p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24</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 xml:space="preserve">Wantana R, Tassanee N, Subhadhirasakul S. </w:t>
      </w:r>
      <w:r w:rsidR="00C53A0D" w:rsidRPr="00C10ABE">
        <w:rPr>
          <w:rFonts w:ascii="Arial" w:eastAsia="Times New Roman" w:hAnsi="Arial" w:cs="Arial"/>
          <w:sz w:val="20"/>
          <w:szCs w:val="20"/>
          <w:lang w:eastAsia="fr-FR"/>
        </w:rPr>
        <w:t xml:space="preserve">Antinociceptive, antipyretic, and anti-inflammatory activities of </w:t>
      </w:r>
      <w:r w:rsidR="00C53A0D" w:rsidRPr="00C10ABE">
        <w:rPr>
          <w:rFonts w:ascii="Arial" w:eastAsia="Times New Roman" w:hAnsi="Arial" w:cs="Arial"/>
          <w:i/>
          <w:iCs/>
          <w:sz w:val="20"/>
          <w:szCs w:val="20"/>
          <w:lang w:eastAsia="fr-FR"/>
        </w:rPr>
        <w:t>Putranjiva roxburghii</w:t>
      </w:r>
      <w:r w:rsidR="00C53A0D" w:rsidRPr="00C10ABE">
        <w:rPr>
          <w:rFonts w:ascii="Arial" w:eastAsia="Times New Roman" w:hAnsi="Arial" w:cs="Arial"/>
          <w:sz w:val="20"/>
          <w:szCs w:val="20"/>
          <w:lang w:eastAsia="fr-FR"/>
        </w:rPr>
        <w:t xml:space="preserve">Wall. leaf extract in experimental animals. </w:t>
      </w:r>
      <w:r w:rsidR="00C53A0D" w:rsidRPr="00C10ABE">
        <w:rPr>
          <w:rFonts w:ascii="Arial" w:eastAsia="Times New Roman" w:hAnsi="Arial" w:cs="Arial"/>
          <w:iCs/>
          <w:sz w:val="20"/>
          <w:szCs w:val="20"/>
          <w:lang w:eastAsia="fr-FR"/>
        </w:rPr>
        <w:t xml:space="preserve">Journal Natural Medicines. </w:t>
      </w:r>
      <w:r w:rsidR="00C53A0D" w:rsidRPr="00C10ABE">
        <w:rPr>
          <w:rFonts w:ascii="Arial" w:eastAsia="Times New Roman" w:hAnsi="Arial" w:cs="Arial"/>
          <w:bCs/>
          <w:sz w:val="20"/>
          <w:szCs w:val="20"/>
          <w:lang w:eastAsia="fr-FR"/>
        </w:rPr>
        <w:t>2009;63(6)</w:t>
      </w:r>
      <w:r w:rsidR="00C53A0D" w:rsidRPr="00C10ABE">
        <w:rPr>
          <w:rFonts w:ascii="Arial" w:eastAsia="Times New Roman" w:hAnsi="Arial" w:cs="Arial"/>
          <w:sz w:val="20"/>
          <w:szCs w:val="20"/>
          <w:lang w:eastAsia="fr-FR"/>
        </w:rPr>
        <w:t>:290-2966.</w:t>
      </w:r>
    </w:p>
    <w:p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25</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 xml:space="preserve">Gupta M, Mazumder UK, Gomathi P, Selvan VT. </w:t>
      </w:r>
      <w:r w:rsidR="00C53A0D" w:rsidRPr="00C10ABE">
        <w:rPr>
          <w:rFonts w:ascii="Arial" w:eastAsia="Times New Roman" w:hAnsi="Arial" w:cs="Arial"/>
          <w:sz w:val="20"/>
          <w:szCs w:val="20"/>
          <w:lang w:eastAsia="fr-FR"/>
        </w:rPr>
        <w:t xml:space="preserve">Anti-inflammatory evaluation of leaves of </w:t>
      </w:r>
      <w:r w:rsidR="00C53A0D" w:rsidRPr="00C10ABE">
        <w:rPr>
          <w:rFonts w:ascii="Arial" w:eastAsia="Times New Roman" w:hAnsi="Arial" w:cs="Arial"/>
          <w:i/>
          <w:iCs/>
          <w:sz w:val="20"/>
          <w:szCs w:val="20"/>
          <w:lang w:eastAsia="fr-FR"/>
        </w:rPr>
        <w:t>Plumeria acuminate</w:t>
      </w:r>
      <w:r w:rsidR="00C53A0D" w:rsidRPr="00C10ABE">
        <w:rPr>
          <w:rFonts w:ascii="Arial" w:eastAsia="Times New Roman" w:hAnsi="Arial" w:cs="Arial"/>
          <w:sz w:val="20"/>
          <w:szCs w:val="20"/>
          <w:lang w:eastAsia="fr-FR"/>
        </w:rPr>
        <w:t xml:space="preserve">. </w:t>
      </w:r>
      <w:hyperlink r:id="rId9" w:history="1">
        <w:r w:rsidR="00C53A0D" w:rsidRPr="00C10ABE">
          <w:rPr>
            <w:rStyle w:val="Hyperlink"/>
            <w:rFonts w:ascii="Arial" w:hAnsi="Arial" w:cs="Arial"/>
            <w:iCs/>
            <w:color w:val="auto"/>
            <w:sz w:val="20"/>
            <w:szCs w:val="20"/>
            <w:u w:val="none"/>
            <w:shd w:val="clear" w:color="auto" w:fill="FFFFFF"/>
          </w:rPr>
          <w:t>BMC Complementary and Alternative Medicine</w:t>
        </w:r>
      </w:hyperlink>
      <w:r w:rsidR="00C53A0D" w:rsidRPr="00C10ABE">
        <w:rPr>
          <w:rFonts w:ascii="Arial" w:eastAsia="Times New Roman" w:hAnsi="Arial" w:cs="Arial"/>
          <w:sz w:val="20"/>
          <w:szCs w:val="20"/>
          <w:lang w:eastAsia="fr-FR"/>
        </w:rPr>
        <w:t>.</w:t>
      </w:r>
      <w:r w:rsidR="00C53A0D" w:rsidRPr="00C10ABE">
        <w:rPr>
          <w:rFonts w:ascii="Arial" w:eastAsia="Times New Roman" w:hAnsi="Arial" w:cs="Arial"/>
          <w:bCs/>
          <w:sz w:val="20"/>
          <w:szCs w:val="20"/>
          <w:lang w:eastAsia="fr-FR"/>
        </w:rPr>
        <w:t xml:space="preserve"> 2006;6(1):</w:t>
      </w:r>
      <w:r w:rsidR="00C53A0D" w:rsidRPr="00C10ABE">
        <w:rPr>
          <w:rFonts w:ascii="Arial" w:eastAsia="Times New Roman" w:hAnsi="Arial" w:cs="Arial"/>
          <w:sz w:val="20"/>
          <w:szCs w:val="20"/>
          <w:lang w:eastAsia="fr-FR"/>
        </w:rPr>
        <w:t>1-6.</w:t>
      </w:r>
    </w:p>
    <w:p w:rsidR="007D1E43" w:rsidRDefault="001A11F3" w:rsidP="007D1E43">
      <w:pPr>
        <w:shd w:val="clear" w:color="auto" w:fill="FFFFFF"/>
        <w:spacing w:after="0" w:line="360" w:lineRule="auto"/>
        <w:jc w:val="both"/>
        <w:rPr>
          <w:rFonts w:ascii="Arial" w:hAnsi="Arial" w:cs="Arial"/>
          <w:sz w:val="20"/>
          <w:szCs w:val="20"/>
        </w:rPr>
      </w:pPr>
      <w:r w:rsidRPr="00C10ABE">
        <w:rPr>
          <w:rFonts w:ascii="Arial" w:eastAsia="Times New Roman" w:hAnsi="Arial" w:cs="Arial"/>
          <w:sz w:val="20"/>
          <w:szCs w:val="20"/>
          <w:lang w:eastAsia="fr-FR"/>
        </w:rPr>
        <w:t>26</w:t>
      </w:r>
      <w:r w:rsidR="00C53A0D" w:rsidRPr="00C10ABE">
        <w:rPr>
          <w:rFonts w:ascii="Arial" w:eastAsia="Times New Roman" w:hAnsi="Arial" w:cs="Arial"/>
          <w:sz w:val="20"/>
          <w:szCs w:val="20"/>
          <w:lang w:eastAsia="fr-FR"/>
        </w:rPr>
        <w:t xml:space="preserve">. </w:t>
      </w:r>
      <w:r w:rsidR="007D1E43" w:rsidRPr="007D1E43">
        <w:rPr>
          <w:rFonts w:ascii="Arial" w:hAnsi="Arial" w:cs="Arial"/>
          <w:sz w:val="20"/>
          <w:szCs w:val="20"/>
        </w:rPr>
        <w:t>Neant R. Adverse effects of nonsteroidal anti-inflammatory drugs and self-medication: what is the impact over time of a written information tool on patient knowledge? Doctoral thesis in Medicine, University of Burgundy (France). 2017;76.</w:t>
      </w:r>
    </w:p>
    <w:p w:rsidR="00C53A0D" w:rsidRPr="00C10ABE" w:rsidRDefault="001A11F3" w:rsidP="007D1E43">
      <w:pPr>
        <w:shd w:val="clear" w:color="auto" w:fill="FFFFFF"/>
        <w:spacing w:after="0" w:line="360" w:lineRule="auto"/>
        <w:jc w:val="both"/>
        <w:rPr>
          <w:rFonts w:ascii="Arial" w:eastAsia="Times New Roman" w:hAnsi="Arial" w:cs="Arial"/>
          <w:sz w:val="20"/>
          <w:szCs w:val="20"/>
          <w:lang w:eastAsia="fr-FR"/>
        </w:rPr>
      </w:pPr>
      <w:r w:rsidRPr="00C10ABE">
        <w:rPr>
          <w:rFonts w:ascii="Arial" w:hAnsi="Arial" w:cs="Arial"/>
          <w:sz w:val="20"/>
          <w:szCs w:val="20"/>
        </w:rPr>
        <w:t>27</w:t>
      </w:r>
      <w:r w:rsidR="00C53A0D" w:rsidRPr="00C10ABE">
        <w:rPr>
          <w:rFonts w:ascii="Arial" w:hAnsi="Arial" w:cs="Arial"/>
          <w:sz w:val="20"/>
          <w:szCs w:val="20"/>
        </w:rPr>
        <w:t xml:space="preserve">. </w:t>
      </w:r>
      <w:r w:rsidR="00C53A0D" w:rsidRPr="00C10ABE">
        <w:rPr>
          <w:rFonts w:ascii="Arial" w:eastAsia="Times New Roman" w:hAnsi="Arial" w:cs="Arial"/>
          <w:bCs/>
          <w:sz w:val="20"/>
          <w:szCs w:val="20"/>
          <w:lang w:eastAsia="fr-FR"/>
        </w:rPr>
        <w:t xml:space="preserve">Sadhan B, Mohammad NA, Saddam HMD, Emdadul HMMD, Shalahuddin MMD,  Saif UMD. </w:t>
      </w:r>
      <w:r w:rsidR="00C53A0D" w:rsidRPr="00C10ABE">
        <w:rPr>
          <w:rFonts w:ascii="Arial" w:eastAsia="Times New Roman" w:hAnsi="Arial" w:cs="Arial"/>
          <w:sz w:val="20"/>
          <w:szCs w:val="20"/>
          <w:lang w:eastAsia="fr-FR"/>
        </w:rPr>
        <w:t xml:space="preserve">Phytochemical nature and pharmacological evaluation of chloroform extract of </w:t>
      </w:r>
      <w:r w:rsidR="00C53A0D" w:rsidRPr="00C10ABE">
        <w:rPr>
          <w:rFonts w:ascii="Arial" w:eastAsia="Times New Roman" w:hAnsi="Arial" w:cs="Arial"/>
          <w:i/>
          <w:iCs/>
          <w:sz w:val="20"/>
          <w:szCs w:val="20"/>
          <w:lang w:eastAsia="fr-FR"/>
        </w:rPr>
        <w:t>Pandanus fascicularis</w:t>
      </w:r>
      <w:r w:rsidR="00C53A0D" w:rsidRPr="00C10ABE">
        <w:rPr>
          <w:rFonts w:ascii="Arial" w:eastAsia="Times New Roman" w:hAnsi="Arial" w:cs="Arial"/>
          <w:sz w:val="20"/>
          <w:szCs w:val="20"/>
          <w:lang w:eastAsia="fr-FR"/>
        </w:rPr>
        <w:t xml:space="preserve"> L. (Fruits): An </w:t>
      </w:r>
      <w:r w:rsidR="00C53A0D" w:rsidRPr="00C10ABE">
        <w:rPr>
          <w:rFonts w:ascii="Arial" w:eastAsia="Times New Roman" w:hAnsi="Arial" w:cs="Arial"/>
          <w:i/>
          <w:sz w:val="20"/>
          <w:szCs w:val="20"/>
          <w:lang w:eastAsia="fr-FR"/>
        </w:rPr>
        <w:t>in vivo</w:t>
      </w:r>
      <w:r w:rsidR="00C53A0D" w:rsidRPr="00C10ABE">
        <w:rPr>
          <w:rFonts w:ascii="Arial" w:eastAsia="Times New Roman" w:hAnsi="Arial" w:cs="Arial"/>
          <w:sz w:val="20"/>
          <w:szCs w:val="20"/>
          <w:lang w:eastAsia="fr-FR"/>
        </w:rPr>
        <w:t xml:space="preserve"> Study. </w:t>
      </w:r>
      <w:r w:rsidR="00C53A0D" w:rsidRPr="00C10ABE">
        <w:rPr>
          <w:rFonts w:ascii="Arial" w:eastAsia="Times New Roman" w:hAnsi="Arial" w:cs="Arial"/>
          <w:iCs/>
          <w:sz w:val="20"/>
          <w:szCs w:val="20"/>
          <w:lang w:eastAsia="fr-FR"/>
        </w:rPr>
        <w:t>Journal of Bioanalysis and Biomedicine</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2017;9</w:t>
      </w:r>
      <w:r w:rsidR="00C53A0D" w:rsidRPr="00C10ABE">
        <w:rPr>
          <w:rFonts w:ascii="Arial" w:eastAsia="Times New Roman" w:hAnsi="Arial" w:cs="Arial"/>
          <w:sz w:val="20"/>
          <w:szCs w:val="20"/>
          <w:lang w:eastAsia="fr-FR"/>
        </w:rPr>
        <w:t>(4) :223-2288.</w:t>
      </w:r>
    </w:p>
    <w:p w:rsidR="007D1E43" w:rsidRDefault="001A11F3" w:rsidP="00C53A0D">
      <w:pPr>
        <w:tabs>
          <w:tab w:val="left" w:pos="1390"/>
        </w:tabs>
        <w:spacing w:after="0" w:line="360" w:lineRule="auto"/>
        <w:jc w:val="both"/>
        <w:rPr>
          <w:rFonts w:ascii="Arial" w:eastAsia="Times New Roman" w:hAnsi="Arial" w:cs="Arial"/>
          <w:bCs/>
          <w:sz w:val="20"/>
          <w:szCs w:val="20"/>
          <w:lang w:eastAsia="fr-FR"/>
        </w:rPr>
      </w:pPr>
      <w:r w:rsidRPr="00C10ABE">
        <w:rPr>
          <w:rFonts w:ascii="Arial" w:eastAsia="Times New Roman" w:hAnsi="Arial" w:cs="Arial"/>
          <w:sz w:val="20"/>
          <w:szCs w:val="20"/>
          <w:lang w:eastAsia="fr-FR"/>
        </w:rPr>
        <w:t>28</w:t>
      </w:r>
      <w:r w:rsidR="00C53A0D" w:rsidRPr="00C10ABE">
        <w:rPr>
          <w:rFonts w:ascii="Arial" w:eastAsia="Times New Roman" w:hAnsi="Arial" w:cs="Arial"/>
          <w:sz w:val="20"/>
          <w:szCs w:val="20"/>
          <w:lang w:eastAsia="fr-FR"/>
        </w:rPr>
        <w:t xml:space="preserve">. </w:t>
      </w:r>
      <w:r w:rsidR="007D1E43" w:rsidRPr="007D1E43">
        <w:rPr>
          <w:rFonts w:ascii="Arial" w:eastAsia="Times New Roman" w:hAnsi="Arial" w:cs="Arial"/>
          <w:bCs/>
          <w:sz w:val="20"/>
          <w:szCs w:val="20"/>
          <w:lang w:eastAsia="fr-FR"/>
        </w:rPr>
        <w:t>Soro TY, Traore F, Zihiri GN. Study of the analgesic, antipyretic and anti-inflammatory activity of the aqueous extract of Ximenia americana. Black African Medicine. 2010;57(4): 223-226.</w:t>
      </w:r>
    </w:p>
    <w:p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29</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 xml:space="preserve">Asongalem EA, Fohet HS, Ekobo S, Dimo T,  Kamtchouing P. </w:t>
      </w:r>
      <w:r w:rsidR="00C53A0D" w:rsidRPr="00C10ABE">
        <w:rPr>
          <w:rFonts w:ascii="Arial" w:eastAsia="Times New Roman" w:hAnsi="Arial" w:cs="Arial"/>
          <w:sz w:val="20"/>
          <w:szCs w:val="20"/>
          <w:lang w:eastAsia="fr-FR"/>
        </w:rPr>
        <w:t xml:space="preserve">Anti-inflammatory, antipyretic and analgesic properties of the leaves of </w:t>
      </w:r>
      <w:r w:rsidR="00C53A0D" w:rsidRPr="00C10ABE">
        <w:rPr>
          <w:rFonts w:ascii="Arial" w:eastAsia="Times New Roman" w:hAnsi="Arial" w:cs="Arial"/>
          <w:i/>
          <w:iCs/>
          <w:sz w:val="20"/>
          <w:szCs w:val="20"/>
          <w:lang w:eastAsia="fr-FR"/>
        </w:rPr>
        <w:t xml:space="preserve">Aegle marmelos </w:t>
      </w:r>
      <w:r w:rsidR="00C53A0D" w:rsidRPr="00C10ABE">
        <w:rPr>
          <w:rFonts w:ascii="Arial" w:eastAsia="Times New Roman" w:hAnsi="Arial" w:cs="Arial"/>
          <w:sz w:val="20"/>
          <w:szCs w:val="20"/>
          <w:lang w:eastAsia="fr-FR"/>
        </w:rPr>
        <w:t>Corr.</w:t>
      </w:r>
      <w:r w:rsidR="00C53A0D" w:rsidRPr="00C10ABE">
        <w:rPr>
          <w:rFonts w:ascii="Arial" w:eastAsia="Times New Roman" w:hAnsi="Arial" w:cs="Arial"/>
          <w:iCs/>
          <w:sz w:val="20"/>
          <w:szCs w:val="20"/>
          <w:lang w:eastAsia="fr-FR"/>
        </w:rPr>
        <w:t xml:space="preserve">Journal of Etnopharmacolology. </w:t>
      </w:r>
      <w:r w:rsidR="00C53A0D" w:rsidRPr="00C10ABE">
        <w:rPr>
          <w:rFonts w:ascii="Arial" w:eastAsia="Times New Roman" w:hAnsi="Arial" w:cs="Arial"/>
          <w:bCs/>
          <w:sz w:val="20"/>
          <w:szCs w:val="20"/>
          <w:lang w:eastAsia="fr-FR"/>
        </w:rPr>
        <w:t>2004;96(1-2)</w:t>
      </w:r>
      <w:r w:rsidR="00C53A0D" w:rsidRPr="00C10ABE">
        <w:rPr>
          <w:rFonts w:ascii="Arial" w:eastAsia="Times New Roman" w:hAnsi="Arial" w:cs="Arial"/>
          <w:sz w:val="20"/>
          <w:szCs w:val="20"/>
          <w:lang w:eastAsia="fr-FR"/>
        </w:rPr>
        <w:t>:159-163.</w:t>
      </w:r>
    </w:p>
    <w:p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30</w:t>
      </w:r>
      <w:r w:rsidR="00C53A0D" w:rsidRPr="00C10ABE">
        <w:rPr>
          <w:rFonts w:ascii="Arial" w:eastAsia="Times New Roman" w:hAnsi="Arial" w:cs="Arial"/>
          <w:sz w:val="20"/>
          <w:szCs w:val="20"/>
          <w:lang w:eastAsia="fr-FR"/>
        </w:rPr>
        <w:t>.</w:t>
      </w:r>
      <w:r w:rsidR="00C53A0D" w:rsidRPr="00C10ABE">
        <w:rPr>
          <w:rFonts w:ascii="Arial" w:eastAsia="Times New Roman" w:hAnsi="Arial" w:cs="Arial"/>
          <w:bCs/>
          <w:sz w:val="20"/>
          <w:szCs w:val="20"/>
          <w:lang w:eastAsia="fr-FR"/>
        </w:rPr>
        <w:t xml:space="preserve"> Ojewole JAO. </w:t>
      </w:r>
      <w:r w:rsidR="00C53A0D" w:rsidRPr="00C10ABE">
        <w:rPr>
          <w:rFonts w:ascii="Arial" w:eastAsia="Times New Roman" w:hAnsi="Arial" w:cs="Arial"/>
          <w:sz w:val="20"/>
          <w:szCs w:val="20"/>
          <w:lang w:eastAsia="fr-FR"/>
        </w:rPr>
        <w:t xml:space="preserve">Antinociceptiv, anti-inflammatory and anti diabetic properties of </w:t>
      </w:r>
      <w:r w:rsidR="00C53A0D" w:rsidRPr="00C10ABE">
        <w:rPr>
          <w:rFonts w:ascii="Arial" w:eastAsia="Times New Roman" w:hAnsi="Arial" w:cs="Arial"/>
          <w:i/>
          <w:iCs/>
          <w:sz w:val="20"/>
          <w:szCs w:val="20"/>
          <w:lang w:eastAsia="fr-FR"/>
        </w:rPr>
        <w:t>Hypoxis hemerocallidea fisch</w:t>
      </w:r>
      <w:r w:rsidR="00C53A0D" w:rsidRPr="00C10ABE">
        <w:rPr>
          <w:rFonts w:ascii="Arial" w:eastAsia="Times New Roman" w:hAnsi="Arial" w:cs="Arial"/>
          <w:sz w:val="20"/>
          <w:szCs w:val="20"/>
          <w:lang w:eastAsia="fr-FR"/>
        </w:rPr>
        <w:t xml:space="preserve">. And C.A. Mey. (Hypoxidaceae) corn (‘African potato’) aqueous extract in mice and rats. </w:t>
      </w:r>
      <w:r w:rsidR="00C53A0D" w:rsidRPr="00C10ABE">
        <w:rPr>
          <w:rFonts w:ascii="Arial" w:eastAsia="Times New Roman" w:hAnsi="Arial" w:cs="Arial"/>
          <w:iCs/>
          <w:sz w:val="20"/>
          <w:szCs w:val="20"/>
          <w:lang w:eastAsia="fr-FR"/>
        </w:rPr>
        <w:t>Journal of Ethnopharmacology</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2006;103(1)</w:t>
      </w:r>
      <w:r w:rsidR="00C53A0D" w:rsidRPr="00C10ABE">
        <w:rPr>
          <w:rFonts w:ascii="Arial" w:eastAsia="Times New Roman" w:hAnsi="Arial" w:cs="Arial"/>
          <w:sz w:val="20"/>
          <w:szCs w:val="20"/>
          <w:lang w:eastAsia="fr-FR"/>
        </w:rPr>
        <w:t>:126-134.</w:t>
      </w:r>
    </w:p>
    <w:p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31</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 xml:space="preserve">Delporte, Backhouse N, Inostroza V, Aguirre MC, Peredo N, Silva XR, Negrete HF, Miranda. </w:t>
      </w:r>
      <w:r w:rsidR="00C53A0D" w:rsidRPr="00C10ABE">
        <w:rPr>
          <w:rFonts w:ascii="Arial" w:eastAsia="Times New Roman" w:hAnsi="Arial" w:cs="Arial"/>
          <w:sz w:val="20"/>
          <w:szCs w:val="20"/>
          <w:lang w:eastAsia="fr-FR"/>
        </w:rPr>
        <w:t xml:space="preserve">Analgesic activity of </w:t>
      </w:r>
      <w:r w:rsidR="00C53A0D" w:rsidRPr="00C10ABE">
        <w:rPr>
          <w:rFonts w:ascii="Arial" w:eastAsia="Times New Roman" w:hAnsi="Arial" w:cs="Arial"/>
          <w:i/>
          <w:iCs/>
          <w:sz w:val="20"/>
          <w:szCs w:val="20"/>
          <w:lang w:eastAsia="fr-FR"/>
        </w:rPr>
        <w:t xml:space="preserve">Ugni molinae </w:t>
      </w:r>
      <w:r w:rsidR="00C53A0D" w:rsidRPr="00C10ABE">
        <w:rPr>
          <w:rFonts w:ascii="Arial" w:eastAsia="Times New Roman" w:hAnsi="Arial" w:cs="Arial"/>
          <w:sz w:val="20"/>
          <w:szCs w:val="20"/>
          <w:lang w:eastAsia="fr-FR"/>
        </w:rPr>
        <w:t xml:space="preserve">(murtilla) in mice models of acute pain. </w:t>
      </w:r>
      <w:r w:rsidR="00C53A0D" w:rsidRPr="00C10ABE">
        <w:rPr>
          <w:rFonts w:ascii="Arial" w:eastAsia="Times New Roman" w:hAnsi="Arial" w:cs="Arial"/>
          <w:iCs/>
          <w:sz w:val="20"/>
          <w:szCs w:val="20"/>
          <w:lang w:eastAsia="fr-FR"/>
        </w:rPr>
        <w:t xml:space="preserve">Journal of Ethnopharmacology. </w:t>
      </w:r>
      <w:r w:rsidR="00C53A0D" w:rsidRPr="00C10ABE">
        <w:rPr>
          <w:rFonts w:ascii="Arial" w:eastAsia="Times New Roman" w:hAnsi="Arial" w:cs="Arial"/>
          <w:bCs/>
          <w:sz w:val="20"/>
          <w:szCs w:val="20"/>
          <w:lang w:eastAsia="fr-FR"/>
        </w:rPr>
        <w:t>2007;112(1)</w:t>
      </w:r>
      <w:r w:rsidR="00C53A0D" w:rsidRPr="00C10ABE">
        <w:rPr>
          <w:rFonts w:ascii="Arial" w:eastAsia="Times New Roman" w:hAnsi="Arial" w:cs="Arial"/>
          <w:sz w:val="20"/>
          <w:szCs w:val="20"/>
          <w:lang w:eastAsia="fr-FR"/>
        </w:rPr>
        <w:t>:162-165.</w:t>
      </w:r>
    </w:p>
    <w:p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32</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Chavan PS, Wakte DB, Shinde.</w:t>
      </w:r>
      <w:r w:rsidR="00C53A0D" w:rsidRPr="00C10ABE">
        <w:rPr>
          <w:rFonts w:ascii="Arial" w:eastAsia="Times New Roman" w:hAnsi="Arial" w:cs="Arial"/>
          <w:sz w:val="20"/>
          <w:szCs w:val="20"/>
          <w:lang w:eastAsia="fr-FR"/>
        </w:rPr>
        <w:t xml:space="preserve"> Analgesic and anti-inflammatory activity of Caryophyllene oxide from </w:t>
      </w:r>
      <w:r w:rsidR="00C53A0D" w:rsidRPr="00C10ABE">
        <w:rPr>
          <w:rFonts w:ascii="Arial" w:eastAsia="Times New Roman" w:hAnsi="Arial" w:cs="Arial"/>
          <w:i/>
          <w:iCs/>
          <w:sz w:val="20"/>
          <w:szCs w:val="20"/>
          <w:lang w:eastAsia="fr-FR"/>
        </w:rPr>
        <w:t xml:space="preserve">Annona squamosa L. </w:t>
      </w:r>
      <w:r w:rsidR="00C53A0D" w:rsidRPr="00C10ABE">
        <w:rPr>
          <w:rFonts w:ascii="Arial" w:eastAsia="Times New Roman" w:hAnsi="Arial" w:cs="Arial"/>
          <w:sz w:val="20"/>
          <w:szCs w:val="20"/>
          <w:lang w:eastAsia="fr-FR"/>
        </w:rPr>
        <w:t xml:space="preserve">bark. </w:t>
      </w:r>
      <w:r w:rsidR="00C53A0D" w:rsidRPr="00C10ABE">
        <w:rPr>
          <w:rFonts w:ascii="Arial" w:eastAsia="Times New Roman" w:hAnsi="Arial" w:cs="Arial"/>
          <w:iCs/>
          <w:sz w:val="20"/>
          <w:szCs w:val="20"/>
          <w:lang w:eastAsia="fr-FR"/>
        </w:rPr>
        <w:t>Phytomedicine.</w:t>
      </w:r>
      <w:r w:rsidR="00C53A0D" w:rsidRPr="00C10ABE">
        <w:rPr>
          <w:rFonts w:ascii="Arial" w:eastAsia="Times New Roman" w:hAnsi="Arial" w:cs="Arial"/>
          <w:bCs/>
          <w:sz w:val="20"/>
          <w:szCs w:val="20"/>
          <w:lang w:eastAsia="fr-FR"/>
        </w:rPr>
        <w:t xml:space="preserve"> 2010;17(2)</w:t>
      </w:r>
      <w:r w:rsidR="00C53A0D" w:rsidRPr="00C10ABE">
        <w:rPr>
          <w:rFonts w:ascii="Arial" w:eastAsia="Times New Roman" w:hAnsi="Arial" w:cs="Arial"/>
          <w:sz w:val="20"/>
          <w:szCs w:val="20"/>
          <w:lang w:eastAsia="fr-FR"/>
        </w:rPr>
        <w:t>:149-151.</w:t>
      </w:r>
    </w:p>
    <w:p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33</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 xml:space="preserve">Queiroz AC, Pereira De Lira D, Thays De Lima MFD, Tenório De Souza E, Brito Da Matta CB. </w:t>
      </w:r>
      <w:r w:rsidR="00C53A0D" w:rsidRPr="00C10ABE">
        <w:rPr>
          <w:rFonts w:ascii="Arial" w:eastAsia="Times New Roman" w:hAnsi="Arial" w:cs="Arial"/>
          <w:sz w:val="20"/>
          <w:szCs w:val="20"/>
          <w:lang w:eastAsia="fr-FR"/>
        </w:rPr>
        <w:t xml:space="preserve">The antinociceptive and anti-inflammatory activities of </w:t>
      </w:r>
      <w:r w:rsidR="00C53A0D" w:rsidRPr="00C10ABE">
        <w:rPr>
          <w:rFonts w:ascii="Arial" w:eastAsia="Times New Roman" w:hAnsi="Arial" w:cs="Arial"/>
          <w:i/>
          <w:iCs/>
          <w:sz w:val="20"/>
          <w:szCs w:val="20"/>
          <w:lang w:eastAsia="fr-FR"/>
        </w:rPr>
        <w:t xml:space="preserve">Piptadenia stipulacea Benth. </w:t>
      </w:r>
      <w:r w:rsidR="00C53A0D" w:rsidRPr="00C10ABE">
        <w:rPr>
          <w:rFonts w:ascii="Arial" w:eastAsia="Times New Roman" w:hAnsi="Arial" w:cs="Arial"/>
          <w:sz w:val="20"/>
          <w:szCs w:val="20"/>
          <w:lang w:eastAsia="fr-FR"/>
        </w:rPr>
        <w:t xml:space="preserve">(Fabaceae). </w:t>
      </w:r>
      <w:r w:rsidR="00C53A0D" w:rsidRPr="00C10ABE">
        <w:rPr>
          <w:rFonts w:ascii="Arial" w:eastAsia="Times New Roman" w:hAnsi="Arial" w:cs="Arial"/>
          <w:iCs/>
          <w:sz w:val="20"/>
          <w:szCs w:val="20"/>
          <w:lang w:eastAsia="fr-FR"/>
        </w:rPr>
        <w:t>Journal of Ethnopharmacology</w:t>
      </w:r>
      <w:r w:rsidR="00C53A0D" w:rsidRPr="00C10ABE">
        <w:rPr>
          <w:rFonts w:ascii="Arial" w:eastAsia="Times New Roman" w:hAnsi="Arial" w:cs="Arial"/>
          <w:sz w:val="20"/>
          <w:szCs w:val="20"/>
          <w:lang w:eastAsia="fr-FR"/>
        </w:rPr>
        <w:t>.</w:t>
      </w:r>
      <w:r w:rsidR="00C53A0D" w:rsidRPr="00C10ABE">
        <w:rPr>
          <w:rFonts w:ascii="Arial" w:eastAsia="Times New Roman" w:hAnsi="Arial" w:cs="Arial"/>
          <w:bCs/>
          <w:sz w:val="20"/>
          <w:szCs w:val="20"/>
          <w:lang w:eastAsia="fr-FR"/>
        </w:rPr>
        <w:t xml:space="preserve"> 2010;128(2)</w:t>
      </w:r>
      <w:r w:rsidR="00C53A0D" w:rsidRPr="00C10ABE">
        <w:rPr>
          <w:rFonts w:ascii="Arial" w:eastAsia="Times New Roman" w:hAnsi="Arial" w:cs="Arial"/>
          <w:sz w:val="20"/>
          <w:szCs w:val="20"/>
          <w:lang w:eastAsia="fr-FR"/>
        </w:rPr>
        <w:t>:377-383.</w:t>
      </w:r>
    </w:p>
    <w:p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34</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 xml:space="preserve">Akindele AJ,  Adeyemi OO. </w:t>
      </w:r>
      <w:r w:rsidR="00C53A0D" w:rsidRPr="00C10ABE">
        <w:rPr>
          <w:rFonts w:ascii="Arial" w:eastAsia="Times New Roman" w:hAnsi="Arial" w:cs="Arial"/>
          <w:sz w:val="20"/>
          <w:szCs w:val="20"/>
          <w:lang w:eastAsia="fr-FR"/>
        </w:rPr>
        <w:t xml:space="preserve">Antipyretic activity of </w:t>
      </w:r>
      <w:r w:rsidR="00C53A0D" w:rsidRPr="00C10ABE">
        <w:rPr>
          <w:rFonts w:ascii="Arial" w:eastAsia="Times New Roman" w:hAnsi="Arial" w:cs="Arial"/>
          <w:i/>
          <w:iCs/>
          <w:sz w:val="20"/>
          <w:szCs w:val="20"/>
          <w:lang w:eastAsia="fr-FR"/>
        </w:rPr>
        <w:t>Byrsocarpus coccineus</w:t>
      </w:r>
      <w:r w:rsidR="00C53A0D" w:rsidRPr="00C10ABE">
        <w:rPr>
          <w:rFonts w:ascii="Arial" w:eastAsia="Times New Roman" w:hAnsi="Arial" w:cs="Arial"/>
          <w:sz w:val="20"/>
          <w:szCs w:val="20"/>
          <w:lang w:eastAsia="fr-FR"/>
        </w:rPr>
        <w:t xml:space="preserve"> Schum and Thonn.</w:t>
      </w:r>
      <w:r w:rsidR="00C53A0D" w:rsidRPr="00C10ABE">
        <w:rPr>
          <w:rFonts w:ascii="Arial" w:eastAsia="Times New Roman" w:hAnsi="Arial" w:cs="Arial"/>
          <w:iCs/>
          <w:sz w:val="20"/>
          <w:szCs w:val="20"/>
          <w:lang w:eastAsia="fr-FR"/>
        </w:rPr>
        <w:t xml:space="preserve">Internationnal Journal of Pharmaocology. </w:t>
      </w:r>
      <w:r w:rsidR="00C53A0D" w:rsidRPr="00C10ABE">
        <w:rPr>
          <w:rFonts w:ascii="Arial" w:eastAsia="Times New Roman" w:hAnsi="Arial" w:cs="Arial"/>
          <w:bCs/>
          <w:sz w:val="20"/>
          <w:szCs w:val="20"/>
          <w:lang w:eastAsia="fr-FR"/>
        </w:rPr>
        <w:t>2007;4(3)</w:t>
      </w:r>
      <w:r w:rsidR="00C53A0D" w:rsidRPr="00C10ABE">
        <w:rPr>
          <w:rFonts w:ascii="Arial" w:eastAsia="Times New Roman" w:hAnsi="Arial" w:cs="Arial"/>
          <w:sz w:val="20"/>
          <w:szCs w:val="20"/>
          <w:lang w:eastAsia="fr-FR"/>
        </w:rPr>
        <w:t xml:space="preserve">:357-361. </w:t>
      </w:r>
    </w:p>
    <w:p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lastRenderedPageBreak/>
        <w:t>35</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 xml:space="preserve">Bose A, Mondal S, Jayanta K. </w:t>
      </w:r>
      <w:r w:rsidR="00C53A0D" w:rsidRPr="00C10ABE">
        <w:rPr>
          <w:rFonts w:ascii="Arial" w:eastAsia="Times New Roman" w:hAnsi="Arial" w:cs="Arial"/>
          <w:sz w:val="20"/>
          <w:szCs w:val="20"/>
          <w:lang w:eastAsia="fr-FR"/>
        </w:rPr>
        <w:t xml:space="preserve">Analgesic, anti-inflammatory and antipyretic activities of the ethanolic extract and its fractions of </w:t>
      </w:r>
      <w:r w:rsidR="00C53A0D" w:rsidRPr="00C10ABE">
        <w:rPr>
          <w:rFonts w:ascii="Arial" w:eastAsia="Times New Roman" w:hAnsi="Arial" w:cs="Arial"/>
          <w:i/>
          <w:iCs/>
          <w:sz w:val="20"/>
          <w:szCs w:val="20"/>
          <w:lang w:eastAsia="fr-FR"/>
        </w:rPr>
        <w:t>Cleome rutidosperma</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iCs/>
          <w:sz w:val="20"/>
          <w:szCs w:val="20"/>
          <w:lang w:eastAsia="fr-FR"/>
        </w:rPr>
        <w:t>Fitoterapia.</w:t>
      </w:r>
      <w:r w:rsidR="00C53A0D" w:rsidRPr="00C10ABE">
        <w:rPr>
          <w:rFonts w:ascii="Arial" w:eastAsia="Times New Roman" w:hAnsi="Arial" w:cs="Arial"/>
          <w:bCs/>
          <w:sz w:val="20"/>
          <w:szCs w:val="20"/>
          <w:lang w:eastAsia="fr-FR"/>
        </w:rPr>
        <w:t xml:space="preserve"> 2007;78(7-8)</w:t>
      </w:r>
      <w:r w:rsidR="00C53A0D" w:rsidRPr="00C10ABE">
        <w:rPr>
          <w:rFonts w:ascii="Arial" w:eastAsia="Times New Roman" w:hAnsi="Arial" w:cs="Arial"/>
          <w:sz w:val="20"/>
          <w:szCs w:val="20"/>
          <w:lang w:eastAsia="fr-FR"/>
        </w:rPr>
        <w:t>:515-520.</w:t>
      </w:r>
    </w:p>
    <w:p w:rsidR="00C53A0D" w:rsidRPr="00C10ABE" w:rsidRDefault="001A11F3" w:rsidP="00C53A0D">
      <w:pPr>
        <w:spacing w:after="0" w:line="360" w:lineRule="auto"/>
        <w:jc w:val="both"/>
        <w:rPr>
          <w:rFonts w:ascii="Arial" w:hAnsi="Arial" w:cs="Arial"/>
          <w:sz w:val="20"/>
          <w:szCs w:val="20"/>
        </w:rPr>
      </w:pPr>
      <w:r w:rsidRPr="00C10ABE">
        <w:rPr>
          <w:rFonts w:ascii="Arial" w:eastAsia="Times New Roman" w:hAnsi="Arial" w:cs="Arial"/>
          <w:sz w:val="20"/>
          <w:szCs w:val="20"/>
          <w:lang w:eastAsia="fr-FR"/>
        </w:rPr>
        <w:t>36</w:t>
      </w:r>
      <w:r w:rsidR="00C53A0D" w:rsidRPr="00C10ABE">
        <w:rPr>
          <w:rFonts w:ascii="Arial" w:eastAsia="Times New Roman" w:hAnsi="Arial" w:cs="Arial"/>
          <w:sz w:val="20"/>
          <w:szCs w:val="20"/>
          <w:lang w:eastAsia="fr-FR"/>
        </w:rPr>
        <w:t xml:space="preserve">. </w:t>
      </w:r>
      <w:r w:rsidR="00C53A0D" w:rsidRPr="00C10ABE">
        <w:rPr>
          <w:rFonts w:ascii="Arial" w:hAnsi="Arial" w:cs="Arial"/>
          <w:sz w:val="20"/>
          <w:szCs w:val="20"/>
        </w:rPr>
        <w:t xml:space="preserve">Hussain T, Tan B, Yin Y, Blachier F, Tossou MC, Rahu N. Oxidative Stress and </w:t>
      </w:r>
    </w:p>
    <w:p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Inflammation: What Polyphenols Can Do for Us? Oxidative Medicine and Cellular Longevity. 2016;2016:1-9.</w:t>
      </w:r>
    </w:p>
    <w:p w:rsidR="00C53A0D" w:rsidRPr="00C10ABE" w:rsidRDefault="001A11F3" w:rsidP="00C53A0D">
      <w:pPr>
        <w:spacing w:after="0" w:line="360" w:lineRule="auto"/>
        <w:jc w:val="both"/>
        <w:rPr>
          <w:rFonts w:ascii="Arial" w:hAnsi="Arial" w:cs="Arial"/>
          <w:sz w:val="20"/>
          <w:szCs w:val="20"/>
        </w:rPr>
      </w:pPr>
      <w:r w:rsidRPr="00C10ABE">
        <w:rPr>
          <w:rFonts w:ascii="Arial" w:hAnsi="Arial" w:cs="Arial"/>
          <w:sz w:val="20"/>
          <w:szCs w:val="20"/>
        </w:rPr>
        <w:t>37</w:t>
      </w:r>
      <w:r w:rsidR="00C53A0D" w:rsidRPr="00C10ABE">
        <w:rPr>
          <w:rFonts w:ascii="Arial" w:hAnsi="Arial" w:cs="Arial"/>
          <w:sz w:val="20"/>
          <w:szCs w:val="20"/>
        </w:rPr>
        <w:t>. Li Y, Yao J, Han C, Yang J, Chaudhry MT, Wang S, Liu H, Yin Y. Quercetin, inflammation and immunity. Review Nutrients. 2016;8:1-14.</w:t>
      </w:r>
    </w:p>
    <w:p w:rsidR="008C7954" w:rsidRPr="00C10ABE" w:rsidRDefault="008C7954"/>
    <w:sectPr w:rsidR="008C7954" w:rsidRPr="00C10ABE" w:rsidSect="00664DC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c" w:date="2025-04-24T12:44:00Z" w:initials="p">
    <w:p w:rsidR="00F13535" w:rsidRDefault="00F13535">
      <w:pPr>
        <w:pStyle w:val="CommentText"/>
      </w:pPr>
      <w:r>
        <w:rPr>
          <w:rStyle w:val="CommentReference"/>
        </w:rPr>
        <w:annotationRef/>
      </w:r>
      <w:r>
        <w:t>This paper reports three distinct studies; please revise the title to reflect all the investigated activities</w:t>
      </w:r>
    </w:p>
  </w:comment>
  <w:comment w:id="1" w:author="prc" w:date="2025-04-24T12:43:00Z" w:initials="p">
    <w:p w:rsidR="00664DCF" w:rsidRDefault="00664DCF">
      <w:pPr>
        <w:pStyle w:val="CommentText"/>
      </w:pPr>
      <w:r>
        <w:rPr>
          <w:rStyle w:val="CommentReference"/>
        </w:rPr>
        <w:annotationRef/>
      </w:r>
      <w:r w:rsidR="00F13535">
        <w:t>The abstract is not structured according to the journal's required format</w:t>
      </w:r>
    </w:p>
  </w:comment>
  <w:comment w:id="2" w:author="prc" w:date="2025-04-24T12:42:00Z" w:initials="p">
    <w:p w:rsidR="00664DCF" w:rsidRDefault="00664DCF">
      <w:pPr>
        <w:pStyle w:val="CommentText"/>
      </w:pPr>
      <w:r>
        <w:rPr>
          <w:rStyle w:val="CommentReference"/>
        </w:rPr>
        <w:annotationRef/>
      </w:r>
      <w:r w:rsidR="00F13535">
        <w:t>Include a statement indicating that no prior studies have reported on its anti-inflammatory effects</w:t>
      </w:r>
    </w:p>
  </w:comment>
  <w:comment w:id="3" w:author="prc" w:date="2025-04-24T11:46:00Z" w:initials="p">
    <w:p w:rsidR="007F3AD7" w:rsidRDefault="00664DCF" w:rsidP="007F3AD7">
      <w:pPr>
        <w:pStyle w:val="NormalWeb"/>
      </w:pPr>
      <w:r>
        <w:rPr>
          <w:rStyle w:val="CommentReference"/>
        </w:rPr>
        <w:annotationRef/>
      </w:r>
      <w:r w:rsidR="007F3AD7">
        <w:t xml:space="preserve">mention the method use for antiinflammatory activity </w:t>
      </w:r>
    </w:p>
    <w:p w:rsidR="007F3AD7" w:rsidRDefault="007F3AD7" w:rsidP="007F3AD7">
      <w:pPr>
        <w:pStyle w:val="NormalWeb"/>
      </w:pPr>
      <w:r>
        <w:t xml:space="preserve">The doses tested and how many groups/animals per group for acute oral toxicity and antiinflammatory activity? </w:t>
      </w:r>
    </w:p>
    <w:p w:rsidR="007F3AD7" w:rsidRDefault="007F3AD7" w:rsidP="007F3AD7">
      <w:pPr>
        <w:pStyle w:val="NormalWeb"/>
      </w:pPr>
      <w:r>
        <w:t xml:space="preserve">Whether a control group and standard drug were used for comparison? </w:t>
      </w:r>
    </w:p>
    <w:p w:rsidR="007F3AD7" w:rsidRDefault="007F3AD7" w:rsidP="007F3AD7">
      <w:pPr>
        <w:pStyle w:val="NormalWeb"/>
      </w:pPr>
      <w:r>
        <w:t>Mention the results with values obtained along with their respective doses</w:t>
      </w:r>
    </w:p>
    <w:p w:rsidR="00664DCF" w:rsidRDefault="00664DCF" w:rsidP="007F3AD7">
      <w:pPr>
        <w:pStyle w:val="CommentText"/>
      </w:pPr>
    </w:p>
  </w:comment>
  <w:comment w:id="5" w:author="prc" w:date="2025-04-24T12:45:00Z" w:initials="p">
    <w:p w:rsidR="00EF7969" w:rsidRDefault="00EF7969">
      <w:pPr>
        <w:pStyle w:val="CommentText"/>
      </w:pPr>
      <w:r>
        <w:rPr>
          <w:rStyle w:val="CommentReference"/>
        </w:rPr>
        <w:annotationRef/>
      </w:r>
      <w:r>
        <w:t>Add phytochemical, acute oral toxicity</w:t>
      </w:r>
    </w:p>
  </w:comment>
  <w:comment w:id="6" w:author="prc" w:date="2025-04-24T12:42:00Z" w:initials="p">
    <w:p w:rsidR="004C4F2D" w:rsidRDefault="004C4F2D">
      <w:pPr>
        <w:pStyle w:val="CommentText"/>
      </w:pPr>
      <w:r>
        <w:rPr>
          <w:rStyle w:val="CommentReference"/>
        </w:rPr>
        <w:annotationRef/>
      </w:r>
      <w:r w:rsidR="00F13535">
        <w:t>Please format the references according to the journal's guidelines</w:t>
      </w:r>
    </w:p>
  </w:comment>
  <w:comment w:id="7" w:author="prc" w:date="2025-04-24T12:41:00Z" w:initials="p">
    <w:p w:rsidR="0047592D" w:rsidRDefault="0047592D">
      <w:pPr>
        <w:pStyle w:val="CommentText"/>
      </w:pPr>
      <w:r>
        <w:rPr>
          <w:rStyle w:val="CommentReference"/>
        </w:rPr>
        <w:annotationRef/>
      </w:r>
      <w:r w:rsidR="00F13535">
        <w:t>Please avoid repeating the same terms or phrases throughout the text.</w:t>
      </w:r>
    </w:p>
  </w:comment>
  <w:comment w:id="8" w:author="prc" w:date="2025-04-24T11:50:00Z" w:initials="p">
    <w:p w:rsidR="0047592D" w:rsidRDefault="0047592D">
      <w:pPr>
        <w:pStyle w:val="CommentText"/>
      </w:pPr>
      <w:r>
        <w:rPr>
          <w:rStyle w:val="CommentReference"/>
        </w:rPr>
        <w:annotationRef/>
      </w:r>
      <w:r>
        <w:t>?</w:t>
      </w:r>
    </w:p>
  </w:comment>
  <w:comment w:id="9" w:author="prc" w:date="2025-04-24T12:40:00Z" w:initials="p">
    <w:p w:rsidR="0047592D" w:rsidRDefault="0047592D">
      <w:pPr>
        <w:pStyle w:val="CommentText"/>
      </w:pPr>
      <w:r>
        <w:rPr>
          <w:rStyle w:val="CommentReference"/>
        </w:rPr>
        <w:annotationRef/>
      </w:r>
      <w:r w:rsidR="00F13535">
        <w:t xml:space="preserve"> Was the study conducted using male, female, or both sexes of animals?</w:t>
      </w:r>
    </w:p>
  </w:comment>
  <w:comment w:id="10" w:author="prc" w:date="2025-04-24T12:40:00Z" w:initials="p">
    <w:p w:rsidR="00D47FD1" w:rsidRDefault="00D47FD1">
      <w:pPr>
        <w:pStyle w:val="CommentText"/>
      </w:pPr>
      <w:r>
        <w:rPr>
          <w:rStyle w:val="CommentReference"/>
        </w:rPr>
        <w:annotationRef/>
      </w:r>
      <w:r w:rsidR="006E4733">
        <w:t>Essential details are missing, including the number of animals per group, the total number of groups, dosage information, and the route of administration</w:t>
      </w:r>
    </w:p>
  </w:comment>
  <w:comment w:id="11" w:author="prc" w:date="2025-04-24T12:25:00Z" w:initials="p">
    <w:p w:rsidR="00B26889" w:rsidRDefault="00B26889" w:rsidP="00B26889">
      <w:pPr>
        <w:pStyle w:val="CommentText"/>
      </w:pPr>
      <w:r>
        <w:rPr>
          <w:rStyle w:val="CommentReference"/>
        </w:rPr>
        <w:annotationRef/>
      </w:r>
      <w:r>
        <w:t>Please rewrite this paragraph in a clearer way. You may follow the link provided below and incorporate it as a reference</w:t>
      </w:r>
    </w:p>
    <w:p w:rsidR="00B26889" w:rsidRDefault="00B26889" w:rsidP="00B26889">
      <w:pPr>
        <w:pStyle w:val="CommentText"/>
      </w:pPr>
    </w:p>
    <w:p w:rsidR="00B26889" w:rsidRDefault="00B26889" w:rsidP="00B26889">
      <w:pPr>
        <w:pStyle w:val="CommentText"/>
      </w:pPr>
      <w:hyperlink r:id="rId1" w:history="1">
        <w:r w:rsidRPr="0057785D">
          <w:rPr>
            <w:rStyle w:val="Hyperlink"/>
          </w:rPr>
          <w:t>https://www.tandfonline.com/doi/full/10.1080/07391102.2025.2472180</w:t>
        </w:r>
      </w:hyperlink>
    </w:p>
  </w:comment>
  <w:comment w:id="12" w:author="prc" w:date="2025-04-24T12:16:00Z" w:initials="p">
    <w:p w:rsidR="00B26889" w:rsidRDefault="00B26889">
      <w:pPr>
        <w:pStyle w:val="CommentText"/>
      </w:pPr>
      <w:r>
        <w:rPr>
          <w:rStyle w:val="CommentReference"/>
        </w:rPr>
        <w:annotationRef/>
      </w:r>
      <w:r>
        <w:t xml:space="preserve">? </w:t>
      </w:r>
    </w:p>
  </w:comment>
  <w:comment w:id="13" w:author="prc" w:date="2025-04-24T12:39:00Z" w:initials="p">
    <w:p w:rsidR="002B6A9B" w:rsidRDefault="002B6A9B">
      <w:pPr>
        <w:pStyle w:val="CommentText"/>
      </w:pPr>
      <w:r>
        <w:rPr>
          <w:rStyle w:val="CommentReference"/>
        </w:rPr>
        <w:annotationRef/>
      </w:r>
      <w:r w:rsidR="006E4733">
        <w:t>Review previously reported studies on anti-inflammatory activity and present these findings in a more scientifically structured manner</w:t>
      </w:r>
    </w:p>
  </w:comment>
  <w:comment w:id="14" w:author="prc" w:date="2025-04-24T12:38:00Z" w:initials="p">
    <w:p w:rsidR="002B6A9B" w:rsidRDefault="002B6A9B" w:rsidP="006E4733">
      <w:pPr>
        <w:pStyle w:val="CommentText"/>
      </w:pPr>
      <w:r>
        <w:rPr>
          <w:rStyle w:val="CommentReference"/>
        </w:rPr>
        <w:annotationRef/>
      </w:r>
      <w:r w:rsidR="006E4733">
        <w:t>These values represent the average increase in paw volume. Where are the corresponding percentages mentioned</w:t>
      </w:r>
    </w:p>
  </w:comment>
  <w:comment w:id="15" w:author="prc" w:date="2025-04-24T12:38:00Z" w:initials="p">
    <w:p w:rsidR="006E4733" w:rsidRDefault="006E4733">
      <w:pPr>
        <w:pStyle w:val="CommentText"/>
      </w:pPr>
      <w:r>
        <w:rPr>
          <w:rStyle w:val="CommentReference"/>
        </w:rPr>
        <w:annotationRef/>
      </w:r>
      <w:r>
        <w:t>Follow journal formate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BAB" w:rsidRDefault="000F7BAB">
      <w:pPr>
        <w:spacing w:after="0" w:line="240" w:lineRule="auto"/>
      </w:pPr>
      <w:r>
        <w:separator/>
      </w:r>
    </w:p>
  </w:endnote>
  <w:endnote w:type="continuationSeparator" w:id="1">
    <w:p w:rsidR="000F7BAB" w:rsidRDefault="000F7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sig w:usb0="00000000" w:usb1="00000000" w:usb2="00000000" w:usb3="00000000" w:csb0="00000000" w:csb1="00000000"/>
  </w:font>
  <w:font w:name="TimesNewRomanPSMT">
    <w:altName w:val="Batang"/>
    <w:panose1 w:val="00000000000000000000"/>
    <w:charset w:val="81"/>
    <w:family w:val="auto"/>
    <w:notTrueType/>
    <w:pitch w:val="default"/>
    <w:sig w:usb0="00000000" w:usb1="09070000" w:usb2="00000010" w:usb3="00000000" w:csb0="000A0001"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CF" w:rsidRDefault="00664D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081757"/>
      <w:docPartObj>
        <w:docPartGallery w:val="Page Numbers (Bottom of Page)"/>
        <w:docPartUnique/>
      </w:docPartObj>
    </w:sdtPr>
    <w:sdtContent>
      <w:p w:rsidR="00664DCF" w:rsidRDefault="00664DCF">
        <w:pPr>
          <w:pStyle w:val="Footer"/>
          <w:jc w:val="center"/>
        </w:pPr>
        <w:fldSimple w:instr="PAGE   \* MERGEFORMAT">
          <w:r w:rsidR="00EF7969">
            <w:rPr>
              <w:noProof/>
            </w:rPr>
            <w:t>2</w:t>
          </w:r>
        </w:fldSimple>
      </w:p>
    </w:sdtContent>
  </w:sdt>
  <w:p w:rsidR="00664DCF" w:rsidRDefault="00664DCF" w:rsidP="00664D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CF" w:rsidRPr="00402493" w:rsidRDefault="00664DCF" w:rsidP="004024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BAB" w:rsidRDefault="000F7BAB">
      <w:pPr>
        <w:spacing w:after="0" w:line="240" w:lineRule="auto"/>
      </w:pPr>
      <w:r>
        <w:separator/>
      </w:r>
    </w:p>
  </w:footnote>
  <w:footnote w:type="continuationSeparator" w:id="1">
    <w:p w:rsidR="000F7BAB" w:rsidRDefault="000F7B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CF" w:rsidRDefault="00664DCF">
    <w:pPr>
      <w:pStyle w:val="Header"/>
    </w:pPr>
    <w:r w:rsidRPr="00583C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0020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CF" w:rsidRDefault="00664DCF">
    <w:pPr>
      <w:pStyle w:val="Header"/>
    </w:pPr>
    <w:r w:rsidRPr="00583C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0020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CF" w:rsidRPr="00296529" w:rsidRDefault="00664DCF" w:rsidP="00664DCF">
    <w:pPr>
      <w:ind w:left="2160"/>
      <w:jc w:val="center"/>
      <w:rPr>
        <w:rFonts w:ascii="Times New Roman" w:eastAsia="Calibri" w:hAnsi="Times New Roman"/>
        <w:i/>
        <w:sz w:val="18"/>
      </w:rPr>
    </w:pPr>
    <w:r w:rsidRPr="00583C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00203"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664DCF" w:rsidRPr="00296529" w:rsidRDefault="00664DCF" w:rsidP="00664DCF">
    <w:pPr>
      <w:ind w:left="4320"/>
      <w:rPr>
        <w:rFonts w:ascii="Times New Roman" w:eastAsia="Calibri" w:hAnsi="Times New Roman"/>
        <w:i/>
        <w:sz w:val="18"/>
      </w:rPr>
    </w:pPr>
    <w:r>
      <w:rPr>
        <w:rFonts w:ascii="Times New Roman" w:eastAsia="Calibri" w:hAnsi="Times New Roman"/>
        <w:i/>
        <w:sz w:val="18"/>
      </w:rPr>
      <w:t>.</w:t>
    </w:r>
  </w:p>
  <w:p w:rsidR="00664DCF" w:rsidRPr="00296529" w:rsidRDefault="00664DCF" w:rsidP="00664DCF">
    <w:pPr>
      <w:jc w:val="center"/>
      <w:rPr>
        <w:rFonts w:ascii="Times New Roman" w:eastAsia="Calibri" w:hAnsi="Times New Roman"/>
        <w:i/>
        <w:sz w:val="18"/>
      </w:rPr>
    </w:pPr>
    <w:r>
      <w:rPr>
        <w:rFonts w:ascii="Times New Roman" w:eastAsia="Calibri" w:hAnsi="Times New Roman"/>
        <w:i/>
        <w:sz w:val="18"/>
      </w:rPr>
      <w:t>.</w:t>
    </w:r>
  </w:p>
  <w:p w:rsidR="00664DCF" w:rsidRPr="00296529" w:rsidRDefault="00664DCF" w:rsidP="00664DCF">
    <w:pPr>
      <w:spacing w:after="200"/>
      <w:jc w:val="center"/>
      <w:rPr>
        <w:rFonts w:ascii="Times New Roman" w:eastAsia="Calibri" w:hAnsi="Times New Roman"/>
        <w:b/>
        <w:i/>
        <w:sz w:val="32"/>
      </w:rPr>
    </w:pPr>
    <w:r>
      <w:rPr>
        <w:rFonts w:ascii="Times New Roman" w:eastAsia="Calibri" w:hAnsi="Times New Roman"/>
        <w:b/>
        <w:i/>
        <w:sz w:val="32"/>
      </w:rPr>
      <w:t>.</w:t>
    </w:r>
  </w:p>
  <w:p w:rsidR="00664DCF" w:rsidRDefault="00664DCF" w:rsidP="00664DCF">
    <w:pPr>
      <w:jc w:val="center"/>
      <w:rPr>
        <w:rFonts w:ascii="Times New Roman" w:eastAsia="Calibri" w:hAnsi="Times New Roman"/>
        <w:i/>
        <w:sz w:val="18"/>
      </w:rPr>
    </w:pPr>
  </w:p>
  <w:p w:rsidR="00664DCF" w:rsidRDefault="00664DCF" w:rsidP="00664DCF">
    <w:pPr>
      <w:tabs>
        <w:tab w:val="left" w:pos="2145"/>
      </w:tabs>
      <w:rPr>
        <w:rFonts w:ascii="Times New Roman" w:eastAsia="Calibri" w:hAnsi="Times New Roman"/>
        <w:i/>
        <w:sz w:val="18"/>
      </w:rPr>
    </w:pPr>
    <w:r>
      <w:rPr>
        <w:rFonts w:ascii="Times New Roman" w:eastAsia="Calibri" w:hAnsi="Times New Roman"/>
        <w:i/>
        <w:sz w:val="18"/>
      </w:rPr>
      <w:tab/>
      <w:t>.</w:t>
    </w:r>
  </w:p>
  <w:p w:rsidR="00664DCF" w:rsidRDefault="00664DCF">
    <w:pPr>
      <w:pStyle w:val="Header"/>
    </w:pPr>
    <w: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C53A0D"/>
    <w:rsid w:val="00030340"/>
    <w:rsid w:val="000461B1"/>
    <w:rsid w:val="00056B67"/>
    <w:rsid w:val="000E090E"/>
    <w:rsid w:val="000F7BAB"/>
    <w:rsid w:val="001A11F3"/>
    <w:rsid w:val="001C60E8"/>
    <w:rsid w:val="00275EE0"/>
    <w:rsid w:val="002B6A9B"/>
    <w:rsid w:val="002C5D06"/>
    <w:rsid w:val="002F1180"/>
    <w:rsid w:val="003C4590"/>
    <w:rsid w:val="00402493"/>
    <w:rsid w:val="0047592D"/>
    <w:rsid w:val="0048016F"/>
    <w:rsid w:val="004A5E1E"/>
    <w:rsid w:val="004C4F2D"/>
    <w:rsid w:val="00502F3D"/>
    <w:rsid w:val="005536F4"/>
    <w:rsid w:val="00583C17"/>
    <w:rsid w:val="005A2A98"/>
    <w:rsid w:val="00627E66"/>
    <w:rsid w:val="00655DCB"/>
    <w:rsid w:val="00664DCF"/>
    <w:rsid w:val="00672469"/>
    <w:rsid w:val="006752B6"/>
    <w:rsid w:val="006C7CFA"/>
    <w:rsid w:val="006E4733"/>
    <w:rsid w:val="00761B68"/>
    <w:rsid w:val="007963D0"/>
    <w:rsid w:val="007C64CB"/>
    <w:rsid w:val="007D05E5"/>
    <w:rsid w:val="007D1E43"/>
    <w:rsid w:val="007D3BC0"/>
    <w:rsid w:val="007F3AD7"/>
    <w:rsid w:val="007F426D"/>
    <w:rsid w:val="00810E3D"/>
    <w:rsid w:val="008113BA"/>
    <w:rsid w:val="00871FED"/>
    <w:rsid w:val="008C7954"/>
    <w:rsid w:val="00953F10"/>
    <w:rsid w:val="009B10C6"/>
    <w:rsid w:val="00A373D3"/>
    <w:rsid w:val="00A376FD"/>
    <w:rsid w:val="00AB7E85"/>
    <w:rsid w:val="00AD3502"/>
    <w:rsid w:val="00B26889"/>
    <w:rsid w:val="00C02E48"/>
    <w:rsid w:val="00C10ABE"/>
    <w:rsid w:val="00C21D16"/>
    <w:rsid w:val="00C53A0D"/>
    <w:rsid w:val="00C65C86"/>
    <w:rsid w:val="00CD1BA6"/>
    <w:rsid w:val="00CF4C1D"/>
    <w:rsid w:val="00D2567D"/>
    <w:rsid w:val="00D34A8C"/>
    <w:rsid w:val="00D34D1C"/>
    <w:rsid w:val="00D47FD1"/>
    <w:rsid w:val="00D6479C"/>
    <w:rsid w:val="00E52E0A"/>
    <w:rsid w:val="00ED0165"/>
    <w:rsid w:val="00EF7969"/>
    <w:rsid w:val="00F13535"/>
    <w:rsid w:val="00F334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A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A0D"/>
    <w:rPr>
      <w:color w:val="0563C1" w:themeColor="hyperlink"/>
      <w:u w:val="single"/>
    </w:rPr>
  </w:style>
  <w:style w:type="table" w:styleId="TableGrid">
    <w:name w:val="Table Grid"/>
    <w:basedOn w:val="TableNormal"/>
    <w:uiPriority w:val="39"/>
    <w:rsid w:val="00C53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C53A0D"/>
    <w:pPr>
      <w:tabs>
        <w:tab w:val="center" w:pos="4536"/>
        <w:tab w:val="right" w:pos="9072"/>
      </w:tabs>
      <w:spacing w:after="0" w:line="240" w:lineRule="auto"/>
    </w:pPr>
  </w:style>
  <w:style w:type="character" w:customStyle="1" w:styleId="HeaderChar">
    <w:name w:val="Header Char"/>
    <w:basedOn w:val="DefaultParagraphFont"/>
    <w:link w:val="Header"/>
    <w:rsid w:val="00C53A0D"/>
  </w:style>
  <w:style w:type="paragraph" w:styleId="Footer">
    <w:name w:val="footer"/>
    <w:basedOn w:val="Normal"/>
    <w:link w:val="FooterChar"/>
    <w:uiPriority w:val="99"/>
    <w:unhideWhenUsed/>
    <w:rsid w:val="00C53A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3A0D"/>
  </w:style>
  <w:style w:type="paragraph" w:customStyle="1" w:styleId="Affiliation">
    <w:name w:val="Affiliation"/>
    <w:basedOn w:val="Normal"/>
    <w:rsid w:val="00C53A0D"/>
    <w:pPr>
      <w:spacing w:after="240" w:line="240" w:lineRule="exact"/>
      <w:jc w:val="right"/>
    </w:pPr>
    <w:rPr>
      <w:rFonts w:ascii="Helvetica" w:eastAsia="Times New Roman" w:hAnsi="Helvetica" w:cs="Times New Roman"/>
      <w:sz w:val="20"/>
      <w:szCs w:val="20"/>
      <w:lang w:val="en-US"/>
    </w:rPr>
  </w:style>
  <w:style w:type="paragraph" w:customStyle="1" w:styleId="Copyright">
    <w:name w:val="Copyright"/>
    <w:basedOn w:val="Normal"/>
    <w:rsid w:val="00C53A0D"/>
    <w:pPr>
      <w:spacing w:after="960" w:line="200" w:lineRule="exact"/>
    </w:pPr>
    <w:rPr>
      <w:rFonts w:ascii="Helvetica" w:eastAsia="Times New Roman" w:hAnsi="Helvetica" w:cs="Times New Roman"/>
      <w:sz w:val="16"/>
      <w:szCs w:val="20"/>
      <w:lang w:val="en-US"/>
    </w:rPr>
  </w:style>
  <w:style w:type="paragraph" w:customStyle="1" w:styleId="AbstHead">
    <w:name w:val="Abst Head"/>
    <w:basedOn w:val="Normal"/>
    <w:rsid w:val="00C53A0D"/>
    <w:pPr>
      <w:keepNext/>
      <w:spacing w:after="240" w:line="240" w:lineRule="auto"/>
    </w:pPr>
    <w:rPr>
      <w:rFonts w:ascii="Helvetica" w:eastAsia="Times New Roman" w:hAnsi="Helvetica" w:cs="Times New Roman"/>
      <w:b/>
      <w:caps/>
      <w:szCs w:val="20"/>
      <w:lang w:val="en-US"/>
    </w:rPr>
  </w:style>
  <w:style w:type="paragraph" w:styleId="BalloonText">
    <w:name w:val="Balloon Text"/>
    <w:basedOn w:val="Normal"/>
    <w:link w:val="BalloonTextChar"/>
    <w:uiPriority w:val="99"/>
    <w:semiHidden/>
    <w:unhideWhenUsed/>
    <w:rsid w:val="00046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1B1"/>
    <w:rPr>
      <w:rFonts w:ascii="Tahoma" w:hAnsi="Tahoma" w:cs="Tahoma"/>
      <w:sz w:val="16"/>
      <w:szCs w:val="16"/>
    </w:rPr>
  </w:style>
  <w:style w:type="character" w:styleId="CommentReference">
    <w:name w:val="annotation reference"/>
    <w:basedOn w:val="DefaultParagraphFont"/>
    <w:uiPriority w:val="99"/>
    <w:semiHidden/>
    <w:unhideWhenUsed/>
    <w:rsid w:val="007C64CB"/>
    <w:rPr>
      <w:sz w:val="16"/>
      <w:szCs w:val="16"/>
    </w:rPr>
  </w:style>
  <w:style w:type="paragraph" w:styleId="CommentText">
    <w:name w:val="annotation text"/>
    <w:basedOn w:val="Normal"/>
    <w:link w:val="CommentTextChar"/>
    <w:uiPriority w:val="99"/>
    <w:unhideWhenUsed/>
    <w:rsid w:val="007C64CB"/>
    <w:pPr>
      <w:spacing w:line="240" w:lineRule="auto"/>
    </w:pPr>
    <w:rPr>
      <w:sz w:val="20"/>
      <w:szCs w:val="20"/>
    </w:rPr>
  </w:style>
  <w:style w:type="character" w:customStyle="1" w:styleId="CommentTextChar">
    <w:name w:val="Comment Text Char"/>
    <w:basedOn w:val="DefaultParagraphFont"/>
    <w:link w:val="CommentText"/>
    <w:uiPriority w:val="99"/>
    <w:rsid w:val="007C64CB"/>
    <w:rPr>
      <w:sz w:val="20"/>
      <w:szCs w:val="20"/>
    </w:rPr>
  </w:style>
  <w:style w:type="paragraph" w:styleId="CommentSubject">
    <w:name w:val="annotation subject"/>
    <w:basedOn w:val="CommentText"/>
    <w:next w:val="CommentText"/>
    <w:link w:val="CommentSubjectChar"/>
    <w:uiPriority w:val="99"/>
    <w:semiHidden/>
    <w:unhideWhenUsed/>
    <w:rsid w:val="007C64CB"/>
    <w:rPr>
      <w:b/>
      <w:bCs/>
    </w:rPr>
  </w:style>
  <w:style w:type="character" w:customStyle="1" w:styleId="CommentSubjectChar">
    <w:name w:val="Comment Subject Char"/>
    <w:basedOn w:val="CommentTextChar"/>
    <w:link w:val="CommentSubject"/>
    <w:uiPriority w:val="99"/>
    <w:semiHidden/>
    <w:rsid w:val="007C64CB"/>
    <w:rPr>
      <w:b/>
      <w:bCs/>
    </w:rPr>
  </w:style>
  <w:style w:type="paragraph" w:styleId="NormalWeb">
    <w:name w:val="Normal (Web)"/>
    <w:basedOn w:val="Normal"/>
    <w:uiPriority w:val="99"/>
    <w:semiHidden/>
    <w:unhideWhenUsed/>
    <w:rsid w:val="007F3AD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53361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andfonline.com/doi/full/10.1080/07391102.2025.247218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hdl.handle.ne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dx.doi.org/10.431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bmccomplementmedtherapies.biomedcentral.co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11</Pages>
  <Words>3568</Words>
  <Characters>20343</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Grizli777</Company>
  <LinksUpToDate>false</LinksUpToDate>
  <CharactersWithSpaces>23864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COULIBALY</dc:creator>
  <cp:lastModifiedBy>prc</cp:lastModifiedBy>
  <cp:revision>10</cp:revision>
  <dcterms:created xsi:type="dcterms:W3CDTF">2025-04-23T05:01:00Z</dcterms:created>
  <dcterms:modified xsi:type="dcterms:W3CDTF">2025-04-24T07:46:00Z</dcterms:modified>
</cp:coreProperties>
</file>